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C3E2B5" w14:textId="77777777" w:rsidR="00E77931" w:rsidRDefault="00E77931" w:rsidP="00E77931">
      <w:pPr>
        <w:ind w:firstLine="0"/>
        <w:jc w:val="center"/>
      </w:pPr>
    </w:p>
    <w:p w14:paraId="15DCEB36" w14:textId="77777777" w:rsidR="00E77931" w:rsidRDefault="00E77931" w:rsidP="00E77931">
      <w:pPr>
        <w:ind w:firstLine="0"/>
        <w:jc w:val="center"/>
      </w:pPr>
    </w:p>
    <w:p w14:paraId="57382599" w14:textId="77777777" w:rsidR="00E77931" w:rsidRDefault="00E77931" w:rsidP="00E77931">
      <w:pPr>
        <w:ind w:firstLine="0"/>
        <w:jc w:val="center"/>
      </w:pPr>
    </w:p>
    <w:p w14:paraId="20073427" w14:textId="77777777" w:rsidR="00E77931" w:rsidRDefault="00E77931" w:rsidP="00E77931">
      <w:pPr>
        <w:ind w:firstLine="0"/>
        <w:jc w:val="center"/>
      </w:pPr>
    </w:p>
    <w:p w14:paraId="4F688047" w14:textId="77777777" w:rsidR="00E77931" w:rsidRDefault="00E77931" w:rsidP="00E77931">
      <w:pPr>
        <w:ind w:firstLine="0"/>
        <w:jc w:val="center"/>
        <w:rPr>
          <w:caps/>
        </w:rPr>
      </w:pPr>
    </w:p>
    <w:p w14:paraId="770E01E6" w14:textId="77777777" w:rsidR="00E77931" w:rsidRDefault="00E77931" w:rsidP="00E77931">
      <w:pPr>
        <w:ind w:firstLine="0"/>
        <w:jc w:val="center"/>
        <w:rPr>
          <w:caps/>
        </w:rPr>
      </w:pPr>
    </w:p>
    <w:p w14:paraId="6F6BDA26" w14:textId="77777777" w:rsidR="00E77931" w:rsidRDefault="00E77931" w:rsidP="00E77931">
      <w:pPr>
        <w:tabs>
          <w:tab w:val="left" w:pos="5085"/>
        </w:tabs>
        <w:ind w:firstLine="0"/>
        <w:rPr>
          <w:caps/>
        </w:rPr>
      </w:pPr>
      <w:r>
        <w:rPr>
          <w:caps/>
        </w:rPr>
        <w:tab/>
      </w:r>
    </w:p>
    <w:p w14:paraId="179CDEEA" w14:textId="77777777" w:rsidR="00E77931" w:rsidRPr="00934C0E" w:rsidRDefault="00E77931" w:rsidP="00E77931">
      <w:pPr>
        <w:ind w:firstLine="0"/>
        <w:jc w:val="center"/>
        <w:rPr>
          <w:caps/>
        </w:rPr>
      </w:pPr>
      <w:r w:rsidRPr="00934C0E">
        <w:rPr>
          <w:caps/>
        </w:rPr>
        <w:t>Case Study: The Impact of COVID-19 Pandemic</w:t>
      </w:r>
    </w:p>
    <w:p w14:paraId="78207B44" w14:textId="41F66E74" w:rsidR="00E77931" w:rsidRDefault="00CE34FB" w:rsidP="00E77931">
      <w:pPr>
        <w:ind w:firstLine="0"/>
        <w:jc w:val="center"/>
      </w:pPr>
      <w:r>
        <w:t>Student ID : 2122750</w:t>
      </w:r>
    </w:p>
    <w:p w14:paraId="1125CBC1" w14:textId="77777777" w:rsidR="00E77931" w:rsidRDefault="00E77931" w:rsidP="00E77931">
      <w:pPr>
        <w:ind w:firstLine="0"/>
        <w:jc w:val="center"/>
      </w:pPr>
    </w:p>
    <w:p w14:paraId="72065BE4" w14:textId="77777777" w:rsidR="00E77931" w:rsidRDefault="00E77931" w:rsidP="00E77931">
      <w:pPr>
        <w:ind w:firstLine="0"/>
        <w:jc w:val="center"/>
      </w:pPr>
    </w:p>
    <w:p w14:paraId="79001D2E" w14:textId="77777777" w:rsidR="00E77931" w:rsidRDefault="00E77931" w:rsidP="00E77931">
      <w:pPr>
        <w:ind w:firstLine="0"/>
        <w:jc w:val="center"/>
      </w:pPr>
    </w:p>
    <w:p w14:paraId="146C6885" w14:textId="77777777" w:rsidR="00E77931" w:rsidRDefault="00E77931" w:rsidP="00E77931">
      <w:pPr>
        <w:ind w:firstLine="0"/>
        <w:jc w:val="center"/>
      </w:pPr>
      <w:r w:rsidRPr="00934C0E">
        <w:rPr>
          <w:b/>
        </w:rPr>
        <w:t>Module Code and Title</w:t>
      </w:r>
      <w:r>
        <w:t>: LCBB5008 Management Economics</w:t>
      </w:r>
    </w:p>
    <w:p w14:paraId="1DF28512" w14:textId="77777777" w:rsidR="00E77931" w:rsidRDefault="00E77931" w:rsidP="00E77931">
      <w:pPr>
        <w:ind w:firstLine="0"/>
        <w:jc w:val="center"/>
      </w:pPr>
      <w:r w:rsidRPr="00934C0E">
        <w:rPr>
          <w:b/>
        </w:rPr>
        <w:t>Module Leader</w:t>
      </w:r>
      <w:r>
        <w:rPr>
          <w:b/>
        </w:rPr>
        <w:t>s</w:t>
      </w:r>
      <w:r>
        <w:t xml:space="preserve">: Dr Taye </w:t>
      </w:r>
      <w:proofErr w:type="spellStart"/>
      <w:r>
        <w:t>Osadiya</w:t>
      </w:r>
      <w:proofErr w:type="spellEnd"/>
      <w:r>
        <w:t xml:space="preserve"> and Dr Anupam Mazumdar</w:t>
      </w:r>
    </w:p>
    <w:p w14:paraId="3562EE73" w14:textId="77777777" w:rsidR="00E77931" w:rsidRDefault="00E77931" w:rsidP="00E77931">
      <w:pPr>
        <w:ind w:firstLine="0"/>
        <w:jc w:val="center"/>
      </w:pPr>
      <w:r w:rsidRPr="00934C0E">
        <w:rPr>
          <w:b/>
        </w:rPr>
        <w:t>Due Date</w:t>
      </w:r>
      <w:r>
        <w:t>: 20</w:t>
      </w:r>
      <w:r w:rsidRPr="009A2102">
        <w:rPr>
          <w:vertAlign w:val="superscript"/>
        </w:rPr>
        <w:t>th</w:t>
      </w:r>
      <w:r>
        <w:t xml:space="preserve"> December 2023</w:t>
      </w:r>
    </w:p>
    <w:p w14:paraId="2F62749E" w14:textId="77777777" w:rsidR="00E77931" w:rsidRDefault="00E77931" w:rsidP="00E77931">
      <w:pPr>
        <w:ind w:firstLine="0"/>
        <w:jc w:val="center"/>
      </w:pPr>
    </w:p>
    <w:p w14:paraId="6F209CC6" w14:textId="77777777" w:rsidR="00E77931" w:rsidRDefault="00E77931" w:rsidP="00E77931">
      <w:pPr>
        <w:ind w:firstLine="0"/>
      </w:pPr>
      <w:r>
        <w:br w:type="page"/>
      </w:r>
    </w:p>
    <w:sdt>
      <w:sdtPr>
        <w:rPr>
          <w:rFonts w:ascii="Times New Roman" w:eastAsiaTheme="minorHAnsi" w:hAnsi="Times New Roman" w:cstheme="minorBidi"/>
          <w:color w:val="auto"/>
          <w:sz w:val="24"/>
          <w:szCs w:val="22"/>
          <w:lang w:val="en-GB"/>
        </w:rPr>
        <w:id w:val="-1163617923"/>
        <w:docPartObj>
          <w:docPartGallery w:val="Table of Contents"/>
          <w:docPartUnique/>
        </w:docPartObj>
      </w:sdtPr>
      <w:sdtEndPr>
        <w:rPr>
          <w:b/>
          <w:bCs/>
          <w:noProof/>
        </w:rPr>
      </w:sdtEndPr>
      <w:sdtContent>
        <w:p w14:paraId="512B4DCB" w14:textId="77777777" w:rsidR="00E77931" w:rsidRDefault="00E77931" w:rsidP="00E77931">
          <w:pPr>
            <w:pStyle w:val="TOCHeading"/>
          </w:pPr>
          <w:r>
            <w:t>Table of Contents</w:t>
          </w:r>
        </w:p>
        <w:p w14:paraId="055433F3" w14:textId="77777777" w:rsidR="00E77931" w:rsidRDefault="00E77931" w:rsidP="00E77931">
          <w:pPr>
            <w:pStyle w:val="TOC1"/>
            <w:tabs>
              <w:tab w:val="right" w:leader="dot" w:pos="9016"/>
            </w:tabs>
            <w:rPr>
              <w:rFonts w:asciiTheme="minorHAnsi" w:eastAsiaTheme="minorEastAsia"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153733732" w:history="1">
            <w:r w:rsidRPr="00070AE3">
              <w:rPr>
                <w:rStyle w:val="Hyperlink"/>
                <w:noProof/>
              </w:rPr>
              <w:t>Task 1</w:t>
            </w:r>
            <w:r>
              <w:rPr>
                <w:noProof/>
                <w:webHidden/>
              </w:rPr>
              <w:tab/>
            </w:r>
            <w:r>
              <w:rPr>
                <w:noProof/>
                <w:webHidden/>
              </w:rPr>
              <w:fldChar w:fldCharType="begin"/>
            </w:r>
            <w:r>
              <w:rPr>
                <w:noProof/>
                <w:webHidden/>
              </w:rPr>
              <w:instrText xml:space="preserve"> PAGEREF _Toc153733732 \h </w:instrText>
            </w:r>
            <w:r>
              <w:rPr>
                <w:noProof/>
                <w:webHidden/>
              </w:rPr>
            </w:r>
            <w:r>
              <w:rPr>
                <w:noProof/>
                <w:webHidden/>
              </w:rPr>
              <w:fldChar w:fldCharType="separate"/>
            </w:r>
            <w:r>
              <w:rPr>
                <w:noProof/>
                <w:webHidden/>
              </w:rPr>
              <w:t>3</w:t>
            </w:r>
            <w:r>
              <w:rPr>
                <w:noProof/>
                <w:webHidden/>
              </w:rPr>
              <w:fldChar w:fldCharType="end"/>
            </w:r>
          </w:hyperlink>
        </w:p>
        <w:p w14:paraId="0A59A488" w14:textId="77777777" w:rsidR="00E77931" w:rsidRDefault="00E77931" w:rsidP="00E77931">
          <w:pPr>
            <w:pStyle w:val="TOC2"/>
            <w:tabs>
              <w:tab w:val="left" w:pos="1540"/>
              <w:tab w:val="right" w:leader="dot" w:pos="9016"/>
            </w:tabs>
            <w:rPr>
              <w:rFonts w:asciiTheme="minorHAnsi" w:eastAsiaTheme="minorEastAsia" w:hAnsiTheme="minorHAnsi"/>
              <w:noProof/>
              <w:sz w:val="22"/>
              <w:lang w:eastAsia="en-GB"/>
            </w:rPr>
          </w:pPr>
          <w:hyperlink w:anchor="_Toc153733733" w:history="1">
            <w:r w:rsidRPr="00070AE3">
              <w:rPr>
                <w:rStyle w:val="Hyperlink"/>
                <w:noProof/>
              </w:rPr>
              <w:t>a.</w:t>
            </w:r>
            <w:r>
              <w:rPr>
                <w:rFonts w:asciiTheme="minorHAnsi" w:eastAsiaTheme="minorEastAsia" w:hAnsiTheme="minorHAnsi"/>
                <w:noProof/>
                <w:sz w:val="22"/>
                <w:lang w:eastAsia="en-GB"/>
              </w:rPr>
              <w:tab/>
            </w:r>
            <w:r w:rsidRPr="00070AE3">
              <w:rPr>
                <w:rStyle w:val="Hyperlink"/>
                <w:noProof/>
              </w:rPr>
              <w:t>Discuss the fundamental economic problems identified in this case study</w:t>
            </w:r>
            <w:r>
              <w:rPr>
                <w:noProof/>
                <w:webHidden/>
              </w:rPr>
              <w:tab/>
            </w:r>
            <w:r>
              <w:rPr>
                <w:noProof/>
                <w:webHidden/>
              </w:rPr>
              <w:fldChar w:fldCharType="begin"/>
            </w:r>
            <w:r>
              <w:rPr>
                <w:noProof/>
                <w:webHidden/>
              </w:rPr>
              <w:instrText xml:space="preserve"> PAGEREF _Toc153733733 \h </w:instrText>
            </w:r>
            <w:r>
              <w:rPr>
                <w:noProof/>
                <w:webHidden/>
              </w:rPr>
            </w:r>
            <w:r>
              <w:rPr>
                <w:noProof/>
                <w:webHidden/>
              </w:rPr>
              <w:fldChar w:fldCharType="separate"/>
            </w:r>
            <w:r>
              <w:rPr>
                <w:noProof/>
                <w:webHidden/>
              </w:rPr>
              <w:t>3</w:t>
            </w:r>
            <w:r>
              <w:rPr>
                <w:noProof/>
                <w:webHidden/>
              </w:rPr>
              <w:fldChar w:fldCharType="end"/>
            </w:r>
          </w:hyperlink>
        </w:p>
        <w:p w14:paraId="2C09B22D" w14:textId="77777777" w:rsidR="00E77931" w:rsidRDefault="00E77931" w:rsidP="00E77931">
          <w:pPr>
            <w:pStyle w:val="TOC2"/>
            <w:tabs>
              <w:tab w:val="left" w:pos="1540"/>
              <w:tab w:val="right" w:leader="dot" w:pos="9016"/>
            </w:tabs>
            <w:rPr>
              <w:rFonts w:asciiTheme="minorHAnsi" w:eastAsiaTheme="minorEastAsia" w:hAnsiTheme="minorHAnsi"/>
              <w:noProof/>
              <w:sz w:val="22"/>
              <w:lang w:eastAsia="en-GB"/>
            </w:rPr>
          </w:pPr>
          <w:hyperlink w:anchor="_Toc153733734" w:history="1">
            <w:r w:rsidRPr="00070AE3">
              <w:rPr>
                <w:rStyle w:val="Hyperlink"/>
                <w:noProof/>
              </w:rPr>
              <w:t>b.</w:t>
            </w:r>
            <w:r>
              <w:rPr>
                <w:rFonts w:asciiTheme="minorHAnsi" w:eastAsiaTheme="minorEastAsia" w:hAnsiTheme="minorHAnsi"/>
                <w:noProof/>
                <w:sz w:val="22"/>
                <w:lang w:eastAsia="en-GB"/>
              </w:rPr>
              <w:tab/>
            </w:r>
            <w:r w:rsidRPr="00070AE3">
              <w:rPr>
                <w:rStyle w:val="Hyperlink"/>
                <w:noProof/>
              </w:rPr>
              <w:t>Suggest various ways in which these economic problems can be resolved.</w:t>
            </w:r>
            <w:r>
              <w:rPr>
                <w:noProof/>
                <w:webHidden/>
              </w:rPr>
              <w:tab/>
            </w:r>
            <w:r>
              <w:rPr>
                <w:noProof/>
                <w:webHidden/>
              </w:rPr>
              <w:fldChar w:fldCharType="begin"/>
            </w:r>
            <w:r>
              <w:rPr>
                <w:noProof/>
                <w:webHidden/>
              </w:rPr>
              <w:instrText xml:space="preserve"> PAGEREF _Toc153733734 \h </w:instrText>
            </w:r>
            <w:r>
              <w:rPr>
                <w:noProof/>
                <w:webHidden/>
              </w:rPr>
            </w:r>
            <w:r>
              <w:rPr>
                <w:noProof/>
                <w:webHidden/>
              </w:rPr>
              <w:fldChar w:fldCharType="separate"/>
            </w:r>
            <w:r>
              <w:rPr>
                <w:noProof/>
                <w:webHidden/>
              </w:rPr>
              <w:t>5</w:t>
            </w:r>
            <w:r>
              <w:rPr>
                <w:noProof/>
                <w:webHidden/>
              </w:rPr>
              <w:fldChar w:fldCharType="end"/>
            </w:r>
          </w:hyperlink>
        </w:p>
        <w:p w14:paraId="0B0527BE" w14:textId="77777777" w:rsidR="00E77931" w:rsidRDefault="00E77931" w:rsidP="00E77931">
          <w:pPr>
            <w:pStyle w:val="TOC1"/>
            <w:tabs>
              <w:tab w:val="right" w:leader="dot" w:pos="9016"/>
            </w:tabs>
            <w:rPr>
              <w:rFonts w:asciiTheme="minorHAnsi" w:eastAsiaTheme="minorEastAsia" w:hAnsiTheme="minorHAnsi"/>
              <w:noProof/>
              <w:sz w:val="22"/>
              <w:lang w:eastAsia="en-GB"/>
            </w:rPr>
          </w:pPr>
          <w:hyperlink w:anchor="_Toc153733735" w:history="1">
            <w:r w:rsidRPr="00070AE3">
              <w:rPr>
                <w:rStyle w:val="Hyperlink"/>
                <w:noProof/>
              </w:rPr>
              <w:t>Task 2</w:t>
            </w:r>
            <w:r>
              <w:rPr>
                <w:noProof/>
                <w:webHidden/>
              </w:rPr>
              <w:tab/>
            </w:r>
            <w:r>
              <w:rPr>
                <w:noProof/>
                <w:webHidden/>
              </w:rPr>
              <w:fldChar w:fldCharType="begin"/>
            </w:r>
            <w:r>
              <w:rPr>
                <w:noProof/>
                <w:webHidden/>
              </w:rPr>
              <w:instrText xml:space="preserve"> PAGEREF _Toc153733735 \h </w:instrText>
            </w:r>
            <w:r>
              <w:rPr>
                <w:noProof/>
                <w:webHidden/>
              </w:rPr>
            </w:r>
            <w:r>
              <w:rPr>
                <w:noProof/>
                <w:webHidden/>
              </w:rPr>
              <w:fldChar w:fldCharType="separate"/>
            </w:r>
            <w:r>
              <w:rPr>
                <w:noProof/>
                <w:webHidden/>
              </w:rPr>
              <w:t>8</w:t>
            </w:r>
            <w:r>
              <w:rPr>
                <w:noProof/>
                <w:webHidden/>
              </w:rPr>
              <w:fldChar w:fldCharType="end"/>
            </w:r>
          </w:hyperlink>
        </w:p>
        <w:p w14:paraId="5FD24AC2" w14:textId="77777777" w:rsidR="00E77931" w:rsidRDefault="00E77931" w:rsidP="00E77931">
          <w:pPr>
            <w:pStyle w:val="TOC2"/>
            <w:tabs>
              <w:tab w:val="left" w:pos="1540"/>
              <w:tab w:val="right" w:leader="dot" w:pos="9016"/>
            </w:tabs>
            <w:rPr>
              <w:rFonts w:asciiTheme="minorHAnsi" w:eastAsiaTheme="minorEastAsia" w:hAnsiTheme="minorHAnsi"/>
              <w:noProof/>
              <w:sz w:val="22"/>
              <w:lang w:eastAsia="en-GB"/>
            </w:rPr>
          </w:pPr>
          <w:hyperlink w:anchor="_Toc153733736" w:history="1">
            <w:r w:rsidRPr="00070AE3">
              <w:rPr>
                <w:rStyle w:val="Hyperlink"/>
                <w:noProof/>
              </w:rPr>
              <w:t>a.</w:t>
            </w:r>
            <w:r>
              <w:rPr>
                <w:rFonts w:asciiTheme="minorHAnsi" w:eastAsiaTheme="minorEastAsia" w:hAnsiTheme="minorHAnsi"/>
                <w:noProof/>
                <w:sz w:val="22"/>
                <w:lang w:eastAsia="en-GB"/>
              </w:rPr>
              <w:tab/>
            </w:r>
            <w:r w:rsidRPr="00070AE3">
              <w:rPr>
                <w:rStyle w:val="Hyperlink"/>
                <w:noProof/>
              </w:rPr>
              <w:t>Why is demand and supply relevant in this case study?</w:t>
            </w:r>
            <w:r>
              <w:rPr>
                <w:noProof/>
                <w:webHidden/>
              </w:rPr>
              <w:tab/>
            </w:r>
            <w:r>
              <w:rPr>
                <w:noProof/>
                <w:webHidden/>
              </w:rPr>
              <w:fldChar w:fldCharType="begin"/>
            </w:r>
            <w:r>
              <w:rPr>
                <w:noProof/>
                <w:webHidden/>
              </w:rPr>
              <w:instrText xml:space="preserve"> PAGEREF _Toc153733736 \h </w:instrText>
            </w:r>
            <w:r>
              <w:rPr>
                <w:noProof/>
                <w:webHidden/>
              </w:rPr>
            </w:r>
            <w:r>
              <w:rPr>
                <w:noProof/>
                <w:webHidden/>
              </w:rPr>
              <w:fldChar w:fldCharType="separate"/>
            </w:r>
            <w:r>
              <w:rPr>
                <w:noProof/>
                <w:webHidden/>
              </w:rPr>
              <w:t>8</w:t>
            </w:r>
            <w:r>
              <w:rPr>
                <w:noProof/>
                <w:webHidden/>
              </w:rPr>
              <w:fldChar w:fldCharType="end"/>
            </w:r>
          </w:hyperlink>
        </w:p>
        <w:p w14:paraId="218AF129" w14:textId="77777777" w:rsidR="00E77931" w:rsidRDefault="00E77931" w:rsidP="00E77931">
          <w:pPr>
            <w:pStyle w:val="TOC2"/>
            <w:tabs>
              <w:tab w:val="left" w:pos="1540"/>
              <w:tab w:val="right" w:leader="dot" w:pos="9016"/>
            </w:tabs>
            <w:rPr>
              <w:rFonts w:asciiTheme="minorHAnsi" w:eastAsiaTheme="minorEastAsia" w:hAnsiTheme="minorHAnsi"/>
              <w:noProof/>
              <w:sz w:val="22"/>
              <w:lang w:eastAsia="en-GB"/>
            </w:rPr>
          </w:pPr>
          <w:hyperlink w:anchor="_Toc153733737" w:history="1">
            <w:r w:rsidRPr="00070AE3">
              <w:rPr>
                <w:rStyle w:val="Hyperlink"/>
                <w:noProof/>
              </w:rPr>
              <w:t>b.</w:t>
            </w:r>
            <w:r>
              <w:rPr>
                <w:rFonts w:asciiTheme="minorHAnsi" w:eastAsiaTheme="minorEastAsia" w:hAnsiTheme="minorHAnsi"/>
                <w:noProof/>
                <w:sz w:val="22"/>
                <w:lang w:eastAsia="en-GB"/>
              </w:rPr>
              <w:tab/>
            </w:r>
            <w:r w:rsidRPr="00070AE3">
              <w:rPr>
                <w:rStyle w:val="Hyperlink"/>
                <w:noProof/>
              </w:rPr>
              <w:t>What is the difference between elasticity and inelasticity of demand with reference to price changes in the cost of fuel?</w:t>
            </w:r>
            <w:r>
              <w:rPr>
                <w:noProof/>
                <w:webHidden/>
              </w:rPr>
              <w:tab/>
            </w:r>
            <w:r>
              <w:rPr>
                <w:noProof/>
                <w:webHidden/>
              </w:rPr>
              <w:fldChar w:fldCharType="begin"/>
            </w:r>
            <w:r>
              <w:rPr>
                <w:noProof/>
                <w:webHidden/>
              </w:rPr>
              <w:instrText xml:space="preserve"> PAGEREF _Toc153733737 \h </w:instrText>
            </w:r>
            <w:r>
              <w:rPr>
                <w:noProof/>
                <w:webHidden/>
              </w:rPr>
            </w:r>
            <w:r>
              <w:rPr>
                <w:noProof/>
                <w:webHidden/>
              </w:rPr>
              <w:fldChar w:fldCharType="separate"/>
            </w:r>
            <w:r>
              <w:rPr>
                <w:noProof/>
                <w:webHidden/>
              </w:rPr>
              <w:t>10</w:t>
            </w:r>
            <w:r>
              <w:rPr>
                <w:noProof/>
                <w:webHidden/>
              </w:rPr>
              <w:fldChar w:fldCharType="end"/>
            </w:r>
          </w:hyperlink>
        </w:p>
        <w:p w14:paraId="6A526EF5" w14:textId="77777777" w:rsidR="00E77931" w:rsidRDefault="00E77931" w:rsidP="00E77931">
          <w:pPr>
            <w:pStyle w:val="TOC2"/>
            <w:tabs>
              <w:tab w:val="left" w:pos="1540"/>
              <w:tab w:val="right" w:leader="dot" w:pos="9016"/>
            </w:tabs>
            <w:rPr>
              <w:rFonts w:asciiTheme="minorHAnsi" w:eastAsiaTheme="minorEastAsia" w:hAnsiTheme="minorHAnsi"/>
              <w:noProof/>
              <w:sz w:val="22"/>
              <w:lang w:eastAsia="en-GB"/>
            </w:rPr>
          </w:pPr>
          <w:hyperlink w:anchor="_Toc153733738" w:history="1">
            <w:r w:rsidRPr="00070AE3">
              <w:rPr>
                <w:rStyle w:val="Hyperlink"/>
                <w:noProof/>
              </w:rPr>
              <w:t>c.</w:t>
            </w:r>
            <w:r>
              <w:rPr>
                <w:rFonts w:asciiTheme="minorHAnsi" w:eastAsiaTheme="minorEastAsia" w:hAnsiTheme="minorHAnsi"/>
                <w:noProof/>
                <w:sz w:val="22"/>
                <w:lang w:eastAsia="en-GB"/>
              </w:rPr>
              <w:tab/>
            </w:r>
            <w:r w:rsidRPr="00070AE3">
              <w:rPr>
                <w:rStyle w:val="Hyperlink"/>
                <w:noProof/>
              </w:rPr>
              <w:t>List and explain the laws of supply and demand</w:t>
            </w:r>
            <w:r>
              <w:rPr>
                <w:noProof/>
                <w:webHidden/>
              </w:rPr>
              <w:tab/>
            </w:r>
            <w:r>
              <w:rPr>
                <w:noProof/>
                <w:webHidden/>
              </w:rPr>
              <w:fldChar w:fldCharType="begin"/>
            </w:r>
            <w:r>
              <w:rPr>
                <w:noProof/>
                <w:webHidden/>
              </w:rPr>
              <w:instrText xml:space="preserve"> PAGEREF _Toc153733738 \h </w:instrText>
            </w:r>
            <w:r>
              <w:rPr>
                <w:noProof/>
                <w:webHidden/>
              </w:rPr>
            </w:r>
            <w:r>
              <w:rPr>
                <w:noProof/>
                <w:webHidden/>
              </w:rPr>
              <w:fldChar w:fldCharType="separate"/>
            </w:r>
            <w:r>
              <w:rPr>
                <w:noProof/>
                <w:webHidden/>
              </w:rPr>
              <w:t>11</w:t>
            </w:r>
            <w:r>
              <w:rPr>
                <w:noProof/>
                <w:webHidden/>
              </w:rPr>
              <w:fldChar w:fldCharType="end"/>
            </w:r>
          </w:hyperlink>
        </w:p>
        <w:p w14:paraId="7777AEA0" w14:textId="77777777" w:rsidR="00E77931" w:rsidRDefault="00E77931" w:rsidP="00E77931">
          <w:pPr>
            <w:pStyle w:val="TOC1"/>
            <w:tabs>
              <w:tab w:val="right" w:leader="dot" w:pos="9016"/>
            </w:tabs>
            <w:rPr>
              <w:rFonts w:asciiTheme="minorHAnsi" w:eastAsiaTheme="minorEastAsia" w:hAnsiTheme="minorHAnsi"/>
              <w:noProof/>
              <w:sz w:val="22"/>
              <w:lang w:eastAsia="en-GB"/>
            </w:rPr>
          </w:pPr>
          <w:hyperlink w:anchor="_Toc153733739" w:history="1">
            <w:r w:rsidRPr="00070AE3">
              <w:rPr>
                <w:rStyle w:val="Hyperlink"/>
                <w:noProof/>
              </w:rPr>
              <w:t>References List</w:t>
            </w:r>
            <w:r>
              <w:rPr>
                <w:noProof/>
                <w:webHidden/>
              </w:rPr>
              <w:tab/>
            </w:r>
            <w:r>
              <w:rPr>
                <w:noProof/>
                <w:webHidden/>
              </w:rPr>
              <w:fldChar w:fldCharType="begin"/>
            </w:r>
            <w:r>
              <w:rPr>
                <w:noProof/>
                <w:webHidden/>
              </w:rPr>
              <w:instrText xml:space="preserve"> PAGEREF _Toc153733739 \h </w:instrText>
            </w:r>
            <w:r>
              <w:rPr>
                <w:noProof/>
                <w:webHidden/>
              </w:rPr>
            </w:r>
            <w:r>
              <w:rPr>
                <w:noProof/>
                <w:webHidden/>
              </w:rPr>
              <w:fldChar w:fldCharType="separate"/>
            </w:r>
            <w:r>
              <w:rPr>
                <w:noProof/>
                <w:webHidden/>
              </w:rPr>
              <w:t>13</w:t>
            </w:r>
            <w:r>
              <w:rPr>
                <w:noProof/>
                <w:webHidden/>
              </w:rPr>
              <w:fldChar w:fldCharType="end"/>
            </w:r>
          </w:hyperlink>
        </w:p>
        <w:p w14:paraId="45733978" w14:textId="77777777" w:rsidR="00E77931" w:rsidRDefault="00E77931" w:rsidP="00E77931">
          <w:r>
            <w:rPr>
              <w:b/>
              <w:bCs/>
              <w:noProof/>
            </w:rPr>
            <w:fldChar w:fldCharType="end"/>
          </w:r>
        </w:p>
      </w:sdtContent>
    </w:sdt>
    <w:p w14:paraId="7070887B" w14:textId="77777777" w:rsidR="00E77931" w:rsidRDefault="00E77931" w:rsidP="00E77931">
      <w:pPr>
        <w:ind w:firstLine="0"/>
      </w:pPr>
      <w:r>
        <w:br w:type="page"/>
      </w:r>
    </w:p>
    <w:p w14:paraId="2830D95C" w14:textId="77777777" w:rsidR="00E77931" w:rsidRDefault="00E77931" w:rsidP="00E77931">
      <w:pPr>
        <w:pStyle w:val="Heading1"/>
      </w:pPr>
      <w:bookmarkStart w:id="0" w:name="_Toc153733732"/>
      <w:r>
        <w:lastRenderedPageBreak/>
        <w:t>Task 1</w:t>
      </w:r>
      <w:bookmarkEnd w:id="0"/>
    </w:p>
    <w:p w14:paraId="750F6FDE" w14:textId="77777777" w:rsidR="00E77931" w:rsidRDefault="00E77931" w:rsidP="00E77931">
      <w:pPr>
        <w:pStyle w:val="Heading2"/>
        <w:numPr>
          <w:ilvl w:val="0"/>
          <w:numId w:val="4"/>
        </w:numPr>
        <w:tabs>
          <w:tab w:val="num" w:pos="360"/>
        </w:tabs>
        <w:ind w:left="432" w:hanging="432"/>
      </w:pPr>
      <w:bookmarkStart w:id="1" w:name="_Toc153733733"/>
      <w:r w:rsidRPr="002E24B5">
        <w:t>Discuss the fundamental economic problems identifi</w:t>
      </w:r>
      <w:r>
        <w:t>ed in this case study</w:t>
      </w:r>
      <w:bookmarkEnd w:id="1"/>
    </w:p>
    <w:p w14:paraId="6C43827E" w14:textId="77777777" w:rsidR="00E77931" w:rsidRDefault="00E77931" w:rsidP="00E77931">
      <w:r>
        <w:t>The COVID-19 rules and regulations had a substantial negative impact on doing business, affecting supply and demand. The coronavirus responsible for the pandemic was quickly spread through physical contact with contaminated surfaces or breathing in contaminated air (Jallow et al., 2023; White and Boor, 2023). As a result, stringent social distancing, movement cessation, and social distancing measures were implemented by the UK government. This affected how business was conducted, affecting supply and demand chains, as highlighted in the case study, due to movement limitations (for both people and goods).</w:t>
      </w:r>
    </w:p>
    <w:p w14:paraId="74F21CDF" w14:textId="77777777" w:rsidR="00E77931" w:rsidRDefault="00E77931" w:rsidP="00E77931">
      <w:r>
        <w:t xml:space="preserve">The case study highlights shortages due to increased demand during the pandemic. The landscape of shortage changed dramatically during the COVID-19 pandemic because its rules and regulations led to a disruption of production, distribution and labour, as the case study explains that supply chains were evidently impacted (Ozdemir et al., 2022; Ramanathan et al., 2022). It was challenging to move raw materials, finished products and labour, which resulted in insufficient inventories. Even where some level of movement was allowed, workplace operations were significantly scaled down by social distancing regulations, quarantine and lockdowns – which led to a shortage of workers and drivers, causing a decrease in supply because production was low or halted in some cases (Ramanathan et al., 2022; Al-Mansour and Al-Ajmi et al., 2020; Blundell et al,. 2022) The little that was produced could not be distributed effectively. </w:t>
      </w:r>
    </w:p>
    <w:p w14:paraId="074A9605" w14:textId="77777777" w:rsidR="00E77931" w:rsidRDefault="00E77931" w:rsidP="00E77931">
      <w:r>
        <w:t xml:space="preserve">The case study mentioned that Brexit further strained supply chains because of the drivers who left due to COVID-19 and Brexit (they were difficult to replace). Tetley (2022) reports that Brexit was the biggest disruptor of the UK supply chains, causing goods to arrive late or fail to reach the UK. Combining this disruption with the pandemic added salt to the </w:t>
      </w:r>
      <w:r>
        <w:lastRenderedPageBreak/>
        <w:t>wound, causing supply chain blockades due to labour shortages (because of lockdowns) and logistic limitations (because of Brexit's reintroduction of Visa for EU drivers and customs). Salfiti (2021) reports that the driver shortage amounted to over 10,000 qualified truck drivers, affecting the supply of goods and fuel. Customs and a shortage of drivers lead to increased delays of up to 18% (Tetley, 2022). The consequences of Brexit and the pandemic and their impact on supply chains were far-reaching, impacting product development, production, and distribution.</w:t>
      </w:r>
    </w:p>
    <w:p w14:paraId="5369ECCC" w14:textId="77777777" w:rsidR="00E77931" w:rsidRDefault="00E77931" w:rsidP="00E77931">
      <w:r>
        <w:t>Further, distribution was severed by a fuel supply shortage, leading to a fuel crisis in the UK. Fuel is the cornerstone of supply chains because it is needed to power vehicles that are used in shipping goods. Salfiti (2021) reports that many people and businesses in the UK pointed fingers towards Brexit. Salfiti explains that the shortage of drivers post-Brexit was due to tax changes and changing immigration rules. She further points out that both Brexit and the pandemic caused this shortage of fuel and qualified truck drivers. A majority of gas stations in the UK were closed during the pandemic because of a lack of fuel resulting from delivery issues, warning a panic buying. Panic buying during the pandemic was not limited to gas only – the sudden exposure to COVID-19 information increased this coping behaviour. It triggered impulsive behaviour, causing people to do extra shopping and hoard supplies in their homes. This increased demand and a shift in consumer appetite from service to goods led to a sudden shortage of fuel and goods, because it put upward pressure on the demand-supply equilibrium.</w:t>
      </w:r>
    </w:p>
    <w:p w14:paraId="21AE23AE" w14:textId="77777777" w:rsidR="00E77931" w:rsidRDefault="00E77931" w:rsidP="00E77931">
      <w:r>
        <w:t xml:space="preserve">The upward pressure on the demand-supply equilibrium led to increased prices for both fuel and goods. The increased fuel prices meant increased transport costs, which are transferred to the final consumer through increased prices (Victor et al., 2021; Davies, 2021; Grigoli and </w:t>
      </w:r>
      <w:proofErr w:type="spellStart"/>
      <w:r>
        <w:t>Pugacheva</w:t>
      </w:r>
      <w:proofErr w:type="spellEnd"/>
      <w:r>
        <w:t xml:space="preserve">, 2022). Consumers had to pay more for the same products at a time when many workers were furloughed because business operations were grinding to a halt </w:t>
      </w:r>
      <w:r>
        <w:lastRenderedPageBreak/>
        <w:t xml:space="preserve">during the pandemic or scaling down operations to meet social distancing requirements, making high staff numbers redundant. Without income, most consumers turned to loans. The second year of the pandemic required extensive lockdowns, especially in major cities. This put more than 906,000 UK businesses at risk of failure before April 2021 (Lambert and van Reene, 2021). Most small and medium businesses that depend on daily sales ran bankrupt, turning to high borrowing to meet operational costs. Borrowing by both individuals and businesses led to an increased cost of living because lenders increased their interest rates (driving up borrowing costs). </w:t>
      </w:r>
    </w:p>
    <w:p w14:paraId="309B8E52" w14:textId="77777777" w:rsidR="00E77931" w:rsidRPr="00412987" w:rsidRDefault="00E77931" w:rsidP="00E77931">
      <w:pPr>
        <w:pStyle w:val="Heading2"/>
        <w:numPr>
          <w:ilvl w:val="0"/>
          <w:numId w:val="4"/>
        </w:numPr>
        <w:tabs>
          <w:tab w:val="num" w:pos="360"/>
        </w:tabs>
        <w:ind w:left="432" w:hanging="432"/>
      </w:pPr>
      <w:bookmarkStart w:id="2" w:name="_Toc153733734"/>
      <w:r w:rsidRPr="002E24B5">
        <w:t>Suggest various ways in which these economic problems can be resolved.</w:t>
      </w:r>
      <w:bookmarkEnd w:id="2"/>
    </w:p>
    <w:p w14:paraId="5AAFBDE6" w14:textId="77777777" w:rsidR="00E77931" w:rsidRPr="008626C9" w:rsidRDefault="00E77931" w:rsidP="00E77931">
      <w:pPr>
        <w:rPr>
          <w:b/>
        </w:rPr>
      </w:pPr>
      <w:r w:rsidRPr="008626C9">
        <w:rPr>
          <w:b/>
        </w:rPr>
        <w:t>Assess and improve own supply chain</w:t>
      </w:r>
      <w:r>
        <w:rPr>
          <w:b/>
        </w:rPr>
        <w:t xml:space="preserve"> and Shortage Management Team</w:t>
      </w:r>
    </w:p>
    <w:p w14:paraId="2314FFCA" w14:textId="77777777" w:rsidR="00E77931" w:rsidRPr="00FF229F" w:rsidRDefault="00E77931" w:rsidP="00E77931">
      <w:pPr>
        <w:ind w:firstLine="0"/>
      </w:pPr>
      <w:r w:rsidRPr="008626C9">
        <w:rPr>
          <w:b/>
        </w:rPr>
        <w:tab/>
      </w:r>
      <w:r>
        <w:t>UK business organisations should assess their own supply chains to identify risks and potential bottlenecks. This strategy will improve the business's PPRR (prevention, preparedness, response and recovery), allowing businesses in the UK to respond promptly to black swan events that could negatively impact their supply chains. Using this self-assess and improved approach, manufacturers, distributors, and retailers can control supply chain risks and prepare effective contingency plans to deal with supply chain disruptions (Jackley, 2023). The assessment and improvement should focus on external risks, such as major weather events, geopolitical conflicts and changes (like Brexit or Israel – Gaza war), and labour shortage. Creating a shortage management team can help the business assess and improve the supply chains. This team should assess risks, identify bottlenecks, and create improvement or contingency strategies.</w:t>
      </w:r>
    </w:p>
    <w:p w14:paraId="77A5BD0C" w14:textId="77777777" w:rsidR="00E77931" w:rsidRPr="008626C9" w:rsidRDefault="00E77931" w:rsidP="00E77931">
      <w:pPr>
        <w:ind w:left="720" w:firstLine="0"/>
        <w:rPr>
          <w:b/>
        </w:rPr>
      </w:pPr>
      <w:r w:rsidRPr="008626C9">
        <w:rPr>
          <w:b/>
        </w:rPr>
        <w:t>Create alternative ways to reduce waste</w:t>
      </w:r>
    </w:p>
    <w:p w14:paraId="2C527F4E" w14:textId="77777777" w:rsidR="00E77931" w:rsidRDefault="00E77931" w:rsidP="00E77931">
      <w:pPr>
        <w:ind w:firstLine="0"/>
        <w:rPr>
          <w:b/>
        </w:rPr>
      </w:pPr>
      <w:r>
        <w:rPr>
          <w:b/>
        </w:rPr>
        <w:tab/>
      </w:r>
      <w:r>
        <w:t xml:space="preserve">Businesses in the UK can address shortages by creating sustainable supply chains that reduce waste and increase efficiency. Building a sustainable supply chain should be a primary focus because it allows business to enhance their operational efficiency. The alternative ways </w:t>
      </w:r>
      <w:r>
        <w:lastRenderedPageBreak/>
        <w:t>pursued should be focused on waste reduction – it reduces inventory management, eliminates product obsolescence, and optimises resource efficiency and supply chain processes (Jackley, 2023). Another approach to waste reduction that can help businesses is to streamline their logistics (they play a vital role in building sustainable supply chains). The last approach to reducing waste is prioritising responsible sourcing to ensure that the chosen suppliers also prioritise waste reduction and have sustainable practices.</w:t>
      </w:r>
    </w:p>
    <w:p w14:paraId="73EA963E" w14:textId="77777777" w:rsidR="00E77931" w:rsidRDefault="00E77931" w:rsidP="00E77931">
      <w:pPr>
        <w:rPr>
          <w:b/>
        </w:rPr>
      </w:pPr>
      <w:r w:rsidRPr="008626C9">
        <w:rPr>
          <w:b/>
        </w:rPr>
        <w:t>Create and improve supplier corroboration network</w:t>
      </w:r>
    </w:p>
    <w:p w14:paraId="0992D099" w14:textId="77777777" w:rsidR="00E77931" w:rsidRPr="00176208" w:rsidRDefault="00E77931" w:rsidP="00E77931">
      <w:r>
        <w:t>Building sustainable supply chains that can respond to sudden changes due to adverse events such as the COVID-19 pandemic or Brexit needs a collaborative effort with suppliers. UK businesses can minimise supply chain disruptions by collaborating with their suppliers to create a common supply chain framework (Jackley, 2023). Engaging suppliers in creating sustainable supply chains encourages sharing ideas and insights, which can be used to overcome challenges caused by adverse events like the pandemic or Brexit (Jackley, 2023). Corroboration with suppliers can also help reduce prices because it allows for supply chain optimisation and continuous performance monitoring and visibility, reducing financial risks that will eventually be passed to retailers and then consumers in inflated costs.</w:t>
      </w:r>
    </w:p>
    <w:p w14:paraId="60592BA9" w14:textId="77777777" w:rsidR="00E77931" w:rsidRDefault="00E77931" w:rsidP="00E77931">
      <w:pPr>
        <w:rPr>
          <w:b/>
        </w:rPr>
      </w:pPr>
      <w:r w:rsidRPr="008626C9">
        <w:rPr>
          <w:b/>
        </w:rPr>
        <w:t>Government intervention</w:t>
      </w:r>
    </w:p>
    <w:p w14:paraId="57ECE76E" w14:textId="77777777" w:rsidR="00E77931" w:rsidRDefault="00E77931" w:rsidP="00E77931">
      <w:r>
        <w:t xml:space="preserve">In ideal conditions, markets settle into equilibrium prices, but in extreme conditions such as Brexit and the coronavirus pandemic, market resources are inefficiently allocated, leading to disequilibrium and price instability. Instability can cause prices to become too low or too high. In the case of the pandemic and Brexit, the disequilibrium led to increased prices in the UK markets. Brexit also caused labour shortages that led to changes in immigration. The UK government intervened in production and processing through the UK Agricultural Market Monitoring Group (UKAMMG) to set price ceilings for agricultural products during the pandemic (Parliament.UK, 2022). This helped slow down the skyrocketing food prices </w:t>
      </w:r>
      <w:r>
        <w:lastRenderedPageBreak/>
        <w:t>during the pandemic. The UK government also worked closely with Ofgem to regulate gas and electricity prices according to a report by Stewart (2023).</w:t>
      </w:r>
    </w:p>
    <w:p w14:paraId="36775C86" w14:textId="77777777" w:rsidR="00E77931" w:rsidRPr="0008523D" w:rsidRDefault="00E77931" w:rsidP="00E77931">
      <w:r>
        <w:t>On the other hand, the government has intervened in reducing labour supply shortages caused by Brexit through the Migration Advisory Committee (MAC). MAC maintains a Shortage Occupation List (SOL) and recruitment strategies to address labour shortages in the sectors included in the list. MAC heavily relies on the SOL list to resolve labour shortages in the UK and create a labour supply environment that will allow business organisations to source employees from the EU independently after Brexit.</w:t>
      </w:r>
    </w:p>
    <w:p w14:paraId="1C255A4C" w14:textId="77777777" w:rsidR="00E77931" w:rsidRDefault="00E77931" w:rsidP="00E77931">
      <w:pPr>
        <w:rPr>
          <w:b/>
        </w:rPr>
      </w:pPr>
      <w:r w:rsidRPr="008626C9">
        <w:rPr>
          <w:b/>
        </w:rPr>
        <w:t>Keep stakeholders informed and up</w:t>
      </w:r>
      <w:r>
        <w:rPr>
          <w:b/>
        </w:rPr>
        <w:t>-to-</w:t>
      </w:r>
      <w:r w:rsidRPr="008626C9">
        <w:rPr>
          <w:b/>
        </w:rPr>
        <w:t>date</w:t>
      </w:r>
    </w:p>
    <w:p w14:paraId="6005D260" w14:textId="77777777" w:rsidR="00E77931" w:rsidRPr="001C4D58" w:rsidRDefault="00E77931" w:rsidP="00E77931">
      <w:r>
        <w:t xml:space="preserve">Improving stakeholder communication and relationships keeps them informed on supply changes and challenges. Keeping them informed helps a business manage supplier relations and allows for discussion during unexpected circumstances such as the pandemic and Brexit. It also allows all stakeholders to make informed decisions based on current and accurate data (Jackley, 2023). The stakeholders that businesses should keep informed about include manufacturers and suppliers so that they can discuss and brainstorm production and supply problems as they unfold and respond promptly. </w:t>
      </w:r>
    </w:p>
    <w:p w14:paraId="5A6492A0" w14:textId="77777777" w:rsidR="00E77931" w:rsidRPr="008626C9" w:rsidRDefault="00E77931" w:rsidP="00E77931">
      <w:pPr>
        <w:rPr>
          <w:b/>
        </w:rPr>
      </w:pPr>
      <w:r w:rsidRPr="008626C9">
        <w:rPr>
          <w:b/>
        </w:rPr>
        <w:t>Relaxing some of the stringent Covid-19 rules</w:t>
      </w:r>
    </w:p>
    <w:p w14:paraId="5F59F797" w14:textId="77777777" w:rsidR="00E77931" w:rsidRDefault="00E77931" w:rsidP="00E77931">
      <w:pPr>
        <w:ind w:firstLine="0"/>
      </w:pPr>
      <w:r>
        <w:rPr>
          <w:b/>
        </w:rPr>
        <w:tab/>
      </w:r>
      <w:r>
        <w:t xml:space="preserve">Relaxing the pandemic rules and regulations would go a long way in making it easier for business organisations to restore their disrupted supply chains. During the COVID pandemic, the UK government could have assisted suppliers by extending driver delivery hours, allowing them to distribute goods that can meet the sudden demand increase (GOV.uk, 2021). The government could also exempt suppliers of essential products and food from movement cessation regulations. Relaxing regulation was evident in the UK but was delayed as most regulation relaxation were not announced until 2021 (GOV.uk, 2021). </w:t>
      </w:r>
    </w:p>
    <w:p w14:paraId="197C322D" w14:textId="77777777" w:rsidR="00E77931" w:rsidRDefault="00E77931" w:rsidP="00E77931">
      <w:pPr>
        <w:rPr>
          <w:b/>
        </w:rPr>
      </w:pPr>
      <w:r>
        <w:rPr>
          <w:b/>
        </w:rPr>
        <w:br w:type="page"/>
      </w:r>
    </w:p>
    <w:p w14:paraId="4C9DA56A" w14:textId="77777777" w:rsidR="00E77931" w:rsidRDefault="00E77931" w:rsidP="00E77931">
      <w:pPr>
        <w:pStyle w:val="Heading1"/>
      </w:pPr>
      <w:bookmarkStart w:id="3" w:name="_Toc153733735"/>
      <w:r>
        <w:lastRenderedPageBreak/>
        <w:t>Task 2</w:t>
      </w:r>
      <w:bookmarkEnd w:id="3"/>
    </w:p>
    <w:p w14:paraId="56DFAEC5" w14:textId="77777777" w:rsidR="00E77931" w:rsidRDefault="00E77931" w:rsidP="00E77931">
      <w:pPr>
        <w:pStyle w:val="Heading2"/>
        <w:numPr>
          <w:ilvl w:val="0"/>
          <w:numId w:val="3"/>
        </w:numPr>
        <w:tabs>
          <w:tab w:val="num" w:pos="360"/>
        </w:tabs>
        <w:ind w:left="432" w:hanging="432"/>
      </w:pPr>
      <w:bookmarkStart w:id="4" w:name="_Toc153733736"/>
      <w:r w:rsidRPr="003010D3">
        <w:t>Why is demand and supply relevant in this case study?</w:t>
      </w:r>
      <w:bookmarkEnd w:id="4"/>
    </w:p>
    <w:p w14:paraId="5E409E8C" w14:textId="77777777" w:rsidR="00E77931" w:rsidRDefault="00E77931" w:rsidP="00E77931">
      <w:r>
        <w:t>Demand and supply are relevant in this case study because they can help explain the outcomes of the Covid-19 pandemic and Brexit that caused supply issues in the UK markets. Understanding the case study can help business organisations in creating pricing strategies during pandemics and political changes like Brexit. It also demonstrates the role of government in protecting consumers from overpricing (by setting ceiling prices) during demand-supply disequilibrium and sellers from meagre prices (by setting floor prices).</w:t>
      </w:r>
    </w:p>
    <w:p w14:paraId="700F38AC" w14:textId="77777777" w:rsidR="00E77931" w:rsidRDefault="00E77931" w:rsidP="00E77931">
      <w:r>
        <w:t>The case study also demonstrates how competition helps keep prices low or reduce using Brexit. When Britain left the EU, there was reduced competition between local manufacturers and suppliers and suppliers from EU nations because of the introduction of customs fees and import regulations. The result was reduced import volumes from EU nations, translating to less competition in the UK. The result was increased commodity prices in the UK, triggering inflation that was worsened by the coronavirus pandemic.</w:t>
      </w:r>
    </w:p>
    <w:p w14:paraId="12FE1A32" w14:textId="77777777" w:rsidR="00E77931" w:rsidRDefault="00E77931" w:rsidP="00E77931">
      <w:r>
        <w:t>Through the coronavirus pandemic in this case study, businesses learn to take the good and the bad during black swan events and search for opportunities that will allow them to soar. During the coronavirus pandemic, some business organisations, such as Amazon, saw an opportunity to expand their operations. During the pandemic, lockdowns and social distancing limited the operational capacity of physical stores and supermarkets. Amazon took this opportunity to leverage online management platforms in its supply chain to ensure that it could still supply products to final consumers through e-commerce. This strategy allowed the business to expand its productivity, making it one of the most profitable businesses during the pandemic.</w:t>
      </w:r>
    </w:p>
    <w:p w14:paraId="393F9F72" w14:textId="77777777" w:rsidR="00E77931" w:rsidRDefault="00E77931" w:rsidP="00E77931">
      <w:r>
        <w:t xml:space="preserve">Demand and supply are relevant in this case study because they demonstrate how business organisations should apply different inventory management strategies. The case </w:t>
      </w:r>
      <w:r>
        <w:lastRenderedPageBreak/>
        <w:t>study shows the need to have excess inventory as opposed to just-in-time inventory systems when anticipating vents that could disrupt supply chains. When covid pandemic broke out in China, movement limitations started swinging into action – businesses in yet-to-be-affected areas should have reacted by having excess inventory. Similarly, Brexit voting meant that Britain had a chance of leaving the EU, and having excess inventory would have cushioned businesses from shortages in the immediate future. Having an excess inventory can help businesses address sudden demand increases as they adjust their supply chains to increase supply.</w:t>
      </w:r>
    </w:p>
    <w:p w14:paraId="58D4A37E" w14:textId="77777777" w:rsidR="00E77931" w:rsidRDefault="00E77931" w:rsidP="00E77931">
      <w:r>
        <w:t>In the case study, a large number of business organisations went bankrupt during the pandemic, while countless others turned to loans and credit to remain operational. The pandemic and Brexit impact were temporary but damning to many businesses. Businesses with excellent profit records and growth potential had an opportunity to raise capital through initial public offering instead of shutting down operations. The effects of both the pandemic and Brexit have subsided gradually over the years – businesses that leveraged IPOs and loans to sustain themselves are still operating and thriving in the current business environment. Those that did not shut down completely are struggling to start up again.</w:t>
      </w:r>
    </w:p>
    <w:p w14:paraId="7090F2C2" w14:textId="77777777" w:rsidR="00E77931" w:rsidRDefault="00E77931" w:rsidP="00E77931">
      <w:r>
        <w:t>In this case study, labour shortages and high employee turnover from Brexit and the pandemic appear to be a great challenge in supply chains. The labour shortage will likely increase employee turnover because few employees will be forced to do more work. At the same time, these employees can quickly look for work elsewhere in similar roles. As a result, businesses have a high employee turnover. Dealing with this requires businesses in the UK to have employee retention strategies, including high salaries, development opportunities, and a healthy workplace climate. These strategies will make employees feel valued and increase their loyalty, reducing turnover.</w:t>
      </w:r>
    </w:p>
    <w:p w14:paraId="03BE0274" w14:textId="77777777" w:rsidR="00E77931" w:rsidRPr="00793B7C" w:rsidRDefault="00E77931" w:rsidP="00E77931">
      <w:r>
        <w:lastRenderedPageBreak/>
        <w:t>Last, the case study demonstrates a need to maintain a balance between demand and supply because disequilibrium can lead to price instability. Businesses should have risk identification and management strategies to help them address disruptions in their supply chains to ensure they meet sudden excess demand or reduce supply to accommodate decreasing demand. In the above case study, the shortage can be managed by increasing supply to match demand, quickly reaching equilibrium and reducing prices.</w:t>
      </w:r>
    </w:p>
    <w:p w14:paraId="2B70C6ED" w14:textId="77777777" w:rsidR="00E77931" w:rsidRDefault="00E77931" w:rsidP="00E77931">
      <w:pPr>
        <w:pStyle w:val="Heading2"/>
        <w:numPr>
          <w:ilvl w:val="0"/>
          <w:numId w:val="3"/>
        </w:numPr>
        <w:tabs>
          <w:tab w:val="num" w:pos="360"/>
        </w:tabs>
        <w:ind w:left="432" w:hanging="432"/>
      </w:pPr>
      <w:bookmarkStart w:id="5" w:name="_Toc153733737"/>
      <w:r w:rsidRPr="003010D3">
        <w:t>What is the difference between elasticity and inelasticity of demand with reference to price changes in the cost of fuel?</w:t>
      </w:r>
      <w:bookmarkEnd w:id="5"/>
    </w:p>
    <w:p w14:paraId="208C4113" w14:textId="77777777" w:rsidR="00E77931" w:rsidRDefault="00E77931" w:rsidP="00E77931">
      <w:r>
        <w:t xml:space="preserve">The elasticity of demand (demand elasticity) is a measure of how demand responds to income or price changes. Demand inelasticity is where demand does not change with prices or income changes (the demand is static). </w:t>
      </w:r>
    </w:p>
    <w:p w14:paraId="3FA93A9D" w14:textId="77777777" w:rsidR="00E77931" w:rsidRDefault="00E77931" w:rsidP="00E77931">
      <w:r>
        <w:t>In elastic demand, a change in a commodity's price leads to a significant shift in demand. The main reason behind this shift is the availability of substitutes; thus, products with many substitutes have a high demand elasticity. In the case study, elastic products include food products that lower-priced substitutes could easily replace. This example can be explained better by Brexit in the case study. The introduction of custom taxes on products imported from the EU led to increased prices. The result was a decreasing demand for those products because substitutes from local producers and processors in the UK could replace them. The result was a decrease in import volumes from the EU into the UK. The advantage of elastic demand is profit maximisation through effective pricing, while its disadvantage is how quickly it is impacted by the economic environment on demand equilibrium.</w:t>
      </w:r>
    </w:p>
    <w:p w14:paraId="5A3A622A" w14:textId="77777777" w:rsidR="00E77931" w:rsidRPr="000C5777" w:rsidRDefault="00E77931" w:rsidP="00E77931">
      <w:r>
        <w:t xml:space="preserve">In inelastic demand, products are necessities and do not have close or acceptable substitutes. As a result, these products maintain greater price flexibility because they can change prices by a significant margin, and the demand will still remain constant. In the case study, the inelastic demand is demonstrated by fuel prices and demand. The demand for fuel </w:t>
      </w:r>
      <w:r>
        <w:lastRenderedPageBreak/>
        <w:t>(gas) remained high in the United Kingdom during the pandemic despite the skyrocketing price. In fact, the demand continued to grow, with buyers making long queues at gas stations and buying it in large amounts so that some gas stations ran out of gas. Thus, the case study demonstrates that the demand for necessities (that do not have acceptable substitutes) does not change with price changes. These products include utilities such as electricity and prescription drugs. As a result, the government intervenes to regulate the prices of these products in order to protect their citizens. In the UK, Ofgem works hand in hand with the government to set the price ceiling for gas and energy prices (Stewart, 2023). One advantage of inelastic demand is increased revenue for business, and the only limitation is exorbitant prices if there is no price ceiling.</w:t>
      </w:r>
    </w:p>
    <w:p w14:paraId="0CD4C9E4" w14:textId="77777777" w:rsidR="00E77931" w:rsidRPr="003703F5" w:rsidRDefault="00E77931" w:rsidP="00E77931">
      <w:pPr>
        <w:pStyle w:val="Heading2"/>
        <w:numPr>
          <w:ilvl w:val="0"/>
          <w:numId w:val="3"/>
        </w:numPr>
        <w:tabs>
          <w:tab w:val="num" w:pos="360"/>
        </w:tabs>
        <w:ind w:left="432" w:hanging="432"/>
      </w:pPr>
      <w:bookmarkStart w:id="6" w:name="_Toc153733738"/>
      <w:r w:rsidRPr="003703F5">
        <w:t>List and explain the laws of supply and demand</w:t>
      </w:r>
      <w:bookmarkEnd w:id="6"/>
    </w:p>
    <w:p w14:paraId="5A51E121" w14:textId="77777777" w:rsidR="00E77931" w:rsidRDefault="00E77931" w:rsidP="00E77931">
      <w:pPr>
        <w:pStyle w:val="ListParagraph"/>
        <w:numPr>
          <w:ilvl w:val="0"/>
          <w:numId w:val="2"/>
        </w:numPr>
        <w:rPr>
          <w:b/>
        </w:rPr>
      </w:pPr>
      <w:r>
        <w:rPr>
          <w:b/>
        </w:rPr>
        <w:t xml:space="preserve">Increased demand – </w:t>
      </w:r>
      <w:r>
        <w:t>this law of demand explains that an increase in demand leads to an increase in prices. In this scenario, customers are willing to pay more to have a product; however, they will be willing to pay for the product up to a certain price, the equilibrium price, and the product is highly profitable. Beyond this price, the customers are less willing to pay for the product, and demand stops increasing. Sellers top increasing the prices because higher prices will reduce profitability by leading to dead stock. During the demand increase, supply also increases to meet it.</w:t>
      </w:r>
    </w:p>
    <w:p w14:paraId="12369CC3" w14:textId="77777777" w:rsidR="00E77931" w:rsidRDefault="00E77931" w:rsidP="00E77931">
      <w:pPr>
        <w:pStyle w:val="ListParagraph"/>
        <w:numPr>
          <w:ilvl w:val="0"/>
          <w:numId w:val="2"/>
        </w:numPr>
        <w:rPr>
          <w:b/>
        </w:rPr>
      </w:pPr>
      <w:r>
        <w:rPr>
          <w:b/>
        </w:rPr>
        <w:t xml:space="preserve">Decreased demand – </w:t>
      </w:r>
      <w:r>
        <w:t>in this law, a decrease in demand forces sellers to lower their prices to attract customers who are not willing to pay high prices for the product. The demand can decrease due to cheaper substitutes or increased supply, or buyers do not believe the product is worth the price that it is being offered at; thus, they buy less.</w:t>
      </w:r>
    </w:p>
    <w:p w14:paraId="54289C49" w14:textId="77777777" w:rsidR="00E77931" w:rsidRDefault="00E77931" w:rsidP="00E77931">
      <w:pPr>
        <w:pStyle w:val="ListParagraph"/>
        <w:numPr>
          <w:ilvl w:val="0"/>
          <w:numId w:val="2"/>
        </w:numPr>
        <w:rPr>
          <w:b/>
        </w:rPr>
      </w:pPr>
      <w:r>
        <w:rPr>
          <w:b/>
        </w:rPr>
        <w:lastRenderedPageBreak/>
        <w:t xml:space="preserve">Increased supply – </w:t>
      </w:r>
      <w:r>
        <w:t>the law of increased supply is based on a positive relationship between the prices of goods, demand and their supply. An increase in prices leads to higher production, increasing supply by attracting suppliers. An increased demand also attracts more supply, and a decrease forces them to leave the market.</w:t>
      </w:r>
    </w:p>
    <w:p w14:paraId="3500863F" w14:textId="77777777" w:rsidR="00E77931" w:rsidRPr="00E37883" w:rsidRDefault="00E77931" w:rsidP="00E77931">
      <w:pPr>
        <w:pStyle w:val="ListParagraph"/>
        <w:numPr>
          <w:ilvl w:val="0"/>
          <w:numId w:val="2"/>
        </w:numPr>
        <w:rPr>
          <w:b/>
        </w:rPr>
      </w:pPr>
      <w:r>
        <w:rPr>
          <w:b/>
        </w:rPr>
        <w:t xml:space="preserve">Decreased supply – </w:t>
      </w:r>
      <w:r>
        <w:t>a decrease in supply leads to a shortage of goods in the market, leading to higher prices. Consumers are willing to pay more for goods or services in decreased supply in order to get a piece of what is available.</w:t>
      </w:r>
    </w:p>
    <w:p w14:paraId="702ADDAD" w14:textId="77777777" w:rsidR="00E77931" w:rsidRDefault="00E77931" w:rsidP="00E77931">
      <w:pPr>
        <w:ind w:firstLine="0"/>
      </w:pPr>
      <w:r>
        <w:tab/>
      </w:r>
    </w:p>
    <w:p w14:paraId="378717EE" w14:textId="77777777" w:rsidR="00E77931" w:rsidRDefault="00E77931" w:rsidP="00E77931">
      <w:r>
        <w:br w:type="page"/>
      </w:r>
    </w:p>
    <w:p w14:paraId="54ADD675" w14:textId="77777777" w:rsidR="00E77931" w:rsidRPr="00B66D5F" w:rsidRDefault="00E77931" w:rsidP="00E77931">
      <w:pPr>
        <w:pStyle w:val="Heading1"/>
      </w:pPr>
      <w:bookmarkStart w:id="7" w:name="_Toc153733739"/>
      <w:r w:rsidRPr="00B66D5F">
        <w:lastRenderedPageBreak/>
        <w:t>References List</w:t>
      </w:r>
      <w:bookmarkEnd w:id="7"/>
    </w:p>
    <w:p w14:paraId="2C092DE8" w14:textId="77777777" w:rsidR="00E77931" w:rsidRPr="005A0EA9" w:rsidRDefault="00E77931" w:rsidP="00E77931">
      <w:pPr>
        <w:pStyle w:val="NormalWeb"/>
        <w:spacing w:before="0" w:beforeAutospacing="0" w:after="0" w:afterAutospacing="0" w:line="480" w:lineRule="auto"/>
        <w:ind w:left="567" w:hanging="567"/>
        <w:contextualSpacing/>
        <w:rPr>
          <w:color w:val="222222"/>
          <w:shd w:val="clear" w:color="auto" w:fill="FFFFFF"/>
        </w:rPr>
      </w:pPr>
      <w:r w:rsidRPr="005A0EA9">
        <w:rPr>
          <w:color w:val="222222"/>
          <w:shd w:val="clear" w:color="auto" w:fill="FFFFFF"/>
        </w:rPr>
        <w:t>Al-M</w:t>
      </w:r>
      <w:r>
        <w:rPr>
          <w:color w:val="222222"/>
          <w:shd w:val="clear" w:color="auto" w:fill="FFFFFF"/>
        </w:rPr>
        <w:t>ansour, J.F. and Al-Ajmi, S.A. (</w:t>
      </w:r>
      <w:r w:rsidRPr="005A0EA9">
        <w:rPr>
          <w:color w:val="222222"/>
          <w:shd w:val="clear" w:color="auto" w:fill="FFFFFF"/>
        </w:rPr>
        <w:t>2020</w:t>
      </w:r>
      <w:r>
        <w:rPr>
          <w:color w:val="222222"/>
          <w:shd w:val="clear" w:color="auto" w:fill="FFFFFF"/>
        </w:rPr>
        <w:t>)</w:t>
      </w:r>
      <w:r w:rsidRPr="005A0EA9">
        <w:rPr>
          <w:color w:val="222222"/>
          <w:shd w:val="clear" w:color="auto" w:fill="FFFFFF"/>
        </w:rPr>
        <w:t xml:space="preserve"> Coronavirus ‘COVID-19’–supply chain disruption and implications for strategy, economy, and management. </w:t>
      </w:r>
      <w:r w:rsidRPr="005A0EA9">
        <w:rPr>
          <w:i/>
          <w:iCs/>
          <w:color w:val="222222"/>
          <w:shd w:val="clear" w:color="auto" w:fill="FFFFFF"/>
        </w:rPr>
        <w:t>The Journal of Asian Finance, Economics and Business (JAFEB)</w:t>
      </w:r>
      <w:r w:rsidRPr="005A0EA9">
        <w:rPr>
          <w:color w:val="222222"/>
          <w:shd w:val="clear" w:color="auto" w:fill="FFFFFF"/>
        </w:rPr>
        <w:t>, </w:t>
      </w:r>
      <w:r w:rsidRPr="005A0EA9">
        <w:rPr>
          <w:i/>
          <w:iCs/>
          <w:color w:val="222222"/>
          <w:shd w:val="clear" w:color="auto" w:fill="FFFFFF"/>
        </w:rPr>
        <w:t>7</w:t>
      </w:r>
      <w:r w:rsidRPr="005A0EA9">
        <w:rPr>
          <w:color w:val="222222"/>
          <w:shd w:val="clear" w:color="auto" w:fill="FFFFFF"/>
        </w:rPr>
        <w:t>(9), pp.659-672.</w:t>
      </w:r>
    </w:p>
    <w:p w14:paraId="7732EA3B" w14:textId="77777777" w:rsidR="00E77931" w:rsidRPr="005A0EA9" w:rsidRDefault="00E77931" w:rsidP="00E77931">
      <w:pPr>
        <w:pStyle w:val="NormalWeb"/>
        <w:spacing w:before="0" w:beforeAutospacing="0" w:after="0" w:afterAutospacing="0" w:line="480" w:lineRule="auto"/>
        <w:ind w:left="567" w:hanging="567"/>
        <w:contextualSpacing/>
        <w:rPr>
          <w:color w:val="222222"/>
          <w:shd w:val="clear" w:color="auto" w:fill="FFFFFF"/>
        </w:rPr>
      </w:pPr>
      <w:r w:rsidRPr="005A0EA9">
        <w:rPr>
          <w:color w:val="222222"/>
          <w:shd w:val="clear" w:color="auto" w:fill="FFFFFF"/>
        </w:rPr>
        <w:t>Blundell, R., Costa Dias, M., Cribb, J., Joyce, R., Wate</w:t>
      </w:r>
      <w:r>
        <w:rPr>
          <w:color w:val="222222"/>
          <w:shd w:val="clear" w:color="auto" w:fill="FFFFFF"/>
        </w:rPr>
        <w:t xml:space="preserve">rs, T., </w:t>
      </w:r>
      <w:proofErr w:type="spellStart"/>
      <w:r>
        <w:rPr>
          <w:color w:val="222222"/>
          <w:shd w:val="clear" w:color="auto" w:fill="FFFFFF"/>
        </w:rPr>
        <w:t>Wernham</w:t>
      </w:r>
      <w:proofErr w:type="spellEnd"/>
      <w:r>
        <w:rPr>
          <w:color w:val="222222"/>
          <w:shd w:val="clear" w:color="auto" w:fill="FFFFFF"/>
        </w:rPr>
        <w:t>, T. and Xu, X. (</w:t>
      </w:r>
      <w:r w:rsidRPr="005A0EA9">
        <w:rPr>
          <w:color w:val="222222"/>
          <w:shd w:val="clear" w:color="auto" w:fill="FFFFFF"/>
        </w:rPr>
        <w:t>2022</w:t>
      </w:r>
      <w:r>
        <w:rPr>
          <w:color w:val="222222"/>
          <w:shd w:val="clear" w:color="auto" w:fill="FFFFFF"/>
        </w:rPr>
        <w:t>)</w:t>
      </w:r>
      <w:r w:rsidRPr="005A0EA9">
        <w:rPr>
          <w:color w:val="222222"/>
          <w:shd w:val="clear" w:color="auto" w:fill="FFFFFF"/>
        </w:rPr>
        <w:t xml:space="preserve"> Inequality and the COVID-19 Crisis in the United Kingdom. </w:t>
      </w:r>
      <w:r w:rsidRPr="005A0EA9">
        <w:rPr>
          <w:i/>
          <w:iCs/>
          <w:color w:val="222222"/>
          <w:shd w:val="clear" w:color="auto" w:fill="FFFFFF"/>
        </w:rPr>
        <w:t>Annual Review of Economics</w:t>
      </w:r>
      <w:r w:rsidRPr="005A0EA9">
        <w:rPr>
          <w:color w:val="222222"/>
          <w:shd w:val="clear" w:color="auto" w:fill="FFFFFF"/>
        </w:rPr>
        <w:t>, </w:t>
      </w:r>
      <w:r w:rsidRPr="005A0EA9">
        <w:rPr>
          <w:i/>
          <w:iCs/>
          <w:color w:val="222222"/>
          <w:shd w:val="clear" w:color="auto" w:fill="FFFFFF"/>
        </w:rPr>
        <w:t>14</w:t>
      </w:r>
      <w:r w:rsidRPr="005A0EA9">
        <w:rPr>
          <w:color w:val="222222"/>
          <w:shd w:val="clear" w:color="auto" w:fill="FFFFFF"/>
        </w:rPr>
        <w:t>, pp.607-636.</w:t>
      </w:r>
    </w:p>
    <w:p w14:paraId="7750C82D" w14:textId="77777777" w:rsidR="00E77931" w:rsidRPr="005A0EA9" w:rsidRDefault="00E77931" w:rsidP="00E77931">
      <w:pPr>
        <w:pStyle w:val="NormalWeb"/>
        <w:spacing w:before="0" w:beforeAutospacing="0" w:after="0" w:afterAutospacing="0" w:line="480" w:lineRule="auto"/>
        <w:ind w:left="567" w:hanging="567"/>
        <w:contextualSpacing/>
        <w:rPr>
          <w:color w:val="222222"/>
          <w:shd w:val="clear" w:color="auto" w:fill="FFFFFF"/>
        </w:rPr>
      </w:pPr>
      <w:r>
        <w:rPr>
          <w:color w:val="222222"/>
          <w:shd w:val="clear" w:color="auto" w:fill="FFFFFF"/>
        </w:rPr>
        <w:t>Davies, R. (</w:t>
      </w:r>
      <w:r w:rsidRPr="005A0EA9">
        <w:rPr>
          <w:color w:val="222222"/>
          <w:shd w:val="clear" w:color="auto" w:fill="FFFFFF"/>
        </w:rPr>
        <w:t>2021</w:t>
      </w:r>
      <w:r>
        <w:rPr>
          <w:color w:val="222222"/>
          <w:shd w:val="clear" w:color="auto" w:fill="FFFFFF"/>
        </w:rPr>
        <w:t>)</w:t>
      </w:r>
      <w:r w:rsidRPr="005A0EA9">
        <w:rPr>
          <w:color w:val="222222"/>
          <w:shd w:val="clear" w:color="auto" w:fill="FFFFFF"/>
        </w:rPr>
        <w:t> </w:t>
      </w:r>
      <w:r w:rsidRPr="005A0EA9">
        <w:rPr>
          <w:i/>
          <w:iCs/>
          <w:color w:val="222222"/>
          <w:shd w:val="clear" w:color="auto" w:fill="FFFFFF"/>
        </w:rPr>
        <w:t>Prices and Inflation in a Pandemic: A Micro Data Approach</w:t>
      </w:r>
      <w:r w:rsidRPr="005A0EA9">
        <w:rPr>
          <w:color w:val="222222"/>
          <w:shd w:val="clear" w:color="auto" w:fill="FFFFFF"/>
        </w:rPr>
        <w:t>. London, UK: Centre for Economic Performance, London School of Economics and Political Science.</w:t>
      </w:r>
    </w:p>
    <w:p w14:paraId="711C522B" w14:textId="77777777" w:rsidR="00E77931" w:rsidRPr="005A0EA9" w:rsidRDefault="00E77931" w:rsidP="00E77931">
      <w:pPr>
        <w:pStyle w:val="NormalWeb"/>
        <w:spacing w:before="0" w:beforeAutospacing="0" w:after="0" w:afterAutospacing="0" w:line="480" w:lineRule="auto"/>
        <w:ind w:left="567" w:hanging="567"/>
        <w:contextualSpacing/>
      </w:pPr>
      <w:r w:rsidRPr="005A0EA9">
        <w:t xml:space="preserve">GOV.uk (2021) </w:t>
      </w:r>
      <w:r w:rsidRPr="005A0EA9">
        <w:rPr>
          <w:i/>
          <w:iCs/>
        </w:rPr>
        <w:t>Rules that have been relaxed to help businesses during the coronavirus (COVID-19) pandemic</w:t>
      </w:r>
      <w:r w:rsidRPr="005A0EA9">
        <w:t xml:space="preserve">, </w:t>
      </w:r>
      <w:r w:rsidRPr="005A0EA9">
        <w:rPr>
          <w:i/>
          <w:iCs/>
        </w:rPr>
        <w:t>GOV.UK</w:t>
      </w:r>
      <w:r w:rsidRPr="005A0EA9">
        <w:t xml:space="preserve">. Available at: </w:t>
      </w:r>
      <w:hyperlink r:id="rId5" w:history="1">
        <w:r w:rsidRPr="005A0EA9">
          <w:rPr>
            <w:rStyle w:val="Hyperlink"/>
          </w:rPr>
          <w:t>https://www.gov.uk/guidance/rules-that-have-been-relaxed-to-help-businesses-during-the-coronavirus-pandemic</w:t>
        </w:r>
      </w:hyperlink>
      <w:r w:rsidRPr="005A0EA9">
        <w:t xml:space="preserve"> (Accessed: 17 December 2023). </w:t>
      </w:r>
    </w:p>
    <w:p w14:paraId="66892425" w14:textId="77777777" w:rsidR="00E77931" w:rsidRPr="005A0EA9" w:rsidRDefault="00E77931" w:rsidP="00E77931">
      <w:pPr>
        <w:pStyle w:val="NormalWeb"/>
        <w:spacing w:before="0" w:beforeAutospacing="0" w:after="0" w:afterAutospacing="0" w:line="480" w:lineRule="auto"/>
        <w:ind w:left="567" w:hanging="567"/>
        <w:contextualSpacing/>
      </w:pPr>
      <w:r w:rsidRPr="005A0EA9">
        <w:rPr>
          <w:color w:val="222222"/>
          <w:shd w:val="clear" w:color="auto" w:fill="FFFFFF"/>
        </w:rPr>
        <w:t>G</w:t>
      </w:r>
      <w:r>
        <w:rPr>
          <w:color w:val="222222"/>
          <w:shd w:val="clear" w:color="auto" w:fill="FFFFFF"/>
        </w:rPr>
        <w:t xml:space="preserve">rigoli, M.F. and </w:t>
      </w:r>
      <w:proofErr w:type="spellStart"/>
      <w:r>
        <w:rPr>
          <w:color w:val="222222"/>
          <w:shd w:val="clear" w:color="auto" w:fill="FFFFFF"/>
        </w:rPr>
        <w:t>Pugacheva</w:t>
      </w:r>
      <w:proofErr w:type="spellEnd"/>
      <w:r>
        <w:rPr>
          <w:color w:val="222222"/>
          <w:shd w:val="clear" w:color="auto" w:fill="FFFFFF"/>
        </w:rPr>
        <w:t>, E. (</w:t>
      </w:r>
      <w:r w:rsidRPr="005A0EA9">
        <w:rPr>
          <w:color w:val="222222"/>
          <w:shd w:val="clear" w:color="auto" w:fill="FFFFFF"/>
        </w:rPr>
        <w:t>2022</w:t>
      </w:r>
      <w:r>
        <w:rPr>
          <w:color w:val="222222"/>
          <w:shd w:val="clear" w:color="auto" w:fill="FFFFFF"/>
        </w:rPr>
        <w:t>)</w:t>
      </w:r>
      <w:r w:rsidRPr="005A0EA9">
        <w:rPr>
          <w:color w:val="222222"/>
          <w:shd w:val="clear" w:color="auto" w:fill="FFFFFF"/>
        </w:rPr>
        <w:t> </w:t>
      </w:r>
      <w:r w:rsidRPr="005A0EA9">
        <w:rPr>
          <w:i/>
          <w:iCs/>
          <w:color w:val="222222"/>
          <w:shd w:val="clear" w:color="auto" w:fill="FFFFFF"/>
        </w:rPr>
        <w:t>Updating Inflation Weights in the UK and Germany during COVID-19</w:t>
      </w:r>
      <w:r w:rsidRPr="005A0EA9">
        <w:rPr>
          <w:color w:val="222222"/>
          <w:shd w:val="clear" w:color="auto" w:fill="FFFFFF"/>
        </w:rPr>
        <w:t>. International Monetary Fund.</w:t>
      </w:r>
    </w:p>
    <w:p w14:paraId="363C8844" w14:textId="77777777" w:rsidR="00E77931" w:rsidRPr="005A0EA9" w:rsidRDefault="00E77931" w:rsidP="00E77931">
      <w:pPr>
        <w:pStyle w:val="NormalWeb"/>
        <w:spacing w:before="0" w:beforeAutospacing="0" w:after="0" w:afterAutospacing="0" w:line="480" w:lineRule="auto"/>
        <w:ind w:left="567" w:hanging="567"/>
        <w:contextualSpacing/>
        <w:rPr>
          <w:color w:val="222222"/>
          <w:shd w:val="clear" w:color="auto" w:fill="FFFFFF"/>
        </w:rPr>
      </w:pPr>
      <w:r w:rsidRPr="005A0EA9">
        <w:rPr>
          <w:color w:val="222222"/>
          <w:shd w:val="clear" w:color="auto" w:fill="FFFFFF"/>
        </w:rPr>
        <w:t>Jallow, H.</w:t>
      </w:r>
      <w:r>
        <w:rPr>
          <w:color w:val="222222"/>
          <w:shd w:val="clear" w:color="auto" w:fill="FFFFFF"/>
        </w:rPr>
        <w:t xml:space="preserve">, </w:t>
      </w:r>
      <w:proofErr w:type="spellStart"/>
      <w:r>
        <w:rPr>
          <w:color w:val="222222"/>
          <w:shd w:val="clear" w:color="auto" w:fill="FFFFFF"/>
        </w:rPr>
        <w:t>Renukappa</w:t>
      </w:r>
      <w:proofErr w:type="spellEnd"/>
      <w:r>
        <w:rPr>
          <w:color w:val="222222"/>
          <w:shd w:val="clear" w:color="auto" w:fill="FFFFFF"/>
        </w:rPr>
        <w:t>, S. and Suresh, S. (</w:t>
      </w:r>
      <w:r w:rsidRPr="005A0EA9">
        <w:rPr>
          <w:color w:val="222222"/>
          <w:shd w:val="clear" w:color="auto" w:fill="FFFFFF"/>
        </w:rPr>
        <w:t>2021</w:t>
      </w:r>
      <w:r>
        <w:rPr>
          <w:color w:val="222222"/>
          <w:shd w:val="clear" w:color="auto" w:fill="FFFFFF"/>
        </w:rPr>
        <w:t>)</w:t>
      </w:r>
      <w:r w:rsidRPr="005A0EA9">
        <w:rPr>
          <w:color w:val="222222"/>
          <w:shd w:val="clear" w:color="auto" w:fill="FFFFFF"/>
        </w:rPr>
        <w:t xml:space="preserve"> The impact of COVID-19 outbreak on United Kingdom infrastructure sector. </w:t>
      </w:r>
      <w:r w:rsidRPr="005A0EA9">
        <w:rPr>
          <w:i/>
          <w:iCs/>
          <w:color w:val="222222"/>
          <w:shd w:val="clear" w:color="auto" w:fill="FFFFFF"/>
        </w:rPr>
        <w:t>Smart and Sustainable Built Environment</w:t>
      </w:r>
      <w:r w:rsidRPr="005A0EA9">
        <w:rPr>
          <w:color w:val="222222"/>
          <w:shd w:val="clear" w:color="auto" w:fill="FFFFFF"/>
        </w:rPr>
        <w:t>, </w:t>
      </w:r>
      <w:r w:rsidRPr="005A0EA9">
        <w:rPr>
          <w:i/>
          <w:iCs/>
          <w:color w:val="222222"/>
          <w:shd w:val="clear" w:color="auto" w:fill="FFFFFF"/>
        </w:rPr>
        <w:t>10</w:t>
      </w:r>
      <w:r w:rsidRPr="005A0EA9">
        <w:rPr>
          <w:color w:val="222222"/>
          <w:shd w:val="clear" w:color="auto" w:fill="FFFFFF"/>
        </w:rPr>
        <w:t>(4), pp.581-593.</w:t>
      </w:r>
    </w:p>
    <w:p w14:paraId="4B4476F6" w14:textId="77777777" w:rsidR="00E77931" w:rsidRPr="005A0EA9" w:rsidRDefault="00E77931" w:rsidP="00E77931">
      <w:pPr>
        <w:pStyle w:val="NormalWeb"/>
        <w:spacing w:before="0" w:beforeAutospacing="0" w:after="0" w:afterAutospacing="0" w:line="480" w:lineRule="auto"/>
        <w:ind w:left="567" w:hanging="567"/>
        <w:contextualSpacing/>
      </w:pPr>
      <w:r w:rsidRPr="005A0EA9">
        <w:t xml:space="preserve">Lambert, P. and Van </w:t>
      </w:r>
      <w:proofErr w:type="spellStart"/>
      <w:r w:rsidRPr="005A0EA9">
        <w:t>Reenem</w:t>
      </w:r>
      <w:proofErr w:type="spellEnd"/>
      <w:r w:rsidRPr="005A0EA9">
        <w:t xml:space="preserve">, J. (2021) </w:t>
      </w:r>
      <w:r w:rsidRPr="005A0EA9">
        <w:rPr>
          <w:i/>
          <w:iCs/>
        </w:rPr>
        <w:t>A wave of Covid-related bankruptcies is coming to the UK. What can we do about it?</w:t>
      </w:r>
      <w:r w:rsidRPr="005A0EA9">
        <w:t xml:space="preserve"> </w:t>
      </w:r>
      <w:r w:rsidRPr="005A0EA9">
        <w:rPr>
          <w:i/>
          <w:iCs/>
        </w:rPr>
        <w:t>LSE Business Review</w:t>
      </w:r>
      <w:r w:rsidRPr="005A0EA9">
        <w:t xml:space="preserve">. Available at: </w:t>
      </w:r>
      <w:hyperlink r:id="rId6" w:history="1">
        <w:r w:rsidRPr="005A0EA9">
          <w:rPr>
            <w:rStyle w:val="Hyperlink"/>
          </w:rPr>
          <w:t>https://blogs.lse.ac.uk/businessreview/2021/02/02/a-wave-of-covid-related-bankruptcies-is-coming-to-the-uk-what-can-we-do-about-it/</w:t>
        </w:r>
      </w:hyperlink>
      <w:r w:rsidRPr="005A0EA9">
        <w:t xml:space="preserve"> (Accessed: 17 December 2023). </w:t>
      </w:r>
    </w:p>
    <w:p w14:paraId="1C94A88A" w14:textId="77777777" w:rsidR="00E77931" w:rsidRPr="005A0EA9" w:rsidRDefault="00E77931" w:rsidP="00E77931">
      <w:pPr>
        <w:pStyle w:val="NormalWeb"/>
        <w:spacing w:before="0" w:beforeAutospacing="0" w:after="0" w:afterAutospacing="0" w:line="480" w:lineRule="auto"/>
        <w:ind w:left="567" w:hanging="567"/>
        <w:contextualSpacing/>
        <w:rPr>
          <w:color w:val="222222"/>
          <w:shd w:val="clear" w:color="auto" w:fill="FFFFFF"/>
        </w:rPr>
      </w:pPr>
      <w:r w:rsidRPr="005A0EA9">
        <w:rPr>
          <w:color w:val="222222"/>
          <w:shd w:val="clear" w:color="auto" w:fill="FFFFFF"/>
        </w:rPr>
        <w:t>Ozdemir, D., Sha</w:t>
      </w:r>
      <w:r>
        <w:rPr>
          <w:color w:val="222222"/>
          <w:shd w:val="clear" w:color="auto" w:fill="FFFFFF"/>
        </w:rPr>
        <w:t>rma, M., Dhir, A. and Daim, T. (</w:t>
      </w:r>
      <w:r w:rsidRPr="005A0EA9">
        <w:rPr>
          <w:color w:val="222222"/>
          <w:shd w:val="clear" w:color="auto" w:fill="FFFFFF"/>
        </w:rPr>
        <w:t>2022</w:t>
      </w:r>
      <w:r>
        <w:rPr>
          <w:color w:val="222222"/>
          <w:shd w:val="clear" w:color="auto" w:fill="FFFFFF"/>
        </w:rPr>
        <w:t>)</w:t>
      </w:r>
      <w:r w:rsidRPr="005A0EA9">
        <w:rPr>
          <w:color w:val="222222"/>
          <w:shd w:val="clear" w:color="auto" w:fill="FFFFFF"/>
        </w:rPr>
        <w:t xml:space="preserve"> Supply chain resilience during the COVID-19 pandemic. </w:t>
      </w:r>
      <w:r w:rsidRPr="005A0EA9">
        <w:rPr>
          <w:i/>
          <w:iCs/>
          <w:color w:val="222222"/>
          <w:shd w:val="clear" w:color="auto" w:fill="FFFFFF"/>
        </w:rPr>
        <w:t>Technology in Society</w:t>
      </w:r>
      <w:r w:rsidRPr="005A0EA9">
        <w:rPr>
          <w:color w:val="222222"/>
          <w:shd w:val="clear" w:color="auto" w:fill="FFFFFF"/>
        </w:rPr>
        <w:t>, </w:t>
      </w:r>
      <w:r w:rsidRPr="005A0EA9">
        <w:rPr>
          <w:i/>
          <w:iCs/>
          <w:color w:val="222222"/>
          <w:shd w:val="clear" w:color="auto" w:fill="FFFFFF"/>
        </w:rPr>
        <w:t>68</w:t>
      </w:r>
      <w:r w:rsidRPr="005A0EA9">
        <w:rPr>
          <w:color w:val="222222"/>
          <w:shd w:val="clear" w:color="auto" w:fill="FFFFFF"/>
        </w:rPr>
        <w:t>, p.101847.</w:t>
      </w:r>
    </w:p>
    <w:p w14:paraId="0E128290" w14:textId="77777777" w:rsidR="00E77931" w:rsidRPr="005A0EA9" w:rsidRDefault="00E77931" w:rsidP="00E77931">
      <w:pPr>
        <w:pStyle w:val="NormalWeb"/>
        <w:spacing w:before="0" w:beforeAutospacing="0" w:after="0" w:afterAutospacing="0" w:line="480" w:lineRule="auto"/>
        <w:ind w:left="567" w:hanging="567"/>
        <w:contextualSpacing/>
      </w:pPr>
      <w:r w:rsidRPr="005A0EA9">
        <w:lastRenderedPageBreak/>
        <w:t xml:space="preserve">Parliament.UK (2020) </w:t>
      </w:r>
      <w:r w:rsidRPr="005A0EA9">
        <w:rPr>
          <w:i/>
          <w:iCs/>
        </w:rPr>
        <w:t>Sixth Special Report - publications.parliament.uk</w:t>
      </w:r>
      <w:r w:rsidRPr="005A0EA9">
        <w:t xml:space="preserve">, </w:t>
      </w:r>
      <w:r w:rsidRPr="005A0EA9">
        <w:rPr>
          <w:i/>
          <w:iCs/>
        </w:rPr>
        <w:t>COVID-19 and food supply: Government Response to the Committee’s First Report</w:t>
      </w:r>
      <w:r w:rsidRPr="005A0EA9">
        <w:t xml:space="preserve">. Available at: </w:t>
      </w:r>
      <w:hyperlink r:id="rId7" w:history="1">
        <w:r w:rsidRPr="005A0EA9">
          <w:rPr>
            <w:rStyle w:val="Hyperlink"/>
          </w:rPr>
          <w:t>https://publications.parliament.uk/pa/cm5801/cmselect/cmenvfru/841/84102.htm</w:t>
        </w:r>
      </w:hyperlink>
      <w:r w:rsidRPr="005A0EA9">
        <w:t xml:space="preserve"> (Accessed: 17 December 2023). </w:t>
      </w:r>
    </w:p>
    <w:p w14:paraId="77278C46" w14:textId="77777777" w:rsidR="00E77931" w:rsidRPr="005A0EA9" w:rsidRDefault="00E77931" w:rsidP="00E77931">
      <w:pPr>
        <w:pStyle w:val="NormalWeb"/>
        <w:spacing w:before="0" w:beforeAutospacing="0" w:after="0" w:afterAutospacing="0" w:line="480" w:lineRule="auto"/>
        <w:ind w:left="567" w:hanging="567"/>
        <w:contextualSpacing/>
        <w:rPr>
          <w:color w:val="222222"/>
          <w:shd w:val="clear" w:color="auto" w:fill="FFFFFF"/>
        </w:rPr>
      </w:pPr>
      <w:r w:rsidRPr="005A0EA9">
        <w:rPr>
          <w:color w:val="222222"/>
          <w:shd w:val="clear" w:color="auto" w:fill="FFFFFF"/>
        </w:rPr>
        <w:t>Ramanathan, U.</w:t>
      </w:r>
      <w:r>
        <w:rPr>
          <w:color w:val="222222"/>
          <w:shd w:val="clear" w:color="auto" w:fill="FFFFFF"/>
        </w:rPr>
        <w:t>, Aluko, O. and Ramanathan, R. (</w:t>
      </w:r>
      <w:r w:rsidRPr="005A0EA9">
        <w:rPr>
          <w:color w:val="222222"/>
          <w:shd w:val="clear" w:color="auto" w:fill="FFFFFF"/>
        </w:rPr>
        <w:t>2022</w:t>
      </w:r>
      <w:r>
        <w:rPr>
          <w:color w:val="222222"/>
          <w:shd w:val="clear" w:color="auto" w:fill="FFFFFF"/>
        </w:rPr>
        <w:t>)</w:t>
      </w:r>
      <w:r w:rsidRPr="005A0EA9">
        <w:rPr>
          <w:color w:val="222222"/>
          <w:shd w:val="clear" w:color="auto" w:fill="FFFFFF"/>
        </w:rPr>
        <w:t xml:space="preserve"> Supply chain resilience and business responses to disruptions of the COVID-19 pandemic. </w:t>
      </w:r>
      <w:r w:rsidRPr="005A0EA9">
        <w:rPr>
          <w:i/>
          <w:iCs/>
          <w:color w:val="222222"/>
          <w:shd w:val="clear" w:color="auto" w:fill="FFFFFF"/>
        </w:rPr>
        <w:t>Benchmarking: An International Journal</w:t>
      </w:r>
      <w:r w:rsidRPr="005A0EA9">
        <w:rPr>
          <w:color w:val="222222"/>
          <w:shd w:val="clear" w:color="auto" w:fill="FFFFFF"/>
        </w:rPr>
        <w:t>, </w:t>
      </w:r>
      <w:r w:rsidRPr="005A0EA9">
        <w:rPr>
          <w:i/>
          <w:iCs/>
          <w:color w:val="222222"/>
          <w:shd w:val="clear" w:color="auto" w:fill="FFFFFF"/>
        </w:rPr>
        <w:t>29</w:t>
      </w:r>
      <w:r w:rsidRPr="005A0EA9">
        <w:rPr>
          <w:color w:val="222222"/>
          <w:shd w:val="clear" w:color="auto" w:fill="FFFFFF"/>
        </w:rPr>
        <w:t>(7), pp.2275-2290.</w:t>
      </w:r>
    </w:p>
    <w:p w14:paraId="433D61F3" w14:textId="77777777" w:rsidR="00E77931" w:rsidRPr="005A0EA9" w:rsidRDefault="00E77931" w:rsidP="00E77931">
      <w:pPr>
        <w:pStyle w:val="NormalWeb"/>
        <w:spacing w:before="0" w:beforeAutospacing="0" w:after="0" w:afterAutospacing="0" w:line="480" w:lineRule="auto"/>
        <w:ind w:left="567" w:hanging="567"/>
        <w:contextualSpacing/>
      </w:pPr>
      <w:r w:rsidRPr="005A0EA9">
        <w:t xml:space="preserve">Salfiti, Z. (2021) </w:t>
      </w:r>
      <w:r w:rsidRPr="005A0EA9">
        <w:rPr>
          <w:i/>
          <w:iCs/>
        </w:rPr>
        <w:t>What’s causing the U.K. Fuel Crisis?</w:t>
      </w:r>
      <w:r w:rsidRPr="005A0EA9">
        <w:t xml:space="preserve"> </w:t>
      </w:r>
      <w:r w:rsidRPr="005A0EA9">
        <w:rPr>
          <w:i/>
          <w:iCs/>
        </w:rPr>
        <w:t>Foreign Policy</w:t>
      </w:r>
      <w:r w:rsidRPr="005A0EA9">
        <w:t xml:space="preserve">. Available at: </w:t>
      </w:r>
      <w:hyperlink r:id="rId8" w:history="1">
        <w:r w:rsidRPr="005A0EA9">
          <w:rPr>
            <w:rStyle w:val="Hyperlink"/>
          </w:rPr>
          <w:t>https://foreignpolicy.com/2021/09/27/uk-fuel-crisis-cause-brexit-covid/</w:t>
        </w:r>
      </w:hyperlink>
      <w:r w:rsidRPr="005A0EA9">
        <w:t xml:space="preserve"> (Accessed: 17 December 2023). </w:t>
      </w:r>
    </w:p>
    <w:p w14:paraId="24E37F52" w14:textId="77777777" w:rsidR="00E77931" w:rsidRPr="005A0EA9" w:rsidRDefault="00E77931" w:rsidP="00E77931">
      <w:pPr>
        <w:pStyle w:val="NormalWeb"/>
        <w:spacing w:before="0" w:beforeAutospacing="0" w:after="0" w:afterAutospacing="0" w:line="480" w:lineRule="auto"/>
        <w:ind w:left="567" w:hanging="567"/>
        <w:contextualSpacing/>
      </w:pPr>
      <w:r w:rsidRPr="005A0EA9">
        <w:t xml:space="preserve">Stewart, I. (2023) </w:t>
      </w:r>
      <w:r w:rsidRPr="005A0EA9">
        <w:rPr>
          <w:i/>
          <w:iCs/>
        </w:rPr>
        <w:t>Rising cost of living in the UK - House of Commons library</w:t>
      </w:r>
      <w:r w:rsidRPr="005A0EA9">
        <w:t xml:space="preserve">, </w:t>
      </w:r>
      <w:r w:rsidRPr="005A0EA9">
        <w:rPr>
          <w:i/>
          <w:iCs/>
        </w:rPr>
        <w:t>Introduction to the domestic energy market</w:t>
      </w:r>
      <w:r w:rsidRPr="005A0EA9">
        <w:t xml:space="preserve">. Available at: </w:t>
      </w:r>
      <w:hyperlink r:id="rId9" w:anchor=":~:text=The%20Government%20Department%20for%20Energy,of%20sustainability%2C%20security%20and%20affordability" w:history="1">
        <w:r w:rsidRPr="005A0EA9">
          <w:rPr>
            <w:rStyle w:val="Hyperlink"/>
          </w:rPr>
          <w:t>https://commonslibrary.parliament.uk/research-briefings/cbp-9768/#:~:text=The%20Government%20Department%20for%20Energy,of%20sustainability%2C%20security%20and%20affordability</w:t>
        </w:r>
      </w:hyperlink>
      <w:r w:rsidRPr="005A0EA9">
        <w:t xml:space="preserve">. (Accessed: 17 December 2023). </w:t>
      </w:r>
    </w:p>
    <w:p w14:paraId="469830AD" w14:textId="77777777" w:rsidR="00E77931" w:rsidRPr="005A0EA9" w:rsidRDefault="00E77931" w:rsidP="00E77931">
      <w:pPr>
        <w:pStyle w:val="NormalWeb"/>
        <w:spacing w:before="0" w:beforeAutospacing="0" w:after="0" w:afterAutospacing="0" w:line="480" w:lineRule="auto"/>
        <w:ind w:left="567" w:hanging="567"/>
        <w:contextualSpacing/>
      </w:pPr>
      <w:r w:rsidRPr="005A0EA9">
        <w:t xml:space="preserve">Tetley, L. (2022) </w:t>
      </w:r>
      <w:r w:rsidRPr="005A0EA9">
        <w:rPr>
          <w:i/>
          <w:iCs/>
        </w:rPr>
        <w:t>Supply chain latest: UK Business Struggle with Brexit</w:t>
      </w:r>
      <w:r w:rsidRPr="005A0EA9">
        <w:t xml:space="preserve">, </w:t>
      </w:r>
      <w:r w:rsidRPr="005A0EA9">
        <w:rPr>
          <w:i/>
          <w:iCs/>
        </w:rPr>
        <w:t>Bloomberg.com</w:t>
      </w:r>
      <w:r w:rsidRPr="005A0EA9">
        <w:t xml:space="preserve">. Available at: </w:t>
      </w:r>
      <w:hyperlink r:id="rId10" w:history="1">
        <w:r w:rsidRPr="005A0EA9">
          <w:rPr>
            <w:rStyle w:val="Hyperlink"/>
          </w:rPr>
          <w:t>https://www.bloomberg.com/news/newsletters/2022-11-28/supply-chain-latest-uk-business-struggle-with-brexit</w:t>
        </w:r>
      </w:hyperlink>
      <w:r w:rsidRPr="005A0EA9">
        <w:t xml:space="preserve"> (Accessed: 17 December 2023).</w:t>
      </w:r>
    </w:p>
    <w:p w14:paraId="5790260D" w14:textId="77777777" w:rsidR="00E77931" w:rsidRPr="005A0EA9" w:rsidRDefault="00E77931" w:rsidP="00E77931">
      <w:pPr>
        <w:pStyle w:val="NormalWeb"/>
        <w:spacing w:before="0" w:beforeAutospacing="0" w:after="0" w:afterAutospacing="0" w:line="480" w:lineRule="auto"/>
        <w:ind w:left="567" w:hanging="567"/>
        <w:contextualSpacing/>
        <w:rPr>
          <w:color w:val="222222"/>
          <w:shd w:val="clear" w:color="auto" w:fill="FFFFFF"/>
        </w:rPr>
      </w:pPr>
      <w:r w:rsidRPr="005A0EA9">
        <w:rPr>
          <w:color w:val="222222"/>
          <w:shd w:val="clear" w:color="auto" w:fill="FFFFFF"/>
        </w:rPr>
        <w:t xml:space="preserve">Victor, V., </w:t>
      </w:r>
      <w:proofErr w:type="spellStart"/>
      <w:r w:rsidRPr="005A0EA9">
        <w:rPr>
          <w:color w:val="222222"/>
          <w:shd w:val="clear" w:color="auto" w:fill="FFFFFF"/>
        </w:rPr>
        <w:t>Karakunnel</w:t>
      </w:r>
      <w:proofErr w:type="spellEnd"/>
      <w:r w:rsidRPr="005A0EA9">
        <w:rPr>
          <w:color w:val="222222"/>
          <w:shd w:val="clear" w:color="auto" w:fill="FFFFFF"/>
        </w:rPr>
        <w:t>, J.J., Loganathan, S. and Meyer, D.F.</w:t>
      </w:r>
      <w:r>
        <w:rPr>
          <w:color w:val="222222"/>
          <w:shd w:val="clear" w:color="auto" w:fill="FFFFFF"/>
        </w:rPr>
        <w:t xml:space="preserve"> (</w:t>
      </w:r>
      <w:r w:rsidRPr="005A0EA9">
        <w:rPr>
          <w:color w:val="222222"/>
          <w:shd w:val="clear" w:color="auto" w:fill="FFFFFF"/>
        </w:rPr>
        <w:t>2021</w:t>
      </w:r>
      <w:r>
        <w:rPr>
          <w:color w:val="222222"/>
          <w:shd w:val="clear" w:color="auto" w:fill="FFFFFF"/>
        </w:rPr>
        <w:t>)</w:t>
      </w:r>
      <w:r w:rsidRPr="005A0EA9">
        <w:rPr>
          <w:color w:val="222222"/>
          <w:shd w:val="clear" w:color="auto" w:fill="FFFFFF"/>
        </w:rPr>
        <w:t xml:space="preserve"> From a recession to the COVID-19 pandemic: Inflation–Unemployment Comparison between the UK and India. </w:t>
      </w:r>
      <w:r w:rsidRPr="005A0EA9">
        <w:rPr>
          <w:i/>
          <w:iCs/>
          <w:color w:val="222222"/>
          <w:shd w:val="clear" w:color="auto" w:fill="FFFFFF"/>
        </w:rPr>
        <w:t>Economies</w:t>
      </w:r>
      <w:r w:rsidRPr="005A0EA9">
        <w:rPr>
          <w:color w:val="222222"/>
          <w:shd w:val="clear" w:color="auto" w:fill="FFFFFF"/>
        </w:rPr>
        <w:t>, </w:t>
      </w:r>
      <w:r w:rsidRPr="005A0EA9">
        <w:rPr>
          <w:i/>
          <w:iCs/>
          <w:color w:val="222222"/>
          <w:shd w:val="clear" w:color="auto" w:fill="FFFFFF"/>
        </w:rPr>
        <w:t>9</w:t>
      </w:r>
      <w:r w:rsidRPr="005A0EA9">
        <w:rPr>
          <w:color w:val="222222"/>
          <w:shd w:val="clear" w:color="auto" w:fill="FFFFFF"/>
        </w:rPr>
        <w:t>(2), p.73.</w:t>
      </w:r>
    </w:p>
    <w:p w14:paraId="5010AC52" w14:textId="77777777" w:rsidR="00E77931" w:rsidRPr="005A0EA9" w:rsidRDefault="00E77931" w:rsidP="00E77931">
      <w:pPr>
        <w:pStyle w:val="NormalWeb"/>
        <w:spacing w:before="0" w:beforeAutospacing="0" w:after="0" w:afterAutospacing="0" w:line="480" w:lineRule="auto"/>
        <w:ind w:left="567" w:hanging="567"/>
        <w:contextualSpacing/>
        <w:rPr>
          <w:color w:val="222222"/>
          <w:shd w:val="clear" w:color="auto" w:fill="FFFFFF"/>
        </w:rPr>
      </w:pPr>
      <w:r w:rsidRPr="005A0EA9">
        <w:rPr>
          <w:color w:val="222222"/>
          <w:shd w:val="clear" w:color="auto" w:fill="FFFFFF"/>
        </w:rPr>
        <w:t>Wh</w:t>
      </w:r>
      <w:r>
        <w:rPr>
          <w:color w:val="222222"/>
          <w:shd w:val="clear" w:color="auto" w:fill="FFFFFF"/>
        </w:rPr>
        <w:t>ite, R.G. and Van Der Boor, C. (</w:t>
      </w:r>
      <w:r w:rsidRPr="005A0EA9">
        <w:rPr>
          <w:color w:val="222222"/>
          <w:shd w:val="clear" w:color="auto" w:fill="FFFFFF"/>
        </w:rPr>
        <w:t>2020</w:t>
      </w:r>
      <w:r>
        <w:rPr>
          <w:color w:val="222222"/>
          <w:shd w:val="clear" w:color="auto" w:fill="FFFFFF"/>
        </w:rPr>
        <w:t>)</w:t>
      </w:r>
      <w:r w:rsidRPr="005A0EA9">
        <w:rPr>
          <w:color w:val="222222"/>
          <w:shd w:val="clear" w:color="auto" w:fill="FFFFFF"/>
        </w:rPr>
        <w:t xml:space="preserve"> Impact of the COVID-19 pandemic and initial period of lockdown on the mental health and well-being of adults in the UK. </w:t>
      </w:r>
      <w:proofErr w:type="spellStart"/>
      <w:r w:rsidRPr="005A0EA9">
        <w:rPr>
          <w:i/>
          <w:iCs/>
          <w:color w:val="222222"/>
          <w:shd w:val="clear" w:color="auto" w:fill="FFFFFF"/>
        </w:rPr>
        <w:t>BJPsych</w:t>
      </w:r>
      <w:proofErr w:type="spellEnd"/>
      <w:r w:rsidRPr="005A0EA9">
        <w:rPr>
          <w:i/>
          <w:iCs/>
          <w:color w:val="222222"/>
          <w:shd w:val="clear" w:color="auto" w:fill="FFFFFF"/>
        </w:rPr>
        <w:t xml:space="preserve"> open</w:t>
      </w:r>
      <w:r w:rsidRPr="005A0EA9">
        <w:rPr>
          <w:color w:val="222222"/>
          <w:shd w:val="clear" w:color="auto" w:fill="FFFFFF"/>
        </w:rPr>
        <w:t>, </w:t>
      </w:r>
      <w:r w:rsidRPr="005A0EA9">
        <w:rPr>
          <w:i/>
          <w:iCs/>
          <w:color w:val="222222"/>
          <w:shd w:val="clear" w:color="auto" w:fill="FFFFFF"/>
        </w:rPr>
        <w:t>6</w:t>
      </w:r>
      <w:r w:rsidRPr="005A0EA9">
        <w:rPr>
          <w:color w:val="222222"/>
          <w:shd w:val="clear" w:color="auto" w:fill="FFFFFF"/>
        </w:rPr>
        <w:t>(5), p.e90.</w:t>
      </w:r>
    </w:p>
    <w:p w14:paraId="2AAF9956" w14:textId="77777777" w:rsidR="00E77931" w:rsidRPr="005B6247" w:rsidRDefault="00E77931" w:rsidP="00E77931">
      <w:pPr>
        <w:ind w:firstLine="0"/>
      </w:pPr>
    </w:p>
    <w:p w14:paraId="0BE9E8A0" w14:textId="77777777" w:rsidR="00C53581" w:rsidRDefault="00C53581"/>
    <w:sectPr w:rsidR="00C53581">
      <w:headerReference w:type="default" r:id="rId1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A4006" w14:textId="77777777" w:rsidR="00923ED7" w:rsidRDefault="00923ED7">
    <w:pPr>
      <w:pStyle w:val="Header"/>
      <w:jc w:val="right"/>
    </w:pPr>
    <w:r>
      <w:t xml:space="preserve">Component 1 – Case Study     </w:t>
    </w:r>
    <w:sdt>
      <w:sdtPr>
        <w:id w:val="-480770566"/>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11970079" w14:textId="77777777" w:rsidR="00923ED7" w:rsidRDefault="00923ED7" w:rsidP="00810E16">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E1810"/>
    <w:multiLevelType w:val="hybridMultilevel"/>
    <w:tmpl w:val="ADDEC458"/>
    <w:lvl w:ilvl="0" w:tplc="15C0DAF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0D44BB0"/>
    <w:multiLevelType w:val="hybridMultilevel"/>
    <w:tmpl w:val="371A4C0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9E4F8E"/>
    <w:multiLevelType w:val="multilevel"/>
    <w:tmpl w:val="ADD09186"/>
    <w:lvl w:ilvl="0">
      <w:start w:val="1"/>
      <w:numFmt w:val="decimal"/>
      <w:lvlText w:val="%1"/>
      <w:lvlJc w:val="left"/>
      <w:pPr>
        <w:ind w:left="432" w:hanging="432"/>
      </w:pPr>
    </w:lvl>
    <w:lvl w:ilvl="1">
      <w:start w:val="1"/>
      <w:numFmt w:val="lowerLetter"/>
      <w:pStyle w:val="Heading2"/>
      <w:lvlText w:val="%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6077FB9"/>
    <w:multiLevelType w:val="hybridMultilevel"/>
    <w:tmpl w:val="3618BF06"/>
    <w:lvl w:ilvl="0" w:tplc="F3A4654A">
      <w:start w:val="1"/>
      <w:numFmt w:val="lowerLetter"/>
      <w:lvlText w:val="%1."/>
      <w:lvlJc w:val="left"/>
      <w:pPr>
        <w:ind w:left="936" w:hanging="360"/>
      </w:pPr>
      <w:rPr>
        <w:rFonts w:hint="default"/>
      </w:rPr>
    </w:lvl>
    <w:lvl w:ilvl="1" w:tplc="08090019" w:tentative="1">
      <w:start w:val="1"/>
      <w:numFmt w:val="lowerLetter"/>
      <w:lvlText w:val="%2."/>
      <w:lvlJc w:val="left"/>
      <w:pPr>
        <w:ind w:left="1656" w:hanging="360"/>
      </w:pPr>
    </w:lvl>
    <w:lvl w:ilvl="2" w:tplc="0809001B" w:tentative="1">
      <w:start w:val="1"/>
      <w:numFmt w:val="lowerRoman"/>
      <w:lvlText w:val="%3."/>
      <w:lvlJc w:val="right"/>
      <w:pPr>
        <w:ind w:left="2376" w:hanging="180"/>
      </w:pPr>
    </w:lvl>
    <w:lvl w:ilvl="3" w:tplc="0809000F" w:tentative="1">
      <w:start w:val="1"/>
      <w:numFmt w:val="decimal"/>
      <w:lvlText w:val="%4."/>
      <w:lvlJc w:val="left"/>
      <w:pPr>
        <w:ind w:left="3096" w:hanging="360"/>
      </w:pPr>
    </w:lvl>
    <w:lvl w:ilvl="4" w:tplc="08090019" w:tentative="1">
      <w:start w:val="1"/>
      <w:numFmt w:val="lowerLetter"/>
      <w:lvlText w:val="%5."/>
      <w:lvlJc w:val="left"/>
      <w:pPr>
        <w:ind w:left="3816" w:hanging="360"/>
      </w:pPr>
    </w:lvl>
    <w:lvl w:ilvl="5" w:tplc="0809001B" w:tentative="1">
      <w:start w:val="1"/>
      <w:numFmt w:val="lowerRoman"/>
      <w:lvlText w:val="%6."/>
      <w:lvlJc w:val="right"/>
      <w:pPr>
        <w:ind w:left="4536" w:hanging="180"/>
      </w:pPr>
    </w:lvl>
    <w:lvl w:ilvl="6" w:tplc="0809000F" w:tentative="1">
      <w:start w:val="1"/>
      <w:numFmt w:val="decimal"/>
      <w:lvlText w:val="%7."/>
      <w:lvlJc w:val="left"/>
      <w:pPr>
        <w:ind w:left="5256" w:hanging="360"/>
      </w:pPr>
    </w:lvl>
    <w:lvl w:ilvl="7" w:tplc="08090019" w:tentative="1">
      <w:start w:val="1"/>
      <w:numFmt w:val="lowerLetter"/>
      <w:lvlText w:val="%8."/>
      <w:lvlJc w:val="left"/>
      <w:pPr>
        <w:ind w:left="5976" w:hanging="360"/>
      </w:pPr>
    </w:lvl>
    <w:lvl w:ilvl="8" w:tplc="0809001B" w:tentative="1">
      <w:start w:val="1"/>
      <w:numFmt w:val="lowerRoman"/>
      <w:lvlText w:val="%9."/>
      <w:lvlJc w:val="right"/>
      <w:pPr>
        <w:ind w:left="6696" w:hanging="180"/>
      </w:pPr>
    </w:lvl>
  </w:abstractNum>
  <w:num w:numId="1" w16cid:durableId="1923443744">
    <w:abstractNumId w:val="2"/>
  </w:num>
  <w:num w:numId="2" w16cid:durableId="29887339">
    <w:abstractNumId w:val="0"/>
  </w:num>
  <w:num w:numId="3" w16cid:durableId="392698231">
    <w:abstractNumId w:val="1"/>
  </w:num>
  <w:num w:numId="4" w16cid:durableId="3692608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B5E"/>
    <w:rsid w:val="001B7D56"/>
    <w:rsid w:val="008D0B5E"/>
    <w:rsid w:val="00C53581"/>
    <w:rsid w:val="00CE34FB"/>
    <w:rsid w:val="00E779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7DE58"/>
  <w15:chartTrackingRefBased/>
  <w15:docId w15:val="{5C44428B-9CFC-4B8C-955A-FCA3C9882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931"/>
    <w:pPr>
      <w:spacing w:after="0" w:line="480" w:lineRule="auto"/>
      <w:ind w:firstLine="720"/>
    </w:pPr>
    <w:rPr>
      <w:rFonts w:ascii="Times New Roman" w:hAnsi="Times New Roman"/>
      <w:kern w:val="0"/>
      <w:sz w:val="24"/>
      <w14:ligatures w14:val="none"/>
    </w:rPr>
  </w:style>
  <w:style w:type="paragraph" w:styleId="Heading1">
    <w:name w:val="heading 1"/>
    <w:basedOn w:val="Normal"/>
    <w:next w:val="Normal"/>
    <w:link w:val="Heading1Char"/>
    <w:autoRedefine/>
    <w:uiPriority w:val="9"/>
    <w:qFormat/>
    <w:rsid w:val="00E77931"/>
    <w:pPr>
      <w:keepNext/>
      <w:keepLines/>
      <w:ind w:firstLine="0"/>
      <w:contextualSpacing/>
      <w:jc w:val="center"/>
      <w:outlineLvl w:val="0"/>
    </w:pPr>
    <w:rPr>
      <w:rFonts w:eastAsiaTheme="majorEastAsia" w:cstheme="majorBidi"/>
      <w:b/>
      <w:color w:val="000000" w:themeColor="text1"/>
      <w:szCs w:val="32"/>
    </w:rPr>
  </w:style>
  <w:style w:type="paragraph" w:styleId="Heading2">
    <w:name w:val="heading 2"/>
    <w:basedOn w:val="Normal"/>
    <w:next w:val="Normal"/>
    <w:link w:val="Heading2Char"/>
    <w:autoRedefine/>
    <w:uiPriority w:val="9"/>
    <w:unhideWhenUsed/>
    <w:qFormat/>
    <w:rsid w:val="00E77931"/>
    <w:pPr>
      <w:keepNext/>
      <w:keepLines/>
      <w:numPr>
        <w:ilvl w:val="1"/>
        <w:numId w:val="1"/>
      </w:numPr>
      <w:spacing w:before="40"/>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E77931"/>
    <w:pPr>
      <w:keepNext/>
      <w:keepLines/>
      <w:numPr>
        <w:ilvl w:val="2"/>
        <w:numId w:val="1"/>
      </w:numPr>
      <w:ind w:left="1004"/>
      <w:contextualSpacing/>
      <w:outlineLvl w:val="2"/>
    </w:pPr>
    <w:rPr>
      <w:rFonts w:eastAsiaTheme="majorEastAsia" w:cstheme="majorBidi"/>
      <w:b/>
      <w:szCs w:val="24"/>
    </w:rPr>
  </w:style>
  <w:style w:type="paragraph" w:styleId="Heading4">
    <w:name w:val="heading 4"/>
    <w:basedOn w:val="Normal"/>
    <w:next w:val="Normal"/>
    <w:link w:val="Heading4Char"/>
    <w:autoRedefine/>
    <w:uiPriority w:val="9"/>
    <w:unhideWhenUsed/>
    <w:qFormat/>
    <w:rsid w:val="00E77931"/>
    <w:pPr>
      <w:keepNext/>
      <w:keepLines/>
      <w:numPr>
        <w:ilvl w:val="3"/>
        <w:numId w:val="1"/>
      </w:numPr>
      <w:contextualSpacing/>
      <w:outlineLvl w:val="3"/>
    </w:pPr>
    <w:rPr>
      <w:rFonts w:eastAsiaTheme="majorEastAsia" w:cstheme="majorBidi"/>
      <w:b/>
      <w: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7931"/>
    <w:rPr>
      <w:rFonts w:ascii="Times New Roman" w:eastAsiaTheme="majorEastAsia" w:hAnsi="Times New Roman" w:cstheme="majorBidi"/>
      <w:b/>
      <w:color w:val="000000" w:themeColor="text1"/>
      <w:kern w:val="0"/>
      <w:sz w:val="24"/>
      <w:szCs w:val="32"/>
      <w14:ligatures w14:val="none"/>
    </w:rPr>
  </w:style>
  <w:style w:type="character" w:customStyle="1" w:styleId="Heading2Char">
    <w:name w:val="Heading 2 Char"/>
    <w:basedOn w:val="DefaultParagraphFont"/>
    <w:link w:val="Heading2"/>
    <w:uiPriority w:val="9"/>
    <w:rsid w:val="00E77931"/>
    <w:rPr>
      <w:rFonts w:ascii="Times New Roman" w:eastAsiaTheme="majorEastAsia" w:hAnsi="Times New Roman" w:cstheme="majorBidi"/>
      <w:b/>
      <w:kern w:val="0"/>
      <w:sz w:val="24"/>
      <w:szCs w:val="26"/>
      <w14:ligatures w14:val="none"/>
    </w:rPr>
  </w:style>
  <w:style w:type="character" w:customStyle="1" w:styleId="Heading3Char">
    <w:name w:val="Heading 3 Char"/>
    <w:basedOn w:val="DefaultParagraphFont"/>
    <w:link w:val="Heading3"/>
    <w:uiPriority w:val="9"/>
    <w:rsid w:val="00E77931"/>
    <w:rPr>
      <w:rFonts w:ascii="Times New Roman" w:eastAsiaTheme="majorEastAsia" w:hAnsi="Times New Roman" w:cstheme="majorBidi"/>
      <w:b/>
      <w:kern w:val="0"/>
      <w:sz w:val="24"/>
      <w:szCs w:val="24"/>
      <w14:ligatures w14:val="none"/>
    </w:rPr>
  </w:style>
  <w:style w:type="character" w:customStyle="1" w:styleId="Heading4Char">
    <w:name w:val="Heading 4 Char"/>
    <w:basedOn w:val="DefaultParagraphFont"/>
    <w:link w:val="Heading4"/>
    <w:uiPriority w:val="9"/>
    <w:rsid w:val="00E77931"/>
    <w:rPr>
      <w:rFonts w:ascii="Times New Roman" w:eastAsiaTheme="majorEastAsia" w:hAnsi="Times New Roman" w:cstheme="majorBidi"/>
      <w:b/>
      <w:i/>
      <w:iCs/>
      <w:color w:val="000000" w:themeColor="text1"/>
      <w:kern w:val="0"/>
      <w:sz w:val="24"/>
      <w14:ligatures w14:val="none"/>
    </w:rPr>
  </w:style>
  <w:style w:type="paragraph" w:styleId="Header">
    <w:name w:val="header"/>
    <w:basedOn w:val="Normal"/>
    <w:link w:val="HeaderChar"/>
    <w:uiPriority w:val="99"/>
    <w:unhideWhenUsed/>
    <w:rsid w:val="00E77931"/>
    <w:pPr>
      <w:tabs>
        <w:tab w:val="center" w:pos="4513"/>
        <w:tab w:val="right" w:pos="9026"/>
      </w:tabs>
      <w:spacing w:line="240" w:lineRule="auto"/>
    </w:pPr>
  </w:style>
  <w:style w:type="character" w:customStyle="1" w:styleId="HeaderChar">
    <w:name w:val="Header Char"/>
    <w:basedOn w:val="DefaultParagraphFont"/>
    <w:link w:val="Header"/>
    <w:uiPriority w:val="99"/>
    <w:rsid w:val="00E77931"/>
    <w:rPr>
      <w:rFonts w:ascii="Times New Roman" w:hAnsi="Times New Roman"/>
      <w:kern w:val="0"/>
      <w:sz w:val="24"/>
      <w14:ligatures w14:val="none"/>
    </w:rPr>
  </w:style>
  <w:style w:type="paragraph" w:styleId="TOCHeading">
    <w:name w:val="TOC Heading"/>
    <w:basedOn w:val="Heading1"/>
    <w:next w:val="Normal"/>
    <w:uiPriority w:val="39"/>
    <w:unhideWhenUsed/>
    <w:qFormat/>
    <w:rsid w:val="00E77931"/>
    <w:pPr>
      <w:spacing w:before="240" w:line="259" w:lineRule="auto"/>
      <w:contextualSpacing w:val="0"/>
      <w:jc w:val="left"/>
      <w:outlineLvl w:val="9"/>
    </w:pPr>
    <w:rPr>
      <w:rFonts w:asciiTheme="majorHAnsi" w:hAnsiTheme="majorHAnsi"/>
      <w:b w:val="0"/>
      <w:color w:val="2F5496" w:themeColor="accent1" w:themeShade="BF"/>
      <w:sz w:val="32"/>
      <w:lang w:val="en-US"/>
    </w:rPr>
  </w:style>
  <w:style w:type="paragraph" w:styleId="ListParagraph">
    <w:name w:val="List Paragraph"/>
    <w:basedOn w:val="Normal"/>
    <w:uiPriority w:val="34"/>
    <w:qFormat/>
    <w:rsid w:val="00E77931"/>
    <w:pPr>
      <w:ind w:left="720"/>
      <w:contextualSpacing/>
    </w:pPr>
  </w:style>
  <w:style w:type="paragraph" w:styleId="NormalWeb">
    <w:name w:val="Normal (Web)"/>
    <w:basedOn w:val="Normal"/>
    <w:uiPriority w:val="99"/>
    <w:unhideWhenUsed/>
    <w:rsid w:val="00E77931"/>
    <w:pPr>
      <w:spacing w:before="100" w:beforeAutospacing="1" w:after="100" w:afterAutospacing="1" w:line="240" w:lineRule="auto"/>
      <w:ind w:firstLine="0"/>
    </w:pPr>
    <w:rPr>
      <w:rFonts w:eastAsia="Times New Roman" w:cs="Times New Roman"/>
      <w:szCs w:val="24"/>
      <w:lang w:eastAsia="en-GB"/>
    </w:rPr>
  </w:style>
  <w:style w:type="character" w:styleId="Hyperlink">
    <w:name w:val="Hyperlink"/>
    <w:basedOn w:val="DefaultParagraphFont"/>
    <w:uiPriority w:val="99"/>
    <w:unhideWhenUsed/>
    <w:rsid w:val="00E77931"/>
    <w:rPr>
      <w:color w:val="0563C1" w:themeColor="hyperlink"/>
      <w:u w:val="single"/>
    </w:rPr>
  </w:style>
  <w:style w:type="paragraph" w:styleId="TOC1">
    <w:name w:val="toc 1"/>
    <w:basedOn w:val="Normal"/>
    <w:next w:val="Normal"/>
    <w:autoRedefine/>
    <w:uiPriority w:val="39"/>
    <w:unhideWhenUsed/>
    <w:rsid w:val="00E77931"/>
    <w:pPr>
      <w:spacing w:after="100"/>
    </w:pPr>
  </w:style>
  <w:style w:type="paragraph" w:styleId="TOC2">
    <w:name w:val="toc 2"/>
    <w:basedOn w:val="Normal"/>
    <w:next w:val="Normal"/>
    <w:autoRedefine/>
    <w:uiPriority w:val="39"/>
    <w:unhideWhenUsed/>
    <w:rsid w:val="00E7793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eignpolicy.com/2021/09/27/uk-fuel-crisis-cause-brexit-covi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publications.parliament.uk/pa/cm5801/cmselect/cmenvfru/841/84102.ht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logs.lse.ac.uk/businessreview/2021/02/02/a-wave-of-covid-related-bankruptcies-is-coming-to-the-uk-what-can-we-do-about-it/" TargetMode="External"/><Relationship Id="rId11" Type="http://schemas.openxmlformats.org/officeDocument/2006/relationships/header" Target="header1.xml"/><Relationship Id="rId5" Type="http://schemas.openxmlformats.org/officeDocument/2006/relationships/hyperlink" Target="https://www.gov.uk/guidance/rules-that-have-been-relaxed-to-help-businesses-during-the-coronavirus-pandemic" TargetMode="External"/><Relationship Id="rId10" Type="http://schemas.openxmlformats.org/officeDocument/2006/relationships/hyperlink" Target="https://www.bloomberg.com/news/newsletters/2022-11-28/supply-chain-latest-uk-business-struggle-with-brexit" TargetMode="External"/><Relationship Id="rId4" Type="http://schemas.openxmlformats.org/officeDocument/2006/relationships/webSettings" Target="webSettings.xml"/><Relationship Id="rId9" Type="http://schemas.openxmlformats.org/officeDocument/2006/relationships/hyperlink" Target="https://commonslibrary.parliament.uk/research-briefings/cbp-97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3569</Words>
  <Characters>20348</Characters>
  <Application>Microsoft Office Word</Application>
  <DocSecurity>0</DocSecurity>
  <Lines>169</Lines>
  <Paragraphs>47</Paragraphs>
  <ScaleCrop>false</ScaleCrop>
  <Company/>
  <LinksUpToDate>false</LinksUpToDate>
  <CharactersWithSpaces>23870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Bag Broker - Mihai Toth</dc:creator>
  <cp:keywords/>
  <dc:description/>
  <cp:lastModifiedBy>The Bag Broker - Mihai Toth</cp:lastModifiedBy>
  <cp:revision>2</cp:revision>
  <dcterms:created xsi:type="dcterms:W3CDTF">2023-12-20T12:07:00Z</dcterms:created>
  <dcterms:modified xsi:type="dcterms:W3CDTF">2023-12-20T12:07:00Z</dcterms:modified>
</cp:coreProperties>
</file>