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D7C87" w14:textId="0E7C13FB" w:rsidR="00236009" w:rsidRPr="00236009" w:rsidRDefault="00236009" w:rsidP="00236009">
      <w:pPr>
        <w:spacing w:line="360" w:lineRule="auto"/>
        <w:rPr>
          <w:rFonts w:ascii="Arial" w:hAnsi="Arial" w:cs="Arial"/>
          <w:b/>
          <w:bCs/>
          <w:sz w:val="24"/>
          <w:szCs w:val="24"/>
        </w:rPr>
      </w:pPr>
      <w:r w:rsidRPr="00236009">
        <w:rPr>
          <w:rFonts w:ascii="Arial" w:hAnsi="Arial" w:cs="Arial"/>
          <w:noProof/>
        </w:rPr>
        <w:drawing>
          <wp:inline distT="0" distB="0" distL="0" distR="0" wp14:anchorId="0C5DA265" wp14:editId="7F2BA1C7">
            <wp:extent cx="1809750" cy="723900"/>
            <wp:effectExtent l="0" t="0" r="0" b="0"/>
            <wp:docPr id="17" name="Picture 17"/>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7"/>
                    <a:stretch>
                      <a:fillRect/>
                    </a:stretch>
                  </pic:blipFill>
                  <pic:spPr>
                    <a:xfrm>
                      <a:off x="0" y="0"/>
                      <a:ext cx="1809750" cy="723900"/>
                    </a:xfrm>
                    <a:prstGeom prst="rect">
                      <a:avLst/>
                    </a:prstGeom>
                  </pic:spPr>
                </pic:pic>
              </a:graphicData>
            </a:graphic>
          </wp:inline>
        </w:drawing>
      </w:r>
    </w:p>
    <w:p w14:paraId="18E1F58A" w14:textId="77777777" w:rsidR="00236009" w:rsidRPr="00236009" w:rsidRDefault="00236009" w:rsidP="00236009">
      <w:pPr>
        <w:spacing w:line="360" w:lineRule="auto"/>
        <w:rPr>
          <w:rFonts w:ascii="Arial" w:hAnsi="Arial" w:cs="Arial"/>
          <w:b/>
          <w:bCs/>
          <w:sz w:val="24"/>
          <w:szCs w:val="24"/>
        </w:rPr>
      </w:pPr>
    </w:p>
    <w:p w14:paraId="0FEC583F" w14:textId="77777777" w:rsidR="00236009" w:rsidRPr="00236009" w:rsidRDefault="00236009" w:rsidP="00236009">
      <w:pPr>
        <w:spacing w:line="360" w:lineRule="auto"/>
        <w:rPr>
          <w:rFonts w:ascii="Arial" w:hAnsi="Arial" w:cs="Arial"/>
          <w:b/>
          <w:bCs/>
          <w:sz w:val="24"/>
          <w:szCs w:val="24"/>
        </w:rPr>
      </w:pPr>
    </w:p>
    <w:p w14:paraId="35D2CA68" w14:textId="77777777" w:rsidR="00236009" w:rsidRPr="00236009" w:rsidRDefault="00236009" w:rsidP="00236009">
      <w:pPr>
        <w:spacing w:line="360" w:lineRule="auto"/>
        <w:rPr>
          <w:rFonts w:ascii="Arial" w:hAnsi="Arial" w:cs="Arial"/>
          <w:b/>
          <w:bCs/>
          <w:sz w:val="24"/>
          <w:szCs w:val="24"/>
        </w:rPr>
      </w:pPr>
    </w:p>
    <w:p w14:paraId="06B6C478" w14:textId="77777777" w:rsidR="00236009" w:rsidRPr="00236009" w:rsidRDefault="00236009" w:rsidP="00236009">
      <w:pPr>
        <w:spacing w:line="360" w:lineRule="auto"/>
        <w:rPr>
          <w:rFonts w:ascii="Arial" w:hAnsi="Arial" w:cs="Arial"/>
          <w:b/>
          <w:bCs/>
          <w:sz w:val="32"/>
          <w:szCs w:val="32"/>
        </w:rPr>
      </w:pPr>
      <w:r w:rsidRPr="00236009">
        <w:rPr>
          <w:rFonts w:ascii="Arial" w:hAnsi="Arial" w:cs="Arial"/>
          <w:b/>
          <w:bCs/>
          <w:sz w:val="32"/>
          <w:szCs w:val="32"/>
        </w:rPr>
        <w:t>“The Importance of Communication, Administrative Skills, and Collaborative Working in Health and Social Care: A Case Study of Mr Ahmed”</w:t>
      </w:r>
    </w:p>
    <w:p w14:paraId="32A6E3F2" w14:textId="77777777" w:rsidR="00236009" w:rsidRDefault="00236009" w:rsidP="00236009">
      <w:pPr>
        <w:spacing w:line="360" w:lineRule="auto"/>
        <w:rPr>
          <w:rFonts w:ascii="Arial" w:hAnsi="Arial" w:cs="Arial"/>
          <w:b/>
          <w:bCs/>
          <w:sz w:val="32"/>
          <w:szCs w:val="32"/>
        </w:rPr>
      </w:pPr>
    </w:p>
    <w:p w14:paraId="05158194" w14:textId="77777777" w:rsidR="00236009" w:rsidRPr="00236009" w:rsidRDefault="00236009" w:rsidP="00236009">
      <w:pPr>
        <w:spacing w:line="360" w:lineRule="auto"/>
        <w:rPr>
          <w:rFonts w:ascii="Arial" w:hAnsi="Arial" w:cs="Arial"/>
          <w:b/>
          <w:bCs/>
          <w:sz w:val="32"/>
          <w:szCs w:val="32"/>
        </w:rPr>
      </w:pPr>
    </w:p>
    <w:p w14:paraId="43ED0B90" w14:textId="77777777"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Module Name:</w:t>
      </w:r>
      <w:r w:rsidRPr="00236009">
        <w:rPr>
          <w:rFonts w:ascii="Arial" w:hAnsi="Arial" w:cs="Arial"/>
          <w:sz w:val="28"/>
          <w:szCs w:val="28"/>
        </w:rPr>
        <w:t xml:space="preserve"> Introduction to Health and Social Care</w:t>
      </w:r>
    </w:p>
    <w:p w14:paraId="77E15DDD" w14:textId="77777777"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Module Code:</w:t>
      </w:r>
      <w:r w:rsidRPr="00236009">
        <w:rPr>
          <w:rFonts w:ascii="Arial" w:hAnsi="Arial" w:cs="Arial"/>
          <w:sz w:val="28"/>
          <w:szCs w:val="28"/>
        </w:rPr>
        <w:t xml:space="preserve"> LCHS4003</w:t>
      </w:r>
    </w:p>
    <w:p w14:paraId="1BDADD3A" w14:textId="2386771E"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Student Name:</w:t>
      </w:r>
      <w:r w:rsidRPr="00236009">
        <w:rPr>
          <w:rFonts w:ascii="Arial" w:hAnsi="Arial" w:cs="Arial"/>
          <w:sz w:val="28"/>
          <w:szCs w:val="28"/>
        </w:rPr>
        <w:t xml:space="preserve"> Rajneesh Sinha</w:t>
      </w:r>
    </w:p>
    <w:p w14:paraId="3665A9F3" w14:textId="42756C21"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Student ID:</w:t>
      </w:r>
      <w:r w:rsidRPr="00236009">
        <w:rPr>
          <w:rFonts w:ascii="Arial" w:hAnsi="Arial" w:cs="Arial"/>
          <w:sz w:val="28"/>
          <w:szCs w:val="28"/>
        </w:rPr>
        <w:t xml:space="preserve"> 2514106</w:t>
      </w:r>
    </w:p>
    <w:p w14:paraId="7535ABBC" w14:textId="77777777" w:rsidR="00236009" w:rsidRPr="00236009" w:rsidRDefault="00236009" w:rsidP="00236009">
      <w:pPr>
        <w:spacing w:line="360" w:lineRule="auto"/>
        <w:rPr>
          <w:rFonts w:ascii="Arial" w:hAnsi="Arial" w:cs="Arial"/>
          <w:sz w:val="28"/>
          <w:szCs w:val="28"/>
        </w:rPr>
      </w:pPr>
      <w:r w:rsidRPr="00236009">
        <w:rPr>
          <w:rFonts w:ascii="Arial" w:hAnsi="Arial" w:cs="Arial"/>
          <w:b/>
          <w:bCs/>
          <w:sz w:val="28"/>
          <w:szCs w:val="28"/>
        </w:rPr>
        <w:t>Lecturer’s Name:</w:t>
      </w:r>
      <w:r w:rsidRPr="00236009">
        <w:rPr>
          <w:rFonts w:ascii="Arial" w:hAnsi="Arial" w:cs="Arial"/>
          <w:sz w:val="28"/>
          <w:szCs w:val="28"/>
        </w:rPr>
        <w:t xml:space="preserve"> Muhammad Aliyu</w:t>
      </w:r>
    </w:p>
    <w:p w14:paraId="1DA3C526" w14:textId="77777777" w:rsidR="00236009" w:rsidRPr="00236009" w:rsidRDefault="00236009" w:rsidP="00236009">
      <w:pPr>
        <w:spacing w:line="360" w:lineRule="auto"/>
        <w:rPr>
          <w:rFonts w:ascii="Arial" w:hAnsi="Arial" w:cs="Arial"/>
          <w:sz w:val="28"/>
          <w:szCs w:val="28"/>
        </w:rPr>
      </w:pPr>
    </w:p>
    <w:p w14:paraId="44F74E09" w14:textId="77777777" w:rsidR="00236009" w:rsidRPr="00236009" w:rsidRDefault="00236009" w:rsidP="00236009">
      <w:pPr>
        <w:spacing w:line="360" w:lineRule="auto"/>
        <w:rPr>
          <w:rFonts w:ascii="Arial" w:hAnsi="Arial" w:cs="Arial"/>
          <w:sz w:val="24"/>
          <w:szCs w:val="24"/>
        </w:rPr>
      </w:pPr>
    </w:p>
    <w:p w14:paraId="604935FE" w14:textId="77777777" w:rsidR="00236009" w:rsidRPr="00236009" w:rsidRDefault="00236009" w:rsidP="00236009">
      <w:pPr>
        <w:spacing w:line="360" w:lineRule="auto"/>
        <w:rPr>
          <w:rFonts w:ascii="Arial" w:hAnsi="Arial" w:cs="Arial"/>
          <w:b/>
          <w:bCs/>
          <w:sz w:val="24"/>
          <w:szCs w:val="24"/>
        </w:rPr>
      </w:pPr>
    </w:p>
    <w:p w14:paraId="3C5AC409" w14:textId="77777777" w:rsidR="00236009" w:rsidRPr="00236009" w:rsidRDefault="00236009" w:rsidP="00236009">
      <w:pPr>
        <w:spacing w:line="360" w:lineRule="auto"/>
        <w:rPr>
          <w:rFonts w:ascii="Arial" w:hAnsi="Arial" w:cs="Arial"/>
          <w:b/>
          <w:bCs/>
          <w:sz w:val="24"/>
          <w:szCs w:val="24"/>
        </w:rPr>
      </w:pPr>
    </w:p>
    <w:p w14:paraId="2B030305" w14:textId="77777777" w:rsidR="00236009" w:rsidRPr="00236009" w:rsidRDefault="00236009" w:rsidP="00236009">
      <w:pPr>
        <w:spacing w:line="360" w:lineRule="auto"/>
        <w:rPr>
          <w:rFonts w:ascii="Arial" w:hAnsi="Arial" w:cs="Arial"/>
          <w:b/>
          <w:bCs/>
          <w:sz w:val="24"/>
          <w:szCs w:val="24"/>
        </w:rPr>
      </w:pPr>
    </w:p>
    <w:p w14:paraId="683799E7" w14:textId="77777777" w:rsidR="00236009" w:rsidRPr="00236009" w:rsidRDefault="00236009" w:rsidP="00236009">
      <w:pPr>
        <w:spacing w:line="360" w:lineRule="auto"/>
        <w:rPr>
          <w:rFonts w:ascii="Arial" w:hAnsi="Arial" w:cs="Arial"/>
          <w:b/>
          <w:bCs/>
          <w:sz w:val="24"/>
          <w:szCs w:val="24"/>
        </w:rPr>
      </w:pPr>
    </w:p>
    <w:p w14:paraId="103AC2CB" w14:textId="77777777" w:rsidR="00236009" w:rsidRPr="00236009" w:rsidRDefault="00236009" w:rsidP="00236009">
      <w:pPr>
        <w:spacing w:line="360" w:lineRule="auto"/>
        <w:rPr>
          <w:rFonts w:ascii="Arial" w:hAnsi="Arial" w:cs="Arial"/>
          <w:b/>
          <w:bCs/>
          <w:sz w:val="24"/>
          <w:szCs w:val="24"/>
        </w:rPr>
      </w:pPr>
    </w:p>
    <w:sdt>
      <w:sdtPr>
        <w:rPr>
          <w:rFonts w:ascii="Arial" w:eastAsiaTheme="minorHAnsi" w:hAnsi="Arial" w:cs="Arial"/>
          <w:color w:val="auto"/>
          <w:kern w:val="2"/>
          <w:sz w:val="22"/>
          <w:szCs w:val="22"/>
          <w:lang w:val="en-GB"/>
          <w14:ligatures w14:val="standardContextual"/>
        </w:rPr>
        <w:id w:val="-608054651"/>
        <w:docPartObj>
          <w:docPartGallery w:val="Table of Contents"/>
          <w:docPartUnique/>
        </w:docPartObj>
      </w:sdtPr>
      <w:sdtEndPr>
        <w:rPr>
          <w:b/>
          <w:bCs/>
          <w:noProof/>
        </w:rPr>
      </w:sdtEndPr>
      <w:sdtContent>
        <w:p w14:paraId="793C8B28" w14:textId="677F4BCB" w:rsidR="00236009" w:rsidRPr="00236009" w:rsidRDefault="00236009" w:rsidP="00236009">
          <w:pPr>
            <w:pStyle w:val="TOCHeading"/>
            <w:spacing w:line="360" w:lineRule="auto"/>
            <w:rPr>
              <w:rFonts w:ascii="Arial" w:hAnsi="Arial" w:cs="Arial"/>
            </w:rPr>
          </w:pPr>
          <w:r w:rsidRPr="00236009">
            <w:rPr>
              <w:rFonts w:ascii="Arial" w:hAnsi="Arial" w:cs="Arial"/>
            </w:rPr>
            <w:t xml:space="preserve">                               </w:t>
          </w:r>
          <w:r>
            <w:rPr>
              <w:rFonts w:ascii="Arial" w:hAnsi="Arial" w:cs="Arial"/>
            </w:rPr>
            <w:t xml:space="preserve"> </w:t>
          </w:r>
          <w:r w:rsidRPr="00236009">
            <w:rPr>
              <w:rFonts w:ascii="Arial" w:hAnsi="Arial" w:cs="Arial"/>
            </w:rPr>
            <w:t xml:space="preserve"> </w:t>
          </w:r>
          <w:r w:rsidRPr="00236009">
            <w:rPr>
              <w:rFonts w:ascii="Arial" w:hAnsi="Arial" w:cs="Arial"/>
              <w:u w:val="single"/>
            </w:rPr>
            <w:t>Table of Contents</w:t>
          </w:r>
        </w:p>
        <w:p w14:paraId="6CE8F9B0" w14:textId="28D7F322" w:rsidR="00236009" w:rsidRPr="00236009" w:rsidRDefault="00236009" w:rsidP="00236009">
          <w:pPr>
            <w:pStyle w:val="TOC1"/>
            <w:tabs>
              <w:tab w:val="right" w:leader="dot" w:pos="9016"/>
            </w:tabs>
            <w:spacing w:line="360" w:lineRule="auto"/>
            <w:rPr>
              <w:rFonts w:ascii="Arial" w:hAnsi="Arial" w:cs="Arial"/>
              <w:noProof/>
            </w:rPr>
          </w:pPr>
          <w:r w:rsidRPr="00236009">
            <w:rPr>
              <w:rFonts w:ascii="Arial" w:hAnsi="Arial" w:cs="Arial"/>
            </w:rPr>
            <w:fldChar w:fldCharType="begin"/>
          </w:r>
          <w:r w:rsidRPr="00236009">
            <w:rPr>
              <w:rFonts w:ascii="Arial" w:hAnsi="Arial" w:cs="Arial"/>
            </w:rPr>
            <w:instrText xml:space="preserve"> TOC \o "1-3" \h \z \u </w:instrText>
          </w:r>
          <w:r w:rsidRPr="00236009">
            <w:rPr>
              <w:rFonts w:ascii="Arial" w:hAnsi="Arial" w:cs="Arial"/>
            </w:rPr>
            <w:fldChar w:fldCharType="separate"/>
          </w:r>
          <w:hyperlink w:anchor="_Toc226117811" w:history="1">
            <w:r w:rsidRPr="00236009">
              <w:rPr>
                <w:rStyle w:val="Hyperlink"/>
                <w:rFonts w:ascii="Arial" w:hAnsi="Arial" w:cs="Arial"/>
                <w:noProof/>
              </w:rPr>
              <w:t>1. Introduction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_Toc226117811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3</w:t>
            </w:r>
            <w:r w:rsidRPr="00236009">
              <w:rPr>
                <w:rFonts w:ascii="Arial" w:hAnsi="Arial" w:cs="Arial"/>
                <w:noProof/>
                <w:webHidden/>
              </w:rPr>
              <w:fldChar w:fldCharType="end"/>
            </w:r>
          </w:hyperlink>
        </w:p>
        <w:p w14:paraId="40BFCFBF" w14:textId="620A9D11" w:rsidR="00236009" w:rsidRPr="00236009" w:rsidRDefault="00236009" w:rsidP="00236009">
          <w:pPr>
            <w:pStyle w:val="TOC1"/>
            <w:tabs>
              <w:tab w:val="right" w:leader="dot" w:pos="9016"/>
            </w:tabs>
            <w:spacing w:line="360" w:lineRule="auto"/>
            <w:rPr>
              <w:rFonts w:ascii="Arial" w:hAnsi="Arial" w:cs="Arial"/>
              <w:noProof/>
            </w:rPr>
          </w:pPr>
          <w:hyperlink w:anchor="_Toc226117812" w:history="1">
            <w:r w:rsidRPr="00236009">
              <w:rPr>
                <w:rStyle w:val="Hyperlink"/>
                <w:rFonts w:ascii="Arial" w:hAnsi="Arial" w:cs="Arial"/>
                <w:noProof/>
              </w:rPr>
              <w:t>2. Importance of Effective Communication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_Toc226117812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3</w:t>
            </w:r>
            <w:r w:rsidRPr="00236009">
              <w:rPr>
                <w:rFonts w:ascii="Arial" w:hAnsi="Arial" w:cs="Arial"/>
                <w:noProof/>
                <w:webHidden/>
              </w:rPr>
              <w:fldChar w:fldCharType="end"/>
            </w:r>
          </w:hyperlink>
        </w:p>
        <w:p w14:paraId="1991A124" w14:textId="2BF0BF29" w:rsidR="00236009" w:rsidRPr="00236009" w:rsidRDefault="00236009" w:rsidP="00236009">
          <w:pPr>
            <w:pStyle w:val="TOC1"/>
            <w:tabs>
              <w:tab w:val="right" w:leader="dot" w:pos="9016"/>
            </w:tabs>
            <w:spacing w:line="360" w:lineRule="auto"/>
            <w:rPr>
              <w:rFonts w:ascii="Arial" w:hAnsi="Arial" w:cs="Arial"/>
              <w:noProof/>
            </w:rPr>
          </w:pPr>
          <w:hyperlink w:anchor="_Toc226117813" w:history="1">
            <w:r w:rsidRPr="00236009">
              <w:rPr>
                <w:rStyle w:val="Hyperlink"/>
                <w:rFonts w:ascii="Arial" w:hAnsi="Arial" w:cs="Arial"/>
                <w:noProof/>
              </w:rPr>
              <w:t>3. Importance of Administrative Skills</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_Toc226117813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4</w:t>
            </w:r>
            <w:r w:rsidRPr="00236009">
              <w:rPr>
                <w:rFonts w:ascii="Arial" w:hAnsi="Arial" w:cs="Arial"/>
                <w:noProof/>
                <w:webHidden/>
              </w:rPr>
              <w:fldChar w:fldCharType="end"/>
            </w:r>
          </w:hyperlink>
        </w:p>
        <w:p w14:paraId="02DF91E3" w14:textId="7FEC050D" w:rsidR="00236009" w:rsidRPr="00236009" w:rsidRDefault="00236009" w:rsidP="00236009">
          <w:pPr>
            <w:pStyle w:val="TOC1"/>
            <w:tabs>
              <w:tab w:val="right" w:leader="dot" w:pos="9016"/>
            </w:tabs>
            <w:spacing w:line="360" w:lineRule="auto"/>
            <w:rPr>
              <w:rFonts w:ascii="Arial" w:hAnsi="Arial" w:cs="Arial"/>
              <w:noProof/>
            </w:rPr>
          </w:pPr>
          <w:hyperlink w:anchor="_Toc226117814" w:history="1">
            <w:r w:rsidRPr="00236009">
              <w:rPr>
                <w:rStyle w:val="Hyperlink"/>
                <w:rFonts w:ascii="Arial" w:hAnsi="Arial" w:cs="Arial"/>
                <w:noProof/>
              </w:rPr>
              <w:t>4. Importance of Collaborative Working</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_Toc226117814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5</w:t>
            </w:r>
            <w:r w:rsidRPr="00236009">
              <w:rPr>
                <w:rFonts w:ascii="Arial" w:hAnsi="Arial" w:cs="Arial"/>
                <w:noProof/>
                <w:webHidden/>
              </w:rPr>
              <w:fldChar w:fldCharType="end"/>
            </w:r>
          </w:hyperlink>
        </w:p>
        <w:p w14:paraId="55EC6098" w14:textId="14A79489" w:rsidR="00236009" w:rsidRPr="00236009" w:rsidRDefault="00236009" w:rsidP="00236009">
          <w:pPr>
            <w:pStyle w:val="TOC1"/>
            <w:tabs>
              <w:tab w:val="right" w:leader="dot" w:pos="9016"/>
            </w:tabs>
            <w:spacing w:line="360" w:lineRule="auto"/>
            <w:rPr>
              <w:rFonts w:ascii="Arial" w:hAnsi="Arial" w:cs="Arial"/>
              <w:noProof/>
            </w:rPr>
          </w:pPr>
          <w:hyperlink w:anchor="_Toc226117815" w:history="1">
            <w:r w:rsidRPr="00236009">
              <w:rPr>
                <w:rStyle w:val="Hyperlink"/>
                <w:rFonts w:ascii="Arial" w:hAnsi="Arial" w:cs="Arial"/>
                <w:noProof/>
              </w:rPr>
              <w:t>5. Conclusion</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_Toc226117815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6</w:t>
            </w:r>
            <w:r w:rsidRPr="00236009">
              <w:rPr>
                <w:rFonts w:ascii="Arial" w:hAnsi="Arial" w:cs="Arial"/>
                <w:noProof/>
                <w:webHidden/>
              </w:rPr>
              <w:fldChar w:fldCharType="end"/>
            </w:r>
          </w:hyperlink>
        </w:p>
        <w:p w14:paraId="68428AB9" w14:textId="409C873D" w:rsidR="00236009" w:rsidRPr="00236009" w:rsidRDefault="00236009" w:rsidP="00236009">
          <w:pPr>
            <w:pStyle w:val="TOC1"/>
            <w:tabs>
              <w:tab w:val="right" w:leader="dot" w:pos="9016"/>
            </w:tabs>
            <w:spacing w:line="360" w:lineRule="auto"/>
            <w:rPr>
              <w:rFonts w:ascii="Arial" w:hAnsi="Arial" w:cs="Arial"/>
              <w:noProof/>
            </w:rPr>
          </w:pPr>
          <w:hyperlink w:anchor="_Toc226117816" w:history="1">
            <w:r w:rsidRPr="00236009">
              <w:rPr>
                <w:rStyle w:val="Hyperlink"/>
                <w:rFonts w:ascii="Arial" w:hAnsi="Arial" w:cs="Arial"/>
                <w:noProof/>
              </w:rPr>
              <w:t>6. References</w:t>
            </w:r>
            <w:r w:rsidRPr="00236009">
              <w:rPr>
                <w:rFonts w:ascii="Arial" w:hAnsi="Arial" w:cs="Arial"/>
                <w:noProof/>
                <w:webHidden/>
              </w:rPr>
              <w:tab/>
            </w:r>
            <w:r w:rsidRPr="00236009">
              <w:rPr>
                <w:rFonts w:ascii="Arial" w:hAnsi="Arial" w:cs="Arial"/>
                <w:noProof/>
                <w:webHidden/>
              </w:rPr>
              <w:fldChar w:fldCharType="begin"/>
            </w:r>
            <w:r w:rsidRPr="00236009">
              <w:rPr>
                <w:rFonts w:ascii="Arial" w:hAnsi="Arial" w:cs="Arial"/>
                <w:noProof/>
                <w:webHidden/>
              </w:rPr>
              <w:instrText xml:space="preserve"> PAGEREF _Toc226117816 \h </w:instrText>
            </w:r>
            <w:r w:rsidRPr="00236009">
              <w:rPr>
                <w:rFonts w:ascii="Arial" w:hAnsi="Arial" w:cs="Arial"/>
                <w:noProof/>
                <w:webHidden/>
              </w:rPr>
            </w:r>
            <w:r w:rsidRPr="00236009">
              <w:rPr>
                <w:rFonts w:ascii="Arial" w:hAnsi="Arial" w:cs="Arial"/>
                <w:noProof/>
                <w:webHidden/>
              </w:rPr>
              <w:fldChar w:fldCharType="separate"/>
            </w:r>
            <w:r w:rsidR="006A37A2">
              <w:rPr>
                <w:rFonts w:ascii="Arial" w:hAnsi="Arial" w:cs="Arial"/>
                <w:noProof/>
                <w:webHidden/>
              </w:rPr>
              <w:t>7</w:t>
            </w:r>
            <w:r w:rsidRPr="00236009">
              <w:rPr>
                <w:rFonts w:ascii="Arial" w:hAnsi="Arial" w:cs="Arial"/>
                <w:noProof/>
                <w:webHidden/>
              </w:rPr>
              <w:fldChar w:fldCharType="end"/>
            </w:r>
          </w:hyperlink>
        </w:p>
        <w:p w14:paraId="22B37FE9" w14:textId="35D8F3B3" w:rsidR="00236009" w:rsidRPr="00236009" w:rsidRDefault="00236009" w:rsidP="00236009">
          <w:pPr>
            <w:spacing w:line="360" w:lineRule="auto"/>
            <w:rPr>
              <w:rFonts w:ascii="Arial" w:hAnsi="Arial" w:cs="Arial"/>
            </w:rPr>
          </w:pPr>
          <w:r w:rsidRPr="00236009">
            <w:rPr>
              <w:rFonts w:ascii="Arial" w:hAnsi="Arial" w:cs="Arial"/>
              <w:b/>
              <w:bCs/>
              <w:noProof/>
            </w:rPr>
            <w:fldChar w:fldCharType="end"/>
          </w:r>
        </w:p>
      </w:sdtContent>
    </w:sdt>
    <w:p w14:paraId="412E296B" w14:textId="77777777" w:rsidR="00236009" w:rsidRPr="00236009" w:rsidRDefault="00236009" w:rsidP="00236009">
      <w:pPr>
        <w:spacing w:line="360" w:lineRule="auto"/>
        <w:rPr>
          <w:rFonts w:ascii="Arial" w:hAnsi="Arial" w:cs="Arial"/>
          <w:b/>
          <w:bCs/>
          <w:sz w:val="24"/>
          <w:szCs w:val="24"/>
        </w:rPr>
      </w:pPr>
    </w:p>
    <w:p w14:paraId="1587905F" w14:textId="77777777" w:rsidR="00236009" w:rsidRPr="00236009" w:rsidRDefault="00236009" w:rsidP="00236009">
      <w:pPr>
        <w:spacing w:line="360" w:lineRule="auto"/>
        <w:rPr>
          <w:rFonts w:ascii="Arial" w:hAnsi="Arial" w:cs="Arial"/>
          <w:b/>
          <w:bCs/>
          <w:sz w:val="24"/>
          <w:szCs w:val="24"/>
        </w:rPr>
      </w:pPr>
    </w:p>
    <w:p w14:paraId="61BF6CDD" w14:textId="77777777" w:rsidR="00236009" w:rsidRPr="00236009" w:rsidRDefault="00236009" w:rsidP="00236009">
      <w:pPr>
        <w:spacing w:line="360" w:lineRule="auto"/>
        <w:rPr>
          <w:rFonts w:ascii="Arial" w:hAnsi="Arial" w:cs="Arial"/>
          <w:b/>
          <w:bCs/>
          <w:sz w:val="24"/>
          <w:szCs w:val="24"/>
        </w:rPr>
      </w:pPr>
    </w:p>
    <w:p w14:paraId="752C0F51" w14:textId="77777777" w:rsidR="00236009" w:rsidRPr="00236009" w:rsidRDefault="00236009" w:rsidP="00236009">
      <w:pPr>
        <w:spacing w:line="360" w:lineRule="auto"/>
        <w:rPr>
          <w:rFonts w:ascii="Arial" w:hAnsi="Arial" w:cs="Arial"/>
          <w:b/>
          <w:bCs/>
          <w:sz w:val="24"/>
          <w:szCs w:val="24"/>
        </w:rPr>
      </w:pPr>
    </w:p>
    <w:p w14:paraId="6676CC68" w14:textId="77777777" w:rsidR="00236009" w:rsidRPr="00236009" w:rsidRDefault="00236009" w:rsidP="00236009">
      <w:pPr>
        <w:spacing w:line="360" w:lineRule="auto"/>
        <w:rPr>
          <w:rFonts w:ascii="Arial" w:hAnsi="Arial" w:cs="Arial"/>
          <w:b/>
          <w:bCs/>
          <w:sz w:val="24"/>
          <w:szCs w:val="24"/>
        </w:rPr>
      </w:pPr>
    </w:p>
    <w:p w14:paraId="548C4676" w14:textId="77777777" w:rsidR="00236009" w:rsidRPr="00236009" w:rsidRDefault="00236009" w:rsidP="00236009">
      <w:pPr>
        <w:spacing w:line="360" w:lineRule="auto"/>
        <w:rPr>
          <w:rFonts w:ascii="Arial" w:hAnsi="Arial" w:cs="Arial"/>
          <w:b/>
          <w:bCs/>
          <w:sz w:val="24"/>
          <w:szCs w:val="24"/>
        </w:rPr>
      </w:pPr>
    </w:p>
    <w:p w14:paraId="2AB5FE9D" w14:textId="77777777" w:rsidR="00236009" w:rsidRPr="00236009" w:rsidRDefault="00236009" w:rsidP="00236009">
      <w:pPr>
        <w:spacing w:line="360" w:lineRule="auto"/>
        <w:rPr>
          <w:rFonts w:ascii="Arial" w:hAnsi="Arial" w:cs="Arial"/>
          <w:b/>
          <w:bCs/>
          <w:sz w:val="24"/>
          <w:szCs w:val="24"/>
        </w:rPr>
      </w:pPr>
    </w:p>
    <w:p w14:paraId="45322F7F" w14:textId="77777777" w:rsidR="00236009" w:rsidRPr="00236009" w:rsidRDefault="00236009" w:rsidP="00236009">
      <w:pPr>
        <w:spacing w:line="360" w:lineRule="auto"/>
        <w:rPr>
          <w:rFonts w:ascii="Arial" w:hAnsi="Arial" w:cs="Arial"/>
          <w:b/>
          <w:bCs/>
          <w:sz w:val="24"/>
          <w:szCs w:val="24"/>
        </w:rPr>
      </w:pPr>
    </w:p>
    <w:p w14:paraId="218C4069" w14:textId="77777777" w:rsidR="00236009" w:rsidRPr="00236009" w:rsidRDefault="00236009" w:rsidP="00236009">
      <w:pPr>
        <w:spacing w:line="360" w:lineRule="auto"/>
        <w:rPr>
          <w:rFonts w:ascii="Arial" w:hAnsi="Arial" w:cs="Arial"/>
          <w:b/>
          <w:bCs/>
          <w:sz w:val="24"/>
          <w:szCs w:val="24"/>
        </w:rPr>
      </w:pPr>
    </w:p>
    <w:p w14:paraId="525F1542" w14:textId="77777777" w:rsidR="00236009" w:rsidRPr="00236009" w:rsidRDefault="00236009" w:rsidP="00236009">
      <w:pPr>
        <w:spacing w:line="360" w:lineRule="auto"/>
        <w:rPr>
          <w:rFonts w:ascii="Arial" w:hAnsi="Arial" w:cs="Arial"/>
          <w:b/>
          <w:bCs/>
          <w:sz w:val="24"/>
          <w:szCs w:val="24"/>
        </w:rPr>
      </w:pPr>
    </w:p>
    <w:p w14:paraId="5B5218DB" w14:textId="77777777" w:rsidR="00236009" w:rsidRPr="00236009" w:rsidRDefault="00236009" w:rsidP="00236009">
      <w:pPr>
        <w:spacing w:line="360" w:lineRule="auto"/>
        <w:rPr>
          <w:rFonts w:ascii="Arial" w:hAnsi="Arial" w:cs="Arial"/>
          <w:b/>
          <w:bCs/>
          <w:sz w:val="24"/>
          <w:szCs w:val="24"/>
        </w:rPr>
      </w:pPr>
    </w:p>
    <w:p w14:paraId="7D1365C1" w14:textId="77777777" w:rsidR="00236009" w:rsidRPr="00236009" w:rsidRDefault="00236009" w:rsidP="00236009">
      <w:pPr>
        <w:spacing w:line="360" w:lineRule="auto"/>
        <w:rPr>
          <w:rFonts w:ascii="Arial" w:hAnsi="Arial" w:cs="Arial"/>
          <w:b/>
          <w:bCs/>
          <w:sz w:val="24"/>
          <w:szCs w:val="24"/>
        </w:rPr>
      </w:pPr>
    </w:p>
    <w:p w14:paraId="1019215A" w14:textId="77777777" w:rsidR="00236009" w:rsidRPr="00236009" w:rsidRDefault="00236009" w:rsidP="00236009">
      <w:pPr>
        <w:spacing w:line="360" w:lineRule="auto"/>
        <w:rPr>
          <w:rFonts w:ascii="Arial" w:hAnsi="Arial" w:cs="Arial"/>
          <w:b/>
          <w:bCs/>
          <w:sz w:val="24"/>
          <w:szCs w:val="24"/>
        </w:rPr>
      </w:pPr>
    </w:p>
    <w:p w14:paraId="05B83D81" w14:textId="77777777" w:rsidR="00236009" w:rsidRPr="00236009" w:rsidRDefault="00236009" w:rsidP="00236009">
      <w:pPr>
        <w:spacing w:line="360" w:lineRule="auto"/>
        <w:rPr>
          <w:rFonts w:ascii="Arial" w:hAnsi="Arial" w:cs="Arial"/>
          <w:b/>
          <w:bCs/>
          <w:sz w:val="24"/>
          <w:szCs w:val="24"/>
        </w:rPr>
      </w:pPr>
    </w:p>
    <w:p w14:paraId="3EAE907B" w14:textId="77777777" w:rsidR="00236009" w:rsidRPr="00236009" w:rsidRDefault="00236009" w:rsidP="00236009">
      <w:pPr>
        <w:spacing w:line="360" w:lineRule="auto"/>
        <w:rPr>
          <w:rFonts w:ascii="Arial" w:hAnsi="Arial" w:cs="Arial"/>
          <w:b/>
          <w:bCs/>
          <w:sz w:val="24"/>
          <w:szCs w:val="24"/>
        </w:rPr>
      </w:pPr>
    </w:p>
    <w:p w14:paraId="26260BA2" w14:textId="77777777" w:rsidR="00236009" w:rsidRPr="00236009" w:rsidRDefault="00236009" w:rsidP="00236009">
      <w:pPr>
        <w:spacing w:line="360" w:lineRule="auto"/>
        <w:rPr>
          <w:rFonts w:ascii="Arial" w:hAnsi="Arial" w:cs="Arial"/>
          <w:b/>
          <w:bCs/>
          <w:sz w:val="24"/>
          <w:szCs w:val="24"/>
        </w:rPr>
      </w:pPr>
    </w:p>
    <w:p w14:paraId="5A92E23A" w14:textId="77777777" w:rsidR="00236009" w:rsidRPr="00236009" w:rsidRDefault="00236009" w:rsidP="00236009">
      <w:pPr>
        <w:spacing w:line="360" w:lineRule="auto"/>
        <w:rPr>
          <w:rFonts w:ascii="Arial" w:hAnsi="Arial" w:cs="Arial"/>
          <w:b/>
          <w:bCs/>
          <w:sz w:val="24"/>
          <w:szCs w:val="24"/>
        </w:rPr>
      </w:pPr>
    </w:p>
    <w:p w14:paraId="64C7B85C" w14:textId="198E310A" w:rsidR="00236009" w:rsidRPr="00236009" w:rsidRDefault="00236009" w:rsidP="00236009">
      <w:pPr>
        <w:pStyle w:val="Heading1"/>
        <w:spacing w:line="360" w:lineRule="auto"/>
        <w:rPr>
          <w:rFonts w:ascii="Arial" w:hAnsi="Arial" w:cs="Arial"/>
        </w:rPr>
      </w:pPr>
      <w:bookmarkStart w:id="0" w:name="_Toc226117811"/>
      <w:r w:rsidRPr="00236009">
        <w:rPr>
          <w:rFonts w:ascii="Arial" w:hAnsi="Arial" w:cs="Arial"/>
        </w:rPr>
        <w:lastRenderedPageBreak/>
        <w:t>1. Introduction</w:t>
      </w:r>
      <w:bookmarkEnd w:id="0"/>
      <w:r w:rsidRPr="00236009">
        <w:rPr>
          <w:rFonts w:ascii="Arial" w:hAnsi="Arial" w:cs="Arial"/>
        </w:rPr>
        <w:t xml:space="preserve"> </w:t>
      </w:r>
    </w:p>
    <w:p w14:paraId="2660C537" w14:textId="2BE8ACEC"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The report is a critical analysis of the importance of effective communication, administrative skills, and collaborative working in the health and social care based on the case of Mr Ahmed. The case of Mr Ahmed is a 68-year-old stroke patient with complex care needs, both in terms of language barriers and the use of a multidisciplinary team to assist him. All these aspects make effective communication, proper records management and coordinated care delivery more significant. The existence of failures in any of these areas can cause serious risks as the example of missed domiciliary care visit has demonstrated, causing medication delays. This report discusses how the communication models and legal frameworks including the Equality Act 2010 can be used to facilitate inclusive care and how the administration practice based on the Data Protection Act 2018 can be used to maintain confidentiality and safety. It also appraises how collaborative working is useful in enhancing patient outcomes. The discussion will be based on the recent scholarly literature to examine the obstacles and suggest effective measures to improve the quality of care an</w:t>
      </w:r>
      <w:r w:rsidR="007A2B77">
        <w:rPr>
          <w:rFonts w:ascii="Arial" w:hAnsi="Arial" w:cs="Arial"/>
          <w:sz w:val="24"/>
          <w:szCs w:val="24"/>
        </w:rPr>
        <w:t>d</w:t>
      </w:r>
      <w:r w:rsidRPr="00236009">
        <w:rPr>
          <w:rFonts w:ascii="Arial" w:hAnsi="Arial" w:cs="Arial"/>
          <w:sz w:val="24"/>
          <w:szCs w:val="24"/>
        </w:rPr>
        <w:t xml:space="preserve"> patient safety.</w:t>
      </w:r>
    </w:p>
    <w:p w14:paraId="6DA9D5DA" w14:textId="143227B2" w:rsidR="00236009" w:rsidRPr="00236009" w:rsidRDefault="00236009" w:rsidP="00236009">
      <w:pPr>
        <w:pStyle w:val="Heading1"/>
        <w:spacing w:line="360" w:lineRule="auto"/>
        <w:rPr>
          <w:rFonts w:ascii="Arial" w:hAnsi="Arial" w:cs="Arial"/>
        </w:rPr>
      </w:pPr>
      <w:bookmarkStart w:id="1" w:name="_Toc226117812"/>
      <w:r w:rsidRPr="00236009">
        <w:rPr>
          <w:rFonts w:ascii="Arial" w:hAnsi="Arial" w:cs="Arial"/>
        </w:rPr>
        <w:t>2. Importance of Effective Communication</w:t>
      </w:r>
      <w:bookmarkEnd w:id="1"/>
      <w:r w:rsidRPr="00236009">
        <w:rPr>
          <w:rFonts w:ascii="Arial" w:hAnsi="Arial" w:cs="Arial"/>
        </w:rPr>
        <w:t xml:space="preserve"> </w:t>
      </w:r>
    </w:p>
    <w:p w14:paraId="0844E761"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Communication is also vital in terms of the provision of safe and person-centred care especially in cases that are complex like the one of Mr Ahmed. His low level of English language and speech problems after a stroke are some of the obstacles that will cause him to misunderstand medical advice and treatment regimen. Ineffective communication within the healthcare has been associated with more risks of making errors and lower patient satisfaction (Karim et al., 2022). </w:t>
      </w:r>
    </w:p>
    <w:p w14:paraId="3573DF53"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The Shannon and Weaver model brings out the fact that communication is done with a sender, message, channel, and receiver, and that noise may interfere with the process. Language differences and cognitive impairment are the barriers in Mr Ahmed case which contribute to the lack of clarity in the exchanged information. This enhances the chances of a breakdown in communication especially on medication prescriptions and the care regimen. </w:t>
      </w:r>
    </w:p>
    <w:p w14:paraId="17D2C996"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lastRenderedPageBreak/>
        <w:t xml:space="preserve">The Equality Act 2010 legally obliges the healthcare providers to make sure that people are not disadvantaged because of the characteristics that are under protection like disability or language barriers. This implies that reasonable accommodation should be done like availing professional interpreters or means of communication. It has been found that culturally competent communication enhances health outcomes and patient engagement (Galea et al., 2024). </w:t>
      </w:r>
    </w:p>
    <w:p w14:paraId="7D51FA4F" w14:textId="3F505AC5"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Practically, it is possible to enhance comprehension with the help of such strategies as simple language, visual communication, and non-verbal communication.  </w:t>
      </w:r>
      <w:r w:rsidR="0032025A">
        <w:rPr>
          <w:rFonts w:ascii="Arial" w:hAnsi="Arial" w:cs="Arial"/>
          <w:sz w:val="24"/>
          <w:szCs w:val="24"/>
        </w:rPr>
        <w:t>De</w:t>
      </w:r>
      <w:r w:rsidR="0032025A" w:rsidRPr="00236009">
        <w:rPr>
          <w:rFonts w:ascii="Arial" w:hAnsi="Arial" w:cs="Arial"/>
          <w:sz w:val="24"/>
          <w:szCs w:val="24"/>
        </w:rPr>
        <w:t>spite the</w:t>
      </w:r>
      <w:r w:rsidRPr="00236009">
        <w:rPr>
          <w:rFonts w:ascii="Arial" w:hAnsi="Arial" w:cs="Arial"/>
          <w:sz w:val="24"/>
          <w:szCs w:val="24"/>
        </w:rPr>
        <w:t xml:space="preserve"> fact that the wife of Mr Ahmed encourages communication, the dependency on the family members may lead to risks, such as confidentiality violation and incorrect translation. Professional interpreters are shown to be more reliable when it comes to communication and minimize clinical risks (Vandemeulebroucke and Bolte, 2025). </w:t>
      </w:r>
    </w:p>
    <w:p w14:paraId="1D5D6C31" w14:textId="0C8C4C26"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More importantly, poor communication may have a direct effect on patient safety. The missed medication incidence can partially be attributed to the lapses in communication between the care providers and the patient. As such, it is necessary to implement the person-centred approach which </w:t>
      </w:r>
      <w:proofErr w:type="gramStart"/>
      <w:r w:rsidRPr="00236009">
        <w:rPr>
          <w:rFonts w:ascii="Arial" w:hAnsi="Arial" w:cs="Arial"/>
          <w:sz w:val="24"/>
          <w:szCs w:val="24"/>
        </w:rPr>
        <w:t>takes into account</w:t>
      </w:r>
      <w:proofErr w:type="gramEnd"/>
      <w:r w:rsidRPr="00236009">
        <w:rPr>
          <w:rFonts w:ascii="Arial" w:hAnsi="Arial" w:cs="Arial"/>
          <w:sz w:val="24"/>
          <w:szCs w:val="24"/>
        </w:rPr>
        <w:t xml:space="preserve"> the cultural and linguistic requirements. To reduce risks and enhance the quality of care, healthcare professionals should make sure that communication is effective, inclusive, and tailored to the needs of the person to make it clear and understandable.</w:t>
      </w:r>
    </w:p>
    <w:p w14:paraId="71BD40FC" w14:textId="4E41396D" w:rsidR="00236009" w:rsidRPr="00236009" w:rsidRDefault="00236009" w:rsidP="00236009">
      <w:pPr>
        <w:pStyle w:val="Heading1"/>
        <w:spacing w:line="360" w:lineRule="auto"/>
        <w:rPr>
          <w:rFonts w:ascii="Arial" w:hAnsi="Arial" w:cs="Arial"/>
        </w:rPr>
      </w:pPr>
      <w:bookmarkStart w:id="2" w:name="_Toc226117813"/>
      <w:r w:rsidRPr="00236009">
        <w:rPr>
          <w:rFonts w:ascii="Arial" w:hAnsi="Arial" w:cs="Arial"/>
        </w:rPr>
        <w:t>3. Importance of Administrative Skills</w:t>
      </w:r>
      <w:bookmarkEnd w:id="2"/>
      <w:r w:rsidRPr="00236009">
        <w:rPr>
          <w:rFonts w:ascii="Arial" w:hAnsi="Arial" w:cs="Arial"/>
        </w:rPr>
        <w:t xml:space="preserve"> </w:t>
      </w:r>
    </w:p>
    <w:p w14:paraId="64BE4C5E"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The skills of the administrator are important to ensure the safety of patients, their accountability and continuity of care. The case of Mr Ahmed is characterized by the failure to visit domiciliary care, which marks a failure in the administrative procedures, thus, leading to the late provision of medication and possible injuries. This shows that bad record keeping and coordination may have a direct impact on patient outcomes. </w:t>
      </w:r>
    </w:p>
    <w:p w14:paraId="4117A245"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Proper record keeping would mean all medical practitioners would be able to have the latest information so that they would make informed decisions. Data Protection Act 2018 regulates the processing of personal data and thus the information of the patient is processed according to the law, it is stored safely and shared in </w:t>
      </w:r>
      <w:r w:rsidRPr="00236009">
        <w:rPr>
          <w:rFonts w:ascii="Arial" w:hAnsi="Arial" w:cs="Arial"/>
          <w:sz w:val="24"/>
          <w:szCs w:val="24"/>
        </w:rPr>
        <w:lastRenderedPageBreak/>
        <w:t xml:space="preserve">accordance with the law. This legislation </w:t>
      </w:r>
      <w:proofErr w:type="gramStart"/>
      <w:r w:rsidRPr="00236009">
        <w:rPr>
          <w:rFonts w:ascii="Arial" w:hAnsi="Arial" w:cs="Arial"/>
          <w:sz w:val="24"/>
          <w:szCs w:val="24"/>
        </w:rPr>
        <w:t>has to</w:t>
      </w:r>
      <w:proofErr w:type="gramEnd"/>
      <w:r w:rsidRPr="00236009">
        <w:rPr>
          <w:rFonts w:ascii="Arial" w:hAnsi="Arial" w:cs="Arial"/>
          <w:sz w:val="24"/>
          <w:szCs w:val="24"/>
        </w:rPr>
        <w:t xml:space="preserve"> be adhered to </w:t>
      </w:r>
      <w:proofErr w:type="gramStart"/>
      <w:r w:rsidRPr="00236009">
        <w:rPr>
          <w:rFonts w:ascii="Arial" w:hAnsi="Arial" w:cs="Arial"/>
          <w:sz w:val="24"/>
          <w:szCs w:val="24"/>
        </w:rPr>
        <w:t>in order to</w:t>
      </w:r>
      <w:proofErr w:type="gramEnd"/>
      <w:r w:rsidRPr="00236009">
        <w:rPr>
          <w:rFonts w:ascii="Arial" w:hAnsi="Arial" w:cs="Arial"/>
          <w:sz w:val="24"/>
          <w:szCs w:val="24"/>
        </w:rPr>
        <w:t xml:space="preserve"> ensure confidentiality and trust in the healthcare facilities. </w:t>
      </w:r>
    </w:p>
    <w:p w14:paraId="4EB94567" w14:textId="475521D0"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Recent research notes that poor data management schemes and administrative mistakes are the major cause of patient safety incidents (Khanna and Kotwal, 2025). Moreover, poor practices in the protection of data may be used to compromise sensitive information, which will destroy patient trust </w:t>
      </w:r>
      <w:r w:rsidR="003636D5" w:rsidRPr="00236009">
        <w:rPr>
          <w:rFonts w:ascii="Arial" w:hAnsi="Arial" w:cs="Arial"/>
          <w:sz w:val="24"/>
          <w:szCs w:val="24"/>
        </w:rPr>
        <w:t>(Data</w:t>
      </w:r>
      <w:r w:rsidRPr="00236009">
        <w:rPr>
          <w:rFonts w:ascii="Arial" w:hAnsi="Arial" w:cs="Arial"/>
          <w:sz w:val="24"/>
          <w:szCs w:val="24"/>
        </w:rPr>
        <w:t xml:space="preserve"> Privacy in Healthcare, 2025). This supports the aspect of strong administrative systems. </w:t>
      </w:r>
    </w:p>
    <w:p w14:paraId="3A871D0B" w14:textId="03F3AC49"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The Health and Care Act 2022 </w:t>
      </w:r>
      <w:r w:rsidR="003636D5" w:rsidRPr="00236009">
        <w:rPr>
          <w:rFonts w:ascii="Arial" w:hAnsi="Arial" w:cs="Arial"/>
          <w:sz w:val="24"/>
          <w:szCs w:val="24"/>
        </w:rPr>
        <w:t>facilitate</w:t>
      </w:r>
      <w:r w:rsidRPr="00236009">
        <w:rPr>
          <w:rFonts w:ascii="Arial" w:hAnsi="Arial" w:cs="Arial"/>
          <w:sz w:val="24"/>
          <w:szCs w:val="24"/>
        </w:rPr>
        <w:t xml:space="preserve"> the orientation of health services to enhance improved data sharing and coordination between organisations. In the case of Mr Ahmed, the lack of communication and responsibility between care providers would have been replaced by the overall better integration, which would have avoided the missed visit. Regarding practicality, such administrative practices as keeping proper care plans, recording every intervention, and the digital system that allows tracking visits and medication schedules are effective. Nevertheless, obstacles like shortage of staff, insufficient training and inefficiencies in the system may be a hindrance to efficient implementation. </w:t>
      </w:r>
    </w:p>
    <w:p w14:paraId="5BD5BD80" w14:textId="34A8606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Most importantly, there are grave repercussions of administrative failures. The medication error case explains the importance of a single error in jeopardizing patient safety. Thus, effective administrative systems, frequent audits, and training of the staff should be among the priorities of healthcare organisations to reduce risks and provide high-quality care.</w:t>
      </w:r>
    </w:p>
    <w:p w14:paraId="1323AEC4" w14:textId="6BA5AFB5" w:rsidR="00236009" w:rsidRPr="00236009" w:rsidRDefault="00236009" w:rsidP="00236009">
      <w:pPr>
        <w:pStyle w:val="Heading1"/>
        <w:spacing w:line="360" w:lineRule="auto"/>
        <w:rPr>
          <w:rFonts w:ascii="Arial" w:hAnsi="Arial" w:cs="Arial"/>
        </w:rPr>
      </w:pPr>
      <w:bookmarkStart w:id="3" w:name="_Toc226117814"/>
      <w:r w:rsidRPr="00236009">
        <w:rPr>
          <w:rFonts w:ascii="Arial" w:hAnsi="Arial" w:cs="Arial"/>
        </w:rPr>
        <w:t>4. Importance of Collaborative Working</w:t>
      </w:r>
      <w:bookmarkEnd w:id="3"/>
      <w:r w:rsidRPr="00236009">
        <w:rPr>
          <w:rFonts w:ascii="Arial" w:hAnsi="Arial" w:cs="Arial"/>
        </w:rPr>
        <w:t xml:space="preserve"> </w:t>
      </w:r>
    </w:p>
    <w:p w14:paraId="516DE2C2"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To provide a patient with a complex need like Mr Ahmed, collaborative working is a necessity to provide a coordinated and holistic care. His care includes various professionals such as a GP, district nurse, workers of domiciliary care and a speech and language therapist. Proper teamwork will make these professionals cooperate to deliver the same and detailed care. Health and Care Act 2022 has reinforced the nature of integrated care systems, which emphasize cooperation between healthcare services. The working of multidisciplinary teams (MDT) allows professionals to exchange experiences and make better decisions and patient outcomes. Studies </w:t>
      </w:r>
      <w:r w:rsidRPr="00236009">
        <w:rPr>
          <w:rFonts w:ascii="Arial" w:hAnsi="Arial" w:cs="Arial"/>
          <w:sz w:val="24"/>
          <w:szCs w:val="24"/>
        </w:rPr>
        <w:lastRenderedPageBreak/>
        <w:t xml:space="preserve">indicate that teamwork is effective in preventing an error and enhancing patient safety (Karim et al., 2022). </w:t>
      </w:r>
    </w:p>
    <w:p w14:paraId="5FDAFED4" w14:textId="7777777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Nevertheless, some of the issues in collaborative working are communication failure, role confusion and information inter-organizational sharing problems. Such problems may result in fractured care such as the missed domiciliary visit. It has been argued that effective collaboration can also be restricted by legal and organisational barriers ( Edge and Kirby, 2025). To address all these obstacles, it is necessary to use such strategies as regular MDT meetings, shared care plans, and the application of digital health records. Effective communication channels and clear definition of roles also help in enhancing the coordination. </w:t>
      </w:r>
    </w:p>
    <w:p w14:paraId="738BE1B7" w14:textId="7FA108C9"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Most importantly, ineffective teamwork may cause severe threats to patient safety. Conversely, teamwork is an effective way of making sure that care is coordinated, timely, and responsive to the needs of the patient. Thus, one of the major determinants in providing quality health and social care is collaborative working.</w:t>
      </w:r>
    </w:p>
    <w:p w14:paraId="2A34E3AF" w14:textId="60690054" w:rsidR="00236009" w:rsidRPr="00236009" w:rsidRDefault="00236009" w:rsidP="00236009">
      <w:pPr>
        <w:pStyle w:val="Heading1"/>
        <w:spacing w:line="360" w:lineRule="auto"/>
        <w:rPr>
          <w:rFonts w:ascii="Arial" w:hAnsi="Arial" w:cs="Arial"/>
        </w:rPr>
      </w:pPr>
      <w:bookmarkStart w:id="4" w:name="_Toc226117815"/>
      <w:r w:rsidRPr="00236009">
        <w:rPr>
          <w:rFonts w:ascii="Arial" w:hAnsi="Arial" w:cs="Arial"/>
        </w:rPr>
        <w:t>5. Conclusion</w:t>
      </w:r>
      <w:bookmarkEnd w:id="4"/>
      <w:r w:rsidRPr="00236009">
        <w:rPr>
          <w:rFonts w:ascii="Arial" w:hAnsi="Arial" w:cs="Arial"/>
        </w:rPr>
        <w:t xml:space="preserve"> </w:t>
      </w:r>
    </w:p>
    <w:p w14:paraId="07BBC206" w14:textId="3933E593"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To sum up, safe and high-quality healthcare should be accompanied by effective communication, strong administrative skills, and collaborative working. The example of Mr Ahmed shows that communication barriers, administrative lapses and coordination deficiency can adversely affect patient outcomes. Inclusive and safe care has been guided by legal frameworks like the Equality Act 2010 and Data Protection Act 2018 and recent studies indicate the necessity of person-centred communication and integrated working. These challenges can be resolved by effective strategies such as, but not limited to, hiring interpreters, proper record keeping, and collaborating with other professionals to ensure patient safety and high-quality care. Finally, healthcare workers should embrace holistic and evidence-based approach in addressing the needs and demands of service users, which is critical in delivering services.</w:t>
      </w:r>
    </w:p>
    <w:p w14:paraId="6132D40E" w14:textId="77777777" w:rsidR="00236009" w:rsidRPr="00236009" w:rsidRDefault="00236009" w:rsidP="00236009">
      <w:pPr>
        <w:spacing w:line="360" w:lineRule="auto"/>
        <w:rPr>
          <w:rFonts w:ascii="Arial" w:hAnsi="Arial" w:cs="Arial"/>
          <w:sz w:val="24"/>
          <w:szCs w:val="24"/>
        </w:rPr>
      </w:pPr>
    </w:p>
    <w:p w14:paraId="1E827252" w14:textId="77777777" w:rsidR="00236009" w:rsidRPr="00236009" w:rsidRDefault="00236009" w:rsidP="00236009">
      <w:pPr>
        <w:spacing w:line="360" w:lineRule="auto"/>
        <w:rPr>
          <w:rFonts w:ascii="Arial" w:hAnsi="Arial" w:cs="Arial"/>
          <w:sz w:val="24"/>
          <w:szCs w:val="24"/>
        </w:rPr>
      </w:pPr>
    </w:p>
    <w:p w14:paraId="2D93F1B2" w14:textId="57DA401B" w:rsidR="00236009" w:rsidRPr="00236009" w:rsidRDefault="00236009" w:rsidP="00236009">
      <w:pPr>
        <w:pStyle w:val="Heading1"/>
        <w:spacing w:line="360" w:lineRule="auto"/>
        <w:rPr>
          <w:rFonts w:ascii="Arial" w:hAnsi="Arial" w:cs="Arial"/>
        </w:rPr>
      </w:pPr>
      <w:bookmarkStart w:id="5" w:name="_Toc226117816"/>
      <w:r w:rsidRPr="00236009">
        <w:rPr>
          <w:rFonts w:ascii="Arial" w:hAnsi="Arial" w:cs="Arial"/>
        </w:rPr>
        <w:lastRenderedPageBreak/>
        <w:t>6. References</w:t>
      </w:r>
      <w:bookmarkEnd w:id="5"/>
      <w:r w:rsidRPr="00236009">
        <w:rPr>
          <w:rFonts w:ascii="Arial" w:hAnsi="Arial" w:cs="Arial"/>
        </w:rPr>
        <w:t xml:space="preserve"> </w:t>
      </w:r>
    </w:p>
    <w:p w14:paraId="7AFB3B2E" w14:textId="00A83CEB"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Care Quality Commission (2023) </w:t>
      </w:r>
      <w:r w:rsidRPr="00236009">
        <w:rPr>
          <w:rFonts w:ascii="Arial" w:hAnsi="Arial" w:cs="Arial"/>
          <w:i/>
          <w:iCs/>
          <w:sz w:val="24"/>
          <w:szCs w:val="24"/>
        </w:rPr>
        <w:t>Regulation 12: Safe care and treatment</w:t>
      </w:r>
      <w:r w:rsidRPr="00236009">
        <w:rPr>
          <w:rFonts w:ascii="Arial" w:hAnsi="Arial" w:cs="Arial"/>
          <w:sz w:val="24"/>
          <w:szCs w:val="24"/>
        </w:rPr>
        <w:t xml:space="preserve">. Available at: </w:t>
      </w:r>
      <w:hyperlink r:id="rId8" w:tgtFrame="_new" w:history="1">
        <w:r w:rsidRPr="00236009">
          <w:rPr>
            <w:rStyle w:val="Hyperlink"/>
            <w:rFonts w:ascii="Arial" w:hAnsi="Arial" w:cs="Arial"/>
            <w:sz w:val="24"/>
            <w:szCs w:val="24"/>
          </w:rPr>
          <w:t>https://www.cqc.org.uk/guidance-providers/regulations-enforcement/regulation-12-safe-care-treatment</w:t>
        </w:r>
      </w:hyperlink>
      <w:r w:rsidRPr="00236009">
        <w:rPr>
          <w:rFonts w:ascii="Arial" w:hAnsi="Arial" w:cs="Arial"/>
          <w:sz w:val="24"/>
          <w:szCs w:val="24"/>
        </w:rPr>
        <w:t xml:space="preserve"> (Accessed: 3 April 2026). </w:t>
      </w:r>
    </w:p>
    <w:p w14:paraId="131A4B26" w14:textId="5F80B0D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Data Privacy in Healthcare (2025) ‘Global challenges and solutions’, </w:t>
      </w:r>
      <w:r w:rsidRPr="00236009">
        <w:rPr>
          <w:rFonts w:ascii="Arial" w:hAnsi="Arial" w:cs="Arial"/>
          <w:i/>
          <w:iCs/>
          <w:sz w:val="24"/>
          <w:szCs w:val="24"/>
        </w:rPr>
        <w:t>PMC</w:t>
      </w:r>
      <w:r w:rsidRPr="00236009">
        <w:rPr>
          <w:rFonts w:ascii="Arial" w:hAnsi="Arial" w:cs="Arial"/>
          <w:sz w:val="24"/>
          <w:szCs w:val="24"/>
        </w:rPr>
        <w:t xml:space="preserve">. Available at: </w:t>
      </w:r>
      <w:hyperlink r:id="rId9" w:tgtFrame="_new" w:history="1">
        <w:r w:rsidRPr="00236009">
          <w:rPr>
            <w:rStyle w:val="Hyperlink"/>
            <w:rFonts w:ascii="Arial" w:hAnsi="Arial" w:cs="Arial"/>
            <w:sz w:val="24"/>
            <w:szCs w:val="24"/>
          </w:rPr>
          <w:t>https://pmc.ncbi.nlm.nih.gov/articles/PMC12138216/</w:t>
        </w:r>
      </w:hyperlink>
      <w:r w:rsidRPr="00236009">
        <w:rPr>
          <w:rFonts w:ascii="Arial" w:hAnsi="Arial" w:cs="Arial"/>
          <w:sz w:val="24"/>
          <w:szCs w:val="24"/>
        </w:rPr>
        <w:t xml:space="preserve"> (Accessed: 3 April 2026). </w:t>
      </w:r>
    </w:p>
    <w:p w14:paraId="72C1B8F5" w14:textId="68447205"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Edge, P. and Kirby, S. (2025) ‘Data protection and information sharing in healthcare’, </w:t>
      </w:r>
      <w:r w:rsidRPr="00236009">
        <w:rPr>
          <w:rFonts w:ascii="Arial" w:hAnsi="Arial" w:cs="Arial"/>
          <w:i/>
          <w:iCs/>
          <w:sz w:val="24"/>
          <w:szCs w:val="24"/>
        </w:rPr>
        <w:t>Information &amp; Communications Technology Law</w:t>
      </w:r>
      <w:r w:rsidRPr="00236009">
        <w:rPr>
          <w:rFonts w:ascii="Arial" w:hAnsi="Arial" w:cs="Arial"/>
          <w:sz w:val="24"/>
          <w:szCs w:val="24"/>
        </w:rPr>
        <w:t xml:space="preserve">. Available at: </w:t>
      </w:r>
      <w:hyperlink r:id="rId10" w:tgtFrame="_new" w:history="1">
        <w:r w:rsidRPr="00236009">
          <w:rPr>
            <w:rStyle w:val="Hyperlink"/>
            <w:rFonts w:ascii="Arial" w:hAnsi="Arial" w:cs="Arial"/>
            <w:sz w:val="24"/>
            <w:szCs w:val="24"/>
          </w:rPr>
          <w:t>https://www.tandfonline.com/doi/full/10.1080/15614263.2025.2465262</w:t>
        </w:r>
      </w:hyperlink>
      <w:r w:rsidRPr="00236009">
        <w:rPr>
          <w:rFonts w:ascii="Arial" w:hAnsi="Arial" w:cs="Arial"/>
          <w:sz w:val="24"/>
          <w:szCs w:val="24"/>
        </w:rPr>
        <w:t xml:space="preserve"> (Accessed: 3 April 2026). </w:t>
      </w:r>
    </w:p>
    <w:p w14:paraId="0CE18C23" w14:textId="286B0222"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Galea, G., Chugh, R. and Luck, J. (2024) ‘Social media codes of conduct in healthcare organisations’, </w:t>
      </w:r>
      <w:r w:rsidRPr="00236009">
        <w:rPr>
          <w:rFonts w:ascii="Arial" w:hAnsi="Arial" w:cs="Arial"/>
          <w:i/>
          <w:iCs/>
          <w:sz w:val="24"/>
          <w:szCs w:val="24"/>
        </w:rPr>
        <w:t>Journal of Public Health</w:t>
      </w:r>
      <w:r w:rsidRPr="00236009">
        <w:rPr>
          <w:rFonts w:ascii="Arial" w:hAnsi="Arial" w:cs="Arial"/>
          <w:sz w:val="24"/>
          <w:szCs w:val="24"/>
        </w:rPr>
        <w:t xml:space="preserve">. Available at: </w:t>
      </w:r>
      <w:hyperlink r:id="rId11" w:tgtFrame="_new" w:history="1">
        <w:r w:rsidRPr="00236009">
          <w:rPr>
            <w:rStyle w:val="Hyperlink"/>
            <w:rFonts w:ascii="Arial" w:hAnsi="Arial" w:cs="Arial"/>
            <w:sz w:val="24"/>
            <w:szCs w:val="24"/>
          </w:rPr>
          <w:t>https://link.springer.com/article/10.1007/s10389-023-01894-5</w:t>
        </w:r>
      </w:hyperlink>
      <w:r w:rsidRPr="00236009">
        <w:rPr>
          <w:rFonts w:ascii="Arial" w:hAnsi="Arial" w:cs="Arial"/>
          <w:sz w:val="24"/>
          <w:szCs w:val="24"/>
        </w:rPr>
        <w:t xml:space="preserve"> (Accessed: 3 April 2026). </w:t>
      </w:r>
    </w:p>
    <w:p w14:paraId="43C9DB61" w14:textId="4F0566CE"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Karim, M.A. et al. (2022) ‘Legal data-sharing barriers in healthcare’, </w:t>
      </w:r>
      <w:r w:rsidRPr="00236009">
        <w:rPr>
          <w:rFonts w:ascii="Arial" w:hAnsi="Arial" w:cs="Arial"/>
          <w:i/>
          <w:iCs/>
          <w:sz w:val="24"/>
          <w:szCs w:val="24"/>
        </w:rPr>
        <w:t>Journal of Medical Internet Research</w:t>
      </w:r>
      <w:r w:rsidRPr="00236009">
        <w:rPr>
          <w:rFonts w:ascii="Arial" w:hAnsi="Arial" w:cs="Arial"/>
          <w:sz w:val="24"/>
          <w:szCs w:val="24"/>
        </w:rPr>
        <w:t xml:space="preserve">, 24(9). Available at: </w:t>
      </w:r>
      <w:hyperlink r:id="rId12" w:tgtFrame="_new" w:history="1">
        <w:r w:rsidRPr="00236009">
          <w:rPr>
            <w:rStyle w:val="Hyperlink"/>
            <w:rFonts w:ascii="Arial" w:hAnsi="Arial" w:cs="Arial"/>
            <w:sz w:val="24"/>
            <w:szCs w:val="24"/>
          </w:rPr>
          <w:t>https://www.jmir.org/2022/9/e39333</w:t>
        </w:r>
      </w:hyperlink>
      <w:r w:rsidRPr="00236009">
        <w:rPr>
          <w:rFonts w:ascii="Arial" w:hAnsi="Arial" w:cs="Arial"/>
          <w:sz w:val="24"/>
          <w:szCs w:val="24"/>
        </w:rPr>
        <w:t xml:space="preserve"> (Accessed: 3 April 2026). </w:t>
      </w:r>
    </w:p>
    <w:p w14:paraId="31F1E8B6" w14:textId="6396BC89"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Khanna, V. and Kotwal, A. (2025) ‘Digital data protection in healthcare systems’, </w:t>
      </w:r>
      <w:r w:rsidRPr="00236009">
        <w:rPr>
          <w:rFonts w:ascii="Arial" w:hAnsi="Arial" w:cs="Arial"/>
          <w:i/>
          <w:iCs/>
          <w:sz w:val="24"/>
          <w:szCs w:val="24"/>
        </w:rPr>
        <w:t>BMC Medical Informatics and Decision Making</w:t>
      </w:r>
      <w:r w:rsidRPr="00236009">
        <w:rPr>
          <w:rFonts w:ascii="Arial" w:hAnsi="Arial" w:cs="Arial"/>
          <w:sz w:val="24"/>
          <w:szCs w:val="24"/>
        </w:rPr>
        <w:t xml:space="preserve">. Available at: </w:t>
      </w:r>
      <w:hyperlink r:id="rId13" w:tgtFrame="_new" w:history="1">
        <w:r w:rsidRPr="00236009">
          <w:rPr>
            <w:rStyle w:val="Hyperlink"/>
            <w:rFonts w:ascii="Arial" w:hAnsi="Arial" w:cs="Arial"/>
            <w:sz w:val="24"/>
            <w:szCs w:val="24"/>
          </w:rPr>
          <w:t>https://link.springer.com/article/10.1186/s12982-025-00757-6</w:t>
        </w:r>
      </w:hyperlink>
      <w:r w:rsidRPr="00236009">
        <w:rPr>
          <w:rFonts w:ascii="Arial" w:hAnsi="Arial" w:cs="Arial"/>
          <w:sz w:val="24"/>
          <w:szCs w:val="24"/>
        </w:rPr>
        <w:t xml:space="preserve"> (Accessed: 3 April 2026). </w:t>
      </w:r>
    </w:p>
    <w:p w14:paraId="28796B1B" w14:textId="32AB2027"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NHS England (2023) </w:t>
      </w:r>
      <w:r w:rsidRPr="00236009">
        <w:rPr>
          <w:rFonts w:ascii="Arial" w:hAnsi="Arial" w:cs="Arial"/>
          <w:i/>
          <w:iCs/>
          <w:sz w:val="24"/>
          <w:szCs w:val="24"/>
        </w:rPr>
        <w:t>Records management code of practice for health and social care</w:t>
      </w:r>
      <w:r w:rsidRPr="00236009">
        <w:rPr>
          <w:rFonts w:ascii="Arial" w:hAnsi="Arial" w:cs="Arial"/>
          <w:sz w:val="24"/>
          <w:szCs w:val="24"/>
        </w:rPr>
        <w:t xml:space="preserve">. Available at: https://www.england.nhs.uk/records-management/ (Accessed: 3 April 2026). </w:t>
      </w:r>
    </w:p>
    <w:p w14:paraId="550EAE3E" w14:textId="2B0D4004"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UK Government (2010) </w:t>
      </w:r>
      <w:r w:rsidRPr="00236009">
        <w:rPr>
          <w:rFonts w:ascii="Arial" w:hAnsi="Arial" w:cs="Arial"/>
          <w:i/>
          <w:iCs/>
          <w:sz w:val="24"/>
          <w:szCs w:val="24"/>
        </w:rPr>
        <w:t>Equality Act 2010</w:t>
      </w:r>
      <w:r w:rsidRPr="00236009">
        <w:rPr>
          <w:rFonts w:ascii="Arial" w:hAnsi="Arial" w:cs="Arial"/>
          <w:sz w:val="24"/>
          <w:szCs w:val="24"/>
        </w:rPr>
        <w:t xml:space="preserve">. Available at: </w:t>
      </w:r>
      <w:hyperlink r:id="rId14" w:tgtFrame="_new" w:history="1">
        <w:r w:rsidRPr="00236009">
          <w:rPr>
            <w:rStyle w:val="Hyperlink"/>
            <w:rFonts w:ascii="Arial" w:hAnsi="Arial" w:cs="Arial"/>
            <w:sz w:val="24"/>
            <w:szCs w:val="24"/>
          </w:rPr>
          <w:t>https://www.legislation.gov.uk/ukpga/2010/15/contents</w:t>
        </w:r>
      </w:hyperlink>
      <w:r w:rsidRPr="00236009">
        <w:rPr>
          <w:rFonts w:ascii="Arial" w:hAnsi="Arial" w:cs="Arial"/>
          <w:sz w:val="24"/>
          <w:szCs w:val="24"/>
        </w:rPr>
        <w:t xml:space="preserve"> (Accessed: 3 April 2026). </w:t>
      </w:r>
    </w:p>
    <w:p w14:paraId="2F3F6CA5" w14:textId="102F7A0A"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UK Government (2018) </w:t>
      </w:r>
      <w:r w:rsidRPr="00236009">
        <w:rPr>
          <w:rFonts w:ascii="Arial" w:hAnsi="Arial" w:cs="Arial"/>
          <w:i/>
          <w:iCs/>
          <w:sz w:val="24"/>
          <w:szCs w:val="24"/>
        </w:rPr>
        <w:t>Data Protection Act 2018</w:t>
      </w:r>
      <w:r w:rsidRPr="00236009">
        <w:rPr>
          <w:rFonts w:ascii="Arial" w:hAnsi="Arial" w:cs="Arial"/>
          <w:sz w:val="24"/>
          <w:szCs w:val="24"/>
        </w:rPr>
        <w:t xml:space="preserve">. Available at: </w:t>
      </w:r>
      <w:hyperlink r:id="rId15" w:tgtFrame="_new" w:history="1">
        <w:r w:rsidRPr="00236009">
          <w:rPr>
            <w:rStyle w:val="Hyperlink"/>
            <w:rFonts w:ascii="Arial" w:hAnsi="Arial" w:cs="Arial"/>
            <w:sz w:val="24"/>
            <w:szCs w:val="24"/>
          </w:rPr>
          <w:t>https://www.legislation.gov.uk/ukpga/2018/12/contents</w:t>
        </w:r>
      </w:hyperlink>
      <w:r w:rsidRPr="00236009">
        <w:rPr>
          <w:rFonts w:ascii="Arial" w:hAnsi="Arial" w:cs="Arial"/>
          <w:sz w:val="24"/>
          <w:szCs w:val="24"/>
        </w:rPr>
        <w:t xml:space="preserve"> (Accessed: 3 April 2026). </w:t>
      </w:r>
    </w:p>
    <w:p w14:paraId="2F37D3E7" w14:textId="652DE725"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lastRenderedPageBreak/>
        <w:t xml:space="preserve">UK Government (2022) </w:t>
      </w:r>
      <w:r w:rsidRPr="00236009">
        <w:rPr>
          <w:rFonts w:ascii="Arial" w:hAnsi="Arial" w:cs="Arial"/>
          <w:i/>
          <w:iCs/>
          <w:sz w:val="24"/>
          <w:szCs w:val="24"/>
        </w:rPr>
        <w:t>Health and Care Act 2022</w:t>
      </w:r>
      <w:r w:rsidRPr="00236009">
        <w:rPr>
          <w:rFonts w:ascii="Arial" w:hAnsi="Arial" w:cs="Arial"/>
          <w:sz w:val="24"/>
          <w:szCs w:val="24"/>
        </w:rPr>
        <w:t xml:space="preserve">. Available at: </w:t>
      </w:r>
      <w:hyperlink r:id="rId16" w:tgtFrame="_new" w:history="1">
        <w:r w:rsidRPr="00236009">
          <w:rPr>
            <w:rStyle w:val="Hyperlink"/>
            <w:rFonts w:ascii="Arial" w:hAnsi="Arial" w:cs="Arial"/>
            <w:sz w:val="24"/>
            <w:szCs w:val="24"/>
          </w:rPr>
          <w:t>https://www.legislation.gov.uk/ukpga/2022/31/contents</w:t>
        </w:r>
      </w:hyperlink>
      <w:r w:rsidRPr="00236009">
        <w:rPr>
          <w:rFonts w:ascii="Arial" w:hAnsi="Arial" w:cs="Arial"/>
          <w:sz w:val="24"/>
          <w:szCs w:val="24"/>
        </w:rPr>
        <w:t xml:space="preserve"> (Accessed: 3 April 2026). </w:t>
      </w:r>
    </w:p>
    <w:p w14:paraId="0BC91638" w14:textId="22BC9020"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Vandemeulebroucke, T. and Bolte, L. (2025) ‘Ethics of communication in social care’, </w:t>
      </w:r>
      <w:r w:rsidRPr="00236009">
        <w:rPr>
          <w:rFonts w:ascii="Arial" w:hAnsi="Arial" w:cs="Arial"/>
          <w:i/>
          <w:iCs/>
          <w:sz w:val="24"/>
          <w:szCs w:val="24"/>
        </w:rPr>
        <w:t>Medicine, Health Care and Philosophy</w:t>
      </w:r>
      <w:r w:rsidRPr="00236009">
        <w:rPr>
          <w:rFonts w:ascii="Arial" w:hAnsi="Arial" w:cs="Arial"/>
          <w:sz w:val="24"/>
          <w:szCs w:val="24"/>
        </w:rPr>
        <w:t xml:space="preserve">. Available at: </w:t>
      </w:r>
      <w:hyperlink r:id="rId17" w:tgtFrame="_new" w:history="1">
        <w:r w:rsidRPr="00236009">
          <w:rPr>
            <w:rStyle w:val="Hyperlink"/>
            <w:rFonts w:ascii="Arial" w:hAnsi="Arial" w:cs="Arial"/>
            <w:sz w:val="24"/>
            <w:szCs w:val="24"/>
          </w:rPr>
          <w:t>https://link.springer.com/article/10.1007/s11019-025-10269-4</w:t>
        </w:r>
      </w:hyperlink>
      <w:r w:rsidRPr="00236009">
        <w:rPr>
          <w:rFonts w:ascii="Arial" w:hAnsi="Arial" w:cs="Arial"/>
          <w:sz w:val="24"/>
          <w:szCs w:val="24"/>
        </w:rPr>
        <w:t xml:space="preserve"> (Accessed: 3 April 2026). </w:t>
      </w:r>
    </w:p>
    <w:p w14:paraId="2DF5A18A" w14:textId="4C60C8EF" w:rsidR="00236009" w:rsidRPr="00236009" w:rsidRDefault="00236009" w:rsidP="00236009">
      <w:pPr>
        <w:spacing w:line="360" w:lineRule="auto"/>
        <w:rPr>
          <w:rFonts w:ascii="Arial" w:hAnsi="Arial" w:cs="Arial"/>
          <w:sz w:val="24"/>
          <w:szCs w:val="24"/>
        </w:rPr>
      </w:pPr>
      <w:r w:rsidRPr="00236009">
        <w:rPr>
          <w:rFonts w:ascii="Arial" w:hAnsi="Arial" w:cs="Arial"/>
          <w:sz w:val="24"/>
          <w:szCs w:val="24"/>
        </w:rPr>
        <w:t xml:space="preserve">World Health Organization (2022) </w:t>
      </w:r>
      <w:r w:rsidRPr="00236009">
        <w:rPr>
          <w:rFonts w:ascii="Arial" w:hAnsi="Arial" w:cs="Arial"/>
          <w:i/>
          <w:iCs/>
          <w:sz w:val="24"/>
          <w:szCs w:val="24"/>
        </w:rPr>
        <w:t>Patient safety: Communication during patient care</w:t>
      </w:r>
      <w:r w:rsidRPr="00236009">
        <w:rPr>
          <w:rFonts w:ascii="Arial" w:hAnsi="Arial" w:cs="Arial"/>
          <w:sz w:val="24"/>
          <w:szCs w:val="24"/>
        </w:rPr>
        <w:t xml:space="preserve">. Available at: </w:t>
      </w:r>
      <w:hyperlink r:id="rId18" w:tgtFrame="_new" w:history="1">
        <w:r w:rsidRPr="00236009">
          <w:rPr>
            <w:rStyle w:val="Hyperlink"/>
            <w:rFonts w:ascii="Arial" w:hAnsi="Arial" w:cs="Arial"/>
            <w:sz w:val="24"/>
            <w:szCs w:val="24"/>
          </w:rPr>
          <w:t>https://www.who.int/publications/i/item/9789240032705</w:t>
        </w:r>
      </w:hyperlink>
      <w:r w:rsidRPr="00236009">
        <w:rPr>
          <w:rFonts w:ascii="Arial" w:hAnsi="Arial" w:cs="Arial"/>
          <w:sz w:val="24"/>
          <w:szCs w:val="24"/>
        </w:rPr>
        <w:t xml:space="preserve"> (Accessed: 3 April 2026).</w:t>
      </w:r>
    </w:p>
    <w:p w14:paraId="49986C89" w14:textId="77777777" w:rsidR="00236009" w:rsidRPr="00236009" w:rsidRDefault="00236009" w:rsidP="00236009">
      <w:pPr>
        <w:spacing w:line="360" w:lineRule="auto"/>
        <w:rPr>
          <w:rFonts w:ascii="Arial" w:hAnsi="Arial" w:cs="Arial"/>
          <w:sz w:val="24"/>
          <w:szCs w:val="24"/>
        </w:rPr>
      </w:pPr>
    </w:p>
    <w:sectPr w:rsidR="00236009" w:rsidRPr="00236009" w:rsidSect="00236009">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16D39" w14:textId="77777777" w:rsidR="00E722E9" w:rsidRDefault="00E722E9" w:rsidP="00236009">
      <w:pPr>
        <w:spacing w:after="0" w:line="240" w:lineRule="auto"/>
      </w:pPr>
      <w:r>
        <w:separator/>
      </w:r>
    </w:p>
  </w:endnote>
  <w:endnote w:type="continuationSeparator" w:id="0">
    <w:p w14:paraId="52735948" w14:textId="77777777" w:rsidR="00E722E9" w:rsidRDefault="00E722E9" w:rsidP="00236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028165"/>
      <w:docPartObj>
        <w:docPartGallery w:val="Page Numbers (Bottom of Page)"/>
        <w:docPartUnique/>
      </w:docPartObj>
    </w:sdtPr>
    <w:sdtEndPr>
      <w:rPr>
        <w:color w:val="7F7F7F" w:themeColor="background1" w:themeShade="7F"/>
        <w:spacing w:val="60"/>
      </w:rPr>
    </w:sdtEndPr>
    <w:sdtContent>
      <w:p w14:paraId="7C15D6AB" w14:textId="06DFFC62" w:rsidR="00236009" w:rsidRDefault="002360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F14682" w14:textId="77777777" w:rsidR="00236009" w:rsidRDefault="00236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C4064" w14:textId="77777777" w:rsidR="00E722E9" w:rsidRDefault="00E722E9" w:rsidP="00236009">
      <w:pPr>
        <w:spacing w:after="0" w:line="240" w:lineRule="auto"/>
      </w:pPr>
      <w:r>
        <w:separator/>
      </w:r>
    </w:p>
  </w:footnote>
  <w:footnote w:type="continuationSeparator" w:id="0">
    <w:p w14:paraId="7E81B642" w14:textId="77777777" w:rsidR="00E722E9" w:rsidRDefault="00E722E9" w:rsidP="002360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64497"/>
    <w:multiLevelType w:val="hybridMultilevel"/>
    <w:tmpl w:val="2CDC6182"/>
    <w:lvl w:ilvl="0" w:tplc="040C7B4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343A3B"/>
    <w:multiLevelType w:val="hybridMultilevel"/>
    <w:tmpl w:val="7792B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9B332B"/>
    <w:multiLevelType w:val="multilevel"/>
    <w:tmpl w:val="7846B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446938">
    <w:abstractNumId w:val="2"/>
  </w:num>
  <w:num w:numId="2" w16cid:durableId="983393465">
    <w:abstractNumId w:val="1"/>
  </w:num>
  <w:num w:numId="3" w16cid:durableId="1711223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009"/>
    <w:rsid w:val="0013341E"/>
    <w:rsid w:val="00236009"/>
    <w:rsid w:val="0025622A"/>
    <w:rsid w:val="0032025A"/>
    <w:rsid w:val="003636D5"/>
    <w:rsid w:val="0053138F"/>
    <w:rsid w:val="006A37A2"/>
    <w:rsid w:val="007A10EC"/>
    <w:rsid w:val="007A2B77"/>
    <w:rsid w:val="007F3922"/>
    <w:rsid w:val="00840D5A"/>
    <w:rsid w:val="008437FA"/>
    <w:rsid w:val="008F4956"/>
    <w:rsid w:val="00A6113A"/>
    <w:rsid w:val="00B73043"/>
    <w:rsid w:val="00C07750"/>
    <w:rsid w:val="00C744A8"/>
    <w:rsid w:val="00E72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3AF9F"/>
  <w15:chartTrackingRefBased/>
  <w15:docId w15:val="{432C39CC-8950-4A0B-8BA8-944556B74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0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360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360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360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60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60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0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0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0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0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360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360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360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60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60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0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0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009"/>
    <w:rPr>
      <w:rFonts w:eastAsiaTheme="majorEastAsia" w:cstheme="majorBidi"/>
      <w:color w:val="272727" w:themeColor="text1" w:themeTint="D8"/>
    </w:rPr>
  </w:style>
  <w:style w:type="paragraph" w:styleId="Title">
    <w:name w:val="Title"/>
    <w:basedOn w:val="Normal"/>
    <w:next w:val="Normal"/>
    <w:link w:val="TitleChar"/>
    <w:uiPriority w:val="10"/>
    <w:qFormat/>
    <w:rsid w:val="002360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0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0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0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009"/>
    <w:pPr>
      <w:spacing w:before="160"/>
      <w:jc w:val="center"/>
    </w:pPr>
    <w:rPr>
      <w:i/>
      <w:iCs/>
      <w:color w:val="404040" w:themeColor="text1" w:themeTint="BF"/>
    </w:rPr>
  </w:style>
  <w:style w:type="character" w:customStyle="1" w:styleId="QuoteChar">
    <w:name w:val="Quote Char"/>
    <w:basedOn w:val="DefaultParagraphFont"/>
    <w:link w:val="Quote"/>
    <w:uiPriority w:val="29"/>
    <w:rsid w:val="00236009"/>
    <w:rPr>
      <w:i/>
      <w:iCs/>
      <w:color w:val="404040" w:themeColor="text1" w:themeTint="BF"/>
    </w:rPr>
  </w:style>
  <w:style w:type="paragraph" w:styleId="ListParagraph">
    <w:name w:val="List Paragraph"/>
    <w:basedOn w:val="Normal"/>
    <w:uiPriority w:val="34"/>
    <w:qFormat/>
    <w:rsid w:val="00236009"/>
    <w:pPr>
      <w:ind w:left="720"/>
      <w:contextualSpacing/>
    </w:pPr>
  </w:style>
  <w:style w:type="character" w:styleId="IntenseEmphasis">
    <w:name w:val="Intense Emphasis"/>
    <w:basedOn w:val="DefaultParagraphFont"/>
    <w:uiPriority w:val="21"/>
    <w:qFormat/>
    <w:rsid w:val="00236009"/>
    <w:rPr>
      <w:i/>
      <w:iCs/>
      <w:color w:val="2F5496" w:themeColor="accent1" w:themeShade="BF"/>
    </w:rPr>
  </w:style>
  <w:style w:type="paragraph" w:styleId="IntenseQuote">
    <w:name w:val="Intense Quote"/>
    <w:basedOn w:val="Normal"/>
    <w:next w:val="Normal"/>
    <w:link w:val="IntenseQuoteChar"/>
    <w:uiPriority w:val="30"/>
    <w:qFormat/>
    <w:rsid w:val="002360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6009"/>
    <w:rPr>
      <w:i/>
      <w:iCs/>
      <w:color w:val="2F5496" w:themeColor="accent1" w:themeShade="BF"/>
    </w:rPr>
  </w:style>
  <w:style w:type="character" w:styleId="IntenseReference">
    <w:name w:val="Intense Reference"/>
    <w:basedOn w:val="DefaultParagraphFont"/>
    <w:uiPriority w:val="32"/>
    <w:qFormat/>
    <w:rsid w:val="00236009"/>
    <w:rPr>
      <w:b/>
      <w:bCs/>
      <w:smallCaps/>
      <w:color w:val="2F5496" w:themeColor="accent1" w:themeShade="BF"/>
      <w:spacing w:val="5"/>
    </w:rPr>
  </w:style>
  <w:style w:type="character" w:styleId="Hyperlink">
    <w:name w:val="Hyperlink"/>
    <w:basedOn w:val="DefaultParagraphFont"/>
    <w:uiPriority w:val="99"/>
    <w:unhideWhenUsed/>
    <w:rsid w:val="00236009"/>
    <w:rPr>
      <w:color w:val="0563C1" w:themeColor="hyperlink"/>
      <w:u w:val="single"/>
    </w:rPr>
  </w:style>
  <w:style w:type="character" w:styleId="UnresolvedMention">
    <w:name w:val="Unresolved Mention"/>
    <w:basedOn w:val="DefaultParagraphFont"/>
    <w:uiPriority w:val="99"/>
    <w:semiHidden/>
    <w:unhideWhenUsed/>
    <w:rsid w:val="00236009"/>
    <w:rPr>
      <w:color w:val="605E5C"/>
      <w:shd w:val="clear" w:color="auto" w:fill="E1DFDD"/>
    </w:rPr>
  </w:style>
  <w:style w:type="character" w:styleId="FollowedHyperlink">
    <w:name w:val="FollowedHyperlink"/>
    <w:basedOn w:val="DefaultParagraphFont"/>
    <w:uiPriority w:val="99"/>
    <w:semiHidden/>
    <w:unhideWhenUsed/>
    <w:rsid w:val="00236009"/>
    <w:rPr>
      <w:color w:val="954F72" w:themeColor="followedHyperlink"/>
      <w:u w:val="single"/>
    </w:rPr>
  </w:style>
  <w:style w:type="paragraph" w:styleId="TOCHeading">
    <w:name w:val="TOC Heading"/>
    <w:basedOn w:val="Heading1"/>
    <w:next w:val="Normal"/>
    <w:uiPriority w:val="39"/>
    <w:unhideWhenUsed/>
    <w:qFormat/>
    <w:rsid w:val="0023600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36009"/>
    <w:pPr>
      <w:spacing w:after="100"/>
    </w:pPr>
  </w:style>
  <w:style w:type="paragraph" w:styleId="Header">
    <w:name w:val="header"/>
    <w:basedOn w:val="Normal"/>
    <w:link w:val="HeaderChar"/>
    <w:uiPriority w:val="99"/>
    <w:unhideWhenUsed/>
    <w:rsid w:val="002360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009"/>
  </w:style>
  <w:style w:type="paragraph" w:styleId="Footer">
    <w:name w:val="footer"/>
    <w:basedOn w:val="Normal"/>
    <w:link w:val="FooterChar"/>
    <w:uiPriority w:val="99"/>
    <w:unhideWhenUsed/>
    <w:rsid w:val="002360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enforcement/regulation-12-safe-care-treatment" TargetMode="External"/><Relationship Id="rId13" Type="http://schemas.openxmlformats.org/officeDocument/2006/relationships/hyperlink" Target="https://link.springer.com/article/10.1186/s12982-025-00757-6" TargetMode="External"/><Relationship Id="rId18" Type="http://schemas.openxmlformats.org/officeDocument/2006/relationships/hyperlink" Target="https://www.who.int/publications/i/item/9789240032705"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jmir.org/2022/9/e39333" TargetMode="External"/><Relationship Id="rId17" Type="http://schemas.openxmlformats.org/officeDocument/2006/relationships/hyperlink" Target="https://link.springer.com/article/10.1007/s11019-025-10269-4" TargetMode="External"/><Relationship Id="rId2" Type="http://schemas.openxmlformats.org/officeDocument/2006/relationships/styles" Target="styles.xml"/><Relationship Id="rId16" Type="http://schemas.openxmlformats.org/officeDocument/2006/relationships/hyperlink" Target="https://www.legislation.gov.uk/ukpga/2022/31/conten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article/10.1007/s10389-023-01894-5" TargetMode="External"/><Relationship Id="rId5" Type="http://schemas.openxmlformats.org/officeDocument/2006/relationships/footnotes" Target="footnotes.xml"/><Relationship Id="rId15" Type="http://schemas.openxmlformats.org/officeDocument/2006/relationships/hyperlink" Target="https://www.legislation.gov.uk/ukpga/2018/12/contents" TargetMode="External"/><Relationship Id="rId10" Type="http://schemas.openxmlformats.org/officeDocument/2006/relationships/hyperlink" Target="https://www.tandfonline.com/doi/full/10.1080/15614263.2025.246526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mc.ncbi.nlm.nih.gov/articles/PMC12138216/"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1924</Words>
  <Characters>10969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Rajneesh Sinha</dc:creator>
  <cp:keywords/>
  <dc:description/>
  <cp:lastModifiedBy>Rajneesh Sinha</cp:lastModifiedBy>
  <cp:revision>7</cp:revision>
  <dcterms:created xsi:type="dcterms:W3CDTF">2026-04-12T16:26:00Z</dcterms:created>
  <dcterms:modified xsi:type="dcterms:W3CDTF">2026-04-13T07:56:00Z</dcterms:modified>
</cp:coreProperties>
</file>