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wordWrap/>
        <w:overflowPunct/>
        <w:autoSpaceDE/>
        <w:autoSpaceDN/>
        <w:bidi w:val="0"/>
        <w:adjustRightInd/>
        <w:snapToGrid/>
        <w:jc w:val="left"/>
        <w:rPr>
          <w:rFonts w:hint="default" w:ascii="Times New Roman" w:hAnsi="Times New Roman" w:cs="Times New Roman"/>
          <w:color w:val="000000"/>
        </w:rPr>
      </w:pPr>
      <w:r>
        <w:rPr>
          <w:rFonts w:hint="default" w:ascii="Times New Roman" w:hAnsi="Times New Roman" w:cs="Times New Roman"/>
          <w:color w:val="000000"/>
        </w:rPr>
        <mc:AlternateContent>
          <mc:Choice Requires="wps">
            <w:drawing>
              <wp:anchor distT="0" distB="0" distL="114300" distR="114300" simplePos="0" relativeHeight="251659264" behindDoc="0" locked="0" layoutInCell="1" hidden="1" allowOverlap="1">
                <wp:simplePos x="0" y="0"/>
                <wp:positionH relativeFrom="column">
                  <wp:posOffset>0</wp:posOffset>
                </wp:positionH>
                <wp:positionV relativeFrom="paragraph">
                  <wp:posOffset>0</wp:posOffset>
                </wp:positionV>
                <wp:extent cx="635000" cy="635000"/>
                <wp:effectExtent l="0" t="0" r="0" b="0"/>
                <wp:wrapNone/>
                <wp:docPr id="1" name="DeepLBoxSPIDType" hidden="1"/>
                <wp:cNvGraphicFramePr/>
                <a:graphic xmlns:a="http://schemas.openxmlformats.org/drawingml/2006/main">
                  <a:graphicData uri="http://schemas.microsoft.com/office/word/2010/wordprocessingShape">
                    <wps:wsp>
                      <wps:cNvSpPr txBox="1"/>
                      <wps:spPr>
                        <a:xfrm>
                          <a:off x="0" y="0"/>
                          <a:ext cx="635000" cy="635000"/>
                        </a:xfrm>
                        <a:prstGeom prst="rect">
                          <a:avLst/>
                        </a:prstGeom>
                        <a:solidFill>
                          <a:srgbClr val="FFFFFF"/>
                        </a:solidFill>
                        <a:ln w="9525" cap="flat" cmpd="sng">
                          <a:solidFill>
                            <a:srgbClr val="000000"/>
                          </a:solidFill>
                          <a:prstDash val="solid"/>
                          <a:miter/>
                          <a:headEnd type="none" w="med" len="med"/>
                          <a:tailEnd type="none" w="med" len="med"/>
                        </a:ln>
                      </wps:spPr>
                      <wps:bodyPr wrap="square" upright="1"/>
                    </wps:wsp>
                  </a:graphicData>
                </a:graphic>
              </wp:anchor>
            </w:drawing>
          </mc:Choice>
          <mc:Fallback>
            <w:pict>
              <v:shape id="DeepLBoxSPIDType" o:spid="_x0000_s1026" o:spt="202" type="#_x0000_t202" style="position:absolute;left:0pt;margin-left:0pt;margin-top:0pt;height:50pt;width:50pt;visibility:hidden;z-index:251659264;mso-width-relative:page;mso-height-relative:page;" fillcolor="#FFFFFF" filled="t" stroked="t" coordsize="21600,21600" o:gfxdata="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BMQ/qy0AAAAAUBAAAPAAAAAAAAAAEAIAAAACIAAABkcnMvZG93&#10;bnJldi54bWxQSwECFAAUAAAACACHTuJAYuvIlggCAABIBAAADgAAAAAAAAABACAAAAAfAQAAZHJz&#10;L2Uyb0RvYy54bWxQSwUGAAAAAAYABgBZAQAAmQUAAAAA&#10;">
                <v:fill on="t" focussize="0,0"/>
                <v:stroke color="#000000" joinstyle="miter"/>
                <v:imagedata o:title=""/>
                <o:lock v:ext="edit" aspectratio="f"/>
              </v:shape>
            </w:pict>
          </mc:Fallback>
        </mc:AlternateConten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jc w:val="center"/>
        <w:textAlignment w:val="auto"/>
        <w:rPr>
          <w:rFonts w:hint="default" w:ascii="Times New Roman" w:hAnsi="Times New Roman" w:eastAsia="宋体" w:cs="Times New Roman"/>
          <w:color w:val="000000"/>
          <w:sz w:val="44"/>
          <w:szCs w:val="44"/>
        </w:rPr>
      </w:pPr>
      <w:bookmarkStart w:id="0" w:name="OLE_LINK5"/>
      <w:r>
        <w:rPr>
          <w:rFonts w:hint="default" w:ascii="Times New Roman" w:hAnsi="Times New Roman" w:eastAsia="宋体" w:cs="Times New Roman"/>
          <w:color w:val="000000"/>
          <w:sz w:val="44"/>
          <w:szCs w:val="44"/>
        </w:rPr>
        <w:t>Research Findings</w:t>
      </w:r>
    </w:p>
    <w:bookmarkEnd w:id="0"/>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color w:val="000000"/>
          <w:sz w:val="21"/>
          <w:szCs w:val="21"/>
          <w:lang w:val="en-US" w:eastAsia="zh-CN"/>
        </w:rPr>
      </w:pPr>
      <w:bookmarkStart w:id="107" w:name="_GoBack"/>
      <w:bookmarkEnd w:id="107"/>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introduction</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As early as the end of the Qing Dynasty, Fuzhou lacquerware became the largest producer of lacquerware in China, representing the highest technical level in the industry. It is an important embodiment of the unique "personality" of Fuzhou's historical and cultural city, as well as an important part of the cultural diversity of the modern city. In the context of China's "preservation of non-genetic heritage", "development of cultural and creative industries", and "cultural confidence", the Fuzhou lacquerware industry is responsible for the preservation of local culture. The Fuzhou lacquerware industry has the historical mission of "inheritance" and "innovation". Fuzhou lacquerware is one of the four major lacquerware items in China, and has been listed among the "Three Treasures" of traditional Chinese craftsmanship for more than two hundred years. (Huang Hengmiao, 2017, pp. 92-96)</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 xml:space="preserve">In 2006, the Fuzhou lacquerware </w:t>
      </w:r>
      <w:r>
        <w:rPr>
          <w:rFonts w:hint="default" w:ascii="Times New Roman" w:hAnsi="Times New Roman" w:eastAsia="宋体" w:cs="Times New Roman"/>
          <w:b w:val="0"/>
          <w:bCs w:val="0"/>
          <w:color w:val="000000"/>
          <w:sz w:val="21"/>
          <w:szCs w:val="21"/>
          <w:lang w:val="en-US" w:eastAsia="zh-CN"/>
        </w:rPr>
        <w:t xml:space="preserve">painting </w:t>
      </w:r>
      <w:r>
        <w:rPr>
          <w:rFonts w:hint="default" w:ascii="Times New Roman" w:hAnsi="Times New Roman" w:eastAsia="宋体" w:cs="Times New Roman"/>
          <w:color w:val="000000"/>
          <w:sz w:val="21"/>
          <w:szCs w:val="21"/>
          <w:lang w:val="en-US" w:eastAsia="zh-CN"/>
        </w:rPr>
        <w:t xml:space="preserve">technique was selected as the first batch of intangible cultural heritage. In September 2006, Fuzhou was officially awarded the title of "Capital of China's Stripped Lacquer Art", which opened a new page in the development of stripped lacquerware in Fuzhou. After 2006, the </w:t>
      </w:r>
      <w:r>
        <w:rPr>
          <w:rFonts w:hint="default" w:ascii="Times New Roman" w:hAnsi="Times New Roman" w:eastAsia="宋体" w:cs="Times New Roman"/>
          <w:color w:val="000000"/>
          <w:kern w:val="0"/>
          <w:sz w:val="21"/>
          <w:szCs w:val="21"/>
          <w:lang w:val="en-US" w:eastAsia="zh-CN" w:bidi="ar"/>
        </w:rPr>
        <w:t xml:space="preserve">Fuzhou Municipal Government </w:t>
      </w:r>
      <w:r>
        <w:rPr>
          <w:rFonts w:hint="default" w:ascii="Times New Roman" w:hAnsi="Times New Roman" w:eastAsia="宋体" w:cs="Times New Roman"/>
          <w:color w:val="000000"/>
          <w:sz w:val="21"/>
          <w:szCs w:val="21"/>
          <w:lang w:val="en-US" w:eastAsia="zh-CN"/>
        </w:rPr>
        <w:t>issued the "</w:t>
      </w:r>
      <w:r>
        <w:rPr>
          <w:rFonts w:hint="default" w:ascii="Times New Roman" w:hAnsi="Times New Roman" w:eastAsia="宋体" w:cs="Times New Roman"/>
          <w:color w:val="000000"/>
          <w:kern w:val="0"/>
          <w:sz w:val="21"/>
          <w:szCs w:val="21"/>
          <w:lang w:val="en-US" w:eastAsia="zh-CN" w:bidi="ar"/>
        </w:rPr>
        <w:t xml:space="preserve">Implementation Opinions of the Fuzhou Municipal People's Government on Strengthening the Protection of Intangible Cultural </w:t>
      </w:r>
      <w:r>
        <w:rPr>
          <w:rFonts w:hint="default" w:ascii="Times New Roman" w:hAnsi="Times New Roman" w:eastAsia="宋体" w:cs="Times New Roman"/>
          <w:color w:val="000000"/>
          <w:sz w:val="21"/>
          <w:szCs w:val="21"/>
          <w:lang w:val="en-US" w:eastAsia="zh-CN"/>
        </w:rPr>
        <w:t>Heritage" (</w:t>
      </w:r>
      <w:r>
        <w:rPr>
          <w:rFonts w:hint="default" w:ascii="Times New Roman" w:hAnsi="Times New Roman" w:eastAsia="宋体" w:cs="Times New Roman"/>
          <w:color w:val="000000"/>
          <w:kern w:val="0"/>
          <w:sz w:val="21"/>
          <w:szCs w:val="21"/>
          <w:lang w:val="en-US" w:eastAsia="zh-CN" w:bidi="ar"/>
        </w:rPr>
        <w:t xml:space="preserve">Implementation Opinions of the Fuzhou Municipal People's Government on Strengthening the Protection of Intangible Cultural </w:t>
      </w:r>
      <w:r>
        <w:rPr>
          <w:rFonts w:hint="default" w:ascii="Times New Roman" w:hAnsi="Times New Roman" w:eastAsia="宋体" w:cs="Times New Roman"/>
          <w:color w:val="000000"/>
          <w:sz w:val="21"/>
          <w:szCs w:val="21"/>
          <w:lang w:val="en-US" w:eastAsia="zh-CN"/>
        </w:rPr>
        <w:t>Heritage), which is an important guarantee of the soft power of Fuzhou's culture.</w:t>
      </w:r>
      <w:r>
        <w:rPr>
          <w:rFonts w:hint="default" w:ascii="Times New Roman" w:hAnsi="Times New Roman" w:eastAsia="宋体" w:cs="Times New Roman"/>
          <w:color w:val="000000"/>
          <w:kern w:val="0"/>
          <w:sz w:val="21"/>
          <w:szCs w:val="21"/>
          <w:lang w:val="en-US" w:eastAsia="zh-CN" w:bidi="ar"/>
        </w:rPr>
        <w:t xml:space="preserve"> on Strengthening the Protection of Intangible Cultural Heritage (Fuzhou Municipal People's Government, 2006).</w:t>
      </w:r>
      <w:r>
        <w:rPr>
          <w:rFonts w:hint="default" w:ascii="Times New Roman" w:hAnsi="Times New Roman" w:eastAsia="宋体" w:cs="Times New Roman"/>
          <w:color w:val="000000"/>
          <w:sz w:val="21"/>
          <w:szCs w:val="21"/>
          <w:lang w:val="en-US" w:eastAsia="zh-CN"/>
        </w:rPr>
        <w:t xml:space="preserve">Implementation Opinions on the Protection and Development of Traditional Arts and Crafts in Fuzhou City", "Opinions on Accelerating the Development of Cultural </w:t>
      </w:r>
      <w:r>
        <w:rPr>
          <w:rFonts w:hint="default" w:ascii="Times New Roman" w:hAnsi="Times New Roman" w:eastAsia="宋体" w:cs="Times New Roman"/>
          <w:color w:val="000000"/>
          <w:kern w:val="0"/>
          <w:sz w:val="21"/>
          <w:szCs w:val="21"/>
          <w:lang w:val="en-US" w:eastAsia="zh-CN" w:bidi="ar"/>
        </w:rPr>
        <w:t xml:space="preserve">and Creative </w:t>
      </w:r>
      <w:r>
        <w:rPr>
          <w:rFonts w:hint="default" w:ascii="Times New Roman" w:hAnsi="Times New Roman" w:eastAsia="宋体" w:cs="Times New Roman"/>
          <w:color w:val="000000"/>
          <w:sz w:val="21"/>
          <w:szCs w:val="21"/>
          <w:lang w:val="en-US" w:eastAsia="zh-CN"/>
        </w:rPr>
        <w:t>Industries in Fuzhou City", "</w:t>
      </w:r>
      <w:r>
        <w:rPr>
          <w:rFonts w:hint="default" w:ascii="Times New Roman" w:hAnsi="Times New Roman" w:eastAsia="宋体" w:cs="Times New Roman"/>
          <w:color w:val="000000"/>
          <w:kern w:val="0"/>
          <w:sz w:val="21"/>
          <w:szCs w:val="21"/>
          <w:lang w:val="en-US" w:eastAsia="zh-CN" w:bidi="ar"/>
        </w:rPr>
        <w:t>The 12th Five-Year Special Plan for the Development of Cultural and Creative Industries in Fuzhou City (2011-2015)</w:t>
      </w:r>
      <w:r>
        <w:rPr>
          <w:rFonts w:hint="default" w:ascii="Times New Roman" w:hAnsi="Times New Roman" w:eastAsia="宋体" w:cs="Times New Roman"/>
          <w:color w:val="000000"/>
          <w:sz w:val="21"/>
          <w:szCs w:val="21"/>
          <w:lang w:val="en-US" w:eastAsia="zh-CN"/>
        </w:rPr>
        <w:t>" (Fuzhou Municipal People's Government, 2006).</w:t>
      </w:r>
      <w:r>
        <w:rPr>
          <w:rFonts w:hint="default" w:ascii="Times New Roman" w:hAnsi="Times New Roman" w:eastAsia="宋体" w:cs="Times New Roman"/>
          <w:color w:val="000000"/>
          <w:kern w:val="0"/>
          <w:sz w:val="21"/>
          <w:szCs w:val="21"/>
          <w:lang w:val="en-US" w:eastAsia="zh-CN" w:bidi="ar"/>
        </w:rPr>
        <w:t xml:space="preserve"> Creative Industries in Fuzhou City (2011-2015) (Fuzhou Municipal People's Government, 2006). The </w:t>
      </w:r>
      <w:r>
        <w:rPr>
          <w:rFonts w:hint="default" w:ascii="Times New Roman" w:hAnsi="Times New Roman" w:eastAsia="宋体" w:cs="Times New Roman"/>
          <w:color w:val="000000"/>
          <w:sz w:val="21"/>
          <w:szCs w:val="21"/>
          <w:lang w:val="en-US" w:eastAsia="zh-CN"/>
        </w:rPr>
        <w:t>general objectives of the Revitalization Plan for Chinese Traditional Crafts</w:t>
      </w:r>
      <w:r>
        <w:rPr>
          <w:rFonts w:hint="default" w:ascii="Times New Roman" w:hAnsi="Times New Roman" w:eastAsia="宋体" w:cs="Times New Roman"/>
          <w:i w:val="0"/>
          <w:iCs w:val="0"/>
          <w:color w:val="000000"/>
          <w:sz w:val="21"/>
          <w:szCs w:val="21"/>
          <w:lang w:val="en-US" w:eastAsia="zh-CN"/>
        </w:rPr>
        <w:t xml:space="preserve">, which was </w:t>
      </w:r>
      <w:r>
        <w:rPr>
          <w:rFonts w:hint="default" w:ascii="Times New Roman" w:hAnsi="Times New Roman" w:eastAsia="宋体" w:cs="Times New Roman"/>
          <w:color w:val="000000"/>
          <w:sz w:val="21"/>
          <w:szCs w:val="21"/>
          <w:lang w:val="en-US" w:eastAsia="zh-CN"/>
        </w:rPr>
        <w:t>issued by the State Council on 12 March 2017 at the request of the State Council and formulated by the Ministry of Culture, the Ministry of Industry and Information Technology and the Ministry of Finance, read:</w:t>
      </w:r>
    </w:p>
    <w:p>
      <w:pPr>
        <w:keepNext w:val="0"/>
        <w:keepLines w:val="0"/>
        <w:pageBreakBefore w:val="0"/>
        <w:widowControl/>
        <w:suppressLineNumbers w:val="0"/>
        <w:kinsoku w:val="0"/>
        <w:wordWrap/>
        <w:overflowPunct/>
        <w:topLinePunct/>
        <w:autoSpaceDE/>
        <w:autoSpaceDN/>
        <w:bidi w:val="0"/>
        <w:adjustRightInd/>
        <w:snapToGrid/>
        <w:spacing w:line="360" w:lineRule="exact"/>
        <w:ind w:firstLine="420" w:firstLineChars="200"/>
        <w:jc w:val="left"/>
        <w:textAlignment w:val="auto"/>
        <w:rPr>
          <w:rFonts w:hint="default" w:ascii="Times New Roman" w:hAnsi="Times New Roman" w:eastAsia="宋体" w:cs="Times New Roman"/>
          <w:i/>
          <w:iCs/>
          <w:color w:val="000000"/>
          <w:sz w:val="21"/>
          <w:szCs w:val="21"/>
          <w:lang w:val="en-US" w:eastAsia="zh-CN"/>
        </w:rPr>
      </w:pPr>
      <w:r>
        <w:rPr>
          <w:rFonts w:hint="default" w:ascii="Times New Roman" w:hAnsi="Times New Roman" w:eastAsia="宋体" w:cs="Times New Roman"/>
          <w:i/>
          <w:iCs/>
          <w:color w:val="000000"/>
          <w:sz w:val="21"/>
          <w:szCs w:val="21"/>
          <w:lang w:val="en-US" w:eastAsia="zh-CN"/>
        </w:rPr>
        <w:t>"Based on the excellent traditional culture of the Chinese nation, learn and appreciate the outstanding achievements of human civilisation, explore and apply the cultural elements and craft concepts contained in traditional crafts, enrich the subject matter and product variety of traditional crafts, improve the design and production level, enhance product quality, cultivate Chinese craftsmen and well-known brands, make traditional crafts widely used in modern life, and better meet the The people's need for upgrading their drip fees. By 2020, the inheritance and re-creation capacity of traditional crafts, the management level and market competitiveness of the industry, the income of workers and the promotion of urban and rural employment will be significantly improved."</w:t>
      </w:r>
      <w:r>
        <w:rPr>
          <w:rFonts w:hint="default" w:ascii="Times New Roman" w:hAnsi="Times New Roman" w:eastAsia="宋体" w:cs="Times New Roman"/>
          <w:color w:val="000000"/>
          <w:sz w:val="21"/>
          <w:szCs w:val="21"/>
          <w:lang w:val="en-US" w:eastAsia="zh-CN"/>
        </w:rPr>
        <w:t xml:space="preserve"> </w:t>
      </w:r>
      <w:r>
        <w:rPr>
          <w:rFonts w:hint="default" w:ascii="Times New Roman" w:hAnsi="Times New Roman" w:eastAsia="宋体" w:cs="Times New Roman"/>
          <w:i w:val="0"/>
          <w:iCs w:val="0"/>
          <w:color w:val="000000"/>
          <w:sz w:val="21"/>
          <w:szCs w:val="21"/>
          <w:lang w:val="en-US" w:eastAsia="zh-CN"/>
        </w:rPr>
        <w:t>(Wu Yan, 2017, pp. 2-2)</w:t>
      </w:r>
    </w:p>
    <w:p>
      <w:pPr>
        <w:keepNext w:val="0"/>
        <w:keepLines w:val="0"/>
        <w:pageBreakBefore w:val="0"/>
        <w:widowControl/>
        <w:suppressLineNumbers w:val="0"/>
        <w:kinsoku w:val="0"/>
        <w:wordWrap/>
        <w:overflowPunct/>
        <w:topLinePunct/>
        <w:autoSpaceDE/>
        <w:autoSpaceDN/>
        <w:bidi w:val="0"/>
        <w:adjustRightInd/>
        <w:snapToGrid/>
        <w:spacing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Words such as "quality", "artisan", "crystal brand" and "consumer upgrade" all reveal the government's eagerness to boost the quality of traditional craft crystal. Inspired artists set off again into the line of lacquer art creation, to Fuzhou City, for example, according to the relevant report can be known; "Fuzhou engaged in the production and processing of lacquer art-related enterprises and individuals have more than 1,000, employing about 10,000 people, to small enterprises, small workshops and individual studios, the annual production sales of about 1 billion yuan. " (Li Yanzu, 2006, pp. 106-117.) The revival of traditional handicrafts, and thus the reconstitution of the bloodline belonging to modern urban civilisation, the gathering of groups to form new relations of production. The activities also outline the paths of connection between people and people and people and things, forming a new "cultural and industrial community".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Research overview</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bCs/>
          <w:color w:val="000000"/>
          <w:sz w:val="21"/>
          <w:szCs w:val="21"/>
          <w:lang w:val="en-US" w:eastAsia="zh-CN"/>
        </w:rPr>
      </w:pPr>
      <w:bookmarkStart w:id="1" w:name="OLE_LINK55"/>
      <w:bookmarkStart w:id="2" w:name="OLE_LINK166"/>
      <w:r>
        <w:rPr>
          <w:rFonts w:hint="default" w:ascii="Times New Roman" w:hAnsi="Times New Roman" w:eastAsia="宋体" w:cs="Times New Roman"/>
          <w:color w:val="000000"/>
          <w:sz w:val="21"/>
          <w:szCs w:val="21"/>
          <w:lang w:val="en-US" w:eastAsia="zh-CN"/>
        </w:rPr>
        <w:t>Firstly, I started by combing through the relevant literature to understand the general process of lacquer making in ancient times,</w:t>
      </w:r>
      <w:bookmarkEnd w:id="1"/>
      <w:bookmarkStart w:id="3" w:name="OLE_LINK56"/>
      <w:r>
        <w:rPr>
          <w:rFonts w:hint="default" w:ascii="Times New Roman" w:hAnsi="Times New Roman" w:eastAsia="宋体" w:cs="Times New Roman"/>
          <w:color w:val="000000"/>
          <w:sz w:val="21"/>
          <w:szCs w:val="21"/>
          <w:lang w:val="en-US" w:eastAsia="zh-CN"/>
        </w:rPr>
        <w:t xml:space="preserve"> to understand the changes in the processes and ideas used by people in different eras</w:t>
      </w:r>
      <w:bookmarkStart w:id="4" w:name="OLE_LINK84"/>
      <w:r>
        <w:rPr>
          <w:rFonts w:hint="default" w:ascii="Times New Roman" w:hAnsi="Times New Roman" w:eastAsia="宋体" w:cs="Times New Roman"/>
          <w:color w:val="000000"/>
          <w:sz w:val="21"/>
          <w:szCs w:val="21"/>
          <w:lang w:val="en-US" w:eastAsia="zh-CN"/>
        </w:rPr>
        <w:t xml:space="preserve"> and to make a first exploration of the historical development. </w:t>
      </w:r>
      <w:bookmarkStart w:id="5" w:name="OLE_LINK85"/>
      <w:bookmarkStart w:id="6" w:name="OLE_LINK50"/>
      <w:r>
        <w:rPr>
          <w:rFonts w:hint="default" w:ascii="Times New Roman" w:hAnsi="Times New Roman" w:eastAsia="宋体" w:cs="Times New Roman"/>
          <w:color w:val="000000"/>
          <w:sz w:val="21"/>
          <w:szCs w:val="21"/>
          <w:lang w:val="en-US" w:eastAsia="zh-CN"/>
        </w:rPr>
        <w:t>Secondly,</w:t>
      </w:r>
      <w:bookmarkEnd w:id="3"/>
      <w:r>
        <w:rPr>
          <w:rFonts w:hint="default" w:ascii="Times New Roman" w:hAnsi="Times New Roman" w:eastAsia="宋体" w:cs="Times New Roman"/>
          <w:color w:val="000000"/>
          <w:sz w:val="21"/>
          <w:szCs w:val="21"/>
          <w:lang w:val="en-US" w:eastAsia="zh-CN"/>
        </w:rPr>
        <w:t xml:space="preserve"> is a study of lacquer art in China</w:t>
      </w:r>
      <w:bookmarkEnd w:id="5"/>
      <w:r>
        <w:rPr>
          <w:rFonts w:hint="default" w:ascii="Times New Roman" w:hAnsi="Times New Roman" w:eastAsia="宋体" w:cs="Times New Roman"/>
          <w:color w:val="000000"/>
          <w:sz w:val="21"/>
          <w:szCs w:val="21"/>
          <w:lang w:val="en-US" w:eastAsia="zh-CN"/>
        </w:rPr>
        <w:t xml:space="preserve"> by contemporary scholars, with a focus on</w:t>
      </w:r>
      <w:bookmarkEnd w:id="4"/>
      <w:r>
        <w:rPr>
          <w:rFonts w:hint="default" w:ascii="Times New Roman" w:hAnsi="Times New Roman" w:eastAsia="宋体" w:cs="Times New Roman"/>
          <w:color w:val="000000"/>
          <w:sz w:val="21"/>
          <w:szCs w:val="21"/>
          <w:lang w:val="en-US" w:eastAsia="zh-CN"/>
        </w:rPr>
        <w:t xml:space="preserve"> lacquer art in Fuzhou</w:t>
      </w:r>
      <w:bookmarkEnd w:id="6"/>
      <w:r>
        <w:rPr>
          <w:rFonts w:hint="default" w:ascii="Times New Roman" w:hAnsi="Times New Roman" w:eastAsia="宋体" w:cs="Times New Roman"/>
          <w:color w:val="000000"/>
          <w:sz w:val="21"/>
          <w:szCs w:val="21"/>
          <w:lang w:val="en-US" w:eastAsia="zh-CN"/>
        </w:rPr>
        <w:t xml:space="preserve"> to identify research gaps and innovations</w:t>
      </w:r>
      <w:bookmarkEnd w:id="2"/>
      <w:r>
        <w:rPr>
          <w:rFonts w:hint="default" w:ascii="Times New Roman" w:hAnsi="Times New Roman" w:eastAsia="宋体" w:cs="Times New Roman"/>
          <w:color w:val="000000"/>
          <w:sz w:val="21"/>
          <w:szCs w:val="21"/>
          <w:lang w:val="en-US" w:eastAsia="zh-CN"/>
        </w:rPr>
        <w:t xml:space="preserve"> and to make the study more valuable. </w:t>
      </w:r>
      <w:bookmarkStart w:id="7" w:name="OLE_LINK134"/>
      <w:r>
        <w:rPr>
          <w:rFonts w:hint="default" w:ascii="Times New Roman" w:hAnsi="Times New Roman" w:eastAsia="宋体" w:cs="Times New Roman"/>
          <w:color w:val="000000"/>
          <w:sz w:val="21"/>
          <w:szCs w:val="21"/>
          <w:lang w:val="en-US" w:eastAsia="zh-CN"/>
        </w:rPr>
        <w:t xml:space="preserve">Finally, a preliminary review of Japanese, Korean and European lacquer studies is conducted to gain a preliminary understanding of the current state of lacquer research outside of China. </w:t>
      </w:r>
      <w:bookmarkEnd w:id="7"/>
      <w:r>
        <w:rPr>
          <w:rFonts w:hint="default" w:ascii="Times New Roman" w:hAnsi="Times New Roman" w:eastAsia="宋体" w:cs="Times New Roman"/>
          <w:color w:val="000000"/>
          <w:sz w:val="21"/>
          <w:szCs w:val="21"/>
          <w:lang w:val="en-US" w:eastAsia="zh-CN"/>
        </w:rPr>
        <w:t>Because of language constraints, it may not be possible to go into great depth when combing through the Japanese and Korean literature.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contextualSpacing/>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1. History of Arts and Crafts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Lacquer art is a branch of the arts and crafts in China, and the study of lacquer art is dealt with in some works on the history of the arts and crafts. In addition, in terms of the ideology of creation, lacquer art has a strong connection with the arts and crafts in its ideological core. Since the 1980s</w:t>
      </w:r>
      <w:bookmarkStart w:id="8" w:name="OLE_LINK35"/>
      <w:r>
        <w:rPr>
          <w:rFonts w:hint="default" w:ascii="Times New Roman" w:hAnsi="Times New Roman" w:eastAsia="宋体" w:cs="Times New Roman"/>
          <w:b w:val="0"/>
          <w:bCs w:val="0"/>
          <w:color w:val="000000"/>
          <w:sz w:val="21"/>
          <w:szCs w:val="21"/>
          <w:lang w:val="en-US" w:eastAsia="zh-CN"/>
        </w:rPr>
        <w:t xml:space="preserve"> , research on arts and crafts in China has been relatively extensive and</w:t>
      </w:r>
      <w:bookmarkEnd w:id="8"/>
      <w:r>
        <w:rPr>
          <w:rFonts w:hint="default" w:ascii="Times New Roman" w:hAnsi="Times New Roman" w:eastAsia="宋体" w:cs="Times New Roman"/>
          <w:b w:val="0"/>
          <w:bCs w:val="0"/>
          <w:color w:val="000000"/>
          <w:sz w:val="21"/>
          <w:szCs w:val="21"/>
          <w:lang w:val="en-US" w:eastAsia="zh-CN"/>
        </w:rPr>
        <w:t xml:space="preserve"> in-depth. </w:t>
      </w:r>
      <w:bookmarkStart w:id="9" w:name="OLE_LINK43"/>
      <w:bookmarkEnd w:id="9"/>
      <w:r>
        <w:rPr>
          <w:rFonts w:hint="default" w:ascii="Times New Roman" w:hAnsi="Times New Roman" w:eastAsia="宋体" w:cs="Times New Roman"/>
          <w:b w:val="0"/>
          <w:bCs w:val="0"/>
          <w:color w:val="000000"/>
          <w:sz w:val="21"/>
          <w:szCs w:val="21"/>
          <w:lang w:val="en-US" w:eastAsia="zh-CN"/>
        </w:rPr>
        <w:t>The main research works</w:t>
      </w:r>
      <w:bookmarkStart w:id="10" w:name="OLE_LINK87"/>
      <w:r>
        <w:rPr>
          <w:rFonts w:hint="default" w:ascii="Times New Roman" w:hAnsi="Times New Roman" w:eastAsia="宋体" w:cs="Times New Roman"/>
          <w:b w:val="0"/>
          <w:bCs w:val="0"/>
          <w:color w:val="000000"/>
          <w:sz w:val="21"/>
          <w:szCs w:val="21"/>
          <w:lang w:val="en-US" w:eastAsia="zh-CN"/>
        </w:rPr>
        <w:t xml:space="preserve"> range from the history of the arts and crafts</w:t>
      </w:r>
      <w:bookmarkEnd w:id="10"/>
      <w:r>
        <w:rPr>
          <w:rFonts w:hint="default" w:ascii="Times New Roman" w:hAnsi="Times New Roman" w:eastAsia="宋体" w:cs="Times New Roman"/>
          <w:b w:val="0"/>
          <w:bCs w:val="0"/>
          <w:color w:val="000000"/>
          <w:sz w:val="21"/>
          <w:szCs w:val="21"/>
          <w:lang w:val="en-US" w:eastAsia="zh-CN"/>
        </w:rPr>
        <w:t xml:space="preserve"> to aesthetic thought, art and culture, the idea of creation, social deconstruction, philosophical paradigms and so on. His main works are listed below:</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8"/>
        <w:gridCol w:w="1527"/>
        <w:gridCol w:w="2742"/>
        <w:gridCol w:w="33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Publication date</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Author</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Publications</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Research area or overview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1985</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Tian Zibing</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Chinese Arts and Crafts</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 overview of the history of arts and crafts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1994</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Hangama</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History of Chinese Arts and Crafts Thought</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Aesthetic thought on the development of Chinese arts and crafts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1998</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Pan Jinsheng</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Treatise on Folk Art</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Handicrafts and the cultural links of civil society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1999</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Wu Shan</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Dictionary of Chinese Arts and Crafts</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more comprehensive arts and crafts toolkit with specific word gates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bookmarkStart w:id="11" w:name="OLE_LINK51" w:colFirst="3" w:colLast="3"/>
            <w:r>
              <w:rPr>
                <w:rFonts w:hint="default" w:ascii="Times New Roman" w:hAnsi="Times New Roman" w:eastAsia="宋体" w:cs="Times New Roman"/>
                <w:color w:val="000000"/>
                <w:kern w:val="0"/>
                <w:sz w:val="18"/>
                <w:szCs w:val="18"/>
                <w:lang w:val="en-US" w:eastAsia="zh-CN" w:bidi="ar"/>
              </w:rPr>
              <w:t>2005</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Li Lixin</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Treatise on the History of Chinese Design Art</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Chinese Art and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2006</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Shi Zhongwen</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History of Chinese Art</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Narrative of the Historical Development of Chinese Art</w:t>
            </w:r>
            <w:r>
              <w:rPr>
                <w:rFonts w:hint="default" w:ascii="Times New Roman" w:hAnsi="Times New Roman" w:eastAsia="宋体" w:cs="Times New Roman"/>
                <w:color w:val="000000"/>
                <w:kern w:val="0"/>
                <w:sz w:val="18"/>
                <w:szCs w:val="18"/>
                <w:lang w:val="en-US" w:eastAsia="zh-CN" w:bidi="ar"/>
              </w:rPr>
              <w:br w:type="textWrapping"/>
            </w:r>
            <w:r>
              <w:rPr>
                <w:rFonts w:hint="default" w:ascii="Times New Roman" w:hAnsi="Times New Roman" w:eastAsia="宋体" w:cs="Times New Roman"/>
                <w:color w:val="000000"/>
                <w:kern w:val="0"/>
                <w:sz w:val="18"/>
                <w:szCs w:val="18"/>
                <w:lang w:val="en-US" w:eastAsia="zh-CN" w:bidi="ar"/>
              </w:rPr>
              <w:t xml:space="preserve"> Narrative and Commentary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2006</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Ni Jianlin</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Chinese Art - Arts and Crafts Volume</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development of art from an arts and crafts perspective</w:t>
            </w:r>
          </w:p>
        </w:tc>
      </w:tr>
      <w:bookmarkEnd w:id="11"/>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8"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2006</w:t>
            </w:r>
          </w:p>
        </w:tc>
        <w:tc>
          <w:tcPr>
            <w:tcW w:w="1527"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By Yoo Jong-yue</w:t>
            </w:r>
            <w:r>
              <w:rPr>
                <w:rFonts w:hint="default" w:ascii="Times New Roman" w:hAnsi="Times New Roman" w:eastAsia="宋体" w:cs="Times New Roman"/>
                <w:color w:val="000000"/>
                <w:kern w:val="0"/>
                <w:sz w:val="18"/>
                <w:szCs w:val="18"/>
                <w:lang w:val="en-US" w:eastAsia="zh-CN" w:bidi="ar"/>
              </w:rPr>
              <w:br w:type="textWrapping"/>
            </w:r>
            <w:r>
              <w:rPr>
                <w:rFonts w:hint="default" w:ascii="Times New Roman" w:hAnsi="Times New Roman" w:eastAsia="宋体" w:cs="Times New Roman"/>
                <w:color w:val="000000"/>
                <w:kern w:val="0"/>
                <w:sz w:val="18"/>
                <w:szCs w:val="18"/>
                <w:lang w:val="en-US" w:eastAsia="zh-CN" w:bidi="ar"/>
              </w:rPr>
              <w:t xml:space="preserve"> Translated by Xu Yibi</w:t>
            </w:r>
          </w:p>
        </w:tc>
        <w:tc>
          <w:tcPr>
            <w:tcW w:w="274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Craft Culture</w:t>
            </w:r>
          </w:p>
        </w:tc>
        <w:tc>
          <w:tcPr>
            <w:tcW w:w="3395"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bCs/>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Sorting out the links between craft form, technique and aesthetics</w:t>
            </w:r>
          </w:p>
        </w:tc>
      </w:tr>
    </w:tbl>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contextualSpacing/>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2.</w:t>
      </w:r>
      <w:bookmarkStart w:id="12" w:name="OLE_LINK86"/>
      <w:r>
        <w:rPr>
          <w:rFonts w:hint="default" w:ascii="Times New Roman" w:hAnsi="Times New Roman" w:eastAsia="宋体" w:cs="Times New Roman"/>
          <w:b/>
          <w:bCs/>
          <w:color w:val="000000"/>
          <w:sz w:val="21"/>
          <w:szCs w:val="21"/>
          <w:lang w:val="en-US" w:eastAsia="zh-CN"/>
        </w:rPr>
        <w:t xml:space="preserve"> research</w:t>
      </w:r>
      <w:bookmarkEnd w:id="12"/>
      <w:r>
        <w:rPr>
          <w:rFonts w:hint="default" w:ascii="Times New Roman" w:hAnsi="Times New Roman" w:eastAsia="宋体" w:cs="Times New Roman"/>
          <w:b/>
          <w:bCs/>
          <w:color w:val="000000"/>
          <w:sz w:val="21"/>
          <w:szCs w:val="21"/>
          <w:lang w:val="en-US" w:eastAsia="zh-CN"/>
        </w:rPr>
        <w:t xml:space="preserve"> books and papers on lacquer art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bookmarkStart w:id="13" w:name="OLE_LINK44"/>
      <w:r>
        <w:rPr>
          <w:rFonts w:hint="default" w:ascii="Times New Roman" w:hAnsi="Times New Roman" w:eastAsia="宋体" w:cs="Times New Roman"/>
          <w:b w:val="0"/>
          <w:bCs w:val="0"/>
          <w:color w:val="000000"/>
          <w:sz w:val="21"/>
          <w:szCs w:val="21"/>
          <w:lang w:val="en-US" w:eastAsia="zh-CN"/>
        </w:rPr>
        <w:t>2.1 Books related to ancient Chinese lacquer art</w:t>
      </w:r>
    </w:p>
    <w:bookmarkEnd w:id="13"/>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bookmarkStart w:id="14" w:name="OLE_LINK54"/>
      <w:r>
        <w:rPr>
          <w:rFonts w:hint="default" w:ascii="Times New Roman" w:hAnsi="Times New Roman" w:eastAsia="宋体" w:cs="Times New Roman"/>
          <w:b w:val="0"/>
          <w:bCs w:val="0"/>
          <w:color w:val="000000"/>
          <w:sz w:val="21"/>
          <w:szCs w:val="21"/>
          <w:lang w:val="en-US" w:eastAsia="zh-CN"/>
        </w:rPr>
        <w:t>The purpose of this section of the</w:t>
      </w:r>
      <w:bookmarkStart w:id="15" w:name="OLE_LINK159"/>
      <w:r>
        <w:rPr>
          <w:rFonts w:hint="default" w:ascii="Times New Roman" w:hAnsi="Times New Roman" w:eastAsia="宋体" w:cs="Times New Roman"/>
          <w:b w:val="0"/>
          <w:bCs w:val="0"/>
          <w:color w:val="000000"/>
          <w:sz w:val="21"/>
          <w:szCs w:val="21"/>
          <w:lang w:val="en-US" w:eastAsia="zh-CN"/>
        </w:rPr>
        <w:t xml:space="preserve"> document is to compare the heritage and differences between ancient lacquer art and Fuzhou lacquer art in the direction of my research at</w:t>
      </w:r>
      <w:bookmarkEnd w:id="14"/>
      <w:bookmarkEnd w:id="15"/>
      <w:r>
        <w:rPr>
          <w:rFonts w:hint="default" w:ascii="Times New Roman" w:hAnsi="Times New Roman" w:eastAsia="宋体" w:cs="Times New Roman"/>
          <w:b w:val="0"/>
          <w:bCs w:val="0"/>
          <w:color w:val="000000"/>
          <w:sz w:val="21"/>
          <w:szCs w:val="21"/>
          <w:lang w:val="en-US" w:eastAsia="zh-CN"/>
        </w:rPr>
        <w:t xml:space="preserve"> . The earliest recorded text relating to lacquer art in ancient China is Zhu Zundu's Lacquer Sutra (Wang Shixiang, 1957, pp. 14-17) from the Southern Tang Dynasty, but it has been lost. Between the Tang and Yuan dynasties, a number of important theoretical monographs were written, such as Song Minqiu's The Record of the Retreat of Chunming, Fang Spoon's The Book of the House of Po, Meng Yuanlao's The Record of Tokyo Dreaming, Chen Xie's The Record of the Pavilion of the Southern Song Dynasty, Cheng Dachang's The Record of Evolution and Prosperity, Zhou Ye's The Journal of Qingbo, Hong Wan's Yi Jian Zhi, Li Xin Chuan's Miscellaneous Records of the Dynasties since Jianyan, Wu Zimu's The Record of Mengliang, Zhou Mi's The Miscellaneous Knowledge of Kuixin, The Old Story of Wulin, Tao Zongyi's (Ding Wenfu, 2012). (Ding Wenfu, 2012, p. 8)</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The study of lacquer art in ancient China was influenced by the idea that "the way is more important than the tool". The artisans only made things according to the methods of those in power and passed them on. Therefore, ancient lacquer treatises were rare. It was not until the middle of the Ming Dynasty that "The Book of Painting" appeared, which can be considered a masterpiece in the study of the traditional Chinese lacquer craft. It is divided into "Qianji" and "Kunji", with a total of sixty-nine articles. It is considered to be the source of all knowledge about the ancient Chinese art of lacquer painting, such as raw materials, tools, types, and production methods. (Shixiang, 2004, p. 6) The study of the "Painted Records" has a history of over one hundred years in China, and has been compiled and studied by the following four scholars, in order of the time of study: 1) Kan Dao, who proofread and appended the "Painted Records" to the Dingmao book, called the "Painted Records Notes"; 2) Wang Shixiang, who wrote the "Explanation of the Painted Records" after several years of study abroad; 3) Suo Yuming, who was employed by the National Palace Museum in Taipei, who wrote the "Explanation of the Painted Records" after several years of study by his predecessors. In the early twentieth century, Professor Changbei illustrated the editions of Wang and Suo, and his work was titled The Illustrated Book of Painting. (Zhu Jiajin, 996, pp. 1-7) Other Ming dynasty lacquer-related texts include Cao Zhao's "Ge Gu Yao" (Cao Zhao, 2012), in which the ancient crafts of rhinoceros, red, bump gold, and inlay are described. Zhang Bi's "Collection of Mr. Zhang Donghai" contains information about Yang ocarinas, gold inlay and gold tracing. In the Song Dynasty's "Song's Family Rules", the "lacquer" category includes the techniques of western skin, lacquer, carved lacquer, inlaid lacquer, colored lacquer, Japanese lacquer, gilding, gold inlay, piled lacquer, bleached lacquer, and receding luster. (Song Xu, 1988) Lang Ying's "Seven Repairing Manuscripts" (Lang Ying, 2009) In the Qing dynasty, Gu Zuyu's "Chronicle of the Reading of the History and the Square Public Opinion" (Gu Zuyu, 2006) and Gao Shiqi's "Notes on the Retreat of Jin'ao from Food" (Gu Zuyu, 2006) have searched for the Ming dynasty Hongwu lacquer garden and orchard factory to different degrees. Wang Shizhen's Notes on Xiangzu further confirms the existence of Japanese lacquer during the Kangxi period of the Qing Dynasty. In addition, descriptions of the red-painting, lacquer-filling, and gold-bumping processes are included in Li Dou's Yangzhou Painters' Records (Shi Mei, 2001, pp. 89-95.), which also contains accounts of lacquerwork-related events such as the Xia lacquer workers and Xu Cui'an during the Qianlong period. In addition, the archives of the Qing dynasty and various local chronicles have made important additions to the study of lacquer work during this period, such as the Archives of the Office of the Interior Affairs of the Qing Palace (Yang Yong, 2013, pp. 87-101.), which details the dates, techniques, and names of lacquer craftsmen during the Kangxi, Yongzheng, and Qianlong periods of the Qing dynasty.</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From the above literature we find that the Ming Dynasty was the zenith of Chinese lacquer art, especially with the appearance of the Record of Painting. It systematically describes the processes, methods and philosophies of lacquer art. It is the most valuable monograph on the art of lacquer in ancient China.</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2.2</w:t>
      </w:r>
      <w:bookmarkStart w:id="16" w:name="OLE_LINK88"/>
      <w:bookmarkStart w:id="17" w:name="OLE_LINK105"/>
      <w:bookmarkStart w:id="18" w:name="OLE_LINK141"/>
      <w:r>
        <w:rPr>
          <w:rFonts w:hint="default" w:ascii="Times New Roman" w:hAnsi="Times New Roman" w:eastAsia="宋体" w:cs="Times New Roman"/>
          <w:b w:val="0"/>
          <w:bCs w:val="0"/>
          <w:color w:val="000000"/>
          <w:sz w:val="21"/>
          <w:szCs w:val="21"/>
          <w:lang w:val="en-US" w:eastAsia="zh-CN"/>
        </w:rPr>
        <w:t xml:space="preserve"> Chinese Lacquer Art</w:t>
      </w:r>
      <w:bookmarkEnd w:id="16"/>
      <w:bookmarkEnd w:id="17"/>
      <w:r>
        <w:rPr>
          <w:rFonts w:hint="default" w:ascii="Times New Roman" w:hAnsi="Times New Roman" w:eastAsia="宋体" w:cs="Times New Roman"/>
          <w:b w:val="0"/>
          <w:bCs w:val="0"/>
          <w:color w:val="000000"/>
          <w:sz w:val="21"/>
          <w:szCs w:val="21"/>
          <w:lang w:val="en-US" w:eastAsia="zh-CN"/>
        </w:rPr>
        <w:t xml:space="preserve"> A compendium of major works</w:t>
      </w:r>
      <w:bookmarkEnd w:id="18"/>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Domestic research on this subject developed in parallel with the boom in archaeology, with many papers published in journals or bulletins such as "Archaeology", "Cultural Relics", and "Local History".This book discusses lacquer materials, lacquer ware from before the Han Dynasty, lacquer ware from the Three Kingdoms, the Jin Dynasty and the Northern and Southern Dynasties, lacquer ware from the Sui and Tang Dynasties, lacquer ware from the Five Dynasties to the Ming Dynasty, color and technique of lacquer ware, and famous craftsmen and writings on lacquer ware. In the early 21st century, scholars such as Professor Wang Xun of the Nanjing Academy of Art began to focus on the spread and influence of lacquer culture, and in his doctoral dissertation, "The Transmission of Lacquer Art," he talked about the spread of Chinese lacquer as an art of creation and expression to all peoples of the world, and the enormous In his doctoral dissertation, "The Transmission of Lacquer Art," he discusses the spread of Chinese lacquerware as an object art and an expressive art to all peoples of the world, and the great contribution it has made to the promotion and refinement of each other's technical and artistic expressions (Wang Hu, 2003). Other major works are summarized in the table below:</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6"/>
        <w:gridCol w:w="1512"/>
        <w:gridCol w:w="2516"/>
        <w:gridCol w:w="34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Publication date</w:t>
            </w:r>
          </w:p>
        </w:tc>
        <w:tc>
          <w:tcPr>
            <w:tcW w:w="1512"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Author</w:t>
            </w:r>
          </w:p>
        </w:tc>
        <w:tc>
          <w:tcPr>
            <w:tcW w:w="2516"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Publications</w:t>
            </w:r>
          </w:p>
        </w:tc>
        <w:tc>
          <w:tcPr>
            <w:tcW w:w="3473"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Research areas and overview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1936</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p>
        </w:tc>
        <w:tc>
          <w:tcPr>
            <w:tcW w:w="1512"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Zheng Shi Xu</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p>
        </w:tc>
        <w:tc>
          <w:tcPr>
            <w:tcW w:w="2516"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The Lacquerware Examination</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p>
        </w:tc>
        <w:tc>
          <w:tcPr>
            <w:tcW w:w="3473"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The Development of Lacquerware from Pre-Qin to Ming</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and technical examinations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1930</w:t>
            </w:r>
          </w:p>
        </w:tc>
        <w:tc>
          <w:tcPr>
            <w:tcW w:w="1512"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Sookito Harada</w:t>
            </w:r>
          </w:p>
        </w:tc>
        <w:tc>
          <w:tcPr>
            <w:tcW w:w="2516"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The Wave of Joy</w:t>
            </w:r>
          </w:p>
        </w:tc>
        <w:tc>
          <w:tcPr>
            <w:tcW w:w="3473" w:type="dxa"/>
            <w:noWrap w:val="0"/>
            <w:vAlign w:val="top"/>
          </w:tcPr>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Archaeological excavations and research on Han Dynasty lacquerware in Lelang, Korea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1972</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Lee Yu-kuan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Oriental Lacquer Art</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Using Chinese literature and objects, discusses important research issues involving the craft, identification and dating of lacquer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1987</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Wang Shilang</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Chinese Jidai Lacquerware</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Ancient Chinese Lacquer Art Research and Craft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199o</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Ho Ho Leung, Tao Sai Chi</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 xml:space="preserve">The Art of Lacquer </w:t>
            </w:r>
            <w:r>
              <w:rPr>
                <w:rFonts w:hint="default" w:ascii="Times New Roman" w:hAnsi="Times New Roman" w:eastAsia="宋体" w:cs="Times New Roman"/>
                <w:b w:val="0"/>
                <w:bCs w:val="0"/>
                <w:color w:val="000000"/>
                <w:sz w:val="18"/>
                <w:szCs w:val="18"/>
                <w:lang w:val="en-US" w:eastAsia="zh-CN"/>
              </w:rPr>
              <w:t>Painting</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Explanation and analysis of the traditional lacquer</w:t>
            </w:r>
            <w:bookmarkStart w:id="19" w:name="OLE_LINK99"/>
            <w:r>
              <w:rPr>
                <w:rFonts w:hint="default" w:ascii="Times New Roman" w:hAnsi="Times New Roman" w:eastAsia="宋体" w:cs="Times New Roman"/>
                <w:b w:val="0"/>
                <w:bCs w:val="0"/>
                <w:color w:val="000000"/>
                <w:sz w:val="18"/>
                <w:szCs w:val="18"/>
                <w:lang w:val="en-US" w:eastAsia="zh-CN"/>
              </w:rPr>
              <w:t xml:space="preserve"> painting</w:t>
            </w:r>
            <w:bookmarkEnd w:id="19"/>
            <w:r>
              <w:rPr>
                <w:rFonts w:hint="default" w:ascii="Times New Roman" w:hAnsi="Times New Roman" w:eastAsia="宋体" w:cs="Times New Roman"/>
                <w:color w:val="000000"/>
                <w:kern w:val="0"/>
                <w:sz w:val="18"/>
                <w:szCs w:val="18"/>
                <w:lang w:val="en-US" w:eastAsia="zh-CN" w:bidi="ar"/>
              </w:rPr>
              <w:t xml:space="preserve"> decorating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1992</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Shen Fuwen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History of Chinese Lacquer Art and Fine Arts</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Chinese Lacquer Techniques and the Development of Regional Lacquer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1997</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Fu Jiu-yau</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Complete Collection of Chinese Lacquerware</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Archaeological Catalogue of Chinese Lacquerware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1999</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Chan Chun Yu</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Ancient Chinese Lacquer Shapes and Decorations</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study on the decoration of ancient Chinese lacquer ware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20O0</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Qiao Shiguang</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Art of Lacquer</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Lacquer Art History and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2004</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Wang Xun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Transmission of Lacquer Art</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spread of lacquer art in Asia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2009</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Ni Jianlin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bookmarkStart w:id="20" w:name="OLE_LINK100"/>
            <w:r>
              <w:rPr>
                <w:rFonts w:hint="default" w:ascii="Times New Roman" w:hAnsi="Times New Roman" w:eastAsia="宋体" w:cs="Times New Roman"/>
                <w:b w:val="0"/>
                <w:bCs w:val="0"/>
                <w:color w:val="000000"/>
                <w:sz w:val="18"/>
                <w:szCs w:val="18"/>
                <w:lang w:val="en-US" w:eastAsia="zh-CN"/>
              </w:rPr>
              <w:t xml:space="preserve"> Painting</w:t>
            </w:r>
            <w:bookmarkEnd w:id="20"/>
            <w:r>
              <w:rPr>
                <w:rFonts w:hint="default" w:ascii="Times New Roman" w:hAnsi="Times New Roman" w:eastAsia="宋体" w:cs="Times New Roman"/>
                <w:color w:val="000000"/>
                <w:kern w:val="0"/>
                <w:sz w:val="18"/>
                <w:szCs w:val="18"/>
                <w:lang w:val="en-US" w:eastAsia="zh-CN" w:bidi="ar"/>
              </w:rPr>
              <w:t xml:space="preserve"> Lacquerware</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development of traditional lacquer history, types and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2012</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Father Ding Wen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Ancient Chinese Lacquered Furniture - A Study of the Evidence from the Tenth to the Eighteenth Centuries</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discussion of the ten to tenth century from the perspective of the various 'evidence' collections</w:t>
            </w:r>
            <w:r>
              <w:rPr>
                <w:rFonts w:hint="default" w:ascii="Times New Roman" w:hAnsi="Times New Roman" w:eastAsia="宋体" w:cs="Times New Roman"/>
                <w:color w:val="000000"/>
                <w:kern w:val="0"/>
                <w:sz w:val="18"/>
                <w:szCs w:val="18"/>
                <w:lang w:val="en-US" w:eastAsia="zh-CN" w:bidi="ar"/>
              </w:rPr>
              <w:br w:type="textWrapping"/>
            </w:r>
            <w:r>
              <w:rPr>
                <w:rFonts w:hint="default" w:ascii="Times New Roman" w:hAnsi="Times New Roman" w:eastAsia="宋体" w:cs="Times New Roman"/>
                <w:color w:val="000000"/>
                <w:kern w:val="0"/>
                <w:sz w:val="18"/>
                <w:szCs w:val="18"/>
                <w:lang w:val="en-US" w:eastAsia="zh-CN" w:bidi="ar"/>
              </w:rPr>
              <w:t xml:space="preserve"> Eighth Century</w:t>
            </w:r>
            <w:bookmarkStart w:id="21" w:name="OLE_LINK101"/>
            <w:r>
              <w:rPr>
                <w:rFonts w:hint="default" w:ascii="Times New Roman" w:hAnsi="Times New Roman" w:eastAsia="宋体" w:cs="Times New Roman"/>
                <w:b w:val="0"/>
                <w:bCs w:val="0"/>
                <w:color w:val="000000"/>
                <w:sz w:val="18"/>
                <w:szCs w:val="18"/>
                <w:lang w:val="en-US" w:eastAsia="zh-CN"/>
              </w:rPr>
              <w:t xml:space="preserve"> Painting</w:t>
            </w:r>
            <w:bookmarkEnd w:id="21"/>
            <w:r>
              <w:rPr>
                <w:rFonts w:hint="default" w:ascii="Times New Roman" w:hAnsi="Times New Roman" w:eastAsia="宋体" w:cs="Times New Roman"/>
                <w:color w:val="000000"/>
                <w:kern w:val="0"/>
                <w:sz w:val="18"/>
                <w:szCs w:val="18"/>
                <w:lang w:val="en-US" w:eastAsia="zh-CN" w:bidi="ar"/>
              </w:rPr>
              <w:t xml:space="preserve"> The evolution of the various crafts of lacquer furniture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2012</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Chen Wei</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Influence of Chinese Lacquer Art on the West</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influence of lacquer on the West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2014</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Changbei</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bookmarkStart w:id="22" w:name="OLE_LINK103"/>
            <w:r>
              <w:rPr>
                <w:rFonts w:hint="default" w:ascii="Times New Roman" w:hAnsi="Times New Roman" w:eastAsia="宋体" w:cs="Times New Roman"/>
                <w:b w:val="0"/>
                <w:bCs w:val="0"/>
                <w:color w:val="000000"/>
                <w:sz w:val="18"/>
                <w:szCs w:val="18"/>
                <w:lang w:val="en-US" w:eastAsia="zh-CN"/>
              </w:rPr>
              <w:t>Painting</w:t>
            </w:r>
            <w:bookmarkEnd w:id="22"/>
            <w:r>
              <w:rPr>
                <w:rFonts w:hint="default" w:ascii="Times New Roman" w:hAnsi="Times New Roman" w:eastAsia="宋体" w:cs="Times New Roman"/>
                <w:color w:val="000000"/>
                <w:kern w:val="0"/>
                <w:sz w:val="18"/>
                <w:szCs w:val="18"/>
                <w:lang w:val="en-US" w:eastAsia="zh-CN" w:bidi="ar"/>
              </w:rPr>
              <w:t xml:space="preserve"> Decoration recorded in the East Asian Lacquer Art ---- Study of Traditional </w:t>
            </w:r>
            <w:r>
              <w:rPr>
                <w:rFonts w:hint="default" w:ascii="Times New Roman" w:hAnsi="Times New Roman" w:eastAsia="宋体" w:cs="Times New Roman"/>
                <w:b w:val="0"/>
                <w:bCs w:val="0"/>
                <w:color w:val="000000"/>
                <w:sz w:val="18"/>
                <w:szCs w:val="18"/>
                <w:lang w:val="en-US" w:eastAsia="zh-CN"/>
              </w:rPr>
              <w:t xml:space="preserve">Painting </w:t>
            </w:r>
            <w:r>
              <w:rPr>
                <w:rFonts w:hint="default" w:ascii="Times New Roman" w:hAnsi="Times New Roman" w:eastAsia="宋体" w:cs="Times New Roman"/>
                <w:color w:val="000000"/>
                <w:kern w:val="0"/>
                <w:sz w:val="18"/>
                <w:szCs w:val="18"/>
                <w:lang w:val="en-US" w:eastAsia="zh-CN" w:bidi="ar"/>
              </w:rPr>
              <w:t>Craft Systems</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bookmarkStart w:id="23" w:name="OLE_LINK130"/>
            <w:bookmarkStart w:id="24" w:name="OLE_LINK129"/>
            <w:r>
              <w:rPr>
                <w:rFonts w:hint="default" w:ascii="Times New Roman" w:hAnsi="Times New Roman" w:eastAsia="宋体" w:cs="Times New Roman"/>
                <w:b w:val="0"/>
                <w:bCs w:val="0"/>
                <w:color w:val="000000"/>
                <w:sz w:val="18"/>
                <w:szCs w:val="18"/>
                <w:lang w:val="en-US" w:eastAsia="zh-CN"/>
              </w:rPr>
              <w:t>Painting</w:t>
            </w:r>
            <w:bookmarkEnd w:id="23"/>
            <w:r>
              <w:rPr>
                <w:rFonts w:hint="default" w:ascii="Times New Roman" w:hAnsi="Times New Roman" w:eastAsia="宋体" w:cs="Times New Roman"/>
                <w:color w:val="000000"/>
                <w:kern w:val="0"/>
                <w:sz w:val="18"/>
                <w:szCs w:val="18"/>
                <w:lang w:val="en-US" w:eastAsia="zh-CN" w:bidi="ar"/>
              </w:rPr>
              <w:t xml:space="preserve"> Decorating</w:t>
            </w:r>
            <w:bookmarkEnd w:id="24"/>
            <w:r>
              <w:rPr>
                <w:rFonts w:hint="default" w:ascii="Times New Roman" w:hAnsi="Times New Roman" w:eastAsia="宋体" w:cs="Times New Roman"/>
                <w:color w:val="000000"/>
                <w:kern w:val="0"/>
                <w:sz w:val="18"/>
                <w:szCs w:val="18"/>
                <w:lang w:val="en-US" w:eastAsia="zh-CN" w:bidi="ar"/>
              </w:rPr>
              <w:t xml:space="preserve"> Recorded research on the influence of craftsmanship mainly in East Asia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2017</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Zheng Ju Xin</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 xml:space="preserve">New commentary on </w:t>
            </w:r>
            <w:bookmarkStart w:id="25" w:name="OLE_LINK102"/>
            <w:bookmarkEnd w:id="25"/>
            <w:r>
              <w:rPr>
                <w:rFonts w:hint="default" w:ascii="Times New Roman" w:hAnsi="Times New Roman" w:eastAsia="宋体" w:cs="Times New Roman"/>
                <w:color w:val="000000"/>
                <w:kern w:val="0"/>
                <w:sz w:val="18"/>
                <w:szCs w:val="18"/>
                <w:lang w:val="en-US" w:eastAsia="zh-CN" w:bidi="ar"/>
              </w:rPr>
              <w:t xml:space="preserve"> </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Polygraphic records and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2018</w:t>
            </w:r>
          </w:p>
        </w:tc>
        <w:tc>
          <w:tcPr>
            <w:tcW w:w="151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Shanghai Museum</w:t>
            </w:r>
          </w:p>
        </w:tc>
        <w:tc>
          <w:tcPr>
            <w:tcW w:w="251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Wan Wen Qian Hua: The Art of Chinese Lacquerware through the Ages</w:t>
            </w:r>
          </w:p>
        </w:tc>
        <w:tc>
          <w:tcPr>
            <w:tcW w:w="347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A display of lacquerware with pictures and brief descriptions from the past</w:t>
            </w:r>
          </w:p>
        </w:tc>
      </w:tr>
    </w:tbl>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2.3</w:t>
      </w:r>
      <w:bookmarkStart w:id="26" w:name="OLE_LINK139"/>
      <w:r>
        <w:rPr>
          <w:rFonts w:hint="default" w:ascii="Times New Roman" w:hAnsi="Times New Roman" w:eastAsia="宋体" w:cs="Times New Roman"/>
          <w:b w:val="0"/>
          <w:bCs w:val="0"/>
          <w:color w:val="000000"/>
          <w:sz w:val="21"/>
          <w:szCs w:val="21"/>
          <w:lang w:val="en-US" w:eastAsia="zh-CN"/>
        </w:rPr>
        <w:t xml:space="preserve"> Fujian Lacquer Art Literature Compendium</w:t>
      </w:r>
      <w:bookmarkEnd w:id="26"/>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Research on lacquer art in Fujian has shown a relative lag</w:t>
      </w:r>
      <w:bookmarkStart w:id="27" w:name="OLE_LINK106"/>
      <w:r>
        <w:rPr>
          <w:rFonts w:hint="default" w:ascii="Times New Roman" w:hAnsi="Times New Roman" w:eastAsia="宋体" w:cs="Times New Roman"/>
          <w:b w:val="0"/>
          <w:bCs w:val="0"/>
          <w:color w:val="000000"/>
          <w:sz w:val="21"/>
          <w:szCs w:val="21"/>
          <w:lang w:val="en-US" w:eastAsia="zh-CN"/>
        </w:rPr>
        <w:t xml:space="preserve"> and homogenisation . </w:t>
      </w:r>
      <w:bookmarkEnd w:id="27"/>
      <w:bookmarkStart w:id="28" w:name="OLE_LINK107"/>
      <w:r>
        <w:rPr>
          <w:rFonts w:hint="default" w:ascii="Times New Roman" w:hAnsi="Times New Roman" w:eastAsia="宋体" w:cs="Times New Roman"/>
          <w:b w:val="0"/>
          <w:bCs w:val="0"/>
          <w:color w:val="000000"/>
          <w:sz w:val="21"/>
          <w:szCs w:val="21"/>
          <w:lang w:val="en-US" w:eastAsia="zh-CN"/>
        </w:rPr>
        <w:t>In the 1990s, Professor Wang Tianliang of the Minjiang Institute published Fuzhou Lacquer Art (Zheng Likuo, 1990) and</w:t>
      </w:r>
      <w:bookmarkStart w:id="29" w:name="OLE_LINK108"/>
      <w:r>
        <w:rPr>
          <w:rFonts w:hint="default" w:ascii="Times New Roman" w:hAnsi="Times New Roman" w:eastAsia="宋体" w:cs="Times New Roman"/>
          <w:b w:val="0"/>
          <w:bCs w:val="0"/>
          <w:color w:val="000000"/>
          <w:sz w:val="21"/>
          <w:szCs w:val="21"/>
          <w:lang w:val="en-US" w:eastAsia="zh-CN"/>
        </w:rPr>
        <w:t xml:space="preserve"> The History of Fujian</w:t>
      </w:r>
      <w:bookmarkEnd w:id="28"/>
      <w:r>
        <w:rPr>
          <w:rFonts w:hint="default" w:ascii="Times New Roman" w:hAnsi="Times New Roman" w:eastAsia="宋体" w:cs="Times New Roman"/>
          <w:b w:val="0"/>
          <w:bCs w:val="0"/>
          <w:color w:val="000000"/>
          <w:sz w:val="21"/>
          <w:szCs w:val="21"/>
          <w:lang w:val="en-US" w:eastAsia="zh-CN"/>
        </w:rPr>
        <w:t xml:space="preserve"> Arts and Crafts </w:t>
      </w:r>
      <w:bookmarkEnd w:id="29"/>
      <w:bookmarkStart w:id="30" w:name="OLE_LINK156"/>
      <w:r>
        <w:rPr>
          <w:rFonts w:hint="default" w:ascii="Times New Roman" w:hAnsi="Times New Roman" w:eastAsia="宋体" w:cs="Times New Roman"/>
          <w:b w:val="0"/>
          <w:bCs w:val="0"/>
          <w:color w:val="000000"/>
          <w:sz w:val="21"/>
          <w:szCs w:val="21"/>
          <w:lang w:val="en-US" w:eastAsia="zh-CN"/>
        </w:rPr>
        <w:t xml:space="preserve"> to introduce the lacquer art industry , lacquer art education and art creation in Fujian , especially in Fuzhou</w:t>
      </w:r>
      <w:bookmarkEnd w:id="30"/>
      <w:r>
        <w:rPr>
          <w:rFonts w:hint="default" w:ascii="Times New Roman" w:hAnsi="Times New Roman" w:eastAsia="宋体" w:cs="Times New Roman"/>
          <w:b w:val="0"/>
          <w:bCs w:val="0"/>
          <w:color w:val="000000"/>
          <w:sz w:val="21"/>
          <w:szCs w:val="21"/>
          <w:lang w:val="en-US" w:eastAsia="zh-CN"/>
        </w:rPr>
        <w:t xml:space="preserve"> . Afterwards,</w:t>
      </w:r>
      <w:bookmarkStart w:id="31" w:name="OLE_LINK112"/>
      <w:bookmarkStart w:id="32" w:name="OLE_LINK113"/>
      <w:bookmarkStart w:id="33" w:name="OLE_LINK114"/>
      <w:r>
        <w:rPr>
          <w:rFonts w:hint="default" w:ascii="Times New Roman" w:hAnsi="Times New Roman" w:eastAsia="宋体" w:cs="Times New Roman"/>
          <w:b w:val="0"/>
          <w:bCs w:val="0"/>
          <w:color w:val="000000"/>
          <w:sz w:val="21"/>
          <w:szCs w:val="21"/>
          <w:lang w:val="en-US" w:eastAsia="zh-CN"/>
        </w:rPr>
        <w:t xml:space="preserve"> Zheng Liguo</w:t>
      </w:r>
      <w:bookmarkEnd w:id="31"/>
      <w:r>
        <w:rPr>
          <w:rFonts w:hint="default" w:ascii="Times New Roman" w:hAnsi="Times New Roman" w:eastAsia="宋体" w:cs="Times New Roman"/>
          <w:b w:val="0"/>
          <w:bCs w:val="0"/>
          <w:color w:val="000000"/>
          <w:sz w:val="21"/>
          <w:szCs w:val="21"/>
          <w:lang w:val="en-US" w:eastAsia="zh-CN"/>
        </w:rPr>
        <w:t xml:space="preserve"> edited</w:t>
      </w:r>
      <w:bookmarkStart w:id="34" w:name="OLE_LINK111"/>
      <w:r>
        <w:rPr>
          <w:rFonts w:hint="default" w:ascii="Times New Roman" w:hAnsi="Times New Roman" w:eastAsia="宋体" w:cs="Times New Roman"/>
          <w:b w:val="0"/>
          <w:bCs w:val="0"/>
          <w:color w:val="000000"/>
          <w:sz w:val="21"/>
          <w:szCs w:val="21"/>
          <w:lang w:val="en-US" w:eastAsia="zh-CN"/>
        </w:rPr>
        <w:t xml:space="preserve"> A Collection of Fujian Lacquer Artists</w:t>
      </w:r>
      <w:bookmarkEnd w:id="34"/>
      <w:r>
        <w:rPr>
          <w:rFonts w:hint="default" w:ascii="Times New Roman" w:hAnsi="Times New Roman" w:eastAsia="宋体" w:cs="Times New Roman"/>
          <w:b w:val="0"/>
          <w:bCs w:val="0"/>
          <w:color w:val="000000"/>
          <w:sz w:val="21"/>
          <w:szCs w:val="21"/>
          <w:lang w:val="en-US" w:eastAsia="zh-CN"/>
        </w:rPr>
        <w:t xml:space="preserve"> (Huang Baoqing, 2004)</w:t>
      </w:r>
      <w:bookmarkStart w:id="35" w:name="OLE_LINK115"/>
      <w:r>
        <w:rPr>
          <w:rFonts w:hint="default" w:ascii="Times New Roman" w:hAnsi="Times New Roman" w:eastAsia="宋体" w:cs="Times New Roman"/>
          <w:b w:val="0"/>
          <w:bCs w:val="0"/>
          <w:color w:val="000000"/>
          <w:sz w:val="21"/>
          <w:szCs w:val="21"/>
          <w:lang w:val="en-US" w:eastAsia="zh-CN"/>
        </w:rPr>
        <w:t xml:space="preserve"> and</w:t>
      </w:r>
      <w:bookmarkEnd w:id="35"/>
      <w:bookmarkStart w:id="36" w:name="OLE_LINK163"/>
      <w:r>
        <w:rPr>
          <w:rFonts w:hint="default" w:ascii="Times New Roman" w:hAnsi="Times New Roman" w:eastAsia="宋体" w:cs="Times New Roman"/>
          <w:b w:val="0"/>
          <w:bCs w:val="0"/>
          <w:color w:val="000000"/>
          <w:sz w:val="21"/>
          <w:szCs w:val="21"/>
          <w:lang w:val="en-US" w:eastAsia="zh-CN"/>
        </w:rPr>
        <w:t xml:space="preserve"> provide an outlook on the development of the history of lacquer art in Fujian</w:t>
      </w:r>
      <w:bookmarkEnd w:id="32"/>
      <w:r>
        <w:rPr>
          <w:rFonts w:hint="default" w:ascii="Times New Roman" w:hAnsi="Times New Roman" w:eastAsia="宋体" w:cs="Times New Roman"/>
          <w:b w:val="0"/>
          <w:bCs w:val="0"/>
          <w:color w:val="000000"/>
          <w:sz w:val="21"/>
          <w:szCs w:val="21"/>
          <w:lang w:val="en-US" w:eastAsia="zh-CN"/>
        </w:rPr>
        <w:t xml:space="preserve"> in the main lineage of artists.</w:t>
      </w:r>
      <w:bookmarkEnd w:id="33"/>
      <w:r>
        <w:rPr>
          <w:rFonts w:hint="default" w:ascii="Times New Roman" w:hAnsi="Times New Roman" w:eastAsia="宋体" w:cs="Times New Roman"/>
          <w:b w:val="0"/>
          <w:bCs w:val="0"/>
          <w:color w:val="000000"/>
          <w:sz w:val="21"/>
          <w:szCs w:val="21"/>
          <w:lang w:val="en-US" w:eastAsia="zh-CN"/>
        </w:rPr>
        <w:t xml:space="preserve"> After the reform and opening up in 1979, the combing of the lacquer art of the Shen family is the highlight of the theoretical study of lacquer art in Fujian . </w:t>
      </w:r>
      <w:bookmarkEnd w:id="36"/>
      <w:bookmarkStart w:id="37" w:name="OLE_LINK120"/>
      <w:r>
        <w:rPr>
          <w:rFonts w:hint="default" w:ascii="Times New Roman" w:hAnsi="Times New Roman" w:eastAsia="宋体" w:cs="Times New Roman"/>
          <w:b w:val="0"/>
          <w:bCs w:val="0"/>
          <w:color w:val="000000"/>
          <w:sz w:val="21"/>
          <w:szCs w:val="21"/>
          <w:lang w:val="en-US" w:eastAsia="zh-CN"/>
        </w:rPr>
        <w:t xml:space="preserve">Chen Jing </w:t>
      </w:r>
      <w:bookmarkEnd w:id="37"/>
      <w:bookmarkStart w:id="38" w:name="OLE_LINK119"/>
      <w:r>
        <w:rPr>
          <w:rFonts w:hint="default" w:ascii="Times New Roman" w:hAnsi="Times New Roman" w:eastAsia="宋体" w:cs="Times New Roman"/>
          <w:b w:val="0"/>
          <w:bCs w:val="0"/>
          <w:color w:val="000000"/>
          <w:sz w:val="21"/>
          <w:szCs w:val="21"/>
          <w:lang w:val="en-US" w:eastAsia="zh-CN"/>
        </w:rPr>
        <w:t xml:space="preserve"> The Art of Shen Shaoan's Stripped Lacquer </w:t>
      </w:r>
      <w:bookmarkEnd w:id="38"/>
      <w:bookmarkStart w:id="39" w:name="OLE_LINK125"/>
      <w:r>
        <w:rPr>
          <w:rFonts w:hint="default" w:ascii="Times New Roman" w:hAnsi="Times New Roman" w:eastAsia="宋体" w:cs="Times New Roman"/>
          <w:b w:val="0"/>
          <w:bCs w:val="0"/>
          <w:color w:val="000000"/>
          <w:sz w:val="21"/>
          <w:szCs w:val="21"/>
          <w:lang w:val="en-US" w:eastAsia="zh-CN"/>
        </w:rPr>
        <w:t xml:space="preserve"> (Chen Jing, 2013)</w:t>
      </w:r>
      <w:bookmarkEnd w:id="39"/>
      <w:bookmarkStart w:id="40" w:name="OLE_LINK122"/>
      <w:r>
        <w:rPr>
          <w:rFonts w:hint="default" w:ascii="Times New Roman" w:hAnsi="Times New Roman" w:eastAsia="宋体" w:cs="Times New Roman"/>
          <w:b w:val="0"/>
          <w:bCs w:val="0"/>
          <w:color w:val="000000"/>
          <w:sz w:val="21"/>
          <w:szCs w:val="21"/>
          <w:lang w:val="en-US" w:eastAsia="zh-CN"/>
        </w:rPr>
        <w:t xml:space="preserve"> A book that focuses on Shen Shaoan and his family</w:t>
      </w:r>
      <w:bookmarkEnd w:id="40"/>
      <w:r>
        <w:rPr>
          <w:rFonts w:hint="default" w:ascii="Times New Roman" w:hAnsi="Times New Roman" w:eastAsia="宋体" w:cs="Times New Roman"/>
          <w:b w:val="0"/>
          <w:bCs w:val="0"/>
          <w:color w:val="000000"/>
          <w:sz w:val="21"/>
          <w:szCs w:val="21"/>
          <w:lang w:val="en-US" w:eastAsia="zh-CN"/>
        </w:rPr>
        <w:t xml:space="preserve"> and provides a combination of graphic and textual descriptions of Fujian lacquer artworks. </w:t>
      </w:r>
      <w:bookmarkStart w:id="41" w:name="OLE_LINK124"/>
      <w:r>
        <w:rPr>
          <w:rFonts w:hint="default" w:ascii="Times New Roman" w:hAnsi="Times New Roman" w:eastAsia="宋体" w:cs="Times New Roman"/>
          <w:b w:val="0"/>
          <w:bCs w:val="0"/>
          <w:color w:val="000000"/>
          <w:sz w:val="21"/>
          <w:szCs w:val="21"/>
          <w:lang w:val="en-US" w:eastAsia="zh-CN"/>
        </w:rPr>
        <w:t>Zhou Huaisong</w:t>
      </w:r>
      <w:bookmarkStart w:id="42" w:name="OLE_LINK128"/>
      <w:r>
        <w:rPr>
          <w:rFonts w:hint="default" w:ascii="Times New Roman" w:hAnsi="Times New Roman" w:eastAsia="宋体" w:cs="Times New Roman"/>
          <w:b w:val="0"/>
          <w:bCs w:val="0"/>
          <w:color w:val="000000"/>
          <w:sz w:val="21"/>
          <w:szCs w:val="21"/>
          <w:lang w:val="en-US" w:eastAsia="zh-CN"/>
        </w:rPr>
        <w:t>'s 1983 book</w:t>
      </w:r>
      <w:bookmarkEnd w:id="41"/>
      <w:r>
        <w:rPr>
          <w:rFonts w:hint="default" w:ascii="Times New Roman" w:hAnsi="Times New Roman" w:eastAsia="宋体" w:cs="Times New Roman"/>
          <w:b w:val="0"/>
          <w:bCs w:val="0"/>
          <w:color w:val="000000"/>
          <w:sz w:val="21"/>
          <w:szCs w:val="21"/>
          <w:lang w:val="en-US" w:eastAsia="zh-CN"/>
        </w:rPr>
        <w:t xml:space="preserve"> (Zhou Huaisong, 1983) is a more detailed, relevant and well-reasoned account of the development of Fuzhou lacquerware.</w:t>
      </w:r>
      <w:bookmarkEnd w:id="42"/>
      <w:r>
        <w:rPr>
          <w:rFonts w:hint="default" w:ascii="Times New Roman" w:hAnsi="Times New Roman" w:eastAsia="宋体" w:cs="Times New Roman"/>
          <w:b w:val="0"/>
          <w:bCs w:val="0"/>
          <w:color w:val="000000"/>
          <w:sz w:val="21"/>
          <w:szCs w:val="21"/>
          <w:lang w:val="en-US" w:eastAsia="zh-CN"/>
        </w:rPr>
        <w:t xml:space="preserve"> It also provides a preliminary draft of the process and quality criteria for Fuzhou lacquerware.  </w:t>
      </w:r>
      <w:bookmarkStart w:id="43" w:name="OLE_LINK123"/>
      <w:bookmarkEnd w:id="43"/>
      <w:r>
        <w:rPr>
          <w:rFonts w:hint="default" w:ascii="Times New Roman" w:hAnsi="Times New Roman" w:eastAsia="宋体" w:cs="Times New Roman"/>
          <w:b w:val="0"/>
          <w:bCs w:val="0"/>
          <w:color w:val="000000"/>
          <w:sz w:val="21"/>
          <w:szCs w:val="21"/>
          <w:lang w:val="en-US" w:eastAsia="zh-CN"/>
        </w:rPr>
        <w:t>To summarise the relevant</w:t>
      </w:r>
      <w:bookmarkStart w:id="44" w:name="OLE_LINK157"/>
      <w:r>
        <w:rPr>
          <w:rFonts w:hint="default" w:ascii="Times New Roman" w:hAnsi="Times New Roman" w:eastAsia="宋体" w:cs="Times New Roman"/>
          <w:b w:val="0"/>
          <w:bCs w:val="0"/>
          <w:color w:val="000000"/>
          <w:sz w:val="21"/>
          <w:szCs w:val="21"/>
          <w:lang w:val="en-US" w:eastAsia="zh-CN"/>
        </w:rPr>
        <w:t xml:space="preserve"> important works</w:t>
      </w:r>
      <w:bookmarkEnd w:id="44"/>
      <w:r>
        <w:rPr>
          <w:rFonts w:hint="default" w:ascii="Times New Roman" w:hAnsi="Times New Roman" w:eastAsia="宋体" w:cs="Times New Roman"/>
          <w:b w:val="0"/>
          <w:bCs w:val="0"/>
          <w:color w:val="000000"/>
          <w:sz w:val="21"/>
          <w:szCs w:val="21"/>
          <w:lang w:val="en-US" w:eastAsia="zh-CN"/>
        </w:rPr>
        <w:t xml:space="preserve"> dates, titles and research content are as follows.</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6"/>
        <w:gridCol w:w="1306"/>
        <w:gridCol w:w="2862"/>
        <w:gridCol w:w="35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Publication date</w:t>
            </w:r>
          </w:p>
        </w:tc>
        <w:tc>
          <w:tcPr>
            <w:tcW w:w="1183"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Author</w:t>
            </w:r>
          </w:p>
        </w:tc>
        <w:tc>
          <w:tcPr>
            <w:tcW w:w="2862"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Publications</w:t>
            </w:r>
          </w:p>
        </w:tc>
        <w:tc>
          <w:tcPr>
            <w:tcW w:w="3506"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b w:val="0"/>
                <w:bCs w:val="0"/>
                <w:color w:val="000000"/>
                <w:sz w:val="18"/>
                <w:szCs w:val="18"/>
                <w:vertAlign w:val="baseline"/>
                <w:lang w:val="en-US" w:eastAsia="zh-CN"/>
              </w:rPr>
              <w:t>Overview of research areas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3" w:hRule="atLeast"/>
        </w:trPr>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1958</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Fujian Provincial Administration of Handicrafts</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Fuzhou decoupage lacquerware</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Introduction and images of Fuzhou decoupage lacquerware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1983</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Edited by Zhou Huaisong</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 xml:space="preserve">A Collection of Fuzhou Decoupage Lacquerware </w:t>
            </w:r>
            <w:r>
              <w:rPr>
                <w:rFonts w:hint="default" w:ascii="Times New Roman" w:hAnsi="Times New Roman" w:eastAsia="宋体" w:cs="Times New Roman"/>
                <w:b w:val="0"/>
                <w:bCs w:val="0"/>
                <w:color w:val="000000"/>
                <w:sz w:val="18"/>
                <w:szCs w:val="18"/>
                <w:lang w:val="en-US" w:eastAsia="zh-CN"/>
              </w:rPr>
              <w:t>Paintings</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more complete compilation of the development and characteristics of Fuzhou decoupage lacquerware from ancient times to the present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2004</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Huang Baoqing, Wang Xun, Wang Tianliang</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Fujian Arts and Crafts</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Discourses and Narratives on the History of Fujian Arts and Crafts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2005</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Wang Tianliang</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The Art of Fuzhou Lacquer</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History of the development of lacquer art in Fuzhou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2009</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Huang Zengheng, Zhuang Nanyan</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Cai's Lacquer Thread Carving</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 introduction to the development and artistic characteristics of the lacquer thread carving techniques of the Cai family in Xiamen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2012</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Sun Man Ting</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Fuzhou Stripped Lacquerware and Lacquer Painting</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Overview of Fuzhou decoupage lacquerware and lacquer painting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2012</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Zhang Jian</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Study of the Fuzhou Lacquerware Workshop System</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discussion of the business system and management model of lacquer workshops in Fuzhou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2013</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Zheng Li Threshold</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 Collection of Fujian Lacquer Artists</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b w:val="0"/>
                <w:bCs w:val="0"/>
                <w:color w:val="000000"/>
                <w:sz w:val="18"/>
                <w:szCs w:val="18"/>
                <w:vertAlign w:val="baseline"/>
                <w:lang w:val="en-US" w:eastAsia="zh-CN"/>
              </w:rPr>
            </w:pPr>
            <w:r>
              <w:rPr>
                <w:rFonts w:hint="default" w:ascii="Times New Roman" w:hAnsi="Times New Roman" w:eastAsia="宋体" w:cs="Times New Roman"/>
                <w:color w:val="000000"/>
                <w:kern w:val="0"/>
                <w:sz w:val="18"/>
                <w:szCs w:val="18"/>
                <w:lang w:val="en-US" w:eastAsia="zh-CN" w:bidi="ar"/>
              </w:rPr>
              <w:t>An artist-based account of the beginnings of lacquer art in Fujian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2013</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Zheng Xin, Huang Wenxin</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The Lacquer Art of Zheng Yikun, Master of Chinese Arts and Crafts</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Analysis and overview of Zheng Yikun's lacquer art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2013</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Chen Jing</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Shen Shaoan Stripped Lacquerware</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Shen Shaoan family lacquer production and the history of the Fuzhou lacquer industry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2017</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Kwok Wing Mau</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A Network of Actors in Traditional Handicrafts - An Examination of the Transformation of Yongchun Lacquer Baskets in Southern Fujian</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 xml:space="preserve">A sociological approach to the survival of Yongchun lacquer basket practitioners in the modern village of Long Shui </w:t>
            </w:r>
            <w:bookmarkStart w:id="45" w:name="OLE_LINK131"/>
            <w:bookmarkEnd w:id="45"/>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2017</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Yang Fan</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The Art of Lacquer in Words</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A presentational introduction to the history and experience of the development of lacquer art in Fujian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1"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2018</w:t>
            </w:r>
          </w:p>
        </w:tc>
        <w:tc>
          <w:tcPr>
            <w:tcW w:w="1183"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Fuzhou Mindu Culture Research</w:t>
            </w:r>
            <w:r>
              <w:rPr>
                <w:rFonts w:hint="default" w:ascii="Times New Roman" w:hAnsi="Times New Roman" w:eastAsia="宋体" w:cs="Times New Roman"/>
                <w:color w:val="000000"/>
                <w:kern w:val="0"/>
                <w:sz w:val="18"/>
                <w:szCs w:val="18"/>
                <w:lang w:val="en-US" w:eastAsia="zh-CN" w:bidi="ar"/>
              </w:rPr>
              <w:br w:type="textWrapping"/>
            </w:r>
            <w:r>
              <w:rPr>
                <w:rFonts w:hint="default" w:ascii="Times New Roman" w:hAnsi="Times New Roman" w:eastAsia="宋体" w:cs="Times New Roman"/>
                <w:color w:val="000000"/>
                <w:kern w:val="0"/>
                <w:sz w:val="18"/>
                <w:szCs w:val="18"/>
                <w:lang w:val="en-US" w:eastAsia="zh-CN" w:bidi="ar"/>
              </w:rPr>
              <w:t xml:space="preserve"> Association</w:t>
            </w:r>
          </w:p>
        </w:tc>
        <w:tc>
          <w:tcPr>
            <w:tcW w:w="2862"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The Art of Lacquer in Mindu</w:t>
            </w:r>
          </w:p>
        </w:tc>
        <w:tc>
          <w:tcPr>
            <w:tcW w:w="3506" w:type="dxa"/>
            <w:noWrap w:val="0"/>
            <w:vAlign w:val="bottom"/>
          </w:tcPr>
          <w:p>
            <w:pPr>
              <w:keepNext w:val="0"/>
              <w:keepLines w:val="0"/>
              <w:pageBreakBefore w:val="0"/>
              <w:widowControl/>
              <w:suppressLineNumbers w:val="0"/>
              <w:wordWrap/>
              <w:overflowPunct/>
              <w:autoSpaceDE/>
              <w:autoSpaceDN/>
              <w:bidi w:val="0"/>
              <w:adjustRightInd/>
              <w:snapToGrid/>
              <w:spacing w:line="240" w:lineRule="auto"/>
              <w:jc w:val="left"/>
              <w:textAlignment w:val="bottom"/>
              <w:rPr>
                <w:rFonts w:hint="default" w:ascii="Times New Roman" w:hAnsi="Times New Roman" w:eastAsia="宋体" w:cs="Times New Roman"/>
                <w:color w:val="000000"/>
                <w:kern w:val="0"/>
                <w:sz w:val="18"/>
                <w:szCs w:val="18"/>
                <w:lang w:val="en-US" w:eastAsia="zh-CN" w:bidi="ar"/>
              </w:rPr>
            </w:pPr>
            <w:r>
              <w:rPr>
                <w:rFonts w:hint="default" w:ascii="Times New Roman" w:hAnsi="Times New Roman" w:eastAsia="宋体" w:cs="Times New Roman"/>
                <w:color w:val="000000"/>
                <w:kern w:val="0"/>
                <w:sz w:val="18"/>
                <w:szCs w:val="18"/>
                <w:lang w:val="en-US" w:eastAsia="zh-CN" w:bidi="ar"/>
              </w:rPr>
              <w:t>A relatively complete introduction to the history, major works and key points in time in the development of Fuzhou lacquer art to date</w:t>
            </w:r>
          </w:p>
        </w:tc>
      </w:tr>
    </w:tbl>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In terms of discussing papers related to Fuzhou lacquer art, the research focuses on 3 doctoral dissertations, 1</w:t>
      </w:r>
      <w:bookmarkStart w:id="46" w:name="OLE_LINK137"/>
      <w:r>
        <w:rPr>
          <w:rFonts w:hint="default" w:ascii="Times New Roman" w:hAnsi="Times New Roman" w:eastAsia="宋体" w:cs="Times New Roman"/>
          <w:b w:val="0"/>
          <w:bCs w:val="0"/>
          <w:color w:val="000000"/>
          <w:sz w:val="21"/>
          <w:szCs w:val="21"/>
          <w:lang w:val="en-US" w:eastAsia="zh-CN"/>
        </w:rPr>
        <w:t xml:space="preserve"> 5 master's theses</w:t>
      </w:r>
      <w:bookmarkEnd w:id="46"/>
      <w:r>
        <w:rPr>
          <w:rFonts w:hint="default" w:ascii="Times New Roman" w:hAnsi="Times New Roman" w:eastAsia="宋体" w:cs="Times New Roman"/>
          <w:b w:val="0"/>
          <w:bCs w:val="0"/>
          <w:color w:val="000000"/>
          <w:sz w:val="21"/>
          <w:szCs w:val="21"/>
          <w:lang w:val="en-US" w:eastAsia="zh-CN"/>
        </w:rPr>
        <w:t xml:space="preserve"> and 58 journal papers, (data from China's largest dissertation website - Zhiwang). Nanjing Normal University</w:t>
      </w:r>
      <w:bookmarkStart w:id="47" w:name="OLE_LINK135"/>
      <w:r>
        <w:rPr>
          <w:rFonts w:hint="default" w:ascii="Times New Roman" w:hAnsi="Times New Roman" w:eastAsia="宋体" w:cs="Times New Roman"/>
          <w:b w:val="0"/>
          <w:bCs w:val="0"/>
          <w:color w:val="000000"/>
          <w:sz w:val="21"/>
          <w:szCs w:val="21"/>
          <w:lang w:val="en-US" w:eastAsia="zh-CN"/>
        </w:rPr>
        <w:t xml:space="preserve"> Weng Yixi's doctoral dissertation, "The quality of literature, the material and social study of lacquer art in modern Fujian"</w:t>
      </w:r>
      <w:bookmarkEnd w:id="47"/>
      <w:r>
        <w:rPr>
          <w:rFonts w:hint="default" w:ascii="Times New Roman" w:hAnsi="Times New Roman" w:eastAsia="宋体" w:cs="Times New Roman"/>
          <w:b w:val="0"/>
          <w:bCs w:val="0"/>
          <w:color w:val="000000"/>
          <w:sz w:val="21"/>
          <w:szCs w:val="21"/>
          <w:lang w:val="en-US" w:eastAsia="zh-CN"/>
        </w:rPr>
        <w:t xml:space="preserve"> The main research contains the following two points: 1</w:t>
      </w:r>
      <w:bookmarkStart w:id="48" w:name="OLE_LINK153"/>
      <w:r>
        <w:rPr>
          <w:rFonts w:hint="default" w:ascii="Times New Roman" w:hAnsi="Times New Roman" w:eastAsia="宋体" w:cs="Times New Roman"/>
          <w:b w:val="0"/>
          <w:bCs w:val="0"/>
          <w:color w:val="000000"/>
          <w:sz w:val="21"/>
          <w:szCs w:val="21"/>
          <w:lang w:val="en-US" w:eastAsia="zh-CN"/>
        </w:rPr>
        <w:t xml:space="preserve"> , an account of the history of lacquer art in the modern Fujian region from the late Qing Dynasty to around the founding of New China. It examines the relationship between the clash, fusion and development of Eastern and Western cultures in the process of development in the light of the historical process of modernism. An empirical study of the art historical theory of lacquer artisans and society in the framework of the modern culture of tradition, innovation and integration.</w:t>
      </w:r>
      <w:bookmarkEnd w:id="48"/>
      <w:r>
        <w:rPr>
          <w:rFonts w:hint="default" w:ascii="Times New Roman" w:hAnsi="Times New Roman" w:eastAsia="宋体" w:cs="Times New Roman"/>
          <w:b w:val="0"/>
          <w:bCs w:val="0"/>
          <w:color w:val="000000"/>
          <w:sz w:val="21"/>
          <w:szCs w:val="21"/>
          <w:lang w:val="en-US" w:eastAsia="zh-CN"/>
        </w:rPr>
        <w:t xml:space="preserve"> Culture, economic structure and ethical heritage. 2. </w:t>
      </w:r>
      <w:bookmarkStart w:id="49" w:name="OLE_LINK148"/>
      <w:r>
        <w:rPr>
          <w:rFonts w:hint="default" w:ascii="Times New Roman" w:hAnsi="Times New Roman" w:eastAsia="宋体" w:cs="Times New Roman"/>
          <w:b w:val="0"/>
          <w:bCs w:val="0"/>
          <w:color w:val="000000"/>
          <w:sz w:val="21"/>
          <w:szCs w:val="21"/>
          <w:lang w:val="en-US" w:eastAsia="zh-CN"/>
        </w:rPr>
        <w:t>(Weng Yixi, 2019)</w:t>
      </w:r>
      <w:bookmarkEnd w:id="49"/>
      <w:bookmarkStart w:id="50" w:name="OLE_LINK142"/>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Fujian Normal University</w:t>
      </w:r>
      <w:bookmarkStart w:id="51" w:name="OLE_LINK147"/>
      <w:r>
        <w:rPr>
          <w:rFonts w:hint="default" w:ascii="Times New Roman" w:hAnsi="Times New Roman" w:eastAsia="宋体" w:cs="Times New Roman"/>
          <w:b w:val="0"/>
          <w:bCs w:val="0"/>
          <w:color w:val="000000"/>
          <w:sz w:val="21"/>
          <w:szCs w:val="21"/>
          <w:lang w:val="en-US" w:eastAsia="zh-CN"/>
        </w:rPr>
        <w:t xml:space="preserve"> Qiu Zhijun's PhD thesis</w:t>
      </w:r>
      <w:bookmarkEnd w:id="50"/>
      <w:bookmarkStart w:id="52" w:name="OLE_LINK143"/>
      <w:r>
        <w:rPr>
          <w:rFonts w:hint="default" w:ascii="Times New Roman" w:hAnsi="Times New Roman" w:eastAsia="宋体" w:cs="Times New Roman"/>
          <w:b w:val="0"/>
          <w:bCs w:val="0"/>
          <w:color w:val="000000"/>
          <w:sz w:val="21"/>
          <w:szCs w:val="21"/>
          <w:lang w:val="en-US" w:eastAsia="zh-CN"/>
        </w:rPr>
        <w:t xml:space="preserve"> 《</w:t>
      </w:r>
      <w:bookmarkEnd w:id="52"/>
      <w:r>
        <w:rPr>
          <w:rFonts w:hint="default" w:ascii="Times New Roman" w:hAnsi="Times New Roman" w:eastAsia="宋体" w:cs="Times New Roman"/>
          <w:b w:val="0"/>
          <w:bCs w:val="0"/>
          <w:color w:val="000000"/>
          <w:sz w:val="21"/>
          <w:szCs w:val="21"/>
          <w:lang w:val="en-US" w:eastAsia="zh-CN"/>
        </w:rPr>
        <w:t xml:space="preserve"> A Study of Fuzhou Stripped Lacquerware from the Mid-Qing to the Republic of China</w:t>
      </w:r>
      <w:bookmarkEnd w:id="51"/>
      <w:bookmarkStart w:id="53" w:name="OLE_LINK144"/>
      <w:r>
        <w:rPr>
          <w:rFonts w:hint="default" w:ascii="Times New Roman" w:hAnsi="Times New Roman" w:eastAsia="宋体" w:cs="Times New Roman"/>
          <w:b w:val="0"/>
          <w:bCs w:val="0"/>
          <w:color w:val="000000"/>
          <w:sz w:val="21"/>
          <w:szCs w:val="21"/>
          <w:lang w:val="en-US" w:eastAsia="zh-CN"/>
        </w:rPr>
        <w:t xml:space="preserve"> 》</w:t>
      </w:r>
      <w:bookmarkEnd w:id="53"/>
      <w:r>
        <w:rPr>
          <w:rFonts w:hint="default" w:ascii="Times New Roman" w:hAnsi="Times New Roman" w:eastAsia="宋体" w:cs="Times New Roman"/>
          <w:b w:val="0"/>
          <w:bCs w:val="0"/>
          <w:color w:val="000000"/>
          <w:sz w:val="21"/>
          <w:szCs w:val="21"/>
          <w:lang w:val="en-US" w:eastAsia="zh-CN"/>
        </w:rPr>
        <w:t xml:space="preserve"> Main</w:t>
      </w:r>
      <w:bookmarkStart w:id="54" w:name="OLE_LINK138"/>
      <w:r>
        <w:rPr>
          <w:rFonts w:hint="default" w:ascii="Times New Roman" w:hAnsi="Times New Roman" w:eastAsia="宋体" w:cs="Times New Roman"/>
          <w:b w:val="0"/>
          <w:bCs w:val="0"/>
          <w:color w:val="000000"/>
          <w:sz w:val="21"/>
          <w:szCs w:val="21"/>
          <w:lang w:val="en-US" w:eastAsia="zh-CN"/>
        </w:rPr>
        <w:t xml:space="preserve"> Research</w:t>
      </w:r>
      <w:bookmarkEnd w:id="54"/>
      <w:r>
        <w:rPr>
          <w:rFonts w:hint="default" w:ascii="Times New Roman" w:hAnsi="Times New Roman" w:eastAsia="宋体" w:cs="Times New Roman"/>
          <w:b w:val="0"/>
          <w:bCs w:val="0"/>
          <w:color w:val="000000"/>
          <w:sz w:val="21"/>
          <w:szCs w:val="21"/>
          <w:lang w:val="en-US" w:eastAsia="zh-CN"/>
        </w:rPr>
        <w:t xml:space="preserve"> Contains the following two points: how the Fuzhou stripped lacquerware industry survived and developed under economic, political and conceptual changes from the mid-Qing to the Republic of China. 2. Interpreting the technical innovations and artistic aesthetics of each period, a horizontal comparison between Fuzhou stripped lacquerware and other local lacquerware of the same period, a creative technique and The analysis of artistic characteristics. </w:t>
      </w:r>
      <w:bookmarkStart w:id="55" w:name="OLE_LINK151"/>
      <w:r>
        <w:rPr>
          <w:rFonts w:hint="default" w:ascii="Times New Roman" w:hAnsi="Times New Roman" w:eastAsia="宋体" w:cs="Times New Roman"/>
          <w:b w:val="0"/>
          <w:bCs w:val="0"/>
          <w:color w:val="000000"/>
          <w:sz w:val="21"/>
          <w:szCs w:val="21"/>
          <w:lang w:val="en-US" w:eastAsia="zh-CN"/>
        </w:rPr>
        <w:t>(Qiu Zhijun, 2019)</w:t>
      </w:r>
      <w:bookmarkEnd w:id="55"/>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Fujian Normal University</w:t>
      </w:r>
      <w:bookmarkStart w:id="56" w:name="OLE_LINK150"/>
      <w:r>
        <w:rPr>
          <w:rFonts w:hint="default" w:ascii="Times New Roman" w:hAnsi="Times New Roman" w:eastAsia="宋体" w:cs="Times New Roman"/>
          <w:b w:val="0"/>
          <w:bCs w:val="0"/>
          <w:color w:val="000000"/>
          <w:sz w:val="21"/>
          <w:szCs w:val="21"/>
          <w:lang w:val="en-US" w:eastAsia="zh-CN"/>
        </w:rPr>
        <w:t xml:space="preserve"> Tang Zhiyi's doctoral dissertation, "A Study of Fujian-Taiwan Lacquer Art, Taking the Shen Shaoan Family and Chen Huoqing, Lai Gao Shan and Wang Qingshang as Examples"</w:t>
      </w:r>
      <w:bookmarkEnd w:id="56"/>
      <w:r>
        <w:rPr>
          <w:rFonts w:hint="default" w:ascii="Times New Roman" w:hAnsi="Times New Roman" w:eastAsia="宋体" w:cs="Times New Roman"/>
          <w:b w:val="0"/>
          <w:bCs w:val="0"/>
          <w:color w:val="000000"/>
          <w:sz w:val="21"/>
          <w:szCs w:val="21"/>
          <w:lang w:val="en-US" w:eastAsia="zh-CN"/>
        </w:rPr>
        <w:t xml:space="preserve"> , focuses on the Shen Shaoan family, Chen Huoqing, Lai Gao Shan and Wang Qingshang as representative lacquer artists in Fujian and Taiwan, examines the historical origins and regional cultural background of lacquer art in Fujian, Fuzhou stripped lacquerware and Taiwan lacquer art, and analyzes the historical development, skill inheritance and famous artists' works. </w:t>
      </w:r>
      <w:bookmarkStart w:id="57" w:name="OLE_LINK155"/>
      <w:r>
        <w:rPr>
          <w:rFonts w:hint="default" w:ascii="Times New Roman" w:hAnsi="Times New Roman" w:eastAsia="宋体" w:cs="Times New Roman"/>
          <w:b w:val="0"/>
          <w:bCs w:val="0"/>
          <w:color w:val="000000"/>
          <w:sz w:val="21"/>
          <w:szCs w:val="21"/>
          <w:lang w:val="en-US" w:eastAsia="zh-CN"/>
        </w:rPr>
        <w:t>The historical status and artistic characteristics of Fujian-Taiwan lacquer art are analyzed, and the inheritance and variation of Fujian-Taiwan lacquer art to Chinese lacquer art traditions are compared and demonstrated. The cultural value of Fujian-Taiwan lacquer art and its positive meaning and historical value to cross-strait cultural integration and Chinese cultural inheritance are explored.</w:t>
      </w:r>
      <w:bookmarkStart w:id="58" w:name="OLE_LINK154"/>
      <w:r>
        <w:rPr>
          <w:rFonts w:hint="default" w:ascii="Times New Roman" w:hAnsi="Times New Roman" w:eastAsia="宋体" w:cs="Times New Roman"/>
          <w:b w:val="0"/>
          <w:bCs w:val="0"/>
          <w:color w:val="000000"/>
          <w:sz w:val="21"/>
          <w:szCs w:val="21"/>
          <w:lang w:val="en-US" w:eastAsia="zh-CN"/>
        </w:rPr>
        <w:t xml:space="preserve"> On the basis of this,</w:t>
      </w:r>
      <w:bookmarkEnd w:id="57"/>
      <w:bookmarkEnd w:id="58"/>
      <w:r>
        <w:rPr>
          <w:rFonts w:hint="default" w:ascii="Times New Roman" w:hAnsi="Times New Roman" w:eastAsia="宋体" w:cs="Times New Roman"/>
          <w:b w:val="0"/>
          <w:bCs w:val="0"/>
          <w:color w:val="000000"/>
          <w:sz w:val="21"/>
          <w:szCs w:val="21"/>
          <w:lang w:val="en-US" w:eastAsia="zh-CN"/>
        </w:rPr>
        <w:t xml:space="preserve"> the outlook and expectations for the future development of Chinese and Taiwanese lacquer art are proposed. (Tang Zhiyi, 2019)</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The master's thesis and jo</w:t>
      </w:r>
      <w:bookmarkStart w:id="59" w:name="OLE_LINK18"/>
      <w:r>
        <w:rPr>
          <w:rFonts w:hint="default" w:ascii="Times New Roman" w:hAnsi="Times New Roman" w:eastAsia="宋体" w:cs="Times New Roman"/>
          <w:b w:val="0"/>
          <w:bCs w:val="0"/>
          <w:color w:val="000000"/>
          <w:sz w:val="21"/>
          <w:szCs w:val="21"/>
          <w:lang w:val="en-US" w:eastAsia="zh-CN"/>
        </w:rPr>
        <w:t xml:space="preserve">urnal paper explores five main areas: 1. The historical transformation of stripped lacquerware, with special attention to the history and development of the first stripped lacquerware factory in Fuzhou in the 1970s </w:t>
      </w:r>
      <w:bookmarkStart w:id="60" w:name="OLE_LINK169"/>
      <w:bookmarkEnd w:id="60"/>
      <w:r>
        <w:rPr>
          <w:rFonts w:hint="default" w:ascii="Times New Roman" w:hAnsi="Times New Roman" w:eastAsia="宋体" w:cs="Times New Roman"/>
          <w:b w:val="0"/>
          <w:bCs w:val="0"/>
          <w:color w:val="000000"/>
          <w:sz w:val="21"/>
          <w:szCs w:val="21"/>
          <w:lang w:val="en-US" w:eastAsia="zh-CN"/>
        </w:rPr>
        <w:t xml:space="preserve"> with a case study of the key historical figure </w:t>
      </w:r>
      <w:r>
        <w:rPr>
          <w:rFonts w:hint="default" w:ascii="Times New Roman" w:hAnsi="Times New Roman" w:eastAsia="宋体" w:cs="Times New Roman"/>
          <w:b w:val="0"/>
          <w:bCs w:val="0"/>
          <w:color w:val="000000"/>
          <w:sz w:val="21"/>
          <w:szCs w:val="21"/>
        </w:rPr>
        <w:t xml:space="preserve">Shen Shaoan 2. A </w:t>
      </w:r>
      <w:r>
        <w:rPr>
          <w:rFonts w:hint="default" w:ascii="Times New Roman" w:hAnsi="Times New Roman" w:eastAsia="宋体" w:cs="Times New Roman"/>
          <w:b w:val="0"/>
          <w:bCs w:val="0"/>
          <w:color w:val="000000"/>
          <w:sz w:val="21"/>
          <w:szCs w:val="21"/>
          <w:lang w:val="en-US" w:eastAsia="zh-CN"/>
        </w:rPr>
        <w:t>study based on the comparison of process improvement with other lacquer crafts</w:t>
      </w:r>
      <w:bookmarkStart w:id="61" w:name="OLE_LINK170"/>
      <w:r>
        <w:rPr>
          <w:rFonts w:hint="default" w:ascii="Times New Roman" w:hAnsi="Times New Roman" w:eastAsia="宋体" w:cs="Times New Roman"/>
          <w:b w:val="0"/>
          <w:bCs w:val="0"/>
          <w:color w:val="000000"/>
          <w:sz w:val="21"/>
          <w:szCs w:val="21"/>
          <w:lang w:val="en-US" w:eastAsia="zh-CN"/>
        </w:rPr>
        <w:t xml:space="preserve"> to explore the characteristics and causes of decorative art or the use of 3D printing technology to change the production process.</w:t>
      </w:r>
      <w:bookmarkEnd w:id="61"/>
      <w:r>
        <w:rPr>
          <w:rFonts w:hint="default" w:ascii="Times New Roman" w:hAnsi="Times New Roman" w:eastAsia="宋体" w:cs="Times New Roman"/>
          <w:b w:val="0"/>
          <w:bCs w:val="0"/>
          <w:color w:val="000000"/>
          <w:sz w:val="21"/>
          <w:szCs w:val="21"/>
          <w:lang w:val="en-US" w:eastAsia="zh-CN"/>
        </w:rPr>
        <w:t xml:space="preserve"> 3. An analysis of the Fuzhou lacquerware industry from a historical perspective. 4. To explore </w:t>
      </w:r>
      <w:bookmarkEnd w:id="59"/>
      <w:r>
        <w:rPr>
          <w:rFonts w:hint="default" w:ascii="Times New Roman" w:hAnsi="Times New Roman" w:eastAsia="宋体" w:cs="Times New Roman"/>
          <w:b w:val="0"/>
          <w:bCs w:val="0"/>
          <w:color w:val="000000"/>
          <w:sz w:val="21"/>
          <w:szCs w:val="21"/>
          <w:lang w:val="en-US" w:eastAsia="zh-CN"/>
        </w:rPr>
        <w:t>how technology can demonstrate the process and presentation of lacquerware production in Fuzhou.5</w:t>
      </w:r>
      <w:bookmarkStart w:id="62" w:name="OLE_LINK175"/>
      <w:r>
        <w:rPr>
          <w:rFonts w:hint="default" w:ascii="Times New Roman" w:hAnsi="Times New Roman" w:eastAsia="宋体" w:cs="Times New Roman"/>
          <w:b w:val="0"/>
          <w:bCs w:val="0"/>
          <w:color w:val="000000"/>
          <w:sz w:val="21"/>
          <w:szCs w:val="21"/>
          <w:lang w:val="en-US" w:eastAsia="zh-CN"/>
        </w:rPr>
        <w:t xml:space="preserve"> ,</w:t>
      </w:r>
      <w:bookmarkEnd w:id="62"/>
      <w:r>
        <w:rPr>
          <w:rFonts w:hint="default" w:ascii="Times New Roman" w:hAnsi="Times New Roman" w:eastAsia="宋体" w:cs="Times New Roman"/>
          <w:color w:val="000000"/>
          <w:sz w:val="21"/>
          <w:szCs w:val="21"/>
        </w:rPr>
        <w:t xml:space="preserve"> A series of studies on the changing identity of lacquer workers from a sociological perspective</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drawing on the pattern of identity evolution of lacquer workers from the development of the traditional lacquer craft, and an analysis of the situation of</w:t>
      </w:r>
      <w:bookmarkStart w:id="63" w:name="OLE_LINK176"/>
      <w:r>
        <w:rPr>
          <w:rFonts w:hint="default" w:ascii="Times New Roman" w:hAnsi="Times New Roman" w:eastAsia="宋体" w:cs="Times New Roman"/>
          <w:color w:val="000000"/>
          <w:sz w:val="21"/>
          <w:szCs w:val="21"/>
        </w:rPr>
        <w:t xml:space="preserve"> lacquer workers in different historical periods, combined with the changing issues of survival and development of modern lacquer workers</w:t>
      </w:r>
      <w:r>
        <w:rPr>
          <w:rFonts w:hint="default" w:ascii="Times New Roman" w:hAnsi="Times New Roman" w:eastAsia="宋体" w:cs="Times New Roman"/>
          <w:color w:val="000000"/>
          <w:sz w:val="21"/>
          <w:szCs w:val="21"/>
          <w:lang w:eastAsia="zh-CN"/>
        </w:rPr>
        <w:t xml:space="preserve">. </w:t>
      </w:r>
      <w:bookmarkEnd w:id="63"/>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3. Discourses on lacquerware in Japan, Korea and Europe</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bookmarkStart w:id="64" w:name="OLE_LINK77"/>
      <w:r>
        <w:rPr>
          <w:rFonts w:hint="default" w:ascii="Times New Roman" w:hAnsi="Times New Roman" w:eastAsia="宋体" w:cs="Times New Roman"/>
          <w:color w:val="000000"/>
          <w:sz w:val="21"/>
          <w:szCs w:val="21"/>
          <w:lang w:val="en-US" w:eastAsia="zh-CN"/>
        </w:rPr>
        <w:t>Between the Yuan and Ming dynasties, there was frequent interaction between Chinese and Japanese lacquer culture, with Chinese carved lacquer work included in the Kamakura Jueji compilation</w:t>
      </w:r>
      <w:bookmarkStart w:id="65" w:name="OLE_LINK80"/>
      <w:r>
        <w:rPr>
          <w:rFonts w:hint="default" w:ascii="Times New Roman" w:hAnsi="Times New Roman" w:eastAsia="宋体" w:cs="Times New Roman"/>
          <w:color w:val="000000"/>
          <w:sz w:val="21"/>
          <w:szCs w:val="21"/>
          <w:lang w:val="en-US" w:eastAsia="zh-CN"/>
        </w:rPr>
        <w:t xml:space="preserve"> (</w:t>
      </w:r>
      <w:bookmarkEnd w:id="65"/>
      <w:r>
        <w:rPr>
          <w:rFonts w:hint="default" w:ascii="Times New Roman" w:hAnsi="Times New Roman" w:eastAsia="宋体" w:cs="Times New Roman"/>
          <w:color w:val="000000"/>
          <w:sz w:val="21"/>
          <w:szCs w:val="21"/>
          <w:lang w:val="en-US" w:eastAsia="zh-CN"/>
        </w:rPr>
        <w:t xml:space="preserve"> ), compiled by the Yuan Shun emperor in 1363 (Lee Jeong-eun, 2015, pp. 63-86). </w:t>
      </w:r>
      <w:bookmarkStart w:id="66" w:name="OLE_LINK78"/>
      <w:r>
        <w:rPr>
          <w:rFonts w:hint="default" w:ascii="Times New Roman" w:hAnsi="Times New Roman" w:eastAsia="宋体" w:cs="Times New Roman"/>
          <w:color w:val="000000"/>
          <w:sz w:val="21"/>
          <w:szCs w:val="21"/>
          <w:lang w:val="en-US" w:eastAsia="zh-CN"/>
        </w:rPr>
        <w:t>The private writings of Jundaiguan zuojiji (The Records of the Left and Right Accounts of Jundaiguan) and Shanjiaojiao baoji (The Records of the Treasures of Neighbouring Countries) in the eleventh and thirteenth years of the Ming reign (1475 and 1477) record accounts of carved lacquer and bumped gold lacquerware, respectively.</w:t>
      </w:r>
      <w:bookmarkEnd w:id="64"/>
      <w:r>
        <w:rPr>
          <w:rFonts w:hint="default" w:ascii="Times New Roman" w:hAnsi="Times New Roman" w:eastAsia="宋体" w:cs="Times New Roman"/>
          <w:color w:val="000000"/>
          <w:sz w:val="21"/>
          <w:szCs w:val="21"/>
          <w:lang w:val="en-US" w:eastAsia="zh-CN"/>
        </w:rPr>
        <w:t xml:space="preserve"> In 1929, lacquer inscriptions excavated from the ruins of Lelang by Torajiro Naito</w:t>
      </w:r>
      <w:bookmarkEnd w:id="66"/>
      <w:r>
        <w:rPr>
          <w:rFonts w:hint="default" w:ascii="Times New Roman" w:hAnsi="Times New Roman" w:eastAsia="宋体" w:cs="Times New Roman"/>
          <w:color w:val="000000"/>
          <w:sz w:val="21"/>
          <w:szCs w:val="21"/>
          <w:lang w:val="en-US" w:eastAsia="zh-CN"/>
        </w:rPr>
        <w:t xml:space="preserve"> and scholars such as Shujin Harada and Maoji Umeen studied lacquer inscriptions (Rong Geng, 1926). </w:t>
      </w:r>
      <w:bookmarkStart w:id="67" w:name="OLE_LINK66"/>
      <w:bookmarkStart w:id="68" w:name="OLE_LINK67"/>
      <w:r>
        <w:rPr>
          <w:rFonts w:hint="default" w:ascii="Times New Roman" w:hAnsi="Times New Roman" w:eastAsia="宋体" w:cs="Times New Roman"/>
          <w:color w:val="000000"/>
          <w:sz w:val="21"/>
          <w:szCs w:val="21"/>
          <w:lang w:val="en-US" w:eastAsia="zh-CN"/>
        </w:rPr>
        <w:t>In modern Japan and Korea, lacquer has also been studied in a number of scholarly works, including The Origin of Lacquer, edited by Oishi Nagari (Japan) ,</w:t>
      </w:r>
      <w:bookmarkStart w:id="69" w:name="OLE_LINK58"/>
      <w:bookmarkEnd w:id="69"/>
      <w:r>
        <w:rPr>
          <w:rFonts w:hint="default" w:ascii="Times New Roman" w:hAnsi="Times New Roman" w:eastAsia="宋体" w:cs="Times New Roman"/>
          <w:color w:val="000000"/>
          <w:sz w:val="21"/>
          <w:szCs w:val="21"/>
          <w:lang w:val="en-US" w:eastAsia="zh-CN"/>
        </w:rPr>
        <w:t xml:space="preserve"> , The Art of Lacquer in Modern Japan ,</w:t>
      </w:r>
      <w:bookmarkStart w:id="70" w:name="OLE_LINK60"/>
      <w:bookmarkEnd w:id="70"/>
      <w:r>
        <w:rPr>
          <w:rFonts w:hint="default" w:ascii="Times New Roman" w:hAnsi="Times New Roman" w:eastAsia="宋体" w:cs="Times New Roman"/>
          <w:color w:val="000000"/>
          <w:sz w:val="21"/>
          <w:szCs w:val="21"/>
          <w:lang w:val="en-US" w:eastAsia="zh-CN"/>
        </w:rPr>
        <w:t xml:space="preserve"> , Japanese Crafts and Mingei (Japan), Rikuta Yukie (Japan), The Crafts of Japan, Sasaki Young, Traditional Techniques of Lacquer, and Lee Jong-suk (Korea), Wooden Lacquer Art</w:t>
      </w:r>
      <w:bookmarkStart w:id="71" w:name="OLE_LINK62"/>
      <w:r>
        <w:rPr>
          <w:rFonts w:hint="default" w:ascii="Times New Roman" w:hAnsi="Times New Roman" w:eastAsia="宋体" w:cs="Times New Roman"/>
          <w:color w:val="000000"/>
          <w:sz w:val="21"/>
          <w:szCs w:val="21"/>
          <w:lang w:val="en-US" w:eastAsia="zh-CN"/>
        </w:rPr>
        <w:t xml:space="preserve"> , all of which provide a systematic account of the development and evolution of lacquer art in their countries. The development and evolution of lacquer art in this country has been systematically described. </w:t>
      </w:r>
      <w:bookmarkEnd w:id="71"/>
      <w:r>
        <w:rPr>
          <w:rFonts w:hint="default" w:ascii="Times New Roman" w:hAnsi="Times New Roman" w:eastAsia="宋体" w:cs="Times New Roman"/>
          <w:color w:val="000000"/>
          <w:sz w:val="21"/>
          <w:szCs w:val="21"/>
          <w:lang w:val="en-US" w:eastAsia="zh-CN"/>
        </w:rPr>
        <w:t xml:space="preserve">In general, the focus of foreign research has been on the history of lacquer art and traditional craft techniques. </w:t>
      </w:r>
      <w:bookmarkEnd w:id="67"/>
      <w:bookmarkEnd w:id="68"/>
      <w:r>
        <w:rPr>
          <w:rFonts w:hint="default" w:ascii="Times New Roman" w:hAnsi="Times New Roman" w:eastAsia="宋体" w:cs="Times New Roman"/>
          <w:color w:val="000000"/>
          <w:sz w:val="21"/>
          <w:szCs w:val="21"/>
          <w:lang w:val="en-US" w:eastAsia="zh-CN"/>
        </w:rPr>
        <w:t>（In Europe (Okada Ryo and Wang Hu 1990, pp. 55-60), relatively little information has been found on lacquer art in the United States (</w:t>
      </w:r>
      <w:bookmarkStart w:id="72" w:name="OLE_LINK57"/>
      <w:r>
        <w:rPr>
          <w:rFonts w:hint="default" w:ascii="Times New Roman" w:hAnsi="Times New Roman" w:eastAsia="宋体" w:cs="Times New Roman"/>
          <w:color w:val="000000"/>
          <w:sz w:val="21"/>
          <w:szCs w:val="21"/>
          <w:lang w:val="en-US" w:eastAsia="zh-CN"/>
        </w:rPr>
        <w:t xml:space="preserve"> ). </w:t>
      </w:r>
      <w:bookmarkEnd w:id="72"/>
      <w:r>
        <w:rPr>
          <w:rFonts w:hint="default" w:ascii="Times New Roman" w:hAnsi="Times New Roman" w:eastAsia="宋体" w:cs="Times New Roman"/>
          <w:color w:val="000000"/>
          <w:sz w:val="21"/>
          <w:szCs w:val="21"/>
          <w:lang w:val="en-US" w:eastAsia="zh-CN"/>
        </w:rPr>
        <w:t>Studies on lacquer art have focused on several Sinologists, such as Lee</w:t>
      </w:r>
      <w:bookmarkStart w:id="73" w:name="OLE_LINK72"/>
      <w:r>
        <w:rPr>
          <w:rFonts w:hint="default" w:ascii="Times New Roman" w:hAnsi="Times New Roman" w:eastAsia="宋体" w:cs="Times New Roman"/>
          <w:color w:val="000000"/>
          <w:sz w:val="21"/>
          <w:szCs w:val="21"/>
          <w:lang w:val="en-US" w:eastAsia="zh-CN"/>
        </w:rPr>
        <w:t xml:space="preserve"> Yu-kuan's 1972 English-language book </w:t>
      </w:r>
      <w:bookmarkStart w:id="74" w:name="OLE_LINK59"/>
      <w:bookmarkEnd w:id="74"/>
      <w:bookmarkStart w:id="75" w:name="OLE_LINK71"/>
      <w:r>
        <w:rPr>
          <w:rFonts w:hint="default" w:ascii="Times New Roman" w:hAnsi="Times New Roman" w:eastAsia="宋体" w:cs="Times New Roman"/>
          <w:color w:val="000000"/>
          <w:sz w:val="21"/>
          <w:szCs w:val="21"/>
          <w:lang w:val="en-US" w:eastAsia="zh-CN"/>
        </w:rPr>
        <w:t xml:space="preserve"> Oriental Lacquer Art </w:t>
      </w:r>
      <w:bookmarkEnd w:id="73"/>
      <w:bookmarkEnd w:id="75"/>
      <w:r>
        <w:rPr>
          <w:rFonts w:hint="default" w:ascii="Times New Roman" w:hAnsi="Times New Roman" w:eastAsia="宋体" w:cs="Times New Roman"/>
          <w:color w:val="000000"/>
          <w:sz w:val="21"/>
          <w:szCs w:val="21"/>
          <w:lang w:val="en-US" w:eastAsia="zh-CN"/>
        </w:rPr>
        <w:t xml:space="preserve"> (Lee, Y.K., 1972.). </w:t>
      </w:r>
      <w:bookmarkStart w:id="76" w:name="OLE_LINK61"/>
      <w:bookmarkStart w:id="77" w:name="OLE_LINK75"/>
      <w:r>
        <w:rPr>
          <w:rFonts w:hint="default" w:ascii="Times New Roman" w:hAnsi="Times New Roman" w:eastAsia="宋体" w:cs="Times New Roman"/>
          <w:color w:val="000000"/>
          <w:sz w:val="21"/>
          <w:szCs w:val="21"/>
          <w:lang w:val="en-US" w:eastAsia="zh-CN"/>
        </w:rPr>
        <w:t>Stephen W. Bushell, who also worked at the Embassy of China, published Chinese Art</w:t>
      </w:r>
      <w:bookmarkEnd w:id="76"/>
      <w:r>
        <w:rPr>
          <w:rFonts w:hint="default" w:ascii="Times New Roman" w:hAnsi="Times New Roman" w:eastAsia="宋体" w:cs="Times New Roman"/>
          <w:color w:val="000000"/>
          <w:sz w:val="21"/>
          <w:szCs w:val="21"/>
          <w:lang w:val="en-US" w:eastAsia="zh-CN"/>
        </w:rPr>
        <w:t xml:space="preserve"> in 1906.</w:t>
      </w:r>
      <w:bookmarkEnd w:id="77"/>
      <w:r>
        <w:rPr>
          <w:rFonts w:hint="default" w:ascii="Times New Roman" w:hAnsi="Times New Roman" w:eastAsia="宋体" w:cs="Times New Roman"/>
          <w:color w:val="000000"/>
          <w:sz w:val="21"/>
          <w:szCs w:val="21"/>
          <w:lang w:val="en-US" w:eastAsia="zh-CN"/>
        </w:rPr>
        <w:t xml:space="preserve"> (Bushell, SW, 1906) takes a very different approach to the study of Chinese art from that of Western art history, with its sixth chapter devoted to lacquer work, lacquer painting and lacquer carving, and the basics of lacquerware production in Fuzhou. Stephen W. Bushell's study is based entirely on the arts and crafts perspective, which is at odds with the overly philosophical trajectory of ancient Chinese scholars. 2012 saw Ding Wenfu's magnum opus,</w:t>
      </w:r>
      <w:bookmarkStart w:id="78" w:name="OLE_LINK63"/>
      <w:r>
        <w:rPr>
          <w:rFonts w:hint="default" w:ascii="Times New Roman" w:hAnsi="Times New Roman" w:eastAsia="宋体" w:cs="Times New Roman"/>
          <w:color w:val="000000"/>
          <w:sz w:val="21"/>
          <w:szCs w:val="21"/>
          <w:lang w:val="en-US" w:eastAsia="zh-CN"/>
        </w:rPr>
        <w:t xml:space="preserve"> A Study of Ancient Chinese Painted Furniture, Evidence from the Tenth to the Eighteenth Centuries</w:t>
      </w:r>
      <w:bookmarkEnd w:id="78"/>
      <w:r>
        <w:rPr>
          <w:rFonts w:hint="default" w:ascii="Times New Roman" w:hAnsi="Times New Roman" w:eastAsia="宋体" w:cs="Times New Roman"/>
          <w:color w:val="000000"/>
          <w:sz w:val="21"/>
          <w:szCs w:val="21"/>
          <w:lang w:val="en-US" w:eastAsia="zh-CN"/>
        </w:rPr>
        <w:t xml:space="preserve"> (Ding Wenfu, 2012), a relatively systematic collection of material from the East and West from ancient times to the present, using lacquer The study is based on eight lacquer furniture techniques: lacquer, gilding, painting, lacquer filling, inlay, carving, painting, and lacquer piling.</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b/>
          <w:bCs/>
          <w:color w:val="000000"/>
          <w:sz w:val="21"/>
          <w:szCs w:val="21"/>
          <w:lang w:val="en-US" w:eastAsia="zh-CN"/>
        </w:rPr>
        <w:t xml:space="preserve">    Conclusion</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One conclusion that can be drawn from the above combing is that the focus of most researchers' questions is on historical analysis and collation, comparison and analysis of</w:t>
      </w:r>
      <w:bookmarkStart w:id="79" w:name="OLE_LINK171"/>
      <w:r>
        <w:rPr>
          <w:rFonts w:hint="default" w:ascii="Times New Roman" w:hAnsi="Times New Roman" w:eastAsia="宋体" w:cs="Times New Roman"/>
          <w:b w:val="0"/>
          <w:bCs w:val="0"/>
          <w:color w:val="000000"/>
          <w:sz w:val="21"/>
          <w:szCs w:val="21"/>
          <w:lang w:val="en-US" w:eastAsia="zh-CN"/>
        </w:rPr>
        <w:t xml:space="preserve"> craftsmanship, and the dilemmas and discussions of the industrial system. The </w:t>
      </w:r>
      <w:r>
        <w:rPr>
          <w:rFonts w:hint="default" w:ascii="Times New Roman" w:hAnsi="Times New Roman" w:eastAsia="宋体" w:cs="Times New Roman"/>
          <w:color w:val="000000"/>
          <w:sz w:val="21"/>
          <w:szCs w:val="21"/>
          <w:lang w:val="en-US" w:eastAsia="zh-CN"/>
        </w:rPr>
        <w:t xml:space="preserve">current situation of the talent in the Fuzhou lacquerware industry, the sustainable industrial development and branding issues under the </w:t>
      </w:r>
      <w:r>
        <w:rPr>
          <w:rFonts w:hint="default" w:ascii="Times New Roman" w:hAnsi="Times New Roman" w:eastAsia="宋体" w:cs="Times New Roman"/>
          <w:b w:val="0"/>
          <w:bCs w:val="0"/>
          <w:color w:val="000000"/>
          <w:sz w:val="21"/>
          <w:szCs w:val="21"/>
          <w:lang w:val="en-US" w:eastAsia="zh-CN"/>
        </w:rPr>
        <w:t>current</w:t>
      </w:r>
      <w:bookmarkEnd w:id="79"/>
      <w:r>
        <w:rPr>
          <w:rFonts w:hint="default" w:ascii="Times New Roman" w:hAnsi="Times New Roman" w:eastAsia="宋体" w:cs="Times New Roman"/>
          <w:color w:val="000000"/>
          <w:sz w:val="21"/>
          <w:szCs w:val="21"/>
          <w:lang w:val="en-US" w:eastAsia="zh-CN"/>
        </w:rPr>
        <w:t xml:space="preserve"> series of official power interventions are yet to be explored and studied in depth. Secondly, what</w:t>
      </w:r>
      <w:bookmarkStart w:id="80" w:name="OLE_LINK132"/>
      <w:r>
        <w:rPr>
          <w:rFonts w:hint="default" w:ascii="Times New Roman" w:hAnsi="Times New Roman" w:eastAsia="宋体" w:cs="Times New Roman"/>
          <w:color w:val="000000"/>
          <w:sz w:val="21"/>
          <w:szCs w:val="21"/>
          <w:lang w:val="en-US" w:eastAsia="zh-CN"/>
        </w:rPr>
        <w:t xml:space="preserve"> kind of tools, thinking</w:t>
      </w:r>
      <w:bookmarkEnd w:id="80"/>
      <w:r>
        <w:rPr>
          <w:rFonts w:hint="default" w:ascii="Times New Roman" w:hAnsi="Times New Roman" w:eastAsia="宋体" w:cs="Times New Roman"/>
          <w:color w:val="000000"/>
          <w:sz w:val="21"/>
          <w:szCs w:val="21"/>
          <w:lang w:val="en-US" w:eastAsia="zh-CN"/>
        </w:rPr>
        <w:t xml:space="preserve"> and methods are currently being used by this group to create? From the perspective of heritage and innovation, what is the relationship between the works of today and those of decades ago</w:t>
      </w:r>
      <w:bookmarkStart w:id="81" w:name="OLE_LINK168"/>
      <w:r>
        <w:rPr>
          <w:rFonts w:hint="default" w:ascii="Times New Roman" w:hAnsi="Times New Roman" w:eastAsia="宋体" w:cs="Times New Roman"/>
          <w:color w:val="000000"/>
          <w:sz w:val="21"/>
          <w:szCs w:val="21"/>
          <w:lang w:val="en-US" w:eastAsia="zh-CN"/>
        </w:rPr>
        <w:t xml:space="preserve"> , and what are the patterns and shapes of the works</w:t>
      </w:r>
      <w:bookmarkEnd w:id="81"/>
      <w:r>
        <w:rPr>
          <w:rFonts w:hint="default" w:ascii="Times New Roman" w:hAnsi="Times New Roman" w:eastAsia="宋体" w:cs="Times New Roman"/>
          <w:color w:val="000000"/>
          <w:sz w:val="21"/>
          <w:szCs w:val="21"/>
          <w:lang w:val="en-US" w:eastAsia="zh-CN"/>
        </w:rPr>
        <w:t xml:space="preserve"> ? What is the relationship between the work designed by the designer and modern life? How do lacquerware companies or creators think about the relationship between consumers and the market? How do consumers perceive this traditional craft</w:t>
      </w:r>
      <w:bookmarkStart w:id="82" w:name="OLE_LINK45"/>
      <w:r>
        <w:rPr>
          <w:rFonts w:hint="default" w:ascii="Times New Roman" w:hAnsi="Times New Roman" w:eastAsia="宋体" w:cs="Times New Roman"/>
          <w:color w:val="000000"/>
          <w:sz w:val="21"/>
          <w:szCs w:val="21"/>
          <w:lang w:val="en-US" w:eastAsia="zh-CN"/>
        </w:rPr>
        <w:t xml:space="preserve"> ? As part of culture</w:t>
      </w:r>
      <w:bookmarkStart w:id="83" w:name="OLE_LINK172"/>
      <w:r>
        <w:rPr>
          <w:rFonts w:hint="default" w:ascii="Times New Roman" w:hAnsi="Times New Roman" w:eastAsia="宋体" w:cs="Times New Roman"/>
          <w:color w:val="000000"/>
          <w:sz w:val="21"/>
          <w:szCs w:val="21"/>
          <w:lang w:val="en-US" w:eastAsia="zh-CN"/>
        </w:rPr>
        <w:t xml:space="preserve"> , how can lacquer</w:t>
      </w:r>
      <w:bookmarkEnd w:id="82"/>
      <w:r>
        <w:rPr>
          <w:rFonts w:hint="default" w:ascii="Times New Roman" w:hAnsi="Times New Roman" w:eastAsia="宋体" w:cs="Times New Roman"/>
          <w:color w:val="000000"/>
          <w:sz w:val="21"/>
          <w:szCs w:val="21"/>
          <w:lang w:val="en-US" w:eastAsia="zh-CN"/>
        </w:rPr>
        <w:t xml:space="preserve"> be better integrated into life or commercialised ? </w:t>
      </w:r>
      <w:bookmarkEnd w:id="83"/>
      <w:bookmarkStart w:id="84" w:name="OLE_LINK133"/>
      <w:r>
        <w:rPr>
          <w:rFonts w:hint="default" w:ascii="Times New Roman" w:hAnsi="Times New Roman" w:eastAsia="宋体" w:cs="Times New Roman"/>
          <w:color w:val="000000"/>
          <w:sz w:val="21"/>
          <w:szCs w:val="21"/>
          <w:lang w:val="en-US" w:eastAsia="zh-CN"/>
        </w:rPr>
        <w:t>What changes and attempts should companies and designers</w:t>
      </w:r>
      <w:bookmarkEnd w:id="84"/>
      <w:r>
        <w:rPr>
          <w:rFonts w:hint="default" w:ascii="Times New Roman" w:hAnsi="Times New Roman" w:eastAsia="宋体" w:cs="Times New Roman"/>
          <w:color w:val="000000"/>
          <w:sz w:val="21"/>
          <w:szCs w:val="21"/>
          <w:lang w:val="en-US" w:eastAsia="zh-CN"/>
        </w:rPr>
        <w:t xml:space="preserve"> make in terms of sustainability, product innovation and cultural experience?</w:t>
      </w:r>
      <w:r>
        <w:rPr>
          <w:rFonts w:hint="default" w:ascii="Times New Roman" w:hAnsi="Times New Roman" w:eastAsia="宋体" w:cs="Times New Roman"/>
          <w:b w:val="0"/>
          <w:bCs w:val="0"/>
          <w:color w:val="000000"/>
          <w:sz w:val="21"/>
          <w:szCs w:val="21"/>
          <w:lang w:val="en-US" w:eastAsia="zh-CN"/>
        </w:rPr>
        <w:t xml:space="preserve"> My research hopes to shed light on these questions through extensive fieldwork and quantitative analysis. Finally, I hope to make some practical attempts to change the way lacquerware is created and presented through some of my own methods.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b w:val="0"/>
          <w:bCs w:val="0"/>
          <w:color w:val="000000"/>
          <w:sz w:val="21"/>
          <w:szCs w:val="21"/>
          <w:lang w:val="en-US" w:eastAsia="zh-CN"/>
        </w:rPr>
      </w:pP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b/>
          <w:bCs/>
          <w:color w:val="000000"/>
          <w:sz w:val="21"/>
          <w:szCs w:val="21"/>
          <w:lang w:val="en-US" w:eastAsia="zh-CN"/>
        </w:rPr>
      </w:pPr>
      <w:bookmarkStart w:id="85" w:name="OLE_LINK17"/>
      <w:r>
        <w:rPr>
          <w:rFonts w:hint="default" w:ascii="Times New Roman" w:hAnsi="Times New Roman" w:eastAsia="宋体" w:cs="Times New Roman"/>
          <w:b/>
          <w:bCs/>
          <w:color w:val="000000"/>
          <w:sz w:val="21"/>
          <w:szCs w:val="21"/>
          <w:lang w:val="en-US" w:eastAsia="zh-CN"/>
        </w:rPr>
        <w:t>REFERENCE</w:t>
      </w:r>
    </w:p>
    <w:bookmarkEnd w:id="85"/>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 Huang Hengmiao, 2017. The Thirty-two Folk Art Appreciation Series: The Aesthetics and Educational Value of Fuzhou Lacquer Art. Chinese Art Education, (001), pp.92-96.</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 xml:space="preserve">[2] </w:t>
      </w:r>
      <w:r>
        <w:rPr>
          <w:rFonts w:hint="default" w:ascii="Times New Roman" w:hAnsi="Times New Roman" w:eastAsia="宋体" w:cs="Times New Roman"/>
          <w:b w:val="0"/>
          <w:bCs w:val="0"/>
          <w:color w:val="000000"/>
          <w:kern w:val="0"/>
          <w:sz w:val="21"/>
          <w:szCs w:val="21"/>
          <w:lang w:val="en-US" w:eastAsia="zh-CN" w:bidi="ar"/>
        </w:rPr>
        <w:t>Fuzhou Municipal People's Government (2015) Implementation Opinions of the Fuzhou Municipal People's Government on Strengthening the Protection Available at: http://www.fuzhou.gov.cn/zgfzzt/sswgh/lsgh/sew/201205/t20120531_1561096.htm(Accessed: 15May 2022).</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 xml:space="preserve">[3] </w:t>
      </w:r>
      <w:r>
        <w:rPr>
          <w:rFonts w:hint="default" w:ascii="Times New Roman" w:hAnsi="Times New Roman" w:eastAsia="宋体" w:cs="Times New Roman"/>
          <w:b w:val="0"/>
          <w:bCs w:val="0"/>
          <w:color w:val="000000"/>
          <w:kern w:val="0"/>
          <w:sz w:val="21"/>
          <w:szCs w:val="21"/>
          <w:lang w:val="en-US" w:eastAsia="zh-CN" w:bidi="ar"/>
        </w:rPr>
        <w:t>The 12th Five-Year Special Plan for the Development of Cultural and Creative Industries in Fuzhou City (2011-2015). Available at: http://www.fuzhou.gov.cn/zgfzzt/sswgh/lsgh/sew/201205/t20120531_1561096.htm(Accessed: 15May 2022).</w:t>
      </w:r>
    </w:p>
    <w:p>
      <w:pPr>
        <w:keepNext w:val="0"/>
        <w:keepLines w:val="0"/>
        <w:pageBreakBefore w:val="0"/>
        <w:widowControl/>
        <w:suppressLineNumbers w:val="0"/>
        <w:kinsoku w:val="0"/>
        <w:wordWrap/>
        <w:overflowPunct/>
        <w:topLinePunct/>
        <w:autoSpaceDE/>
        <w:autoSpaceDN/>
        <w:bidi w:val="0"/>
        <w:adjustRightInd/>
        <w:snapToGrid/>
        <w:spacing w:line="360" w:lineRule="exact"/>
        <w:ind w:firstLine="420" w:firstLineChars="200"/>
        <w:jc w:val="left"/>
        <w:textAlignment w:val="auto"/>
        <w:rPr>
          <w:rFonts w:hint="default" w:ascii="Times New Roman" w:hAnsi="Times New Roman" w:eastAsia="宋体" w:cs="Times New Roman"/>
          <w:b w:val="0"/>
          <w:bCs w:val="0"/>
          <w:i/>
          <w:iCs/>
          <w:color w:val="000000"/>
          <w:sz w:val="21"/>
          <w:szCs w:val="21"/>
          <w:lang w:val="en-US" w:eastAsia="zh-CN"/>
        </w:rPr>
      </w:pPr>
      <w:r>
        <w:rPr>
          <w:rFonts w:hint="default" w:ascii="Times New Roman" w:hAnsi="Times New Roman" w:eastAsia="宋体" w:cs="Times New Roman"/>
          <w:b w:val="0"/>
          <w:bCs w:val="0"/>
          <w:i w:val="0"/>
          <w:iCs w:val="0"/>
          <w:color w:val="000000"/>
          <w:sz w:val="21"/>
          <w:szCs w:val="21"/>
          <w:lang w:val="en-US" w:eastAsia="zh-CN"/>
        </w:rPr>
        <w:t>[4] Wu Yan, 2017. "Chinese Traditional Craft Revitalization Plan" released. Fujian Textile, (5), pp.2-2.</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[5] Li Yanzu, 2006. Material and Immaterial: The Protection and Development of Traditional Arts and Crafts. Literature and Art Research, 12, pp.106-117. .</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[6]</w:t>
      </w:r>
      <w:bookmarkStart w:id="86" w:name="OLE_LINK161"/>
      <w:r>
        <w:rPr>
          <w:rFonts w:hint="default" w:ascii="Times New Roman" w:hAnsi="Times New Roman" w:eastAsia="宋体" w:cs="Times New Roman"/>
          <w:b w:val="0"/>
          <w:bCs w:val="0"/>
          <w:color w:val="000000"/>
          <w:sz w:val="21"/>
          <w:szCs w:val="21"/>
          <w:lang w:val="en-US" w:eastAsia="zh-CN"/>
        </w:rPr>
        <w:t xml:space="preserve"> Wang Shixiang,1957</w:t>
      </w:r>
      <w:bookmarkEnd w:id="86"/>
      <w:r>
        <w:rPr>
          <w:rFonts w:hint="default" w:ascii="Times New Roman" w:hAnsi="Times New Roman" w:eastAsia="宋体" w:cs="Times New Roman"/>
          <w:b w:val="0"/>
          <w:bCs w:val="0"/>
          <w:color w:val="000000"/>
          <w:sz w:val="21"/>
          <w:szCs w:val="21"/>
          <w:lang w:val="en-US" w:eastAsia="zh-CN"/>
        </w:rPr>
        <w:t xml:space="preserve"> . The Record of Decorative Dressing-The Only Existing Monograph on Painters in my country. Cultural Relics, (7), </w:t>
      </w:r>
      <w:bookmarkStart w:id="87" w:name="OLE_LINK162"/>
      <w:r>
        <w:rPr>
          <w:rFonts w:hint="default" w:ascii="Times New Roman" w:hAnsi="Times New Roman" w:eastAsia="宋体" w:cs="Times New Roman"/>
          <w:b w:val="0"/>
          <w:bCs w:val="0"/>
          <w:color w:val="000000"/>
          <w:sz w:val="21"/>
          <w:szCs w:val="21"/>
          <w:lang w:val="en-US" w:eastAsia="zh-CN"/>
        </w:rPr>
        <w:t xml:space="preserve"> pp.14-17</w:t>
      </w:r>
      <w:bookmarkEnd w:id="87"/>
      <w:r>
        <w:rPr>
          <w:rFonts w:hint="default" w:ascii="Times New Roman" w:hAnsi="Times New Roman" w:eastAsia="宋体" w:cs="Times New Roman"/>
          <w:b w:val="0"/>
          <w:bCs w:val="0"/>
          <w:color w:val="000000"/>
          <w:sz w:val="21"/>
          <w:szCs w:val="21"/>
          <w:lang w:val="en-US" w:eastAsia="zh-CN"/>
        </w:rPr>
        <w:t xml:space="preserve"> .</w:t>
      </w:r>
      <w:bookmarkStart w:id="88" w:name="OLE_LINK11"/>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[7]</w:t>
      </w:r>
      <w:bookmarkEnd w:id="88"/>
      <w:r>
        <w:rPr>
          <w:rFonts w:hint="default" w:ascii="Times New Roman" w:hAnsi="Times New Roman" w:eastAsia="宋体" w:cs="Times New Roman"/>
          <w:b w:val="0"/>
          <w:bCs w:val="0"/>
          <w:color w:val="000000"/>
          <w:sz w:val="21"/>
          <w:szCs w:val="21"/>
          <w:lang w:val="en-US" w:eastAsia="zh-CN"/>
        </w:rPr>
        <w:t xml:space="preserve"> Ding Wenfu, 2012. Ancient Chinese Painted Lacquer Furniture: A Study of Evidence from the Tenth to Eighteenth Centuries. Heritage Press.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[8] Shixiang, 2004. The Record of Painted Decorations.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[9] Zhu Jiajin, 1996. An Overview of Lacquerware in the Ming Dynasty-The Preface to the Volume of Lacquerware in the Ming Dynasty in The Complete Works of Classification of Chinese Art. Journal of the Palace Museum, (3), pp.1-7.</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[10] Cao Zhao, Wang Zuo and Zhao Jing, 2012. The Essentials of Gegu.</w:t>
      </w:r>
      <w:bookmarkStart w:id="89" w:name="OLE_LINK24"/>
      <w:bookmarkStart w:id="90" w:name="OLE_LINK23"/>
      <w:r>
        <w:rPr>
          <w:rFonts w:hint="default" w:ascii="Times New Roman" w:hAnsi="Times New Roman" w:eastAsia="宋体" w:cs="Times New Roman"/>
          <w:b w:val="0"/>
          <w:bCs w:val="0"/>
          <w:color w:val="000000"/>
          <w:sz w:val="21"/>
          <w:szCs w:val="21"/>
          <w:lang w:val="en-US" w:eastAsia="zh-CN"/>
        </w:rPr>
        <w:t xml:space="preserve"> Jincheng</w:t>
      </w:r>
      <w:bookmarkEnd w:id="89"/>
      <w:r>
        <w:rPr>
          <w:rFonts w:hint="default" w:ascii="Times New Roman" w:hAnsi="Times New Roman" w:eastAsia="宋体" w:cs="Times New Roman"/>
          <w:b w:val="0"/>
          <w:bCs w:val="0"/>
          <w:color w:val="000000"/>
          <w:sz w:val="21"/>
          <w:szCs w:val="21"/>
          <w:lang w:val="en-US" w:eastAsia="zh-CN"/>
        </w:rPr>
        <w:t xml:space="preserve"> Publishing House.</w:t>
      </w:r>
      <w:bookmarkEnd w:id="90"/>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[11] Song Xu, 1988. Song's Household Regulation Department [M] (Doctoral dissertation, Ming edition).</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[12] Lang Ying, 2009. Seven revisions. Shanghai Bookstore Publishing House.</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[13] Gu Zuyu, 2006. Minutes of Reading History Fangyu. Knowledge of Literature and History, (7), pp. F0004-F0004. [14] Gao Shiqi, 1980. Notes on Jin Ao's Food Retreat.</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[14] Shi Mei, 2001. A Preliminary Study on the Version of Yangzhou Huafang Lu. Journal of Nanjing University: Philosophy. Humanities. Social Sciences, Social Sciences, 38(5), pp.89-95.</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[15] Yang Yong, 2013. Research on the Qianlong Dynasty lacquer inscriptions found in the archives of the Office. Journal of the National Museum of China, ( 6), pp.87-101.</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[16] Zheng Shixu 1937. The Examination of Lacquerware. Zhonghua Book Company.</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[17] Wang Hu, 2003. The Spread of Lacquer Art (Doctoral dissertation, Nanjing University of the Arts).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[18] Zheng Likuo, 1990. Fujian Lacquer Artist Collection. Fujian Fine Arts Publishing House.</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[19] Huang Baoqing, 2004. History of Fujian Arts and Crafts. Fujian Fine Arts Publishing House.</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[20] Chen Jing, 2013. Inheritance and Innovation: Shen Shao'an Lacquer Art. Academic Review, (5), pp.89-95.</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[21] Zhou Huaisong, 1983. A Collection of Fuzhou Bodiless Lacquer Artifacts.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[22] Weng Yixi, 2019. The Universe of Literary Quality: A Study on the Matter and Society of Lacquer Art in Modern Fujian (Doctoral dissertation, Nanjing Normal University).</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[23] Qiu Zhijun, 2019. Research on Bodiless Lacquerware in Fuzhou from the Mid-Qing Dynasty to the Republic of China (Doctoral dissertation, Fujian Normal University).</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[24] Tang Zhiyi, 2015. Research on Lacquer Art in Fujian and Taiwan (Doctoral dissertation, Fujian Normal University).</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[25] Lee Jeong-eun, 2015. The Politics of Decoration in the Muromachi Period: The Meaning of the Decoration of the Ashikaga Shogun's Residence through the Art History Review, (41), pp.63-86.</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[26] Rong Geng, 1926. Doctoral dissertation on lacquer inscriptions unearthed from the Lelang Ruins.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[27] Okada Ryo and Wang Hu, 1990. Modern Japanese Lacquer Art. Journal of Nanjing University of the Arts: Art and Design Edition, (2), pp.55-60.</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bookmarkStart w:id="91" w:name="OLE_LINK76"/>
      <w:r>
        <w:rPr>
          <w:rFonts w:hint="default" w:ascii="Times New Roman" w:hAnsi="Times New Roman" w:eastAsia="宋体" w:cs="Times New Roman"/>
          <w:b w:val="0"/>
          <w:bCs w:val="0"/>
          <w:color w:val="000000"/>
          <w:sz w:val="21"/>
          <w:szCs w:val="21"/>
          <w:lang w:val="en-US" w:eastAsia="zh-CN"/>
        </w:rPr>
        <w:t>[28]</w:t>
      </w:r>
      <w:bookmarkEnd w:id="91"/>
      <w:bookmarkStart w:id="92" w:name="OLE_LINK74"/>
      <w:r>
        <w:rPr>
          <w:rFonts w:hint="default" w:ascii="Times New Roman" w:hAnsi="Times New Roman" w:eastAsia="宋体" w:cs="Times New Roman"/>
          <w:b w:val="0"/>
          <w:bCs w:val="0"/>
          <w:color w:val="000000"/>
          <w:sz w:val="21"/>
          <w:szCs w:val="21"/>
          <w:lang w:val="en-US" w:eastAsia="zh-CN"/>
        </w:rPr>
        <w:t xml:space="preserve"> Lee, Y.K., 1972.</w:t>
      </w:r>
      <w:bookmarkEnd w:id="92"/>
      <w:r>
        <w:rPr>
          <w:rFonts w:hint="default" w:ascii="Times New Roman" w:hAnsi="Times New Roman" w:eastAsia="宋体" w:cs="Times New Roman"/>
          <w:b w:val="0"/>
          <w:bCs w:val="0"/>
          <w:color w:val="000000"/>
          <w:sz w:val="21"/>
          <w:szCs w:val="21"/>
          <w:lang w:val="en-US" w:eastAsia="zh-CN"/>
        </w:rPr>
        <w:t xml:space="preserve"> Oriental lacquer art. Oriental House Limited, Tokyo.</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[29] BUSHELL, S.W., 1906. Chinese Art (London). BushellChinese Art1906.</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bookmarkStart w:id="93" w:name="OLE_LINK68"/>
      <w:r>
        <w:rPr>
          <w:rFonts w:hint="default" w:ascii="Times New Roman" w:hAnsi="Times New Roman" w:eastAsia="宋体" w:cs="Times New Roman"/>
          <w:b w:val="0"/>
          <w:bCs w:val="0"/>
          <w:color w:val="000000"/>
          <w:sz w:val="21"/>
          <w:szCs w:val="21"/>
          <w:lang w:val="en-US" w:eastAsia="zh-CN"/>
        </w:rPr>
        <w:t>[30]</w:t>
      </w:r>
      <w:bookmarkEnd w:id="93"/>
      <w:bookmarkStart w:id="94" w:name="OLE_LINK65"/>
      <w:r>
        <w:rPr>
          <w:rFonts w:hint="default" w:ascii="Times New Roman" w:hAnsi="Times New Roman" w:eastAsia="宋体" w:cs="Times New Roman"/>
          <w:b w:val="0"/>
          <w:bCs w:val="0"/>
          <w:color w:val="000000"/>
          <w:sz w:val="21"/>
          <w:szCs w:val="21"/>
          <w:lang w:val="en-US" w:eastAsia="zh-CN"/>
        </w:rPr>
        <w:t xml:space="preserve"> Ding Wenfu, 2012</w:t>
      </w:r>
      <w:bookmarkEnd w:id="94"/>
      <w:r>
        <w:rPr>
          <w:rFonts w:hint="default" w:ascii="Times New Roman" w:hAnsi="Times New Roman" w:eastAsia="宋体" w:cs="Times New Roman"/>
          <w:b w:val="0"/>
          <w:bCs w:val="0"/>
          <w:color w:val="000000"/>
          <w:sz w:val="21"/>
          <w:szCs w:val="21"/>
          <w:lang w:val="en-US" w:eastAsia="zh-CN"/>
        </w:rPr>
        <w:t xml:space="preserve"> . Ancient Chinese Painted Lacquer Furniture: A Study of Evidence from the Tenth to Eighteenth Centuries. Heritage Press.</w:t>
      </w: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p>
    <w:p>
      <w:pPr>
        <w:pStyle w:val="9"/>
        <w:keepNext w:val="0"/>
        <w:keepLines w:val="0"/>
        <w:pageBreakBefore w:val="0"/>
        <w:widowControl/>
        <w:numPr>
          <w:ilvl w:val="0"/>
          <w:numId w:val="0"/>
        </w:numPr>
        <w:kinsoku/>
        <w:wordWrap/>
        <w:overflowPunct/>
        <w:topLinePunct/>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p>
    <w:p>
      <w:pPr>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br w:type="page"/>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600" w:lineRule="auto"/>
        <w:jc w:val="center"/>
        <w:textAlignment w:val="auto"/>
        <w:rPr>
          <w:rFonts w:hint="default" w:ascii="Times New Roman" w:hAnsi="Times New Roman" w:eastAsia="宋体" w:cs="Times New Roman"/>
          <w:b/>
          <w:bCs/>
          <w:color w:val="000000"/>
          <w:sz w:val="44"/>
          <w:szCs w:val="44"/>
        </w:rPr>
      </w:pPr>
      <w:bookmarkStart w:id="95" w:name="OLE_LINK3"/>
      <w:r>
        <w:rPr>
          <w:rFonts w:hint="default" w:ascii="Times New Roman" w:hAnsi="Times New Roman" w:eastAsia="宋体" w:cs="Times New Roman"/>
          <w:b/>
          <w:bCs/>
          <w:color w:val="000000"/>
          <w:sz w:val="44"/>
          <w:szCs w:val="44"/>
        </w:rPr>
        <w:t>Cri</w:t>
      </w:r>
      <w:bookmarkStart w:id="96" w:name="OLE_LINK1"/>
      <w:r>
        <w:rPr>
          <w:rFonts w:hint="default" w:ascii="Times New Roman" w:hAnsi="Times New Roman" w:eastAsia="宋体" w:cs="Times New Roman"/>
          <w:b/>
          <w:bCs/>
          <w:color w:val="000000"/>
          <w:sz w:val="44"/>
          <w:szCs w:val="44"/>
        </w:rPr>
        <w:t>tically Analyse 3 Research M</w:t>
      </w:r>
      <w:bookmarkEnd w:id="96"/>
      <w:r>
        <w:rPr>
          <w:rFonts w:hint="default" w:ascii="Times New Roman" w:hAnsi="Times New Roman" w:eastAsia="宋体" w:cs="Times New Roman"/>
          <w:b/>
          <w:bCs/>
          <w:color w:val="000000"/>
          <w:sz w:val="44"/>
          <w:szCs w:val="44"/>
        </w:rPr>
        <w:t>ethodologies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bCs/>
          <w:color w:val="000000"/>
          <w:sz w:val="21"/>
          <w:szCs w:val="21"/>
        </w:rPr>
      </w:pP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bCs/>
          <w:color w:val="000000"/>
          <w:sz w:val="21"/>
          <w:szCs w:val="21"/>
          <w:lang w:val="en-US" w:eastAsia="zh-CN"/>
        </w:rPr>
      </w:pPr>
      <w:bookmarkStart w:id="97" w:name="OLE_LINK173"/>
      <w:bookmarkStart w:id="98" w:name="OLE_LINK174"/>
      <w:r>
        <w:rPr>
          <w:rFonts w:hint="default" w:ascii="Times New Roman" w:hAnsi="Times New Roman" w:eastAsia="宋体" w:cs="Times New Roman"/>
          <w:b/>
          <w:bCs/>
          <w:color w:val="000000"/>
          <w:sz w:val="21"/>
          <w:szCs w:val="21"/>
          <w:lang w:val="en-US" w:eastAsia="zh-CN"/>
        </w:rPr>
        <w:t>introduction</w:t>
      </w:r>
      <w:bookmarkEnd w:id="97"/>
    </w:p>
    <w:bookmarkEnd w:id="98"/>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eastAsia="zh-CN"/>
        </w:rPr>
        <w:t xml:space="preserve">Qualitative </w:t>
      </w:r>
      <w:r>
        <w:rPr>
          <w:rFonts w:hint="default" w:ascii="Times New Roman" w:hAnsi="Times New Roman" w:eastAsia="宋体" w:cs="Times New Roman"/>
          <w:color w:val="000000"/>
          <w:sz w:val="21"/>
          <w:szCs w:val="21"/>
        </w:rPr>
        <w:t xml:space="preserve">research began in the 19th century and began to develop in the 1920s and 1930s as a result of the social research movement. Early </w:t>
      </w:r>
      <w:r>
        <w:rPr>
          <w:rFonts w:hint="default" w:ascii="Times New Roman" w:hAnsi="Times New Roman" w:eastAsia="宋体" w:cs="Times New Roman"/>
          <w:color w:val="000000"/>
          <w:sz w:val="21"/>
          <w:szCs w:val="21"/>
          <w:lang w:eastAsia="zh-CN"/>
        </w:rPr>
        <w:t xml:space="preserve">qualitative research began </w:t>
      </w:r>
      <w:r>
        <w:rPr>
          <w:rFonts w:hint="default" w:ascii="Times New Roman" w:hAnsi="Times New Roman" w:eastAsia="宋体" w:cs="Times New Roman"/>
          <w:color w:val="000000"/>
          <w:sz w:val="21"/>
          <w:szCs w:val="21"/>
        </w:rPr>
        <w:t xml:space="preserve">with the investigation of practical problems in society. </w:t>
      </w:r>
      <w:r>
        <w:rPr>
          <w:rFonts w:hint="default" w:ascii="Times New Roman" w:hAnsi="Times New Roman" w:eastAsia="宋体" w:cs="Times New Roman"/>
          <w:color w:val="000000"/>
          <w:sz w:val="21"/>
          <w:szCs w:val="21"/>
          <w:lang w:eastAsia="zh-CN"/>
        </w:rPr>
        <w:t xml:space="preserve">Qualitative research is a </w:t>
      </w:r>
      <w:r>
        <w:rPr>
          <w:rFonts w:hint="default" w:ascii="Times New Roman" w:hAnsi="Times New Roman" w:eastAsia="宋体" w:cs="Times New Roman"/>
          <w:color w:val="000000"/>
          <w:sz w:val="21"/>
          <w:szCs w:val="21"/>
        </w:rPr>
        <w:t xml:space="preserve">set of interdisciplinary, interprofessional, interdisciplinary and interthematic research methods, consisting of a complex and interrelated set of terms, concepts and hypotheses. </w:t>
      </w:r>
      <w:r>
        <w:rPr>
          <w:rFonts w:hint="default" w:ascii="Times New Roman" w:hAnsi="Times New Roman" w:eastAsia="宋体" w:cs="Times New Roman"/>
          <w:color w:val="000000"/>
          <w:sz w:val="21"/>
          <w:szCs w:val="21"/>
          <w:lang w:val="en-US" w:eastAsia="zh-CN"/>
        </w:rPr>
        <w:t>(Denzin and Lincoln, 2013, P.15)</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 xml:space="preserve">A better understanding of what qualitative research is can be achieved by displaying the specific methods of qualitative research and the fields of study to which they apply. The main categories of qualitative research methods are: ethnography; participant observation; cultural anthropology; document, scripture, symbolic and narrative analysis; case studies; archival analysis; content analysis; communication analysis; symbolic interaction analysis; ethnic methodology; psychoanalysis; feminist inquiry; phenomenology; questionnaire research; structural dissection; action research and participatory action research; interview research; post-positivist research; post-structuralist research; etc. Qualitative research is used in a wide range of disciplines and research areas such as; anthropology; education; sociology; social sciences; literary and artistic studies; cultural studies; history; archaeology; biography; programme evaluation; clinical research; medicine; psychiatry; nursing; family therapy; cognitive and ecological psychology; law; journalism; political science; administration; etc. (Denzin and Lincoln, 1994, 2000; Marshall and Rossman; 1995 Fischer, 1995). The reason why </w:t>
      </w:r>
      <w:r>
        <w:rPr>
          <w:rFonts w:hint="default" w:ascii="Times New Roman" w:hAnsi="Times New Roman" w:eastAsia="宋体" w:cs="Times New Roman"/>
          <w:color w:val="000000"/>
          <w:sz w:val="21"/>
          <w:szCs w:val="21"/>
        </w:rPr>
        <w:t xml:space="preserve">these two research approaches have created such a powerful rivalry in the social sciences is that they are considered to represent two very different scientific </w:t>
      </w:r>
      <w:r>
        <w:rPr>
          <w:rFonts w:hint="default" w:ascii="Times New Roman" w:hAnsi="Times New Roman" w:eastAsia="宋体" w:cs="Times New Roman"/>
          <w:color w:val="000000"/>
          <w:sz w:val="21"/>
          <w:szCs w:val="21"/>
          <w:lang w:eastAsia="zh-CN"/>
        </w:rPr>
        <w:t>'</w:t>
      </w:r>
      <w:r>
        <w:rPr>
          <w:rFonts w:hint="default" w:ascii="Times New Roman" w:hAnsi="Times New Roman" w:eastAsia="宋体" w:cs="Times New Roman"/>
          <w:color w:val="000000"/>
          <w:sz w:val="21"/>
          <w:szCs w:val="21"/>
        </w:rPr>
        <w:t>paradigms</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 xml:space="preserve">respectively. </w:t>
      </w:r>
      <w:r>
        <w:rPr>
          <w:rFonts w:hint="default" w:ascii="Times New Roman" w:hAnsi="Times New Roman" w:eastAsia="宋体" w:cs="Times New Roman"/>
          <w:color w:val="000000"/>
          <w:sz w:val="21"/>
          <w:szCs w:val="21"/>
          <w:lang w:val="en-US" w:eastAsia="zh-CN"/>
        </w:rPr>
        <w:t>(</w:t>
      </w:r>
      <w:r>
        <w:rPr>
          <w:rFonts w:hint="default" w:ascii="Times New Roman" w:hAnsi="Times New Roman" w:eastAsia="宋体" w:cs="Times New Roman"/>
          <w:i w:val="0"/>
          <w:iCs w:val="0"/>
          <w:caps w:val="0"/>
          <w:color w:val="000000"/>
          <w:spacing w:val="0"/>
          <w:sz w:val="21"/>
          <w:szCs w:val="21"/>
          <w:shd w:val="clear" w:color="auto" w:fill="FFFFFF"/>
        </w:rPr>
        <w:t>Kornai, J</w:t>
      </w:r>
      <w:r>
        <w:rPr>
          <w:rFonts w:hint="default" w:ascii="Times New Roman" w:hAnsi="Times New Roman" w:eastAsia="宋体" w:cs="Times New Roman"/>
          <w:i w:val="0"/>
          <w:iCs w:val="0"/>
          <w:caps w:val="0"/>
          <w:color w:val="000000"/>
          <w:spacing w:val="0"/>
          <w:sz w:val="21"/>
          <w:szCs w:val="21"/>
          <w:shd w:val="clear" w:color="auto" w:fill="FFFFFF"/>
          <w:lang w:val="en-US" w:eastAsia="zh-CN"/>
        </w:rPr>
        <w:t>. 2002</w:t>
      </w:r>
      <w:r>
        <w:rPr>
          <w:rFonts w:hint="default" w:ascii="Times New Roman" w:hAnsi="Times New Roman" w:eastAsia="宋体" w:cs="Times New Roman"/>
          <w:color w:val="000000"/>
          <w:kern w:val="0"/>
          <w:sz w:val="21"/>
          <w:szCs w:val="21"/>
          <w:lang w:val="en-US" w:eastAsia="zh-CN" w:bidi="ar"/>
        </w:rPr>
        <w:t xml:space="preserve">) The reason for </w:t>
      </w:r>
      <w:r>
        <w:rPr>
          <w:rFonts w:hint="default" w:ascii="Times New Roman" w:hAnsi="Times New Roman" w:eastAsia="宋体" w:cs="Times New Roman"/>
          <w:color w:val="000000"/>
          <w:sz w:val="21"/>
          <w:szCs w:val="21"/>
          <w:lang w:val="en-US" w:eastAsia="zh-CN"/>
        </w:rPr>
        <w:t>such a heterogeneous situation is that qualitative research does not come from one philosophy, one social theory or one research tradition. It is influenced by many different trends, theories and methods, and has its origins in many different disciplines. It spans the humanities, the social sciences and the physical sciences, and is characterised by multiple facets and foci. Throughout its long and winding history, qualitative researchers have explored and clarified major issues in theory and practice, but many theoretical issues and operational approaches are still being explored.</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b/>
          <w:bCs/>
          <w:color w:val="000000"/>
          <w:sz w:val="21"/>
          <w:szCs w:val="21"/>
        </w:rPr>
      </w:pPr>
      <w:r>
        <w:rPr>
          <w:rFonts w:hint="default" w:ascii="Times New Roman" w:hAnsi="Times New Roman" w:eastAsia="宋体" w:cs="Times New Roman"/>
          <w:b/>
          <w:bCs/>
          <w:color w:val="000000"/>
          <w:sz w:val="21"/>
          <w:szCs w:val="21"/>
          <w:lang w:val="en-US" w:eastAsia="zh-CN"/>
        </w:rPr>
        <w:t xml:space="preserve">1. </w:t>
      </w:r>
      <w:r>
        <w:rPr>
          <w:rFonts w:hint="default" w:ascii="Times New Roman" w:hAnsi="Times New Roman" w:eastAsia="宋体" w:cs="Times New Roman"/>
          <w:b/>
          <w:bCs/>
          <w:color w:val="000000"/>
          <w:sz w:val="21"/>
          <w:szCs w:val="21"/>
        </w:rPr>
        <w:t xml:space="preserve">ontology, </w:t>
      </w:r>
      <w:r>
        <w:rPr>
          <w:rFonts w:hint="default" w:ascii="Times New Roman" w:hAnsi="Times New Roman" w:eastAsia="宋体" w:cs="Times New Roman"/>
          <w:b/>
          <w:bCs/>
          <w:color w:val="000000"/>
          <w:sz w:val="21"/>
          <w:szCs w:val="21"/>
          <w:lang w:val="en-US" w:eastAsia="zh-CN"/>
        </w:rPr>
        <w:t>epistem</w:t>
      </w:r>
      <w:r>
        <w:rPr>
          <w:rFonts w:hint="default" w:ascii="Times New Roman" w:hAnsi="Times New Roman" w:eastAsia="宋体" w:cs="Times New Roman"/>
          <w:b/>
          <w:bCs/>
          <w:color w:val="000000"/>
          <w:sz w:val="21"/>
          <w:szCs w:val="21"/>
        </w:rPr>
        <w:t>ology and methodology of qualitative research</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Social science research can</w:t>
      </w:r>
      <w:bookmarkStart w:id="99" w:name="OLE_LINK46"/>
      <w:r>
        <w:rPr>
          <w:rFonts w:hint="default" w:ascii="Times New Roman" w:hAnsi="Times New Roman" w:eastAsia="宋体" w:cs="Times New Roman"/>
          <w:color w:val="000000"/>
          <w:sz w:val="21"/>
          <w:szCs w:val="21"/>
        </w:rPr>
        <w:t xml:space="preserve"> be explored</w:t>
      </w:r>
      <w:bookmarkStart w:id="100" w:name="OLE_LINK185"/>
      <w:r>
        <w:rPr>
          <w:rFonts w:hint="default" w:ascii="Times New Roman" w:hAnsi="Times New Roman" w:eastAsia="宋体" w:cs="Times New Roman"/>
          <w:i w:val="0"/>
          <w:iCs w:val="0"/>
          <w:caps w:val="0"/>
          <w:color w:val="000000"/>
          <w:spacing w:val="0"/>
          <w:sz w:val="21"/>
          <w:szCs w:val="21"/>
          <w:shd w:val="clear" w:color="auto" w:fill="FFFFFF"/>
          <w:lang w:val="en-US" w:eastAsia="zh-CN"/>
        </w:rPr>
        <w:t xml:space="preserve"> from </w:t>
      </w:r>
      <w:r>
        <w:rPr>
          <w:rFonts w:hint="default" w:ascii="Times New Roman" w:hAnsi="Times New Roman" w:eastAsia="宋体" w:cs="Times New Roman"/>
          <w:color w:val="000000"/>
          <w:sz w:val="21"/>
          <w:szCs w:val="21"/>
        </w:rPr>
        <w:t>four theoretical sources: 1</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positivism</w:t>
      </w:r>
      <w:bookmarkEnd w:id="100"/>
      <w:r>
        <w:rPr>
          <w:rFonts w:hint="default" w:ascii="Times New Roman" w:hAnsi="Times New Roman" w:eastAsia="宋体" w:cs="Times New Roman"/>
          <w:color w:val="000000"/>
          <w:sz w:val="21"/>
          <w:szCs w:val="21"/>
        </w:rPr>
        <w:t xml:space="preserve"> ; 2</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post-positivism</w:t>
      </w:r>
      <w:bookmarkEnd w:id="99"/>
      <w:r>
        <w:rPr>
          <w:rFonts w:hint="default" w:ascii="Times New Roman" w:hAnsi="Times New Roman" w:eastAsia="宋体" w:cs="Times New Roman"/>
          <w:color w:val="000000"/>
          <w:sz w:val="21"/>
          <w:szCs w:val="21"/>
        </w:rPr>
        <w:t xml:space="preserve"> ; 3</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critical theory; and 4</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 xml:space="preserve">constructivism (Guba &amp; Lincoln, </w:t>
      </w:r>
      <w:r>
        <w:rPr>
          <w:rFonts w:hint="default" w:ascii="Times New Roman" w:hAnsi="Times New Roman" w:eastAsia="宋体" w:cs="Times New Roman"/>
          <w:color w:val="000000"/>
          <w:sz w:val="21"/>
          <w:szCs w:val="21"/>
          <w:lang w:val="en-US" w:eastAsia="zh-CN"/>
        </w:rPr>
        <w:t>1989</w:t>
      </w:r>
      <w:r>
        <w:rPr>
          <w:rFonts w:hint="default" w:ascii="Times New Roman" w:hAnsi="Times New Roman" w:eastAsia="宋体" w:cs="Times New Roman"/>
          <w:color w:val="000000"/>
          <w:sz w:val="21"/>
          <w:szCs w:val="21"/>
        </w:rPr>
        <w:t xml:space="preserve">; Bredo &amp; Feinberg, 1982). In general, these theoretical paradigms focus on a number of important issues in three areas: ontology, epistemology and methodology. Figure </w:t>
      </w:r>
      <w:r>
        <w:rPr>
          <w:rFonts w:hint="default" w:ascii="Times New Roman" w:hAnsi="Times New Roman" w:eastAsia="宋体" w:cs="Times New Roman"/>
          <w:color w:val="000000"/>
          <w:sz w:val="21"/>
          <w:szCs w:val="21"/>
          <w:lang w:val="en-US" w:eastAsia="zh-CN"/>
        </w:rPr>
        <w:t>1-1</w:t>
      </w:r>
      <w:r>
        <w:rPr>
          <w:rFonts w:hint="default" w:ascii="Times New Roman" w:hAnsi="Times New Roman" w:eastAsia="宋体" w:cs="Times New Roman"/>
          <w:color w:val="000000"/>
          <w:sz w:val="21"/>
          <w:szCs w:val="21"/>
        </w:rPr>
        <w:t xml:space="preserve"> below provides a brief comparison of the ontological, epistemological and methodological similarities and differences between these four theoretical paradigms.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lang w:val="en-US"/>
        </w:rPr>
      </w:pPr>
      <w:r>
        <w:rPr>
          <w:rFonts w:hint="default" w:ascii="Times New Roman" w:hAnsi="Times New Roman" w:eastAsia="宋体" w:cs="Times New Roman"/>
          <w:color w:val="000000"/>
          <w:sz w:val="21"/>
          <w:szCs w:val="21"/>
        </w:rPr>
        <w:t>Figure 1-1. Basic perspectives on the social science inquiry paradigm (Guba &amp; Lincoln</w:t>
      </w:r>
      <w:r>
        <w:rPr>
          <w:rFonts w:hint="default" w:ascii="Times New Roman" w:hAnsi="Times New Roman" w:eastAsia="宋体" w:cs="Times New Roman"/>
          <w:color w:val="000000"/>
          <w:sz w:val="21"/>
          <w:szCs w:val="21"/>
          <w:lang w:val="en-US" w:eastAsia="zh-CN"/>
        </w:rPr>
        <w:t xml:space="preserve">, 2011, p. </w:t>
      </w:r>
      <w:r>
        <w:rPr>
          <w:rFonts w:hint="default" w:ascii="Times New Roman" w:hAnsi="Times New Roman" w:eastAsia="宋体" w:cs="Times New Roman"/>
          <w:color w:val="000000"/>
          <w:sz w:val="21"/>
          <w:szCs w:val="21"/>
        </w:rPr>
        <w:t>109)</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44"/>
        <w:gridCol w:w="1935"/>
        <w:gridCol w:w="2408"/>
        <w:gridCol w:w="2137"/>
        <w:gridCol w:w="19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44"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lang w:val="en-US" w:eastAsia="zh-CN"/>
              </w:rPr>
            </w:pPr>
          </w:p>
        </w:tc>
        <w:tc>
          <w:tcPr>
            <w:tcW w:w="1935"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Positivism</w:t>
            </w:r>
          </w:p>
        </w:tc>
        <w:tc>
          <w:tcPr>
            <w:tcW w:w="2408"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Post-positivism</w:t>
            </w:r>
          </w:p>
        </w:tc>
        <w:tc>
          <w:tcPr>
            <w:tcW w:w="2137"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Criticism</w:t>
            </w:r>
          </w:p>
        </w:tc>
        <w:tc>
          <w:tcPr>
            <w:tcW w:w="1930"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Constructivism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50" w:hRule="atLeast"/>
        </w:trPr>
        <w:tc>
          <w:tcPr>
            <w:tcW w:w="1444"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left="0" w:leftChars="0" w:firstLine="0" w:firstLineChars="0"/>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Ontology</w:t>
            </w:r>
          </w:p>
        </w:tc>
        <w:tc>
          <w:tcPr>
            <w:tcW w:w="1935"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 xml:space="preserve">Plain realism </w:t>
            </w:r>
            <w:r>
              <w:rPr>
                <w:rFonts w:hint="default" w:ascii="Times New Roman" w:hAnsi="Times New Roman" w:eastAsia="宋体" w:cs="Times New Roman"/>
                <w:color w:val="000000"/>
                <w:sz w:val="20"/>
                <w:szCs w:val="20"/>
                <w:vertAlign w:val="baseline"/>
                <w:lang w:eastAsia="zh-CN"/>
              </w:rPr>
              <w:t xml:space="preserve">- </w:t>
            </w:r>
            <w:r>
              <w:rPr>
                <w:rFonts w:hint="default" w:ascii="Times New Roman" w:hAnsi="Times New Roman" w:eastAsia="宋体" w:cs="Times New Roman"/>
                <w:color w:val="000000"/>
                <w:sz w:val="20"/>
                <w:szCs w:val="20"/>
                <w:vertAlign w:val="baseline"/>
              </w:rPr>
              <w:t>reality is 'real' and can be known.</w:t>
            </w:r>
          </w:p>
        </w:tc>
        <w:tc>
          <w:tcPr>
            <w:tcW w:w="2408"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Critical realist reality is 'real' but can only be understood incompletely and potentially.</w:t>
            </w:r>
          </w:p>
        </w:tc>
        <w:tc>
          <w:tcPr>
            <w:tcW w:w="2137"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Historical realism is true to reality as a result of social, governance, cultural, economic, racial and gender values.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It is shaped by ideas, crystallised in time.</w:t>
            </w:r>
          </w:p>
        </w:tc>
        <w:tc>
          <w:tcPr>
            <w:tcW w:w="1930"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 xml:space="preserve">Relativism </w:t>
            </w:r>
            <w:r>
              <w:rPr>
                <w:rFonts w:hint="default" w:ascii="Times New Roman" w:hAnsi="Times New Roman" w:eastAsia="宋体" w:cs="Times New Roman"/>
                <w:color w:val="000000"/>
                <w:sz w:val="20"/>
                <w:szCs w:val="20"/>
                <w:vertAlign w:val="baseline"/>
                <w:lang w:eastAsia="zh-CN"/>
              </w:rPr>
              <w:t xml:space="preserve">- </w:t>
            </w:r>
            <w:r>
              <w:rPr>
                <w:rFonts w:hint="default" w:ascii="Times New Roman" w:hAnsi="Times New Roman" w:eastAsia="宋体" w:cs="Times New Roman"/>
                <w:color w:val="000000"/>
                <w:sz w:val="20"/>
                <w:szCs w:val="20"/>
                <w:vertAlign w:val="baseline"/>
              </w:rPr>
              <w:t>Now</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Actual local</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Features that are concretely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Constructed out.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44"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left="0" w:leftChars="0" w:firstLine="0" w:firstLineChars="0"/>
              <w:contextualSpacing/>
              <w:jc w:val="left"/>
              <w:textAlignment w:val="auto"/>
              <w:rPr>
                <w:rFonts w:hint="default" w:ascii="Times New Roman" w:hAnsi="Times New Roman" w:eastAsia="宋体" w:cs="Times New Roman"/>
                <w:color w:val="000000"/>
                <w:sz w:val="20"/>
                <w:szCs w:val="20"/>
                <w:vertAlign w:val="baseline"/>
                <w:lang w:val="en-US" w:eastAsia="zh-CN"/>
              </w:rPr>
            </w:pPr>
            <w:r>
              <w:rPr>
                <w:rFonts w:hint="default" w:ascii="Times New Roman" w:hAnsi="Times New Roman" w:eastAsia="宋体" w:cs="Times New Roman"/>
                <w:color w:val="000000"/>
                <w:sz w:val="20"/>
                <w:szCs w:val="20"/>
                <w:vertAlign w:val="baseline"/>
                <w:lang w:val="en-US" w:eastAsia="zh-CN"/>
              </w:rPr>
              <w:t>Epistemology</w:t>
            </w:r>
          </w:p>
        </w:tc>
        <w:tc>
          <w:tcPr>
            <w:tcW w:w="1935"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lang w:val="en-US" w:eastAsia="zh-CN"/>
              </w:rPr>
              <w:t>Binary</w:t>
            </w:r>
            <w:bookmarkStart w:id="101" w:name="OLE_LINK183"/>
            <w:r>
              <w:rPr>
                <w:rFonts w:hint="default" w:ascii="Times New Roman" w:hAnsi="Times New Roman" w:eastAsia="宋体" w:cs="Times New Roman"/>
                <w:color w:val="000000"/>
                <w:sz w:val="20"/>
                <w:szCs w:val="20"/>
                <w:vertAlign w:val="baseline"/>
              </w:rPr>
              <w:t xml:space="preserve"> meta-/objectivist epistemology; the findings are true </w:t>
            </w:r>
            <w:bookmarkEnd w:id="101"/>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c>
          <w:tcPr>
            <w:tcW w:w="2408"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Modified dualism/objectivist epistemology; critical tradition/research community; research findings likely to be true.</w:t>
            </w:r>
          </w:p>
        </w:tc>
        <w:tc>
          <w:tcPr>
            <w:tcW w:w="2137"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Interactional/subjective epistemology; research findings are filtered by values.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c>
          <w:tcPr>
            <w:tcW w:w="1930"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Interactional/subjective recognition</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Knowledge theory; the results of the study are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Created.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44"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left="0" w:leftChars="0" w:firstLine="0" w:firstLineChars="0"/>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lang w:val="en-US" w:eastAsia="zh-CN"/>
              </w:rPr>
              <w:t>Methodology</w:t>
            </w:r>
          </w:p>
        </w:tc>
        <w:tc>
          <w:tcPr>
            <w:tcW w:w="1935"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Experimentation</w:t>
            </w:r>
            <w:bookmarkStart w:id="102" w:name="OLE_LINK184"/>
            <w:r>
              <w:rPr>
                <w:rFonts w:hint="default" w:ascii="Times New Roman" w:hAnsi="Times New Roman" w:eastAsia="宋体" w:cs="Times New Roman"/>
                <w:color w:val="000000"/>
                <w:sz w:val="20"/>
                <w:szCs w:val="20"/>
                <w:vertAlign w:val="baseline"/>
              </w:rPr>
              <w:t xml:space="preserve"> of/manipulation of methodologies; confirmation of hypotheses; mainly using</w:t>
            </w:r>
            <w:bookmarkEnd w:id="102"/>
            <w:r>
              <w:rPr>
                <w:rFonts w:hint="default" w:ascii="Times New Roman" w:hAnsi="Times New Roman" w:eastAsia="宋体" w:cs="Times New Roman"/>
                <w:color w:val="000000"/>
                <w:sz w:val="20"/>
                <w:szCs w:val="20"/>
                <w:vertAlign w:val="baseline"/>
              </w:rPr>
              <w:t xml:space="preserve"> of quantitative methods.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c>
          <w:tcPr>
            <w:tcW w:w="2408"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Modified experimentalist/manipulative methodology; critical pluralism; falsification of hypotheses; qualitative research methods can be used.</w:t>
            </w:r>
          </w:p>
        </w:tc>
        <w:tc>
          <w:tcPr>
            <w:tcW w:w="2137"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Dialogical / Dialectical Methodology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c>
          <w:tcPr>
            <w:tcW w:w="1930" w:type="dxa"/>
            <w:noWrap w:val="0"/>
            <w:vAlign w:val="top"/>
          </w:tcPr>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Interpretive/dialectical approach</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r>
              <w:rPr>
                <w:rFonts w:hint="default" w:ascii="Times New Roman" w:hAnsi="Times New Roman" w:eastAsia="宋体" w:cs="Times New Roman"/>
                <w:color w:val="000000"/>
                <w:sz w:val="20"/>
                <w:szCs w:val="20"/>
                <w:vertAlign w:val="baseline"/>
              </w:rPr>
              <w:t>Law Theory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contextualSpacing/>
              <w:jc w:val="left"/>
              <w:textAlignment w:val="auto"/>
              <w:rPr>
                <w:rFonts w:hint="default" w:ascii="Times New Roman" w:hAnsi="Times New Roman" w:eastAsia="宋体" w:cs="Times New Roman"/>
                <w:color w:val="000000"/>
                <w:sz w:val="20"/>
                <w:szCs w:val="20"/>
                <w:vertAlign w:val="baseline"/>
              </w:rPr>
            </w:pPr>
          </w:p>
        </w:tc>
      </w:tr>
    </w:tbl>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lang w:val="en-US" w:eastAsia="zh-CN"/>
        </w:rPr>
        <w:t xml:space="preserve">1.1 </w:t>
      </w:r>
      <w:r>
        <w:rPr>
          <w:rFonts w:hint="default" w:ascii="Times New Roman" w:hAnsi="Times New Roman" w:eastAsia="宋体" w:cs="Times New Roman"/>
          <w:color w:val="000000"/>
          <w:sz w:val="21"/>
          <w:szCs w:val="21"/>
        </w:rPr>
        <w:t>Ontology, intellectualism and methodology of qualitative research</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Qualitative research is a general term for a research paradigm in the social sciences that includes at least two research orientations: constructivist-oriented qualitative research and critical theory-oriented qualitative research.</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240" w:lineRule="auto"/>
        <w:ind w:firstLine="420" w:firstLineChars="200"/>
        <w:contextualSpacing/>
        <w:jc w:val="left"/>
        <w:textAlignment w:val="auto"/>
        <w:rPr>
          <w:rFonts w:hint="default" w:ascii="Times New Roman" w:hAnsi="Times New Roman" w:eastAsia="宋体" w:cs="Times New Roman"/>
          <w:color w:val="000000"/>
          <w:sz w:val="21"/>
          <w:szCs w:val="21"/>
        </w:rPr>
      </w:pPr>
      <w:bookmarkStart w:id="103" w:name="OLE_LINK182"/>
      <w:r>
        <w:rPr>
          <w:rFonts w:hint="default" w:ascii="Times New Roman" w:hAnsi="Times New Roman" w:eastAsia="宋体" w:cs="Times New Roman"/>
          <w:color w:val="000000"/>
          <w:sz w:val="21"/>
          <w:szCs w:val="21"/>
          <w:lang w:val="en-US" w:eastAsia="zh-CN"/>
        </w:rPr>
        <w:t xml:space="preserve">1.1.1 </w:t>
      </w:r>
      <w:r>
        <w:rPr>
          <w:rFonts w:hint="default" w:ascii="Times New Roman" w:hAnsi="Times New Roman" w:eastAsia="宋体" w:cs="Times New Roman"/>
          <w:color w:val="000000"/>
          <w:sz w:val="21"/>
          <w:szCs w:val="21"/>
        </w:rPr>
        <w:t>Constructivism</w:t>
      </w:r>
      <w:bookmarkEnd w:id="103"/>
      <w:r>
        <w:rPr>
          <w:rFonts w:hint="default" w:ascii="Times New Roman" w:hAnsi="Times New Roman" w:eastAsia="宋体" w:cs="Times New Roman"/>
          <w:color w:val="000000"/>
          <w:sz w:val="21"/>
          <w:szCs w:val="21"/>
        </w:rPr>
        <w:t xml:space="preserve"> A qualitative study of orientation</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 xml:space="preserve">Constructivist-oriented qualitative research incorporates philosophical perspectives such as Husserl's phenomenology, Heidegger's and Gadamer's hermeneutics, and symbolic interactionism. </w:t>
      </w:r>
      <w:r>
        <w:rPr>
          <w:rFonts w:hint="default" w:ascii="Times New Roman" w:hAnsi="Times New Roman" w:eastAsia="宋体" w:cs="Times New Roman"/>
          <w:color w:val="000000"/>
          <w:sz w:val="21"/>
          <w:szCs w:val="21"/>
          <w:lang w:val="en-US" w:eastAsia="zh-CN"/>
        </w:rPr>
        <w:t>(</w:t>
      </w:r>
      <w:r>
        <w:rPr>
          <w:rFonts w:hint="default" w:ascii="Times New Roman" w:hAnsi="Times New Roman" w:eastAsia="宋体" w:cs="Times New Roman"/>
          <w:i w:val="0"/>
          <w:iCs w:val="0"/>
          <w:caps w:val="0"/>
          <w:color w:val="000000"/>
          <w:spacing w:val="0"/>
          <w:sz w:val="21"/>
          <w:szCs w:val="21"/>
          <w:shd w:val="clear" w:color="auto" w:fill="FFFFFF"/>
        </w:rPr>
        <w:t xml:space="preserve">Ling, M. and Hong, Z. </w:t>
      </w:r>
      <w:r>
        <w:rPr>
          <w:rFonts w:hint="default" w:ascii="Times New Roman" w:hAnsi="Times New Roman" w:eastAsia="宋体" w:cs="Times New Roman"/>
          <w:i w:val="0"/>
          <w:iCs w:val="0"/>
          <w:caps w:val="0"/>
          <w:color w:val="000000"/>
          <w:spacing w:val="0"/>
          <w:sz w:val="21"/>
          <w:szCs w:val="21"/>
          <w:shd w:val="clear" w:color="auto" w:fill="FFFFFF"/>
          <w:lang w:val="en-US" w:eastAsia="zh-CN"/>
        </w:rPr>
        <w:t>2015</w:t>
      </w:r>
      <w:r>
        <w:rPr>
          <w:rFonts w:hint="default" w:ascii="Times New Roman" w:hAnsi="Times New Roman" w:eastAsia="宋体" w:cs="Times New Roman"/>
          <w:color w:val="000000"/>
          <w:sz w:val="21"/>
          <w:szCs w:val="21"/>
          <w:lang w:val="en-US" w:eastAsia="zh-CN"/>
        </w:rPr>
        <w:t xml:space="preserve">) </w:t>
      </w:r>
      <w:r>
        <w:rPr>
          <w:rFonts w:hint="default" w:ascii="Times New Roman" w:hAnsi="Times New Roman" w:eastAsia="宋体" w:cs="Times New Roman"/>
          <w:color w:val="000000"/>
          <w:sz w:val="21"/>
          <w:szCs w:val="21"/>
        </w:rPr>
        <w:t>Alternatively, constructivist-oriented qualitative research can be subdivided into qualitative research based on phenomenology, qualitative research based on hermeneutic theory, and qualitative research based on symbolic interaction theory. Despite their different orientations and theoretical foundations, they all emphasize the need for researchers to gain a deeper understanding of the meaning of phenomena and actions in the everyday world of human beings in their natural contexts</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(Chen Xiangming</w:t>
      </w:r>
      <w:r>
        <w:rPr>
          <w:rFonts w:hint="default" w:ascii="Times New Roman" w:hAnsi="Times New Roman" w:eastAsia="宋体" w:cs="Times New Roman"/>
          <w:color w:val="000000"/>
          <w:sz w:val="21"/>
          <w:szCs w:val="21"/>
          <w:lang w:val="en-US" w:eastAsia="zh-CN"/>
        </w:rPr>
        <w:t>, 2002, p. 28</w:t>
      </w:r>
      <w:r>
        <w:rPr>
          <w:rFonts w:hint="default" w:ascii="Times New Roman" w:hAnsi="Times New Roman" w:eastAsia="宋体" w:cs="Times New Roman"/>
          <w:color w:val="000000"/>
          <w:sz w:val="21"/>
          <w:szCs w:val="21"/>
        </w:rPr>
        <w: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lang w:val="en-US" w:eastAsia="zh-CN"/>
        </w:rPr>
        <w:t xml:space="preserve">Constructivist </w:t>
      </w:r>
      <w:r>
        <w:rPr>
          <w:rFonts w:hint="default" w:ascii="Times New Roman" w:hAnsi="Times New Roman" w:eastAsia="宋体" w:cs="Times New Roman"/>
          <w:color w:val="000000"/>
          <w:sz w:val="21"/>
          <w:szCs w:val="21"/>
        </w:rPr>
        <w:t>ontology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Constructivist approaches to qualitative inquiry advocate relative positivism, which asserts that the meaning of the human lifeworld is the result of the joint construction of multiple subjective experiences. Since everyday experiences and actions are influenced by the values of human consciousness, the subjective interests, emotions and values of the researcher will inevitably interact with the object of study and thus influence the interpretation and understanding of experiences and actions (</w:t>
      </w:r>
      <w:r>
        <w:rPr>
          <w:rFonts w:hint="default" w:ascii="Times New Roman" w:hAnsi="Times New Roman" w:eastAsia="宋体" w:cs="Times New Roman"/>
          <w:i w:val="0"/>
          <w:iCs w:val="0"/>
          <w:caps w:val="0"/>
          <w:color w:val="000000"/>
          <w:spacing w:val="0"/>
          <w:sz w:val="21"/>
          <w:szCs w:val="21"/>
          <w:shd w:val="clear" w:color="auto" w:fill="FFFFFF"/>
        </w:rPr>
        <w:t>Fosnot, C.T, 2013</w:t>
      </w:r>
      <w:r>
        <w:rPr>
          <w:rFonts w:hint="default" w:ascii="Times New Roman" w:hAnsi="Times New Roman" w:eastAsia="宋体" w:cs="Times New Roman"/>
          <w:i w:val="0"/>
          <w:iCs w:val="0"/>
          <w:caps w:val="0"/>
          <w:color w:val="000000"/>
          <w:spacing w:val="0"/>
          <w:sz w:val="21"/>
          <w:szCs w:val="21"/>
          <w:shd w:val="clear" w:color="auto" w:fill="FFFFFF"/>
          <w:lang w:eastAsia="zh-CN"/>
        </w:rPr>
        <w:t xml:space="preserve">, </w:t>
      </w:r>
      <w:r>
        <w:rPr>
          <w:rFonts w:hint="default" w:ascii="Times New Roman" w:hAnsi="Times New Roman" w:eastAsia="宋体" w:cs="Times New Roman"/>
          <w:i w:val="0"/>
          <w:iCs w:val="0"/>
          <w:caps w:val="0"/>
          <w:color w:val="000000"/>
          <w:spacing w:val="0"/>
          <w:sz w:val="21"/>
          <w:szCs w:val="21"/>
          <w:shd w:val="clear" w:color="auto" w:fill="FFFFFF"/>
          <w:lang w:val="en-US" w:eastAsia="zh-CN"/>
        </w:rPr>
        <w:t>p. 24</w:t>
      </w:r>
      <w:r>
        <w:rPr>
          <w:rFonts w:hint="default" w:ascii="Times New Roman" w:hAnsi="Times New Roman" w:eastAsia="宋体" w:cs="Times New Roman"/>
          <w:color w:val="000000"/>
          <w:sz w:val="21"/>
          <w:szCs w:val="21"/>
        </w:rPr>
        <w: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240" w:lineRule="auto"/>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lang w:val="en-US" w:eastAsia="zh-CN"/>
        </w:rPr>
        <w:t xml:space="preserve">Constructivist </w:t>
      </w:r>
      <w:r>
        <w:rPr>
          <w:rFonts w:hint="default" w:ascii="Times New Roman" w:hAnsi="Times New Roman" w:eastAsia="宋体" w:cs="Times New Roman"/>
          <w:color w:val="000000"/>
          <w:sz w:val="21"/>
          <w:szCs w:val="21"/>
        </w:rPr>
        <w:t>Theory of Knowledge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The constructivist approach to qualitative research assumes that the true nature of social phenomena exists only relatively in different contexts, so that the researcher's task is not to construct an objective world independent of personal value beliefs, but to apply a dialogical and dialectical approach to generate a dialogue with the subject of the action under study, and finally to obtain consistency through a process of induction, comparison and contrast. Thus, in the research process, the researcher must maintain a close interactive relationship with the subject of the study until the experience and value beliefs are integrated. It is therefore a reproduction of a subjective experience (Pan Shuman, 2003</w:t>
      </w:r>
      <w:r>
        <w:rPr>
          <w:rFonts w:hint="default" w:ascii="Times New Roman" w:hAnsi="Times New Roman" w:eastAsia="宋体" w:cs="Times New Roman"/>
          <w:color w:val="000000"/>
          <w:sz w:val="21"/>
          <w:szCs w:val="21"/>
          <w:lang w:val="en-US" w:eastAsia="zh-CN"/>
        </w:rPr>
        <w:t>, p. 55</w:t>
      </w:r>
      <w:r>
        <w:rPr>
          <w:rFonts w:hint="default" w:ascii="Times New Roman" w:hAnsi="Times New Roman" w:eastAsia="宋体" w:cs="Times New Roman"/>
          <w:color w:val="000000"/>
          <w:sz w:val="21"/>
          <w:szCs w:val="21"/>
        </w:rPr>
        <w: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240" w:lineRule="auto"/>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lang w:val="en-US" w:eastAsia="zh-CN"/>
        </w:rPr>
        <w:t xml:space="preserve">Constructivist </w:t>
      </w:r>
      <w:r>
        <w:rPr>
          <w:rFonts w:hint="default" w:ascii="Times New Roman" w:hAnsi="Times New Roman" w:eastAsia="宋体" w:cs="Times New Roman"/>
          <w:color w:val="000000"/>
          <w:sz w:val="21"/>
          <w:szCs w:val="21"/>
        </w:rPr>
        <w:t>Methodology.</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 xml:space="preserve">The constructivist approach to qualitative research places emphasis on the researcher's study of everyday experience and believes that it must be based on a natural contextual context in order to fully capture the meaning behind the action. Throughout the research process, the researcher himself is the best research tool. The concept of theory is also developed in the process of research. Since constructive theory places emphasis on the interpretation of the meaning of human everyday experience and action, the researcher's choice and application of research methods must take into account the importance that research methods and strategies themselves place on the interpretation and dialectic of phenomena </w:t>
      </w:r>
      <w:r>
        <w:rPr>
          <w:rFonts w:hint="default" w:ascii="Times New Roman" w:hAnsi="Times New Roman" w:eastAsia="宋体" w:cs="Times New Roman"/>
          <w:color w:val="000000"/>
          <w:sz w:val="21"/>
          <w:szCs w:val="21"/>
          <w:lang w:val="en-US" w:eastAsia="zh-CN"/>
        </w:rPr>
        <w:t>(</w:t>
      </w:r>
      <w:r>
        <w:rPr>
          <w:rFonts w:hint="default" w:ascii="Times New Roman" w:hAnsi="Times New Roman" w:eastAsia="宋体" w:cs="Times New Roman"/>
          <w:color w:val="000000"/>
          <w:sz w:val="21"/>
          <w:szCs w:val="21"/>
        </w:rPr>
        <w:t>Wang Yuechuan, 1992</w:t>
      </w:r>
      <w:r>
        <w:rPr>
          <w:rFonts w:hint="default" w:ascii="Times New Roman" w:hAnsi="Times New Roman" w:eastAsia="宋体" w:cs="Times New Roman"/>
          <w:color w:val="000000"/>
          <w:sz w:val="21"/>
          <w:szCs w:val="21"/>
          <w:lang w:val="en-US" w:eastAsia="zh-CN"/>
        </w:rPr>
        <w:t>, p. 9).</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lang w:val="en-US" w:eastAsia="zh-CN"/>
        </w:rPr>
        <w:t xml:space="preserve">1.1.2 </w:t>
      </w:r>
      <w:r>
        <w:rPr>
          <w:rFonts w:hint="default" w:ascii="Times New Roman" w:hAnsi="Times New Roman" w:eastAsia="宋体" w:cs="Times New Roman"/>
          <w:color w:val="000000"/>
          <w:sz w:val="21"/>
          <w:szCs w:val="21"/>
        </w:rPr>
        <w:t>Qualitative research with a critical theory orientation</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Critical theory-oriented qualitative research is an alternative way of thinking about the paradigm of social science research, opening a macroscopic window on qualitative research. For the constructive theory-oriented qualitative researcher, the research process is a kind of validated reproduction, while for the critical theory-oriented qualitative researcher, the research is not only a reproduction of lived experience, but also a demonstration of the dominant social consciousness, which is why this orientation is also called 'ideologically oriented research'. The critical theory approach to qualitative research is based on three important ideas.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Ideological critique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 xml:space="preserve">Critical theory-oriented qualitative research assumes that objective knowledge must be subject to rational criticism and in the context of rational communication in order to reach consensus. </w:t>
      </w:r>
      <w:r>
        <w:rPr>
          <w:rFonts w:hint="default" w:ascii="Times New Roman" w:hAnsi="Times New Roman" w:eastAsia="宋体" w:cs="Times New Roman"/>
          <w:color w:val="000000"/>
          <w:sz w:val="21"/>
          <w:szCs w:val="21"/>
          <w:lang w:eastAsia="zh-CN"/>
        </w:rPr>
        <w:t>(</w:t>
      </w:r>
      <w:r>
        <w:rPr>
          <w:rFonts w:hint="default" w:ascii="Times New Roman" w:hAnsi="Times New Roman" w:eastAsia="宋体" w:cs="Times New Roman"/>
          <w:i w:val="0"/>
          <w:iCs w:val="0"/>
          <w:caps w:val="0"/>
          <w:color w:val="000000"/>
          <w:spacing w:val="0"/>
          <w:sz w:val="21"/>
          <w:szCs w:val="21"/>
          <w:shd w:val="clear" w:color="auto" w:fill="FFFFFF"/>
        </w:rPr>
        <w:t>Outhwaite, W., 1987</w:t>
      </w:r>
      <w:r>
        <w:rPr>
          <w:rFonts w:hint="default" w:ascii="Times New Roman" w:hAnsi="Times New Roman" w:eastAsia="宋体" w:cs="Times New Roman"/>
          <w:color w:val="000000"/>
          <w:sz w:val="21"/>
          <w:szCs w:val="21"/>
          <w:lang w:eastAsia="zh-CN"/>
        </w:rPr>
        <w:t xml:space="preserve">) </w:t>
      </w:r>
      <w:r>
        <w:rPr>
          <w:rFonts w:hint="default" w:ascii="Times New Roman" w:hAnsi="Times New Roman" w:eastAsia="宋体" w:cs="Times New Roman"/>
          <w:color w:val="000000"/>
          <w:sz w:val="21"/>
          <w:szCs w:val="21"/>
        </w:rPr>
        <w:t>However, it is important to recognise that the formation of consensus often implies a lack of reflection and critique of certain taken-for-granted beliefs</w:t>
      </w:r>
      <w:r>
        <w:rPr>
          <w:rFonts w:hint="default" w:ascii="Times New Roman" w:hAnsi="Times New Roman" w:eastAsia="宋体" w:cs="Times New Roman"/>
          <w:color w:val="000000"/>
          <w:sz w:val="21"/>
          <w:szCs w:val="21"/>
          <w:lang w:eastAsia="zh-CN"/>
        </w:rPr>
        <w:t>.</w:t>
      </w:r>
      <w:r>
        <w:rPr>
          <w:rFonts w:hint="default" w:ascii="Times New Roman" w:hAnsi="Times New Roman" w:eastAsia="宋体" w:cs="Times New Roman"/>
          <w:color w:val="000000"/>
          <w:sz w:val="21"/>
          <w:szCs w:val="21"/>
        </w:rPr>
        <w:t xml:space="preserve"> Therefore, the pursuit of a fair social life requires the constant testing and critique of taken-for-granted ideologies.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The relationship between theory and practice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 xml:space="preserve">Critical theory-oriented qualitative research argues that while the everyday world of human society produces a shared experience or consensus in an ideal communication situation, which is the basis for theory, this shared lived experience is unstable in actual situations, and thus makes the knowledge that humans possess relative. The relationship that emerges between theory and practice is largely based on and shaped by communicative contexts. Therefore, critical theory-oriented qualitative research emphasises that in the process of research, the researcher should analyse the context of communication, reflect on and critique social structures in a macro social context, and make theory practically actionable through collective action efforts. </w:t>
      </w:r>
      <w:r>
        <w:rPr>
          <w:rFonts w:hint="default" w:ascii="Times New Roman" w:hAnsi="Times New Roman" w:eastAsia="宋体" w:cs="Times New Roman"/>
          <w:color w:val="000000"/>
          <w:sz w:val="21"/>
          <w:szCs w:val="21"/>
          <w:lang w:val="en-US" w:eastAsia="zh-CN"/>
        </w:rPr>
        <w:t>(</w:t>
      </w:r>
      <w:r>
        <w:rPr>
          <w:rFonts w:hint="default" w:ascii="Times New Roman" w:hAnsi="Times New Roman" w:eastAsia="宋体" w:cs="Times New Roman"/>
          <w:color w:val="000000"/>
          <w:sz w:val="21"/>
          <w:szCs w:val="21"/>
        </w:rPr>
        <w:t>Leavy, P</w:t>
      </w:r>
      <w:r>
        <w:rPr>
          <w:rFonts w:hint="default" w:ascii="Times New Roman" w:hAnsi="Times New Roman" w:eastAsia="宋体" w:cs="Times New Roman"/>
          <w:color w:val="000000"/>
          <w:sz w:val="21"/>
          <w:szCs w:val="21"/>
          <w:lang w:val="en-US" w:eastAsia="zh-CN"/>
        </w:rPr>
        <w:t xml:space="preserve">, 2020) </w:t>
      </w:r>
      <w:r>
        <w:rPr>
          <w:rFonts w:hint="default" w:ascii="Times New Roman" w:hAnsi="Times New Roman" w:eastAsia="宋体" w:cs="Times New Roman"/>
          <w:color w:val="000000"/>
          <w:sz w:val="21"/>
          <w:szCs w:val="21"/>
        </w:rPr>
        <w:t>The dialectic of meaning and structure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rPr>
      </w:pPr>
      <w:r>
        <w:rPr>
          <w:rFonts w:hint="default" w:ascii="Times New Roman" w:hAnsi="Times New Roman" w:eastAsia="宋体" w:cs="Times New Roman"/>
          <w:color w:val="000000"/>
          <w:sz w:val="21"/>
          <w:szCs w:val="21"/>
        </w:rPr>
        <w:t>Critical theory-oriented qualitative research assumes that an understanding of meaning and its connotations is necessary to further interpret the meaning of lived experience and action, but ideology often interacts with social structures, so that the researcher, in order to avoid personal subjective assertions, must place consciousness in the context of historical situations so that knowledge can be agreed upon or communication can be achieved. This is a dialectical process in which the researcher must be highly sensitive to the possibilities and realities of contaminated power and distorted knowledge. At the same time, research must also raise the conscience of knowledge and expose the interference of power in knowledge.</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2. Future research methods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contextualSpacing/>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2.1 Research Methodology - Fieldwork</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color w:val="000000"/>
          <w:sz w:val="21"/>
          <w:szCs w:val="21"/>
          <w:lang w:val="en-GB" w:eastAsia="zh-CN" w:bidi="ar-SA"/>
        </w:rPr>
        <w:t>Fieldwork is the process by which a trained anthropologist enters a community and learns first-hand about the subject through participant observation, in-depth interviews and residential experiences over a long period of time. Fieldwork in anthropology emphasises 'participant observation' and 'in-depth interviews', where the researcher lives in the area for a long period of time and experiences the events with the research subject. It is best to communicate with the research subjects in the local language and to gain their emotional acceptance in order to obtain real information on which to build a theory. (</w:t>
      </w:r>
      <w:r>
        <w:rPr>
          <w:rFonts w:hint="default" w:ascii="Times New Roman" w:hAnsi="Times New Roman" w:eastAsia="宋体" w:cs="Times New Roman"/>
          <w:i w:val="0"/>
          <w:iCs w:val="0"/>
          <w:caps w:val="0"/>
          <w:color w:val="000000"/>
          <w:spacing w:val="0"/>
          <w:sz w:val="24"/>
          <w:szCs w:val="24"/>
          <w:shd w:val="clear" w:color="auto" w:fill="FFFFFF"/>
        </w:rPr>
        <w:t>Blommaert, J. and Jie, D., 2020</w:t>
      </w:r>
      <w:r>
        <w:rPr>
          <w:rFonts w:hint="default" w:ascii="Times New Roman" w:hAnsi="Times New Roman" w:eastAsia="宋体" w:cs="Times New Roman"/>
          <w:color w:val="000000"/>
          <w:sz w:val="21"/>
          <w:szCs w:val="21"/>
          <w:lang w:val="en-GB" w:eastAsia="zh-CN" w:bidi="ar-SA"/>
        </w:rPr>
        <w:t xml:space="preserve">) </w:t>
      </w:r>
      <w:r>
        <w:rPr>
          <w:rFonts w:hint="default" w:ascii="Times New Roman" w:hAnsi="Times New Roman" w:eastAsia="宋体" w:cs="Times New Roman"/>
          <w:color w:val="000000"/>
          <w:sz w:val="21"/>
          <w:szCs w:val="21"/>
          <w:lang w:eastAsia="zh-CN"/>
        </w:rPr>
        <w:t>In the late 1960s, Malinowski pioneered a new dimension of 'participant observation' fieldwork, the 'Malinowski revolution', which refers to the innovation in anthropological fieldwork methods. The "Malinowski revolution" refers to the innovation of anthropological fieldwork methods, i.e. it was a change and a leap forward in the development of anthropological fieldwork and laid the foundation for modern fieldwork. Anthropologists generally have to go through the following process: training in theory and methodology - doing fieldwork - writing ethnographies - and finally gaining recognition, which shows the importance of fieldwork in the field of cultural anthropology. The importance of fieldwork in the field of cultural anthropology is evident.</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contextualSpacing/>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Reflections on Fieldwork Research Methods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Fieldwork is the basic research method in anthropology and the most fundamental way of obtaining primary data, as well as a source of ethnographic structure. Bronislaw Malinowski advocates that a cultural anthropologist should live in the area under investigation for a long period of time (at least one year), learn the local language, become fully involved in the social life of the local people, learn about the local culture and collect more information. (Wang Ningsheng, 2002, P:4) The information obtained is made more authentic by learning directly about local events through their daily lives. Evans-Pritchard emphasises neutrality as the essence of participant observation. Inherent in the requirement of neutrality is the idea that anthropologists should not interfere with, let alone involve themselves in, the lives of local people. The anthropologist is usually the one doing the fieldwork, the research, and the research is often done in coordination and collaboration with others within a multi-faceted research perspective of fieldwork. The participant observation approach also suffers from inefficiency, the anthropologist's constant questioning may be offensive to local people, the difficulty of explaining the participant observation to others, the difficulty of influencing local behaviour, and the difficulty of justifying the observer's conclusions.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Bronislaw Malinowski states that fieldwork should respect the principle of subjectivity, stating that the ultimate goal of ethnographic work is to grasp the indigenous perspective, his relationship to life, and to clarify his view of his world. (Malinowski, no date) Fieldwork is a lineage from early ethnography and local ethnographic research, in which peoples and ethnic cultures are described objectively, and although it has some validity, it lacks a primary interpretive perspective. Gu Jiegang, in his article "How I write", says: "How can a researcher maintain a value-neutral attitude in research? Anthropological research can only study social phenomena within society. In order to be objective and correct, the researcher must be close to the object of study, but not one with it, and it is better to maintain a relationship that is separate from it, so as to facilitate holistic reflection. (Gu Jiegang, 1982)</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2.2 Research Methodology - Case Study</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 xml:space="preserve">The origins of case studies can be traced back to the French sociologist LePlay's study of working-class families </w:t>
      </w:r>
      <w:r>
        <w:rPr>
          <w:rFonts w:hint="default" w:ascii="Times New Roman" w:hAnsi="Times New Roman" w:eastAsia="宋体" w:cs="Times New Roman"/>
          <w:b w:val="0"/>
          <w:bCs w:val="0"/>
          <w:color w:val="000000"/>
          <w:sz w:val="21"/>
          <w:szCs w:val="21"/>
          <w:lang w:val="en-US" w:eastAsia="zh-CN" w:bidi="ar-SA"/>
        </w:rPr>
        <w:t>in</w:t>
      </w:r>
      <w:r>
        <w:rPr>
          <w:rFonts w:hint="default" w:ascii="Times New Roman" w:hAnsi="Times New Roman" w:eastAsia="宋体" w:cs="Times New Roman"/>
          <w:b w:val="0"/>
          <w:bCs w:val="0"/>
          <w:color w:val="000000"/>
          <w:sz w:val="21"/>
          <w:szCs w:val="21"/>
          <w:lang w:val="en-US" w:eastAsia="zh-CN"/>
        </w:rPr>
        <w:t xml:space="preserve"> the mid-19th century and later to the anthropologist Malinowski's fieldwork in the Tropic of Cancer. </w:t>
      </w:r>
      <w:r>
        <w:rPr>
          <w:rFonts w:hint="default" w:ascii="Times New Roman" w:hAnsi="Times New Roman" w:eastAsia="宋体" w:cs="Times New Roman"/>
          <w:i w:val="0"/>
          <w:iCs w:val="0"/>
          <w:caps w:val="0"/>
          <w:color w:val="000000"/>
          <w:spacing w:val="0"/>
          <w:sz w:val="21"/>
          <w:szCs w:val="21"/>
          <w:shd w:val="clear" w:color="auto" w:fill="FFFFFF"/>
        </w:rPr>
        <w:t xml:space="preserve">It was </w:t>
      </w:r>
      <w:r>
        <w:rPr>
          <w:rFonts w:hint="default" w:ascii="Times New Roman" w:hAnsi="Times New Roman" w:eastAsia="宋体" w:cs="Times New Roman"/>
          <w:b w:val="0"/>
          <w:bCs w:val="0"/>
          <w:color w:val="000000"/>
          <w:sz w:val="21"/>
          <w:szCs w:val="21"/>
          <w:lang w:val="en-US" w:eastAsia="zh-CN"/>
        </w:rPr>
        <w:t>only in the early twentieth century that the Chicago School of American sociology further applied case studies to issues related to industrialisation and urban migration, arguing that the researcher should enter the field of study and use case studies to develop a subjective and comprehensive understanding of the problem (Pan Shuman, 2003:247). Robert K. Yin defines case study from a methodological perspective as an inquisitive study of phenomena, behaviours and events in the current life cycle through multiple sources of information (</w:t>
      </w:r>
      <w:r>
        <w:rPr>
          <w:rFonts w:hint="default" w:ascii="Times New Roman" w:hAnsi="Times New Roman" w:eastAsia="宋体" w:cs="Times New Roman"/>
          <w:i w:val="0"/>
          <w:iCs w:val="0"/>
          <w:caps w:val="0"/>
          <w:color w:val="000000"/>
          <w:spacing w:val="0"/>
          <w:sz w:val="21"/>
          <w:szCs w:val="21"/>
          <w:shd w:val="clear" w:color="auto" w:fill="FFFFFF"/>
        </w:rPr>
        <w:t xml:space="preserve">Yin, R.K. </w:t>
      </w:r>
      <w:r>
        <w:rPr>
          <w:rFonts w:hint="default" w:ascii="Times New Roman" w:hAnsi="Times New Roman" w:eastAsia="宋体" w:cs="Times New Roman"/>
          <w:i w:val="0"/>
          <w:iCs w:val="0"/>
          <w:caps w:val="0"/>
          <w:color w:val="000000"/>
          <w:spacing w:val="0"/>
          <w:sz w:val="21"/>
          <w:szCs w:val="21"/>
          <w:shd w:val="clear" w:color="auto" w:fill="FFFFFF"/>
          <w:lang w:val="en-US" w:eastAsia="zh-CN"/>
        </w:rPr>
        <w:t>2009</w:t>
      </w:r>
      <w:r>
        <w:rPr>
          <w:rFonts w:hint="default" w:ascii="Times New Roman" w:hAnsi="Times New Roman" w:eastAsia="宋体" w:cs="Times New Roman"/>
          <w:b w:val="0"/>
          <w:bCs w:val="0"/>
          <w:color w:val="000000"/>
          <w:sz w:val="21"/>
          <w:szCs w:val="21"/>
          <w:lang w:val="en-US" w:eastAsia="zh-CN"/>
        </w:rPr>
        <w:t xml:space="preserve">). From the perspective of the purpose of research, Lin Peixuan argues that case study is to explore the qualities of a case's activities in a particular contextual context in order to understand its uniqueness and complexity (Lin Peixuan, 2000, PP.239-242). Zhang Mengzhong and Mark Hodges also define it from the perspective of research methods, further deepening </w:t>
      </w:r>
      <w:r>
        <w:rPr>
          <w:rFonts w:hint="default" w:ascii="Times New Roman" w:hAnsi="Times New Roman" w:eastAsia="宋体" w:cs="Times New Roman"/>
          <w:i w:val="0"/>
          <w:iCs w:val="0"/>
          <w:caps w:val="0"/>
          <w:color w:val="000000"/>
          <w:spacing w:val="0"/>
          <w:sz w:val="21"/>
          <w:szCs w:val="21"/>
          <w:shd w:val="clear" w:color="auto" w:fill="FFFFFF"/>
        </w:rPr>
        <w:t>Robert K. Yin'</w:t>
      </w:r>
      <w:r>
        <w:rPr>
          <w:rFonts w:hint="default" w:ascii="Times New Roman" w:hAnsi="Times New Roman" w:eastAsia="宋体" w:cs="Times New Roman"/>
          <w:b w:val="0"/>
          <w:bCs w:val="0"/>
          <w:color w:val="000000"/>
          <w:sz w:val="21"/>
          <w:szCs w:val="21"/>
          <w:lang w:val="en-US" w:eastAsia="zh-CN"/>
        </w:rPr>
        <w:t>s view that case study is a research method that uses observation, interviews, historical data, archival materials and other methods to collect data and apply reliable techniques to analyse an event in order to draw conclusions with generalisability. Looking at the views of domestic and international scholars, I believe that case study is a research method that takes a person, a group or an event as the object of study, collects a wide range of data, and uses a combination of methods (including qualitative and quantitative methods) and analytical techniques to conduct an in-depth inquiry into the phenomenon in a complex situation.</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b/>
          <w:bCs/>
          <w:color w:val="000000"/>
          <w:sz w:val="21"/>
          <w:szCs w:val="21"/>
          <w:lang w:val="en-US" w:eastAsia="zh-CN"/>
        </w:rPr>
        <w:t xml:space="preserve">    Reflections on case study methodology</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b w:val="0"/>
          <w:bCs w:val="0"/>
          <w:color w:val="000000"/>
          <w:sz w:val="21"/>
          <w:szCs w:val="21"/>
          <w:lang w:val="en-US" w:eastAsia="zh-CN"/>
        </w:rPr>
      </w:pPr>
      <w:r>
        <w:rPr>
          <w:rFonts w:hint="default" w:ascii="Times New Roman" w:hAnsi="Times New Roman" w:eastAsia="宋体" w:cs="Times New Roman"/>
          <w:b w:val="0"/>
          <w:bCs w:val="0"/>
          <w:color w:val="000000"/>
          <w:sz w:val="21"/>
          <w:szCs w:val="21"/>
          <w:lang w:val="en-US" w:eastAsia="zh-CN"/>
        </w:rPr>
        <w:t>Case studies have long been controversial. The question is often asked: can a study of a single case be representative? How representative can it be? The question of representativeness has been one of the most criticised aspects of case study methodology, and one that has not yet been fully resolved in sociological circles at home and abroad.</w:t>
      </w:r>
      <w:r>
        <w:rPr>
          <w:rFonts w:hint="default" w:ascii="Times New Roman" w:hAnsi="Times New Roman" w:eastAsia="宋体" w:cs="Times New Roman"/>
          <w:b w:val="0"/>
          <w:bCs w:val="0"/>
          <w:color w:val="000000"/>
          <w:sz w:val="21"/>
          <w:szCs w:val="21"/>
          <w:lang w:val="en-US" w:eastAsia="zh-CN"/>
        </w:rPr>
        <w:br w:type="textWrapping"/>
      </w:r>
      <w:r>
        <w:rPr>
          <w:rFonts w:hint="default" w:ascii="Times New Roman" w:hAnsi="Times New Roman" w:eastAsia="宋体" w:cs="Times New Roman"/>
          <w:b w:val="0"/>
          <w:bCs w:val="0"/>
          <w:color w:val="000000"/>
          <w:sz w:val="21"/>
          <w:szCs w:val="21"/>
          <w:lang w:val="en-US" w:eastAsia="zh-CN"/>
        </w:rPr>
        <w:t xml:space="preserve">    In my view, case studies do not necessarily need to be representative; the question of representativeness in case studies is in fact a 'false question'. Representativeness refers to the extent to which a sample can reproduce the structure and properties of the whole. Any sample emerges from the premise that the scope and boundaries of the total sample are clear, that is, that the sample is drawn from the total study population according to certain rules. The purpose of drawing a sample is to achieve an understanding of the totality with the principle of economy and less input. In order to achieve this, the sample must be representative so that it can reproduce the total. However, case studies do not have a clear general population to study, or the boundaries of the general population to study are blurred, and the case is not a statistical sample, so it does not necessarily need to be representative. Much of the controversy over the representativeness of case studies is due to the fact that researchers, in the actual process of research, have brought the representativeness of samples from survey research into case studies, equating case studies with survey research.</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jc w:val="left"/>
        <w:textAlignment w:val="auto"/>
        <w:rPr>
          <w:rFonts w:hint="default" w:ascii="Times New Roman" w:hAnsi="Times New Roman" w:eastAsia="宋体" w:cs="Times New Roman"/>
          <w:b/>
          <w:bCs/>
          <w:color w:val="000000"/>
          <w:sz w:val="21"/>
          <w:szCs w:val="21"/>
          <w:lang w:val="en-US" w:eastAsia="zh-CN"/>
        </w:rPr>
      </w:pPr>
      <w:r>
        <w:rPr>
          <w:rFonts w:hint="default" w:ascii="Times New Roman" w:hAnsi="Times New Roman" w:eastAsia="宋体" w:cs="Times New Roman"/>
          <w:b/>
          <w:bCs/>
          <w:color w:val="000000"/>
          <w:sz w:val="21"/>
          <w:szCs w:val="21"/>
          <w:lang w:val="en-US" w:eastAsia="zh-CN"/>
        </w:rPr>
        <w:t>2.3 Research methodology - content analysis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Content analysis is a specialised method for the objective and systematic quantitative analysis of the content of documents, with the aim of clarifying or testing the essential facts and trends in the documents, revealing the hidden intelligence content contained in the documents, and making intelligence forecasts of developments. It is in fact a semi-quantitative research method, the basic approach of which is to transform the textual, non-quantitative communication value of information in the media into quantitative data, create meaningful categories to break down the content of communication, and use it to analyse certain characteristics of the information (Shepperd, J. 2021). Content analysis was first developed in the field of communication. During the Second World War, the American scholar Harold Dwight Lasswell and others organised a work called the "Wartime Communication Study", which used German publicly published newspapers as the object of analysis and obtained a lot of confidential military and political information. In the 1950s the American scholar</w:t>
      </w:r>
      <w:bookmarkStart w:id="104" w:name="OLE_LINK178"/>
      <w:r>
        <w:rPr>
          <w:rFonts w:hint="default" w:ascii="Times New Roman" w:hAnsi="Times New Roman" w:eastAsia="宋体" w:cs="Times New Roman"/>
          <w:color w:val="000000"/>
          <w:sz w:val="21"/>
          <w:szCs w:val="21"/>
          <w:lang w:val="en-US" w:eastAsia="zh-CN"/>
        </w:rPr>
        <w:t xml:space="preserve"> Paul Lazarsfeld published a book entitled Content Analysis in Communication Research</w:t>
      </w:r>
      <w:bookmarkEnd w:id="104"/>
      <w:r>
        <w:rPr>
          <w:rFonts w:hint="default" w:ascii="Times New Roman" w:hAnsi="Times New Roman" w:eastAsia="宋体" w:cs="Times New Roman"/>
          <w:color w:val="000000"/>
          <w:sz w:val="21"/>
          <w:szCs w:val="21"/>
          <w:lang w:val="en-US" w:eastAsia="zh-CN"/>
        </w:rPr>
        <w:t xml:space="preserve"> (</w:t>
      </w:r>
      <w:r>
        <w:rPr>
          <w:rFonts w:hint="default" w:ascii="Times New Roman" w:hAnsi="Times New Roman" w:eastAsia="宋体" w:cs="Times New Roman"/>
          <w:i w:val="0"/>
          <w:iCs w:val="0"/>
          <w:caps w:val="0"/>
          <w:color w:val="000000"/>
          <w:spacing w:val="0"/>
          <w:sz w:val="21"/>
          <w:szCs w:val="21"/>
          <w:shd w:val="clear" w:color="auto" w:fill="FFFFFF"/>
        </w:rPr>
        <w:t>Hynek, J., 2017</w:t>
      </w:r>
      <w:r>
        <w:rPr>
          <w:rFonts w:hint="default" w:ascii="Times New Roman" w:hAnsi="Times New Roman" w:eastAsia="宋体" w:cs="Times New Roman"/>
          <w:color w:val="000000"/>
          <w:sz w:val="21"/>
          <w:szCs w:val="21"/>
          <w:lang w:val="en-US" w:eastAsia="zh-CN"/>
        </w:rPr>
        <w:t>), which established the status of content analysis. It was Naisbitt who really systematised the content analysis approach, and he led the publication of the "Trend Reports" which used content analysis as the basis for the world-renowned book Megatrends.</w:t>
      </w: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2" w:firstLineChars="200"/>
        <w:contextualSpacing/>
        <w:jc w:val="left"/>
        <w:textAlignment w:val="auto"/>
        <w:rPr>
          <w:rFonts w:hint="default" w:ascii="Times New Roman" w:hAnsi="Times New Roman" w:eastAsia="宋体" w:cs="Times New Roman"/>
          <w:b/>
          <w:bCs/>
          <w:color w:val="000000"/>
          <w:sz w:val="21"/>
          <w:szCs w:val="21"/>
          <w:lang w:val="en-US" w:eastAsia="zh-CN"/>
        </w:rPr>
      </w:pPr>
      <w:bookmarkStart w:id="105" w:name="OLE_LINK12"/>
      <w:r>
        <w:rPr>
          <w:rFonts w:hint="default" w:ascii="Times New Roman" w:hAnsi="Times New Roman" w:eastAsia="宋体" w:cs="Times New Roman"/>
          <w:b/>
          <w:bCs/>
          <w:color w:val="000000"/>
          <w:sz w:val="21"/>
          <w:szCs w:val="21"/>
          <w:lang w:val="en-US" w:eastAsia="zh-CN"/>
        </w:rPr>
        <w:t xml:space="preserve">Reflections on content analysis </w:t>
      </w:r>
      <w:bookmarkEnd w:id="105"/>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ind w:firstLine="420" w:firstLineChars="200"/>
        <w:contextualSpacing/>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Hermeneutic content analysis is a method of conveying intent through close reading, comprehension and interpretation of the content of a text. "Hermeneutic content analysis is a method of reading, comprehending and interpreting the content of a text to convey its intent, not simply by interpreting the facts, but by grasping the complex context and ideological structure of the text as a whole and at a higher level. This method emphasises the importance of reflecting the original meaning of the text in a realistic, objective and comprehensive manner, and has a certain degree of depth, which is suitable for case studies aiming at describing facts. However, due to the inevitable subjectivity in the process of interpretation and the singularity of the research object, the results of its analysis are often considered random and difficult to verify, and thus lack universality.</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firstLineChars="200"/>
        <w:jc w:val="left"/>
        <w:textAlignment w:val="auto"/>
        <w:rPr>
          <w:rFonts w:hint="default" w:ascii="Times New Roman" w:hAnsi="Times New Roman" w:eastAsia="宋体" w:cs="Times New Roman"/>
          <w:color w:val="000000"/>
          <w:sz w:val="21"/>
          <w:szCs w:val="21"/>
          <w:lang w:val="en-US" w:eastAsia="zh-CN"/>
        </w:rPr>
      </w:pPr>
      <w:bookmarkStart w:id="106" w:name="OLE_LINK177"/>
      <w:r>
        <w:rPr>
          <w:rFonts w:hint="default" w:ascii="Times New Roman" w:hAnsi="Times New Roman" w:eastAsia="宋体" w:cs="Times New Roman"/>
          <w:color w:val="000000"/>
          <w:sz w:val="21"/>
          <w:szCs w:val="21"/>
          <w:lang w:val="en-US" w:eastAsia="zh-CN"/>
        </w:rPr>
        <w:t>Empirical content analysis is a combination of quantitative content analysis and qualitative content analysis. The method has three basic elements: objective, systematic and quantitative.</w:t>
      </w:r>
      <w:bookmarkEnd w:id="106"/>
      <w:r>
        <w:rPr>
          <w:rFonts w:hint="default" w:ascii="Times New Roman" w:hAnsi="Times New Roman" w:eastAsia="宋体" w:cs="Times New Roman"/>
          <w:color w:val="000000"/>
          <w:sz w:val="21"/>
          <w:szCs w:val="21"/>
          <w:lang w:val="en-US" w:eastAsia="zh-CN"/>
        </w:rPr>
        <w:t xml:space="preserve">  Qualitative content analysis is a descriptive and inferential analysis of the connections and organisation of the conceptual elements in a text. Unlike quantitative methods, which are intuitive and data-driven, qualitative methods emphasise the need to convey the content of a text through a comprehensive and profound understanding and rigorous logical reasoning. It is generally accepted that any research method involves some qualitative steps. Many scholars advocate combining qualitative and quantitative methods to complement each other's strengths and weaknesses. A qualitative-quantitative approach to content analysis should have the following key elements: (i) a necessary foundation of understanding and theoretical derivation of the problem; (ii) objective selection and review of samples; (iii) development of a reliable and valid classification system in the process of collating data; and (iv) quantitative analysis of experimental data and making a sound understanding. (Bernard, H.R, 2011)</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In the current era of academic research, the use of traditional research methods alone across disciplines is far from adequate to solve many practical problems. Whatever research methods are adopted into my research at a later stage will require some adaptation and refinement, with each method being limited in the number of problems it can solve and needing to be used across multiple perspectives across disciplines.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jc w:val="left"/>
        <w:textAlignment w:val="auto"/>
        <w:rPr>
          <w:rFonts w:hint="default" w:ascii="Times New Roman" w:hAnsi="Times New Roman" w:eastAsia="宋体" w:cs="Times New Roman"/>
          <w:color w:val="000000"/>
          <w:sz w:val="21"/>
          <w:szCs w:val="21"/>
          <w:lang w:val="en-US" w:eastAsia="zh-CN"/>
        </w:rPr>
      </w:pP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420"/>
        <w:jc w:val="left"/>
        <w:textAlignment w:val="auto"/>
        <w:rPr>
          <w:rFonts w:hint="default" w:ascii="Times New Roman" w:hAnsi="Times New Roman" w:eastAsia="宋体" w:cs="Times New Roman"/>
          <w:color w:val="000000"/>
          <w:sz w:val="21"/>
          <w:szCs w:val="21"/>
          <w:lang w:val="en-US" w:eastAsia="zh-CN"/>
        </w:rPr>
      </w:pPr>
    </w:p>
    <w:p>
      <w:pPr>
        <w:pStyle w:val="9"/>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exact"/>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b/>
          <w:bCs/>
          <w:color w:val="000000"/>
          <w:sz w:val="21"/>
          <w:szCs w:val="21"/>
          <w:lang w:val="en-US" w:eastAsia="zh-CN"/>
        </w:rPr>
        <w:t>REFERENCE</w:t>
      </w:r>
    </w:p>
    <w:bookmarkEnd w:id="95"/>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 Denzin, Norman K and Yvonna S. Lincoln. (2013) Strategies of Qualitative Inquiry.Washington DC:Sage.</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[2] Denzin, Norman K, and Yvonna S. Lincoln.(1994) The Sage Handbook of Qualitative Research, Washington DC:Sage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[3] Kornai, J., 2002. The system paradigm.</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 xml:space="preserve">[4] Guba, E.G. and Lincoln, Y.S., 1989. fourth generation evaluation. sage. </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 xml:space="preserve">[5] Bredo, E., Feinberg,d. (1982).Knowledge and values in social and educational research. </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[6] Ling, M. and Hong, Z., 2015.Establishing the Legitimacy of Constructivist Methodology and Methods in the Study of Tourism: On the Essence of Tourism World.Tourism Tribune/Lvyou Xuekan,30(7).</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[7] Chen Xiangming, 2002. Research on the Quality of Social Sciences.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[8] Fosnot, C.T., 2013. Constructivism: theory, perspectives, and practice.</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[9] Pan Shuman, 2003. Qualitative Research: Theory and Application. Taipei City: Psychological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[10] Wang Yuechuan, 1992. Postmodernist Cultural Studies (Vol. 1, No. 9, p. 9). Peking University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[11] Outhwaite, W., 1987. New philosophies of social science: realism, hermeneutics and critical theory. Macmillan International Higher Education.</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[12] Leavy, P. (2020) The Oxford handbook of qualitative research. second edition. edited by P. Leavy. new York: Oxford University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[13] Blommaert, J. and Jie, D., 2020. In Ethnographic Fieldwork.</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[14] Wang Ningsheng, 2002. Cultural Anthropology Survey: A Correct Approach to Understanding Society. Cultural Relics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[15] Malinowski, B. (no date) Argonauts of the Western Pacific An Account of Native Enterprise and Adventure in the Archipelagoes of Melanesian New Guinea. Project Gutenberg.</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[16] Gu Jiegang, 1982. How did I write the "Ancient History"? The Ancient History: Volume 1.</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[17] Pan Shuman, 2003. Qualitative Research: Theory and Application. Taipei City: Psychological Press.</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[18］Yin,R.K.(2009).Case study research: Design and methods (Vol.5).sage.</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[19] Lin Peixuan, 2000. Case studies and their application in educational research. Qualitative research methods (pp. 239-242). Kaohsiung: Li Wen.</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[20] Shepperd, J. (2021) 'Theodor Adorno, Paul Lazarsfeld, and the Public Interest Mandate of Early Communications Research, 1935 -1941', Communication theory [Preprint]. doi:10.1093/ct/qtab009.</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[21] Hynek, J., 2017. Paul Lazarsfeld and the origins of communications research. Routledge.</w:t>
      </w:r>
    </w:p>
    <w:p>
      <w:pPr>
        <w:keepNext w:val="0"/>
        <w:keepLines w:val="0"/>
        <w:pageBreakBefore w:val="0"/>
        <w:widowControl/>
        <w:kinsoku/>
        <w:wordWrap/>
        <w:overflowPunct/>
        <w:topLinePunct w:val="0"/>
        <w:autoSpaceDE/>
        <w:autoSpaceDN/>
        <w:bidi w:val="0"/>
        <w:adjustRightInd/>
        <w:snapToGrid/>
        <w:spacing w:beforeAutospacing="0" w:afterAutospacing="0" w:line="360" w:lineRule="exact"/>
        <w:ind w:firstLine="210" w:firstLineChars="100"/>
        <w:jc w:val="left"/>
        <w:textAlignment w:val="auto"/>
        <w:rPr>
          <w:rFonts w:hint="default" w:ascii="Times New Roman" w:hAnsi="Times New Roman" w:eastAsia="宋体" w:cs="Times New Roman"/>
          <w:color w:val="000000"/>
          <w:sz w:val="21"/>
          <w:szCs w:val="21"/>
          <w:lang w:val="en-US" w:eastAsia="zh-CN"/>
        </w:rPr>
      </w:pPr>
      <w:r>
        <w:rPr>
          <w:rFonts w:hint="default" w:ascii="Times New Roman" w:hAnsi="Times New Roman" w:eastAsia="宋体" w:cs="Times New Roman"/>
          <w:color w:val="000000"/>
          <w:sz w:val="21"/>
          <w:szCs w:val="21"/>
          <w:lang w:val="en-US" w:eastAsia="zh-CN"/>
        </w:rPr>
        <w:t>[22] Bernard, H.R. (2011) Research methods in anthropology qualitative and quantitative approaches. 5th ed. Lanham, MD: AltaMira.</w:t>
      </w:r>
    </w:p>
    <w:sectPr>
      <w:pgSz w:w="11906" w:h="16838"/>
      <w:pgMar w:top="1134" w:right="1134" w:bottom="1134" w:left="1134"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dit="forms"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YzODNjMGI2OGMwMmM2YzkyODdiNmY1OTY5ZGEzZmEifQ=="/>
  </w:docVars>
  <w:rsids>
    <w:rsidRoot w:val="00000000"/>
    <w:rsid w:val="003B71B4"/>
    <w:rsid w:val="00484099"/>
    <w:rsid w:val="0050638A"/>
    <w:rsid w:val="00737954"/>
    <w:rsid w:val="009A0ED2"/>
    <w:rsid w:val="00E22898"/>
    <w:rsid w:val="00E915BE"/>
    <w:rsid w:val="01622DBE"/>
    <w:rsid w:val="016C1A65"/>
    <w:rsid w:val="01923F0D"/>
    <w:rsid w:val="019B0B0C"/>
    <w:rsid w:val="01A175D8"/>
    <w:rsid w:val="01B94B86"/>
    <w:rsid w:val="01D26FD8"/>
    <w:rsid w:val="01E07F79"/>
    <w:rsid w:val="01E63D04"/>
    <w:rsid w:val="01F20FD2"/>
    <w:rsid w:val="02677946"/>
    <w:rsid w:val="029F53A6"/>
    <w:rsid w:val="02FF0795"/>
    <w:rsid w:val="0319151A"/>
    <w:rsid w:val="032C086E"/>
    <w:rsid w:val="032C1776"/>
    <w:rsid w:val="034F0E57"/>
    <w:rsid w:val="03541CED"/>
    <w:rsid w:val="03631E38"/>
    <w:rsid w:val="03D36D1F"/>
    <w:rsid w:val="03F359AA"/>
    <w:rsid w:val="03FB217C"/>
    <w:rsid w:val="041651F4"/>
    <w:rsid w:val="042B10AF"/>
    <w:rsid w:val="04874344"/>
    <w:rsid w:val="04D70E27"/>
    <w:rsid w:val="05237BC9"/>
    <w:rsid w:val="05642DD8"/>
    <w:rsid w:val="05874BD6"/>
    <w:rsid w:val="058F3A4A"/>
    <w:rsid w:val="05A14F91"/>
    <w:rsid w:val="05E3722E"/>
    <w:rsid w:val="06150A79"/>
    <w:rsid w:val="06247FFE"/>
    <w:rsid w:val="063E4AA0"/>
    <w:rsid w:val="064029FC"/>
    <w:rsid w:val="064D3531"/>
    <w:rsid w:val="065E5B75"/>
    <w:rsid w:val="06AF0416"/>
    <w:rsid w:val="06B61737"/>
    <w:rsid w:val="06BD265D"/>
    <w:rsid w:val="074073D4"/>
    <w:rsid w:val="07627BDA"/>
    <w:rsid w:val="07660241"/>
    <w:rsid w:val="07BE7D13"/>
    <w:rsid w:val="07EA2C20"/>
    <w:rsid w:val="082A74C0"/>
    <w:rsid w:val="0837351E"/>
    <w:rsid w:val="0849246B"/>
    <w:rsid w:val="08580A1A"/>
    <w:rsid w:val="08887972"/>
    <w:rsid w:val="08E42279"/>
    <w:rsid w:val="08E43B13"/>
    <w:rsid w:val="09433613"/>
    <w:rsid w:val="09483A96"/>
    <w:rsid w:val="0949606C"/>
    <w:rsid w:val="094C3466"/>
    <w:rsid w:val="0951052A"/>
    <w:rsid w:val="0959451E"/>
    <w:rsid w:val="09C0632E"/>
    <w:rsid w:val="0A3F3B53"/>
    <w:rsid w:val="0A4F2CD5"/>
    <w:rsid w:val="0A7141D0"/>
    <w:rsid w:val="0A7B561F"/>
    <w:rsid w:val="0A8128B4"/>
    <w:rsid w:val="0A9A68EA"/>
    <w:rsid w:val="0AA277E2"/>
    <w:rsid w:val="0AC07B91"/>
    <w:rsid w:val="0AD04791"/>
    <w:rsid w:val="0B131D8D"/>
    <w:rsid w:val="0B147E88"/>
    <w:rsid w:val="0B3B49A5"/>
    <w:rsid w:val="0B446AEB"/>
    <w:rsid w:val="0B857EE1"/>
    <w:rsid w:val="0B8B471A"/>
    <w:rsid w:val="0B9D790F"/>
    <w:rsid w:val="0BC472A9"/>
    <w:rsid w:val="0C163083"/>
    <w:rsid w:val="0C35573A"/>
    <w:rsid w:val="0C423F13"/>
    <w:rsid w:val="0C432866"/>
    <w:rsid w:val="0C7228AC"/>
    <w:rsid w:val="0CCB342F"/>
    <w:rsid w:val="0CEA5F50"/>
    <w:rsid w:val="0D0F4ED6"/>
    <w:rsid w:val="0D1628D9"/>
    <w:rsid w:val="0D501777"/>
    <w:rsid w:val="0D76732C"/>
    <w:rsid w:val="0DBE0C56"/>
    <w:rsid w:val="0E2066C9"/>
    <w:rsid w:val="0E3A5F83"/>
    <w:rsid w:val="0E5844ED"/>
    <w:rsid w:val="0E701E80"/>
    <w:rsid w:val="0E86353F"/>
    <w:rsid w:val="0EC21850"/>
    <w:rsid w:val="0EDF5E2A"/>
    <w:rsid w:val="0EE303C9"/>
    <w:rsid w:val="0EED1247"/>
    <w:rsid w:val="0F04678E"/>
    <w:rsid w:val="0F36200C"/>
    <w:rsid w:val="0F3E06C6"/>
    <w:rsid w:val="0F3E5770"/>
    <w:rsid w:val="0F4B2805"/>
    <w:rsid w:val="0F8A7F0D"/>
    <w:rsid w:val="0FA83896"/>
    <w:rsid w:val="100C552D"/>
    <w:rsid w:val="10125409"/>
    <w:rsid w:val="101C784D"/>
    <w:rsid w:val="10442109"/>
    <w:rsid w:val="105204F7"/>
    <w:rsid w:val="105545F2"/>
    <w:rsid w:val="10631C7A"/>
    <w:rsid w:val="10AA73F0"/>
    <w:rsid w:val="10B1077E"/>
    <w:rsid w:val="10B63FE7"/>
    <w:rsid w:val="11164A85"/>
    <w:rsid w:val="112C2BE8"/>
    <w:rsid w:val="11411805"/>
    <w:rsid w:val="12015736"/>
    <w:rsid w:val="12111E95"/>
    <w:rsid w:val="122359BE"/>
    <w:rsid w:val="122B27B2"/>
    <w:rsid w:val="12971BF6"/>
    <w:rsid w:val="12C22913"/>
    <w:rsid w:val="12E56666"/>
    <w:rsid w:val="1386629B"/>
    <w:rsid w:val="13CC47CC"/>
    <w:rsid w:val="13F23E4C"/>
    <w:rsid w:val="141624E1"/>
    <w:rsid w:val="141A663B"/>
    <w:rsid w:val="1424009A"/>
    <w:rsid w:val="146E4BD8"/>
    <w:rsid w:val="14950344"/>
    <w:rsid w:val="149F49AB"/>
    <w:rsid w:val="14A34192"/>
    <w:rsid w:val="150B58A6"/>
    <w:rsid w:val="151E03AD"/>
    <w:rsid w:val="153167F7"/>
    <w:rsid w:val="15655FDB"/>
    <w:rsid w:val="157A0DEF"/>
    <w:rsid w:val="15862B09"/>
    <w:rsid w:val="15B91746"/>
    <w:rsid w:val="15CE3245"/>
    <w:rsid w:val="15D05B4B"/>
    <w:rsid w:val="15F673C1"/>
    <w:rsid w:val="1649313A"/>
    <w:rsid w:val="164E48AC"/>
    <w:rsid w:val="16632783"/>
    <w:rsid w:val="16B25250"/>
    <w:rsid w:val="16D83C4D"/>
    <w:rsid w:val="16F759AB"/>
    <w:rsid w:val="17004BB1"/>
    <w:rsid w:val="170C1294"/>
    <w:rsid w:val="1724189B"/>
    <w:rsid w:val="17860F8F"/>
    <w:rsid w:val="17C324C4"/>
    <w:rsid w:val="181A30AD"/>
    <w:rsid w:val="181A6A8A"/>
    <w:rsid w:val="18425057"/>
    <w:rsid w:val="18682C79"/>
    <w:rsid w:val="18713FCA"/>
    <w:rsid w:val="18D96BDA"/>
    <w:rsid w:val="19174BB4"/>
    <w:rsid w:val="194336DE"/>
    <w:rsid w:val="19466CBF"/>
    <w:rsid w:val="1997072D"/>
    <w:rsid w:val="19D159ED"/>
    <w:rsid w:val="1A2A7441"/>
    <w:rsid w:val="1A4F38C4"/>
    <w:rsid w:val="1A97157D"/>
    <w:rsid w:val="1AC27A2C"/>
    <w:rsid w:val="1ADF1BD1"/>
    <w:rsid w:val="1ADF2497"/>
    <w:rsid w:val="1B0F08A0"/>
    <w:rsid w:val="1B1157AD"/>
    <w:rsid w:val="1B812777"/>
    <w:rsid w:val="1B9B2757"/>
    <w:rsid w:val="1BAD145B"/>
    <w:rsid w:val="1BF34213"/>
    <w:rsid w:val="1C2416A3"/>
    <w:rsid w:val="1C33473D"/>
    <w:rsid w:val="1C632B49"/>
    <w:rsid w:val="1C887EFD"/>
    <w:rsid w:val="1CBC2A7E"/>
    <w:rsid w:val="1CDC4DD5"/>
    <w:rsid w:val="1CEF1DA0"/>
    <w:rsid w:val="1CF64A88"/>
    <w:rsid w:val="1D195F37"/>
    <w:rsid w:val="1D24052A"/>
    <w:rsid w:val="1D296F32"/>
    <w:rsid w:val="1D2D6FEF"/>
    <w:rsid w:val="1D6B5FDD"/>
    <w:rsid w:val="1DDF23D3"/>
    <w:rsid w:val="1E260C45"/>
    <w:rsid w:val="1E843240"/>
    <w:rsid w:val="1ED55F80"/>
    <w:rsid w:val="1EDB4970"/>
    <w:rsid w:val="1F1C6F83"/>
    <w:rsid w:val="1F4E4511"/>
    <w:rsid w:val="1F5D10A9"/>
    <w:rsid w:val="1FE01982"/>
    <w:rsid w:val="1FEA1406"/>
    <w:rsid w:val="1FFE0568"/>
    <w:rsid w:val="203035F0"/>
    <w:rsid w:val="204F67D9"/>
    <w:rsid w:val="205B308C"/>
    <w:rsid w:val="208328D1"/>
    <w:rsid w:val="20AE71B5"/>
    <w:rsid w:val="20FB690C"/>
    <w:rsid w:val="20FE3A5D"/>
    <w:rsid w:val="21C92069"/>
    <w:rsid w:val="21EB5ABA"/>
    <w:rsid w:val="21F04251"/>
    <w:rsid w:val="22CC1448"/>
    <w:rsid w:val="23746A60"/>
    <w:rsid w:val="23A20B36"/>
    <w:rsid w:val="242D4448"/>
    <w:rsid w:val="243B2E88"/>
    <w:rsid w:val="245049A5"/>
    <w:rsid w:val="24726142"/>
    <w:rsid w:val="247F2C64"/>
    <w:rsid w:val="249079D4"/>
    <w:rsid w:val="24AC1A70"/>
    <w:rsid w:val="24C42EA1"/>
    <w:rsid w:val="24D66F65"/>
    <w:rsid w:val="24DA2039"/>
    <w:rsid w:val="254F0607"/>
    <w:rsid w:val="25500356"/>
    <w:rsid w:val="25912EFF"/>
    <w:rsid w:val="25CD1837"/>
    <w:rsid w:val="25E6350A"/>
    <w:rsid w:val="25E87CD4"/>
    <w:rsid w:val="25EB6089"/>
    <w:rsid w:val="25EF5267"/>
    <w:rsid w:val="262E41C8"/>
    <w:rsid w:val="26630315"/>
    <w:rsid w:val="267B1B5D"/>
    <w:rsid w:val="26C54B2C"/>
    <w:rsid w:val="26CB7B8A"/>
    <w:rsid w:val="26D03E96"/>
    <w:rsid w:val="27225ADA"/>
    <w:rsid w:val="273B6B9C"/>
    <w:rsid w:val="27424757"/>
    <w:rsid w:val="278E3683"/>
    <w:rsid w:val="27E139BB"/>
    <w:rsid w:val="27F22B32"/>
    <w:rsid w:val="28040C42"/>
    <w:rsid w:val="280A61C1"/>
    <w:rsid w:val="283B3AE8"/>
    <w:rsid w:val="28416434"/>
    <w:rsid w:val="28620159"/>
    <w:rsid w:val="28622EBB"/>
    <w:rsid w:val="289F0A96"/>
    <w:rsid w:val="28A47670"/>
    <w:rsid w:val="28A55590"/>
    <w:rsid w:val="28EA3DA9"/>
    <w:rsid w:val="291833B1"/>
    <w:rsid w:val="29907D87"/>
    <w:rsid w:val="29BB02A9"/>
    <w:rsid w:val="29DB01C2"/>
    <w:rsid w:val="29EE5390"/>
    <w:rsid w:val="2A0469B6"/>
    <w:rsid w:val="2A1C2CB5"/>
    <w:rsid w:val="2A4C6A4B"/>
    <w:rsid w:val="2A6554C2"/>
    <w:rsid w:val="2A755CAA"/>
    <w:rsid w:val="2A962A81"/>
    <w:rsid w:val="2AA36F32"/>
    <w:rsid w:val="2AF23A16"/>
    <w:rsid w:val="2AF81941"/>
    <w:rsid w:val="2B0E0D05"/>
    <w:rsid w:val="2B726905"/>
    <w:rsid w:val="2BC71AAA"/>
    <w:rsid w:val="2C0B7988"/>
    <w:rsid w:val="2C2C5C57"/>
    <w:rsid w:val="2C923702"/>
    <w:rsid w:val="2C9A50B4"/>
    <w:rsid w:val="2CA768DF"/>
    <w:rsid w:val="2CFF066C"/>
    <w:rsid w:val="2D1C1AF4"/>
    <w:rsid w:val="2D1C4D7A"/>
    <w:rsid w:val="2D2B02C2"/>
    <w:rsid w:val="2DA811C4"/>
    <w:rsid w:val="2DB17BB8"/>
    <w:rsid w:val="2E474078"/>
    <w:rsid w:val="2E550B81"/>
    <w:rsid w:val="2E6E7857"/>
    <w:rsid w:val="2EAA42C6"/>
    <w:rsid w:val="2EB01C1E"/>
    <w:rsid w:val="2EB35287"/>
    <w:rsid w:val="2EDC3F81"/>
    <w:rsid w:val="2EDC7ABF"/>
    <w:rsid w:val="2EF626FC"/>
    <w:rsid w:val="2F63433C"/>
    <w:rsid w:val="2FB0023E"/>
    <w:rsid w:val="2FBE480E"/>
    <w:rsid w:val="301C78C6"/>
    <w:rsid w:val="30394703"/>
    <w:rsid w:val="30843362"/>
    <w:rsid w:val="30B10B81"/>
    <w:rsid w:val="30BD0622"/>
    <w:rsid w:val="30E46F60"/>
    <w:rsid w:val="314E60EC"/>
    <w:rsid w:val="31594C51"/>
    <w:rsid w:val="31705EE7"/>
    <w:rsid w:val="317C1A50"/>
    <w:rsid w:val="31C81094"/>
    <w:rsid w:val="3209138A"/>
    <w:rsid w:val="32366CC7"/>
    <w:rsid w:val="324C6101"/>
    <w:rsid w:val="32714935"/>
    <w:rsid w:val="327B180F"/>
    <w:rsid w:val="327C4242"/>
    <w:rsid w:val="32827D75"/>
    <w:rsid w:val="32904240"/>
    <w:rsid w:val="32CB171C"/>
    <w:rsid w:val="32E8410B"/>
    <w:rsid w:val="32EA3F1B"/>
    <w:rsid w:val="330400A7"/>
    <w:rsid w:val="33184D0A"/>
    <w:rsid w:val="331A0958"/>
    <w:rsid w:val="33263AAA"/>
    <w:rsid w:val="33273F78"/>
    <w:rsid w:val="332D5F33"/>
    <w:rsid w:val="332F6DEF"/>
    <w:rsid w:val="333703CF"/>
    <w:rsid w:val="335214F5"/>
    <w:rsid w:val="337A6170"/>
    <w:rsid w:val="339273DB"/>
    <w:rsid w:val="33FB1F69"/>
    <w:rsid w:val="3488219A"/>
    <w:rsid w:val="3493366C"/>
    <w:rsid w:val="349C7755"/>
    <w:rsid w:val="34A81218"/>
    <w:rsid w:val="34AA59F7"/>
    <w:rsid w:val="34B06A8B"/>
    <w:rsid w:val="34B1049E"/>
    <w:rsid w:val="35091305"/>
    <w:rsid w:val="351D61C5"/>
    <w:rsid w:val="355C710A"/>
    <w:rsid w:val="356078A2"/>
    <w:rsid w:val="357C494D"/>
    <w:rsid w:val="35926521"/>
    <w:rsid w:val="35A434F0"/>
    <w:rsid w:val="35B27D53"/>
    <w:rsid w:val="35BB31A0"/>
    <w:rsid w:val="35C75C95"/>
    <w:rsid w:val="35C80866"/>
    <w:rsid w:val="35D77D86"/>
    <w:rsid w:val="35DE2D5F"/>
    <w:rsid w:val="35DE3514"/>
    <w:rsid w:val="35ED286B"/>
    <w:rsid w:val="36034D29"/>
    <w:rsid w:val="360B1E2F"/>
    <w:rsid w:val="36295031"/>
    <w:rsid w:val="364A6E78"/>
    <w:rsid w:val="36584854"/>
    <w:rsid w:val="36633A19"/>
    <w:rsid w:val="366B0ED4"/>
    <w:rsid w:val="36FB58A3"/>
    <w:rsid w:val="37191134"/>
    <w:rsid w:val="37550CD6"/>
    <w:rsid w:val="37A41924"/>
    <w:rsid w:val="37DB0AEB"/>
    <w:rsid w:val="37DE5A4E"/>
    <w:rsid w:val="37EE32D6"/>
    <w:rsid w:val="37F449ED"/>
    <w:rsid w:val="37FB24EA"/>
    <w:rsid w:val="38195D08"/>
    <w:rsid w:val="38567051"/>
    <w:rsid w:val="38B779C2"/>
    <w:rsid w:val="38EC7CF6"/>
    <w:rsid w:val="390D6984"/>
    <w:rsid w:val="3925145A"/>
    <w:rsid w:val="392D5729"/>
    <w:rsid w:val="397F6DBC"/>
    <w:rsid w:val="398E279D"/>
    <w:rsid w:val="39A404CA"/>
    <w:rsid w:val="39FA6443"/>
    <w:rsid w:val="3A1B6272"/>
    <w:rsid w:val="3A296D28"/>
    <w:rsid w:val="3A2E43C6"/>
    <w:rsid w:val="3A481134"/>
    <w:rsid w:val="3A5F274A"/>
    <w:rsid w:val="3A6A0578"/>
    <w:rsid w:val="3A947B69"/>
    <w:rsid w:val="3AD54CE9"/>
    <w:rsid w:val="3AD81A2B"/>
    <w:rsid w:val="3B056EEB"/>
    <w:rsid w:val="3B107B2D"/>
    <w:rsid w:val="3B134D90"/>
    <w:rsid w:val="3B4A2D5A"/>
    <w:rsid w:val="3B766568"/>
    <w:rsid w:val="3B924CC6"/>
    <w:rsid w:val="3B9649FE"/>
    <w:rsid w:val="3B9A612F"/>
    <w:rsid w:val="3B9A7EDD"/>
    <w:rsid w:val="3BAF62A7"/>
    <w:rsid w:val="3BC57EFE"/>
    <w:rsid w:val="3BC76DDC"/>
    <w:rsid w:val="3BC9691A"/>
    <w:rsid w:val="3BF2158F"/>
    <w:rsid w:val="3C396FCB"/>
    <w:rsid w:val="3C463A30"/>
    <w:rsid w:val="3C681D8A"/>
    <w:rsid w:val="3C6C43AA"/>
    <w:rsid w:val="3C892733"/>
    <w:rsid w:val="3C8F4B18"/>
    <w:rsid w:val="3C9B3F0D"/>
    <w:rsid w:val="3CA54836"/>
    <w:rsid w:val="3CCE0730"/>
    <w:rsid w:val="3D053A7C"/>
    <w:rsid w:val="3D3659E4"/>
    <w:rsid w:val="3D581DFE"/>
    <w:rsid w:val="3E8A248B"/>
    <w:rsid w:val="3F50359F"/>
    <w:rsid w:val="3F536D21"/>
    <w:rsid w:val="3F6D44FE"/>
    <w:rsid w:val="3F8B75BB"/>
    <w:rsid w:val="3FE039DF"/>
    <w:rsid w:val="3FFF47B3"/>
    <w:rsid w:val="403311B0"/>
    <w:rsid w:val="404F5C9F"/>
    <w:rsid w:val="405427FC"/>
    <w:rsid w:val="405B0F7C"/>
    <w:rsid w:val="40777438"/>
    <w:rsid w:val="4087281E"/>
    <w:rsid w:val="40D479EE"/>
    <w:rsid w:val="40DE5108"/>
    <w:rsid w:val="412A5087"/>
    <w:rsid w:val="419339CE"/>
    <w:rsid w:val="41976838"/>
    <w:rsid w:val="41C15399"/>
    <w:rsid w:val="41D85ECF"/>
    <w:rsid w:val="42304FA6"/>
    <w:rsid w:val="423D7815"/>
    <w:rsid w:val="426B1F15"/>
    <w:rsid w:val="428B6D86"/>
    <w:rsid w:val="42933B5E"/>
    <w:rsid w:val="429B3DB9"/>
    <w:rsid w:val="42CE741C"/>
    <w:rsid w:val="43031ABC"/>
    <w:rsid w:val="43150D6C"/>
    <w:rsid w:val="43487189"/>
    <w:rsid w:val="43572835"/>
    <w:rsid w:val="43664B49"/>
    <w:rsid w:val="438C4007"/>
    <w:rsid w:val="43CF28BC"/>
    <w:rsid w:val="43E663D2"/>
    <w:rsid w:val="43FE4D82"/>
    <w:rsid w:val="44832E54"/>
    <w:rsid w:val="44A973E3"/>
    <w:rsid w:val="44D3139A"/>
    <w:rsid w:val="44E30FEE"/>
    <w:rsid w:val="44EB79FC"/>
    <w:rsid w:val="44FA2672"/>
    <w:rsid w:val="450A11F5"/>
    <w:rsid w:val="450D7972"/>
    <w:rsid w:val="452C25DA"/>
    <w:rsid w:val="45BE12E7"/>
    <w:rsid w:val="45C67B21"/>
    <w:rsid w:val="45F36251"/>
    <w:rsid w:val="45F70027"/>
    <w:rsid w:val="464A3BD5"/>
    <w:rsid w:val="464A71CF"/>
    <w:rsid w:val="465005B9"/>
    <w:rsid w:val="465C2BF8"/>
    <w:rsid w:val="46A460B4"/>
    <w:rsid w:val="46B95009"/>
    <w:rsid w:val="46BF1967"/>
    <w:rsid w:val="470A7197"/>
    <w:rsid w:val="473C453F"/>
    <w:rsid w:val="47586CAD"/>
    <w:rsid w:val="47841AFD"/>
    <w:rsid w:val="4794397E"/>
    <w:rsid w:val="479B62C3"/>
    <w:rsid w:val="481759E9"/>
    <w:rsid w:val="4833249E"/>
    <w:rsid w:val="483D056E"/>
    <w:rsid w:val="48462793"/>
    <w:rsid w:val="48B9571B"/>
    <w:rsid w:val="48E374F8"/>
    <w:rsid w:val="48EA3719"/>
    <w:rsid w:val="49320BEE"/>
    <w:rsid w:val="493A796C"/>
    <w:rsid w:val="499F3EFA"/>
    <w:rsid w:val="49FF025A"/>
    <w:rsid w:val="49FF19CF"/>
    <w:rsid w:val="4A1470AD"/>
    <w:rsid w:val="4A182F52"/>
    <w:rsid w:val="4A245BD6"/>
    <w:rsid w:val="4A2653BD"/>
    <w:rsid w:val="4A2A68D0"/>
    <w:rsid w:val="4A345F75"/>
    <w:rsid w:val="4A4E2219"/>
    <w:rsid w:val="4A75564D"/>
    <w:rsid w:val="4ADC4069"/>
    <w:rsid w:val="4AF316EF"/>
    <w:rsid w:val="4B040332"/>
    <w:rsid w:val="4B2F1A54"/>
    <w:rsid w:val="4B85548B"/>
    <w:rsid w:val="4B8F528E"/>
    <w:rsid w:val="4BA42E41"/>
    <w:rsid w:val="4BBC626F"/>
    <w:rsid w:val="4BC91716"/>
    <w:rsid w:val="4BE63127"/>
    <w:rsid w:val="4C0B5895"/>
    <w:rsid w:val="4C12586E"/>
    <w:rsid w:val="4C673A25"/>
    <w:rsid w:val="4CF91418"/>
    <w:rsid w:val="4D401EEA"/>
    <w:rsid w:val="4D942CE8"/>
    <w:rsid w:val="4DC43411"/>
    <w:rsid w:val="4DD00E1F"/>
    <w:rsid w:val="4E330771"/>
    <w:rsid w:val="4E334FEB"/>
    <w:rsid w:val="4E465CA3"/>
    <w:rsid w:val="4E695B72"/>
    <w:rsid w:val="4E6A7BE3"/>
    <w:rsid w:val="4EA34EA3"/>
    <w:rsid w:val="4EAE0791"/>
    <w:rsid w:val="4EE95381"/>
    <w:rsid w:val="4EF703D2"/>
    <w:rsid w:val="4F314F92"/>
    <w:rsid w:val="4F337FD5"/>
    <w:rsid w:val="4F8B3806"/>
    <w:rsid w:val="4FA36C48"/>
    <w:rsid w:val="4FAB1220"/>
    <w:rsid w:val="4FAD422B"/>
    <w:rsid w:val="4FDA48F5"/>
    <w:rsid w:val="503A6795"/>
    <w:rsid w:val="504A74BA"/>
    <w:rsid w:val="504C2826"/>
    <w:rsid w:val="50715259"/>
    <w:rsid w:val="509C58BA"/>
    <w:rsid w:val="50BC3FFA"/>
    <w:rsid w:val="50E37ED1"/>
    <w:rsid w:val="50FE637F"/>
    <w:rsid w:val="51294EE9"/>
    <w:rsid w:val="515B0F25"/>
    <w:rsid w:val="5191098C"/>
    <w:rsid w:val="51C56CA1"/>
    <w:rsid w:val="51EE4687"/>
    <w:rsid w:val="51FD4BC6"/>
    <w:rsid w:val="5208399B"/>
    <w:rsid w:val="52147C67"/>
    <w:rsid w:val="521D6B86"/>
    <w:rsid w:val="52344790"/>
    <w:rsid w:val="525D6793"/>
    <w:rsid w:val="52724CE2"/>
    <w:rsid w:val="528F4455"/>
    <w:rsid w:val="529448FA"/>
    <w:rsid w:val="52B94FA5"/>
    <w:rsid w:val="52CB49C9"/>
    <w:rsid w:val="52CC5227"/>
    <w:rsid w:val="52D4387D"/>
    <w:rsid w:val="52FA228D"/>
    <w:rsid w:val="52FB52AE"/>
    <w:rsid w:val="53207045"/>
    <w:rsid w:val="53277E51"/>
    <w:rsid w:val="53AF7E46"/>
    <w:rsid w:val="53BB67EB"/>
    <w:rsid w:val="53FA7F46"/>
    <w:rsid w:val="541F321E"/>
    <w:rsid w:val="54562963"/>
    <w:rsid w:val="54675909"/>
    <w:rsid w:val="5475541F"/>
    <w:rsid w:val="54901A26"/>
    <w:rsid w:val="54A27493"/>
    <w:rsid w:val="54A454D1"/>
    <w:rsid w:val="54C94F38"/>
    <w:rsid w:val="54CC02EF"/>
    <w:rsid w:val="54F3570D"/>
    <w:rsid w:val="54FD673D"/>
    <w:rsid w:val="55432327"/>
    <w:rsid w:val="55436361"/>
    <w:rsid w:val="55502E49"/>
    <w:rsid w:val="55652EB2"/>
    <w:rsid w:val="559A7000"/>
    <w:rsid w:val="55F61D5C"/>
    <w:rsid w:val="55F83D82"/>
    <w:rsid w:val="566F4E48"/>
    <w:rsid w:val="56B642E8"/>
    <w:rsid w:val="56CC7DF7"/>
    <w:rsid w:val="56D77DE0"/>
    <w:rsid w:val="56E54C24"/>
    <w:rsid w:val="57272D2B"/>
    <w:rsid w:val="572A4C0A"/>
    <w:rsid w:val="5755554B"/>
    <w:rsid w:val="57580313"/>
    <w:rsid w:val="57861C50"/>
    <w:rsid w:val="57882E88"/>
    <w:rsid w:val="578F4217"/>
    <w:rsid w:val="57951085"/>
    <w:rsid w:val="57B7501C"/>
    <w:rsid w:val="57D47F36"/>
    <w:rsid w:val="57E7243B"/>
    <w:rsid w:val="58242BB1"/>
    <w:rsid w:val="58297B08"/>
    <w:rsid w:val="58486859"/>
    <w:rsid w:val="584916DE"/>
    <w:rsid w:val="58641FD7"/>
    <w:rsid w:val="586A5AAC"/>
    <w:rsid w:val="5874748D"/>
    <w:rsid w:val="589D12C7"/>
    <w:rsid w:val="58A31849"/>
    <w:rsid w:val="58AD0DF8"/>
    <w:rsid w:val="58B323EC"/>
    <w:rsid w:val="58E6255C"/>
    <w:rsid w:val="58F3077A"/>
    <w:rsid w:val="58F51C20"/>
    <w:rsid w:val="59272201"/>
    <w:rsid w:val="595C637A"/>
    <w:rsid w:val="597A2BAB"/>
    <w:rsid w:val="598649EC"/>
    <w:rsid w:val="59E70574"/>
    <w:rsid w:val="59E946F5"/>
    <w:rsid w:val="5A102D6B"/>
    <w:rsid w:val="5A6B5717"/>
    <w:rsid w:val="5AA131CC"/>
    <w:rsid w:val="5B573A6A"/>
    <w:rsid w:val="5B576488"/>
    <w:rsid w:val="5B716F5E"/>
    <w:rsid w:val="5B974C40"/>
    <w:rsid w:val="5BFF7166"/>
    <w:rsid w:val="5C012D80"/>
    <w:rsid w:val="5CCB1C6A"/>
    <w:rsid w:val="5CCF59F1"/>
    <w:rsid w:val="5D0905C7"/>
    <w:rsid w:val="5D1C02FB"/>
    <w:rsid w:val="5D3715D8"/>
    <w:rsid w:val="5D4B0BE0"/>
    <w:rsid w:val="5D6D0B56"/>
    <w:rsid w:val="5D8473E1"/>
    <w:rsid w:val="5DA610D2"/>
    <w:rsid w:val="5DB744C2"/>
    <w:rsid w:val="5DD047C5"/>
    <w:rsid w:val="5DD75956"/>
    <w:rsid w:val="5E033269"/>
    <w:rsid w:val="5E0C2317"/>
    <w:rsid w:val="5E14191A"/>
    <w:rsid w:val="5E1B2CA8"/>
    <w:rsid w:val="5E4409A8"/>
    <w:rsid w:val="5E734892"/>
    <w:rsid w:val="5E846730"/>
    <w:rsid w:val="5E9A20C2"/>
    <w:rsid w:val="5EA031AD"/>
    <w:rsid w:val="5EB81E46"/>
    <w:rsid w:val="5ECB2A1A"/>
    <w:rsid w:val="5F021C68"/>
    <w:rsid w:val="5F36189D"/>
    <w:rsid w:val="5F432386"/>
    <w:rsid w:val="5F4D166E"/>
    <w:rsid w:val="5F5760A4"/>
    <w:rsid w:val="5F593A88"/>
    <w:rsid w:val="5F700DD2"/>
    <w:rsid w:val="5FAA71AB"/>
    <w:rsid w:val="5FB365FB"/>
    <w:rsid w:val="5FB94285"/>
    <w:rsid w:val="5FDE27DB"/>
    <w:rsid w:val="5FEE5308"/>
    <w:rsid w:val="5FF52899"/>
    <w:rsid w:val="600459A2"/>
    <w:rsid w:val="60252844"/>
    <w:rsid w:val="606049A2"/>
    <w:rsid w:val="607F68BD"/>
    <w:rsid w:val="60924A0D"/>
    <w:rsid w:val="60B34B89"/>
    <w:rsid w:val="60C413D5"/>
    <w:rsid w:val="60C82547"/>
    <w:rsid w:val="60E21C3B"/>
    <w:rsid w:val="60F2466F"/>
    <w:rsid w:val="61064799"/>
    <w:rsid w:val="614B34CF"/>
    <w:rsid w:val="61587AAF"/>
    <w:rsid w:val="61940C59"/>
    <w:rsid w:val="61C40F61"/>
    <w:rsid w:val="61D746EE"/>
    <w:rsid w:val="620B1CB1"/>
    <w:rsid w:val="620B5B9B"/>
    <w:rsid w:val="622F2D9A"/>
    <w:rsid w:val="62412B8C"/>
    <w:rsid w:val="626A1074"/>
    <w:rsid w:val="62761577"/>
    <w:rsid w:val="62926FD7"/>
    <w:rsid w:val="62966995"/>
    <w:rsid w:val="62B17737"/>
    <w:rsid w:val="62B56671"/>
    <w:rsid w:val="62E44B1E"/>
    <w:rsid w:val="631B1054"/>
    <w:rsid w:val="6327186B"/>
    <w:rsid w:val="63330156"/>
    <w:rsid w:val="6350377B"/>
    <w:rsid w:val="636D6842"/>
    <w:rsid w:val="637A63F0"/>
    <w:rsid w:val="6397692D"/>
    <w:rsid w:val="63BF594B"/>
    <w:rsid w:val="64201EC1"/>
    <w:rsid w:val="64542A70"/>
    <w:rsid w:val="64630F05"/>
    <w:rsid w:val="646F5944"/>
    <w:rsid w:val="648D013F"/>
    <w:rsid w:val="64E738E4"/>
    <w:rsid w:val="64E8140A"/>
    <w:rsid w:val="64EA33D4"/>
    <w:rsid w:val="6508225B"/>
    <w:rsid w:val="65A16C49"/>
    <w:rsid w:val="65BD3839"/>
    <w:rsid w:val="65BF660F"/>
    <w:rsid w:val="65C04588"/>
    <w:rsid w:val="65EB4477"/>
    <w:rsid w:val="65EE48AB"/>
    <w:rsid w:val="6600539F"/>
    <w:rsid w:val="660C188E"/>
    <w:rsid w:val="662379D0"/>
    <w:rsid w:val="66401B6D"/>
    <w:rsid w:val="664561D7"/>
    <w:rsid w:val="665A00E6"/>
    <w:rsid w:val="66656D76"/>
    <w:rsid w:val="667647CD"/>
    <w:rsid w:val="6678677C"/>
    <w:rsid w:val="66911D59"/>
    <w:rsid w:val="66A03387"/>
    <w:rsid w:val="66CC190A"/>
    <w:rsid w:val="66F57526"/>
    <w:rsid w:val="66FF08BD"/>
    <w:rsid w:val="67133547"/>
    <w:rsid w:val="67220C03"/>
    <w:rsid w:val="67630CEF"/>
    <w:rsid w:val="678D4FF1"/>
    <w:rsid w:val="67AA29A7"/>
    <w:rsid w:val="67C21F0D"/>
    <w:rsid w:val="67D052DA"/>
    <w:rsid w:val="67ED7463"/>
    <w:rsid w:val="67FB4706"/>
    <w:rsid w:val="681A3FD0"/>
    <w:rsid w:val="68464BBB"/>
    <w:rsid w:val="685F7695"/>
    <w:rsid w:val="68743F48"/>
    <w:rsid w:val="68DB72BC"/>
    <w:rsid w:val="68F14D31"/>
    <w:rsid w:val="690D6534"/>
    <w:rsid w:val="691B3B5C"/>
    <w:rsid w:val="6927561A"/>
    <w:rsid w:val="692833C3"/>
    <w:rsid w:val="69582762"/>
    <w:rsid w:val="6A450B43"/>
    <w:rsid w:val="6A542C5A"/>
    <w:rsid w:val="6A5514EB"/>
    <w:rsid w:val="6A6459FF"/>
    <w:rsid w:val="6A6E23B2"/>
    <w:rsid w:val="6AAA1B7D"/>
    <w:rsid w:val="6B203B41"/>
    <w:rsid w:val="6BAB6BFA"/>
    <w:rsid w:val="6BDD159D"/>
    <w:rsid w:val="6BDD3C18"/>
    <w:rsid w:val="6C132CAA"/>
    <w:rsid w:val="6C1F5711"/>
    <w:rsid w:val="6C23393C"/>
    <w:rsid w:val="6C8612C2"/>
    <w:rsid w:val="6D180995"/>
    <w:rsid w:val="6D882CB1"/>
    <w:rsid w:val="6D8D777B"/>
    <w:rsid w:val="6DC17CBB"/>
    <w:rsid w:val="6DC527AC"/>
    <w:rsid w:val="6DCE3B78"/>
    <w:rsid w:val="6DD356FC"/>
    <w:rsid w:val="6DEF4BD0"/>
    <w:rsid w:val="6DF468E0"/>
    <w:rsid w:val="6E0948CB"/>
    <w:rsid w:val="6E1C5846"/>
    <w:rsid w:val="6E506F8A"/>
    <w:rsid w:val="6E520FFA"/>
    <w:rsid w:val="6E882AC0"/>
    <w:rsid w:val="6E923257"/>
    <w:rsid w:val="6EBA6E02"/>
    <w:rsid w:val="6EC209A2"/>
    <w:rsid w:val="6ECB32CB"/>
    <w:rsid w:val="6EED5F9B"/>
    <w:rsid w:val="6F174DC6"/>
    <w:rsid w:val="6F203F9A"/>
    <w:rsid w:val="6F3D7F9A"/>
    <w:rsid w:val="6F423F30"/>
    <w:rsid w:val="6F5A4CB2"/>
    <w:rsid w:val="6FA154DC"/>
    <w:rsid w:val="6FBD5436"/>
    <w:rsid w:val="700D682A"/>
    <w:rsid w:val="70190FA9"/>
    <w:rsid w:val="704764FE"/>
    <w:rsid w:val="704A55BF"/>
    <w:rsid w:val="705838E8"/>
    <w:rsid w:val="70654D3D"/>
    <w:rsid w:val="707E3650"/>
    <w:rsid w:val="70B9783B"/>
    <w:rsid w:val="70BF608B"/>
    <w:rsid w:val="70C34BF9"/>
    <w:rsid w:val="70CA4BD0"/>
    <w:rsid w:val="71174C26"/>
    <w:rsid w:val="717A57AC"/>
    <w:rsid w:val="71991D6D"/>
    <w:rsid w:val="71D44705"/>
    <w:rsid w:val="71DF5A18"/>
    <w:rsid w:val="71E46FFB"/>
    <w:rsid w:val="720528A7"/>
    <w:rsid w:val="72410912"/>
    <w:rsid w:val="72AA6906"/>
    <w:rsid w:val="72C85A2F"/>
    <w:rsid w:val="72E34A6A"/>
    <w:rsid w:val="730C0929"/>
    <w:rsid w:val="73186DC6"/>
    <w:rsid w:val="732A5D2E"/>
    <w:rsid w:val="735D2FC3"/>
    <w:rsid w:val="73630A44"/>
    <w:rsid w:val="73AD6605"/>
    <w:rsid w:val="73B14A28"/>
    <w:rsid w:val="73DC038C"/>
    <w:rsid w:val="73F27BAF"/>
    <w:rsid w:val="741A4194"/>
    <w:rsid w:val="743B37E8"/>
    <w:rsid w:val="745758B6"/>
    <w:rsid w:val="74675EA7"/>
    <w:rsid w:val="74716605"/>
    <w:rsid w:val="74BD697F"/>
    <w:rsid w:val="74C6288C"/>
    <w:rsid w:val="74E02732"/>
    <w:rsid w:val="74E76064"/>
    <w:rsid w:val="753D6540"/>
    <w:rsid w:val="75A03D67"/>
    <w:rsid w:val="75E33C54"/>
    <w:rsid w:val="75E66401"/>
    <w:rsid w:val="75FE0416"/>
    <w:rsid w:val="760237DF"/>
    <w:rsid w:val="76465F91"/>
    <w:rsid w:val="76500BBD"/>
    <w:rsid w:val="76962A74"/>
    <w:rsid w:val="76C37B50"/>
    <w:rsid w:val="76D57AF8"/>
    <w:rsid w:val="76EC75C5"/>
    <w:rsid w:val="77365E6C"/>
    <w:rsid w:val="77414717"/>
    <w:rsid w:val="776C6A73"/>
    <w:rsid w:val="7791478D"/>
    <w:rsid w:val="77E617D9"/>
    <w:rsid w:val="78133F01"/>
    <w:rsid w:val="781D355E"/>
    <w:rsid w:val="78210A63"/>
    <w:rsid w:val="78276D91"/>
    <w:rsid w:val="78713D13"/>
    <w:rsid w:val="78A7292D"/>
    <w:rsid w:val="78CF77E9"/>
    <w:rsid w:val="78E15420"/>
    <w:rsid w:val="78FF5110"/>
    <w:rsid w:val="79314CD6"/>
    <w:rsid w:val="794E582D"/>
    <w:rsid w:val="79587213"/>
    <w:rsid w:val="799F326C"/>
    <w:rsid w:val="79A045B5"/>
    <w:rsid w:val="79A47949"/>
    <w:rsid w:val="79B1449E"/>
    <w:rsid w:val="79B31A6E"/>
    <w:rsid w:val="7A2F7467"/>
    <w:rsid w:val="7A3F5C2C"/>
    <w:rsid w:val="7A80109C"/>
    <w:rsid w:val="7AA5772A"/>
    <w:rsid w:val="7AA84E10"/>
    <w:rsid w:val="7ACC0CFE"/>
    <w:rsid w:val="7AE058C7"/>
    <w:rsid w:val="7B334FEE"/>
    <w:rsid w:val="7B526C5F"/>
    <w:rsid w:val="7B880EA1"/>
    <w:rsid w:val="7B93490E"/>
    <w:rsid w:val="7B9A1866"/>
    <w:rsid w:val="7BAD1F39"/>
    <w:rsid w:val="7BC9569A"/>
    <w:rsid w:val="7BDE262B"/>
    <w:rsid w:val="7BF77F9C"/>
    <w:rsid w:val="7C042796"/>
    <w:rsid w:val="7C042B76"/>
    <w:rsid w:val="7C1F7046"/>
    <w:rsid w:val="7C41463A"/>
    <w:rsid w:val="7C530CF6"/>
    <w:rsid w:val="7C5E4034"/>
    <w:rsid w:val="7C6A1EC3"/>
    <w:rsid w:val="7CB85197"/>
    <w:rsid w:val="7CC52305"/>
    <w:rsid w:val="7CC5413D"/>
    <w:rsid w:val="7D42533E"/>
    <w:rsid w:val="7D4E2A18"/>
    <w:rsid w:val="7D7127AE"/>
    <w:rsid w:val="7DCD470D"/>
    <w:rsid w:val="7DD24CD9"/>
    <w:rsid w:val="7DDB3462"/>
    <w:rsid w:val="7DE54ADB"/>
    <w:rsid w:val="7E144D2B"/>
    <w:rsid w:val="7E2856C3"/>
    <w:rsid w:val="7E3604B5"/>
    <w:rsid w:val="7E3C0429"/>
    <w:rsid w:val="7E412B19"/>
    <w:rsid w:val="7E697C9B"/>
    <w:rsid w:val="7E9A3702"/>
    <w:rsid w:val="7EB607A4"/>
    <w:rsid w:val="7EC700D8"/>
    <w:rsid w:val="7EEA1C90"/>
    <w:rsid w:val="7EFD0E60"/>
    <w:rsid w:val="7F1D762C"/>
    <w:rsid w:val="7F276DFE"/>
    <w:rsid w:val="7F3C5E74"/>
    <w:rsid w:val="7F67385D"/>
    <w:rsid w:val="7F8F2756"/>
    <w:rsid w:val="7FE37A4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spacing w:before="100" w:beforeAutospacing="1" w:after="100" w:afterAutospacing="1"/>
      <w:jc w:val="left"/>
      <w:outlineLvl w:val="0"/>
    </w:pPr>
    <w:rPr>
      <w:rFonts w:hint="eastAsia" w:ascii="宋体" w:hAnsi="宋体" w:eastAsia="宋体" w:cs="宋体"/>
      <w:b/>
      <w:bCs/>
      <w:kern w:val="44"/>
      <w:sz w:val="48"/>
      <w:szCs w:val="48"/>
      <w:lang w:val="en-US" w:eastAsia="zh-CN" w:bidi="ar"/>
    </w:rPr>
  </w:style>
  <w:style w:type="paragraph" w:styleId="3">
    <w:name w:val="heading 3"/>
    <w:basedOn w:val="1"/>
    <w:next w:val="1"/>
    <w:unhideWhenUsed/>
    <w:qFormat/>
    <w:uiPriority w:val="0"/>
    <w:pPr>
      <w:spacing w:before="100" w:beforeAutospacing="1" w:after="100" w:afterAutospacing="1"/>
      <w:jc w:val="left"/>
      <w:outlineLvl w:val="2"/>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100" w:beforeAutospacing="1" w:after="100" w:afterAutospacing="1"/>
      <w:ind w:left="0" w:right="0"/>
      <w:jc w:val="left"/>
    </w:pPr>
    <w:rPr>
      <w:kern w:val="0"/>
      <w:sz w:val="24"/>
      <w:lang w:val="en-US" w:eastAsia="zh-CN" w:bidi="ar"/>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Hyperlink"/>
    <w:basedOn w:val="7"/>
    <w:qFormat/>
    <w:uiPriority w:val="0"/>
    <w:rPr>
      <w:color w:val="0000FF"/>
      <w:u w:val="single"/>
    </w:rPr>
  </w:style>
  <w:style w:type="paragraph" w:styleId="9">
    <w:name w:val="List Paragraph"/>
    <w:basedOn w:val="1"/>
    <w:qFormat/>
    <w:uiPriority w:val="1"/>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7279</Words>
  <Characters>9972</Characters>
  <Lines>0</Lines>
  <Paragraphs>0</Paragraphs>
  <TotalTime>3</TotalTime>
  <ScaleCrop>false</ScaleCrop>
  <LinksUpToDate>false</LinksUpToDate>
  <CharactersWithSpaces>10351</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2022-04-20T08:53:00Z</dcterms:created>
  <dc:creator>luocaisheng</dc:creator>
  <cp:keywords>, docId:B004D6AF8B09F99A69903722C0130180</cp:keywords>
  <cp:lastModifiedBy>感性的财神爷</cp:lastModifiedBy>
  <dcterms:modified xsi:type="dcterms:W3CDTF">2022-06-26T12:16:30Z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commondata">
    <vt:lpwstr>eyJoZGlkIjoiNjYzODNjMGI2OGMwMmM2YzkyODdiNmY1OTY5ZGEzZmEifQ==</vt:lpwstr>
  </property>
  <property fmtid="{D5CDD505-2E9C-101B-9397-08002B2CF9AE}" pid="4" name="ICV">
    <vt:lpwstr>B8BF0BB9D54745AC84141787E0DE0B90</vt:lpwstr>
  </property>
</Properties>
</file>