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1CE1C" w14:textId="5C0771D7" w:rsidR="00A53F97" w:rsidRDefault="00A53F97">
      <w:r>
        <w:rPr>
          <w:noProof/>
        </w:rPr>
        <w:drawing>
          <wp:inline distT="0" distB="0" distL="0" distR="0" wp14:anchorId="24A72697" wp14:editId="58C6CA8D">
            <wp:extent cx="3721100" cy="1543050"/>
            <wp:effectExtent l="0" t="0" r="0" b="0"/>
            <wp:docPr id="322630701" name="Picture 1" descr="Trinity Saint 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630701" name="Picture 1" descr="Trinity Saint David&#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21100" cy="1543050"/>
                    </a:xfrm>
                    <a:prstGeom prst="rect">
                      <a:avLst/>
                    </a:prstGeom>
                    <a:noFill/>
                  </pic:spPr>
                </pic:pic>
              </a:graphicData>
            </a:graphic>
          </wp:inline>
        </w:drawing>
      </w:r>
    </w:p>
    <w:p w14:paraId="29C3F527" w14:textId="77777777" w:rsidR="00D927AE" w:rsidRDefault="00D927AE" w:rsidP="00F47F8D">
      <w:pPr>
        <w:spacing w:line="360" w:lineRule="auto"/>
      </w:pPr>
    </w:p>
    <w:p w14:paraId="760F0747" w14:textId="77777777" w:rsidR="00D927AE" w:rsidRDefault="00D927AE" w:rsidP="00F47F8D">
      <w:pPr>
        <w:spacing w:line="360" w:lineRule="auto"/>
      </w:pPr>
    </w:p>
    <w:p w14:paraId="78B63596" w14:textId="77777777" w:rsidR="00D927AE" w:rsidRDefault="00D927AE" w:rsidP="00F47F8D">
      <w:pPr>
        <w:spacing w:line="360" w:lineRule="auto"/>
      </w:pPr>
    </w:p>
    <w:p w14:paraId="31B456A8" w14:textId="39973417" w:rsidR="009B22CD" w:rsidRPr="00F47F8D" w:rsidRDefault="009B22CD" w:rsidP="00F47F8D">
      <w:pPr>
        <w:spacing w:line="360" w:lineRule="auto"/>
        <w:rPr>
          <w:rFonts w:ascii="Arial" w:hAnsi="Arial" w:cs="Arial"/>
          <w:b/>
          <w:bCs/>
          <w:sz w:val="28"/>
          <w:szCs w:val="28"/>
        </w:rPr>
      </w:pPr>
      <w:r w:rsidRPr="00F47F8D">
        <w:rPr>
          <w:rFonts w:ascii="Arial" w:hAnsi="Arial" w:cs="Arial"/>
          <w:b/>
          <w:bCs/>
          <w:sz w:val="28"/>
          <w:szCs w:val="28"/>
        </w:rPr>
        <w:t xml:space="preserve">Module Title: </w:t>
      </w:r>
      <w:r w:rsidR="00D13F3F" w:rsidRPr="00F47F8D">
        <w:rPr>
          <w:rFonts w:ascii="Arial" w:hAnsi="Arial" w:cs="Arial"/>
          <w:b/>
          <w:bCs/>
          <w:sz w:val="28"/>
          <w:szCs w:val="28"/>
        </w:rPr>
        <w:t>Principles of Health and Social Care Practice</w:t>
      </w:r>
    </w:p>
    <w:p w14:paraId="6E6D4013" w14:textId="4D0E91DD" w:rsidR="009B22CD" w:rsidRPr="00F47F8D" w:rsidRDefault="009B22CD" w:rsidP="00F47F8D">
      <w:pPr>
        <w:spacing w:line="360" w:lineRule="auto"/>
        <w:rPr>
          <w:rFonts w:ascii="Arial" w:hAnsi="Arial" w:cs="Arial"/>
          <w:b/>
          <w:bCs/>
          <w:sz w:val="28"/>
          <w:szCs w:val="28"/>
        </w:rPr>
      </w:pPr>
      <w:r w:rsidRPr="00F47F8D">
        <w:rPr>
          <w:rFonts w:ascii="Arial" w:hAnsi="Arial" w:cs="Arial"/>
          <w:b/>
          <w:bCs/>
          <w:sz w:val="28"/>
          <w:szCs w:val="28"/>
        </w:rPr>
        <w:t>Module Code: BMHP50</w:t>
      </w:r>
      <w:r w:rsidR="0048788C" w:rsidRPr="00F47F8D">
        <w:rPr>
          <w:rFonts w:ascii="Arial" w:hAnsi="Arial" w:cs="Arial"/>
          <w:b/>
          <w:bCs/>
          <w:sz w:val="28"/>
          <w:szCs w:val="28"/>
        </w:rPr>
        <w:t>16</w:t>
      </w:r>
    </w:p>
    <w:p w14:paraId="703FF8F5" w14:textId="6EDCA730" w:rsidR="009B22CD" w:rsidRPr="00F47F8D" w:rsidRDefault="009B22CD" w:rsidP="00F47F8D">
      <w:pPr>
        <w:spacing w:line="360" w:lineRule="auto"/>
        <w:rPr>
          <w:rFonts w:ascii="Arial" w:hAnsi="Arial" w:cs="Arial"/>
          <w:b/>
          <w:bCs/>
          <w:sz w:val="28"/>
          <w:szCs w:val="28"/>
        </w:rPr>
      </w:pPr>
      <w:r w:rsidRPr="00F47F8D">
        <w:rPr>
          <w:rFonts w:ascii="Arial" w:hAnsi="Arial" w:cs="Arial"/>
          <w:b/>
          <w:bCs/>
          <w:sz w:val="28"/>
          <w:szCs w:val="28"/>
        </w:rPr>
        <w:t xml:space="preserve">Assignment Title: </w:t>
      </w:r>
      <w:r w:rsidR="0034628F" w:rsidRPr="00F47F8D">
        <w:rPr>
          <w:rFonts w:ascii="Arial" w:hAnsi="Arial" w:cs="Arial"/>
          <w:b/>
          <w:bCs/>
          <w:sz w:val="28"/>
          <w:szCs w:val="28"/>
        </w:rPr>
        <w:t>Component 1: Written Assignment (Reflective Report</w:t>
      </w:r>
      <w:r w:rsidR="00A55AD9" w:rsidRPr="00F47F8D">
        <w:rPr>
          <w:rFonts w:ascii="Arial" w:hAnsi="Arial" w:cs="Arial"/>
          <w:b/>
          <w:bCs/>
          <w:sz w:val="28"/>
          <w:szCs w:val="28"/>
        </w:rPr>
        <w:t>)</w:t>
      </w:r>
    </w:p>
    <w:p w14:paraId="613ECA1C" w14:textId="77777777" w:rsidR="009B22CD" w:rsidRPr="00F47F8D" w:rsidRDefault="009B22CD" w:rsidP="00F47F8D">
      <w:pPr>
        <w:spacing w:line="360" w:lineRule="auto"/>
        <w:rPr>
          <w:rFonts w:ascii="Arial" w:hAnsi="Arial" w:cs="Arial"/>
          <w:b/>
          <w:bCs/>
          <w:sz w:val="28"/>
          <w:szCs w:val="28"/>
        </w:rPr>
      </w:pPr>
      <w:r w:rsidRPr="00F47F8D">
        <w:rPr>
          <w:rFonts w:ascii="Arial" w:hAnsi="Arial" w:cs="Arial"/>
          <w:b/>
          <w:bCs/>
          <w:sz w:val="28"/>
          <w:szCs w:val="28"/>
        </w:rPr>
        <w:t>Name: Gloria Armoo</w:t>
      </w:r>
    </w:p>
    <w:p w14:paraId="40DC7ECC" w14:textId="77777777" w:rsidR="009B22CD" w:rsidRPr="00F47F8D" w:rsidRDefault="009B22CD" w:rsidP="00F47F8D">
      <w:pPr>
        <w:spacing w:line="360" w:lineRule="auto"/>
        <w:rPr>
          <w:rFonts w:ascii="Arial" w:hAnsi="Arial" w:cs="Arial"/>
          <w:b/>
          <w:bCs/>
          <w:sz w:val="28"/>
          <w:szCs w:val="28"/>
        </w:rPr>
      </w:pPr>
      <w:r w:rsidRPr="00F47F8D">
        <w:rPr>
          <w:rFonts w:ascii="Arial" w:hAnsi="Arial" w:cs="Arial"/>
          <w:b/>
          <w:bCs/>
          <w:sz w:val="28"/>
          <w:szCs w:val="28"/>
        </w:rPr>
        <w:t>Student ID: 2511523</w:t>
      </w:r>
    </w:p>
    <w:p w14:paraId="5732672E" w14:textId="7C1CD487" w:rsidR="009B22CD" w:rsidRDefault="009B22CD" w:rsidP="00F47F8D">
      <w:pPr>
        <w:spacing w:line="360" w:lineRule="auto"/>
        <w:rPr>
          <w:rFonts w:ascii="Arial" w:hAnsi="Arial" w:cs="Arial"/>
          <w:b/>
          <w:bCs/>
          <w:sz w:val="28"/>
          <w:szCs w:val="28"/>
        </w:rPr>
      </w:pPr>
      <w:r w:rsidRPr="00F47F8D">
        <w:rPr>
          <w:rFonts w:ascii="Arial" w:hAnsi="Arial" w:cs="Arial"/>
          <w:b/>
          <w:bCs/>
          <w:sz w:val="28"/>
          <w:szCs w:val="28"/>
        </w:rPr>
        <w:t xml:space="preserve">Lecturer: </w:t>
      </w:r>
      <w:r w:rsidR="00C358AB" w:rsidRPr="00F47F8D">
        <w:rPr>
          <w:rFonts w:ascii="Arial" w:hAnsi="Arial" w:cs="Arial"/>
          <w:b/>
          <w:bCs/>
          <w:sz w:val="28"/>
          <w:szCs w:val="28"/>
        </w:rPr>
        <w:t>Azida Zainol</w:t>
      </w:r>
    </w:p>
    <w:p w14:paraId="33981929" w14:textId="77777777" w:rsidR="007E6971" w:rsidRDefault="007E6971" w:rsidP="00F47F8D">
      <w:pPr>
        <w:spacing w:line="360" w:lineRule="auto"/>
        <w:rPr>
          <w:rFonts w:ascii="Arial" w:hAnsi="Arial" w:cs="Arial"/>
          <w:b/>
          <w:bCs/>
          <w:sz w:val="28"/>
          <w:szCs w:val="28"/>
        </w:rPr>
      </w:pPr>
    </w:p>
    <w:p w14:paraId="33680A37" w14:textId="77777777" w:rsidR="007E6971" w:rsidRDefault="007E6971" w:rsidP="00F47F8D">
      <w:pPr>
        <w:spacing w:line="360" w:lineRule="auto"/>
        <w:rPr>
          <w:rFonts w:ascii="Arial" w:hAnsi="Arial" w:cs="Arial"/>
          <w:b/>
          <w:bCs/>
          <w:sz w:val="28"/>
          <w:szCs w:val="28"/>
        </w:rPr>
      </w:pPr>
    </w:p>
    <w:p w14:paraId="34EA039E" w14:textId="77777777" w:rsidR="007E6971" w:rsidRDefault="007E6971" w:rsidP="00F47F8D">
      <w:pPr>
        <w:spacing w:line="360" w:lineRule="auto"/>
        <w:rPr>
          <w:rFonts w:ascii="Arial" w:hAnsi="Arial" w:cs="Arial"/>
          <w:b/>
          <w:bCs/>
          <w:sz w:val="28"/>
          <w:szCs w:val="28"/>
        </w:rPr>
      </w:pPr>
    </w:p>
    <w:p w14:paraId="6F83A566" w14:textId="77777777" w:rsidR="007E6971" w:rsidRDefault="007E6971" w:rsidP="00F47F8D">
      <w:pPr>
        <w:spacing w:line="360" w:lineRule="auto"/>
        <w:rPr>
          <w:rFonts w:ascii="Arial" w:hAnsi="Arial" w:cs="Arial"/>
          <w:b/>
          <w:bCs/>
          <w:sz w:val="28"/>
          <w:szCs w:val="28"/>
        </w:rPr>
      </w:pPr>
    </w:p>
    <w:p w14:paraId="0104CBDE" w14:textId="77777777" w:rsidR="007E6971" w:rsidRDefault="007E6971" w:rsidP="00F47F8D">
      <w:pPr>
        <w:spacing w:line="360" w:lineRule="auto"/>
        <w:rPr>
          <w:rFonts w:ascii="Arial" w:hAnsi="Arial" w:cs="Arial"/>
          <w:b/>
          <w:bCs/>
          <w:sz w:val="28"/>
          <w:szCs w:val="28"/>
        </w:rPr>
      </w:pPr>
    </w:p>
    <w:p w14:paraId="16F5524C" w14:textId="77777777" w:rsidR="007E6971" w:rsidRDefault="007E6971" w:rsidP="00F47F8D">
      <w:pPr>
        <w:spacing w:line="360" w:lineRule="auto"/>
        <w:rPr>
          <w:rFonts w:ascii="Arial" w:hAnsi="Arial" w:cs="Arial"/>
          <w:b/>
          <w:bCs/>
          <w:sz w:val="28"/>
          <w:szCs w:val="28"/>
        </w:rPr>
      </w:pPr>
    </w:p>
    <w:p w14:paraId="57B1129E" w14:textId="77777777" w:rsidR="007E6971" w:rsidRDefault="007E6971" w:rsidP="00F47F8D">
      <w:pPr>
        <w:spacing w:line="360" w:lineRule="auto"/>
        <w:rPr>
          <w:rFonts w:ascii="Arial" w:hAnsi="Arial" w:cs="Arial"/>
          <w:b/>
          <w:bCs/>
          <w:sz w:val="28"/>
          <w:szCs w:val="28"/>
        </w:rPr>
      </w:pPr>
    </w:p>
    <w:p w14:paraId="6642FC7E" w14:textId="77777777" w:rsidR="007E6971" w:rsidRDefault="007E6971" w:rsidP="00F47F8D">
      <w:pPr>
        <w:spacing w:line="360" w:lineRule="auto"/>
        <w:rPr>
          <w:rFonts w:ascii="Arial" w:hAnsi="Arial" w:cs="Arial"/>
          <w:b/>
          <w:bCs/>
          <w:sz w:val="28"/>
          <w:szCs w:val="28"/>
        </w:rPr>
      </w:pPr>
    </w:p>
    <w:p w14:paraId="6E538B6F" w14:textId="77777777" w:rsidR="00367870" w:rsidRPr="00CB1841" w:rsidRDefault="00367870" w:rsidP="00376FB3">
      <w:pPr>
        <w:spacing w:line="360" w:lineRule="auto"/>
        <w:rPr>
          <w:rFonts w:ascii="Arial" w:hAnsi="Arial" w:cs="Arial"/>
          <w:b/>
          <w:bCs/>
          <w:color w:val="0070C0"/>
          <w:sz w:val="28"/>
          <w:szCs w:val="28"/>
        </w:rPr>
      </w:pPr>
      <w:r w:rsidRPr="00CB1841">
        <w:rPr>
          <w:rFonts w:ascii="Arial" w:hAnsi="Arial" w:cs="Arial"/>
          <w:b/>
          <w:bCs/>
          <w:color w:val="0070C0"/>
          <w:sz w:val="28"/>
          <w:szCs w:val="28"/>
        </w:rPr>
        <w:lastRenderedPageBreak/>
        <w:t>Table of Contents</w:t>
      </w:r>
    </w:p>
    <w:p w14:paraId="16191D1C" w14:textId="10B8E2F5"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Introduction</w:t>
      </w:r>
      <w:r w:rsidR="00406B52">
        <w:rPr>
          <w:rFonts w:ascii="Arial" w:hAnsi="Arial" w:cs="Arial"/>
          <w:b/>
          <w:bCs/>
          <w:sz w:val="22"/>
          <w:szCs w:val="22"/>
        </w:rPr>
        <w:t>……………………………………………………………………………………….</w:t>
      </w:r>
      <w:r w:rsidR="00A477EA">
        <w:rPr>
          <w:rFonts w:ascii="Arial" w:hAnsi="Arial" w:cs="Arial"/>
          <w:b/>
          <w:bCs/>
          <w:sz w:val="22"/>
          <w:szCs w:val="22"/>
        </w:rPr>
        <w:t>2</w:t>
      </w:r>
    </w:p>
    <w:p w14:paraId="5C7E7158" w14:textId="10BB09E2"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Task 1: Reflection on the Importance of Principles of Health and Social Care</w:t>
      </w:r>
      <w:r w:rsidR="00BF5D58" w:rsidRPr="00E76D00">
        <w:rPr>
          <w:rFonts w:ascii="Arial" w:hAnsi="Arial" w:cs="Arial"/>
          <w:b/>
          <w:bCs/>
          <w:sz w:val="22"/>
          <w:szCs w:val="22"/>
        </w:rPr>
        <w:t>………</w:t>
      </w:r>
      <w:r w:rsidRPr="00E76D00">
        <w:rPr>
          <w:rFonts w:ascii="Arial" w:hAnsi="Arial" w:cs="Arial"/>
          <w:b/>
          <w:bCs/>
          <w:sz w:val="22"/>
          <w:szCs w:val="22"/>
        </w:rPr>
        <w:tab/>
      </w:r>
      <w:r w:rsidR="00A477EA">
        <w:rPr>
          <w:rFonts w:ascii="Arial" w:hAnsi="Arial" w:cs="Arial"/>
          <w:b/>
          <w:bCs/>
          <w:sz w:val="22"/>
          <w:szCs w:val="22"/>
        </w:rPr>
        <w:t>2</w:t>
      </w:r>
    </w:p>
    <w:p w14:paraId="79CF2351" w14:textId="1F82A74B"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Person-Centred Care</w:t>
      </w:r>
      <w:r w:rsidR="00244E00" w:rsidRPr="00E76D00">
        <w:rPr>
          <w:rFonts w:ascii="Arial" w:hAnsi="Arial" w:cs="Arial"/>
          <w:b/>
          <w:bCs/>
          <w:sz w:val="22"/>
          <w:szCs w:val="22"/>
        </w:rPr>
        <w:t>……………………………………………………………………………</w:t>
      </w:r>
      <w:r w:rsidRPr="00E76D00">
        <w:rPr>
          <w:rFonts w:ascii="Arial" w:hAnsi="Arial" w:cs="Arial"/>
          <w:b/>
          <w:bCs/>
          <w:sz w:val="22"/>
          <w:szCs w:val="22"/>
        </w:rPr>
        <w:tab/>
        <w:t>3</w:t>
      </w:r>
    </w:p>
    <w:p w14:paraId="1A8ADF47" w14:textId="55B94A6D"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Partnership Working</w:t>
      </w:r>
      <w:r w:rsidR="00244E00" w:rsidRPr="00E76D00">
        <w:rPr>
          <w:rFonts w:ascii="Arial" w:hAnsi="Arial" w:cs="Arial"/>
          <w:b/>
          <w:bCs/>
          <w:sz w:val="22"/>
          <w:szCs w:val="22"/>
        </w:rPr>
        <w:t>…………………………………………………………………………….</w:t>
      </w:r>
      <w:r w:rsidRPr="00E76D00">
        <w:rPr>
          <w:rFonts w:ascii="Arial" w:hAnsi="Arial" w:cs="Arial"/>
          <w:b/>
          <w:bCs/>
          <w:sz w:val="22"/>
          <w:szCs w:val="22"/>
        </w:rPr>
        <w:tab/>
      </w:r>
      <w:r w:rsidR="00A477EA">
        <w:rPr>
          <w:rFonts w:ascii="Arial" w:hAnsi="Arial" w:cs="Arial"/>
          <w:b/>
          <w:bCs/>
          <w:sz w:val="22"/>
          <w:szCs w:val="22"/>
        </w:rPr>
        <w:t>3</w:t>
      </w:r>
    </w:p>
    <w:p w14:paraId="5CA45C37" w14:textId="67C33C9E"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Ethical Practice</w:t>
      </w:r>
      <w:r w:rsidR="00244E00" w:rsidRPr="00E76D00">
        <w:rPr>
          <w:rFonts w:ascii="Arial" w:hAnsi="Arial" w:cs="Arial"/>
          <w:b/>
          <w:bCs/>
          <w:sz w:val="22"/>
          <w:szCs w:val="22"/>
        </w:rPr>
        <w:t>…………………………………………………………………………………..</w:t>
      </w:r>
      <w:r w:rsidRPr="00E76D00">
        <w:rPr>
          <w:rFonts w:ascii="Arial" w:hAnsi="Arial" w:cs="Arial"/>
          <w:b/>
          <w:bCs/>
          <w:sz w:val="22"/>
          <w:szCs w:val="22"/>
        </w:rPr>
        <w:tab/>
      </w:r>
      <w:r w:rsidR="00A477EA">
        <w:rPr>
          <w:rFonts w:ascii="Arial" w:hAnsi="Arial" w:cs="Arial"/>
          <w:b/>
          <w:bCs/>
          <w:sz w:val="22"/>
          <w:szCs w:val="22"/>
        </w:rPr>
        <w:t>3</w:t>
      </w:r>
      <w:r w:rsidR="00927F73">
        <w:rPr>
          <w:rFonts w:ascii="Arial" w:hAnsi="Arial" w:cs="Arial"/>
          <w:b/>
          <w:bCs/>
          <w:sz w:val="22"/>
          <w:szCs w:val="22"/>
        </w:rPr>
        <w:t>/4</w:t>
      </w:r>
    </w:p>
    <w:p w14:paraId="28729761" w14:textId="53F898D7"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Task 2: Practical Examples of Concepts in Practice</w:t>
      </w:r>
      <w:r w:rsidR="00244E00" w:rsidRPr="00E76D00">
        <w:rPr>
          <w:rFonts w:ascii="Arial" w:hAnsi="Arial" w:cs="Arial"/>
          <w:b/>
          <w:bCs/>
          <w:sz w:val="22"/>
          <w:szCs w:val="22"/>
        </w:rPr>
        <w:t>………………………………………</w:t>
      </w:r>
      <w:r w:rsidRPr="00E76D00">
        <w:rPr>
          <w:rFonts w:ascii="Arial" w:hAnsi="Arial" w:cs="Arial"/>
          <w:b/>
          <w:bCs/>
          <w:sz w:val="22"/>
          <w:szCs w:val="22"/>
        </w:rPr>
        <w:tab/>
      </w:r>
      <w:r w:rsidR="00927F73">
        <w:rPr>
          <w:rFonts w:ascii="Arial" w:hAnsi="Arial" w:cs="Arial"/>
          <w:b/>
          <w:bCs/>
          <w:sz w:val="22"/>
          <w:szCs w:val="22"/>
        </w:rPr>
        <w:t>4</w:t>
      </w:r>
    </w:p>
    <w:p w14:paraId="4F261F35" w14:textId="7954FB14"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Person-Centred Care</w:t>
      </w:r>
      <w:r w:rsidR="00244E00" w:rsidRPr="00E76D00">
        <w:rPr>
          <w:rFonts w:ascii="Arial" w:hAnsi="Arial" w:cs="Arial"/>
          <w:b/>
          <w:bCs/>
          <w:sz w:val="22"/>
          <w:szCs w:val="22"/>
        </w:rPr>
        <w:t>……………………………………………………………………………</w:t>
      </w:r>
      <w:r w:rsidRPr="00E76D00">
        <w:rPr>
          <w:rFonts w:ascii="Arial" w:hAnsi="Arial" w:cs="Arial"/>
          <w:b/>
          <w:bCs/>
          <w:sz w:val="22"/>
          <w:szCs w:val="22"/>
        </w:rPr>
        <w:tab/>
      </w:r>
      <w:r w:rsidR="008E64C2">
        <w:rPr>
          <w:rFonts w:ascii="Arial" w:hAnsi="Arial" w:cs="Arial"/>
          <w:b/>
          <w:bCs/>
          <w:sz w:val="22"/>
          <w:szCs w:val="22"/>
        </w:rPr>
        <w:t>4</w:t>
      </w:r>
      <w:r w:rsidR="00103AE7">
        <w:rPr>
          <w:rFonts w:ascii="Arial" w:hAnsi="Arial" w:cs="Arial"/>
          <w:b/>
          <w:bCs/>
          <w:sz w:val="22"/>
          <w:szCs w:val="22"/>
        </w:rPr>
        <w:t>/5</w:t>
      </w:r>
    </w:p>
    <w:p w14:paraId="04880C39" w14:textId="44942F24"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Partnership Working</w:t>
      </w:r>
      <w:r w:rsidR="00244E00" w:rsidRPr="00E76D00">
        <w:rPr>
          <w:rFonts w:ascii="Arial" w:hAnsi="Arial" w:cs="Arial"/>
          <w:b/>
          <w:bCs/>
          <w:sz w:val="22"/>
          <w:szCs w:val="22"/>
        </w:rPr>
        <w:t>……………………………………………………………………………</w:t>
      </w:r>
      <w:r w:rsidR="002F2BB0" w:rsidRPr="00E76D00">
        <w:rPr>
          <w:rFonts w:ascii="Arial" w:hAnsi="Arial" w:cs="Arial"/>
          <w:b/>
          <w:bCs/>
          <w:sz w:val="22"/>
          <w:szCs w:val="22"/>
        </w:rPr>
        <w:t>.</w:t>
      </w:r>
      <w:r w:rsidRPr="00E76D00">
        <w:rPr>
          <w:rFonts w:ascii="Arial" w:hAnsi="Arial" w:cs="Arial"/>
          <w:b/>
          <w:bCs/>
          <w:sz w:val="22"/>
          <w:szCs w:val="22"/>
        </w:rPr>
        <w:tab/>
        <w:t>5</w:t>
      </w:r>
    </w:p>
    <w:p w14:paraId="7249A39F" w14:textId="00BDDED6"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Ethical Practice</w:t>
      </w:r>
      <w:r w:rsidR="002F2BB0" w:rsidRPr="00E76D00">
        <w:rPr>
          <w:rFonts w:ascii="Arial" w:hAnsi="Arial" w:cs="Arial"/>
          <w:b/>
          <w:bCs/>
          <w:sz w:val="22"/>
          <w:szCs w:val="22"/>
        </w:rPr>
        <w:t>…………………………………………………………………………………..</w:t>
      </w:r>
      <w:r w:rsidRPr="00E76D00">
        <w:rPr>
          <w:rFonts w:ascii="Arial" w:hAnsi="Arial" w:cs="Arial"/>
          <w:b/>
          <w:bCs/>
          <w:sz w:val="22"/>
          <w:szCs w:val="22"/>
        </w:rPr>
        <w:tab/>
      </w:r>
      <w:r w:rsidR="00DF6917">
        <w:rPr>
          <w:rFonts w:ascii="Arial" w:hAnsi="Arial" w:cs="Arial"/>
          <w:b/>
          <w:bCs/>
          <w:sz w:val="22"/>
          <w:szCs w:val="22"/>
        </w:rPr>
        <w:t>5/6</w:t>
      </w:r>
    </w:p>
    <w:p w14:paraId="0E16FE74" w14:textId="183B09D3"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Task 3: Self-Reflection as a Health and Social Care Professional</w:t>
      </w:r>
      <w:r w:rsidR="002F2BB0" w:rsidRPr="00E76D00">
        <w:rPr>
          <w:rFonts w:ascii="Arial" w:hAnsi="Arial" w:cs="Arial"/>
          <w:b/>
          <w:bCs/>
          <w:sz w:val="22"/>
          <w:szCs w:val="22"/>
        </w:rPr>
        <w:t>………………………</w:t>
      </w:r>
      <w:r w:rsidRPr="00E76D00">
        <w:rPr>
          <w:rFonts w:ascii="Arial" w:hAnsi="Arial" w:cs="Arial"/>
          <w:b/>
          <w:bCs/>
          <w:sz w:val="22"/>
          <w:szCs w:val="22"/>
        </w:rPr>
        <w:tab/>
      </w:r>
      <w:r w:rsidR="007518AF">
        <w:rPr>
          <w:rFonts w:ascii="Arial" w:hAnsi="Arial" w:cs="Arial"/>
          <w:b/>
          <w:bCs/>
          <w:sz w:val="22"/>
          <w:szCs w:val="22"/>
        </w:rPr>
        <w:t>6</w:t>
      </w:r>
    </w:p>
    <w:p w14:paraId="232C6D00" w14:textId="2BF49D59"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Person-Centred Care in My Professional Practice</w:t>
      </w:r>
      <w:r w:rsidR="002F2BB0" w:rsidRPr="00E76D00">
        <w:rPr>
          <w:rFonts w:ascii="Arial" w:hAnsi="Arial" w:cs="Arial"/>
          <w:b/>
          <w:bCs/>
          <w:sz w:val="22"/>
          <w:szCs w:val="22"/>
        </w:rPr>
        <w:t>………………………………………...</w:t>
      </w:r>
      <w:r w:rsidRPr="00E76D00">
        <w:rPr>
          <w:rFonts w:ascii="Arial" w:hAnsi="Arial" w:cs="Arial"/>
          <w:b/>
          <w:bCs/>
          <w:sz w:val="22"/>
          <w:szCs w:val="22"/>
        </w:rPr>
        <w:tab/>
      </w:r>
      <w:r w:rsidR="007518AF">
        <w:rPr>
          <w:rFonts w:ascii="Arial" w:hAnsi="Arial" w:cs="Arial"/>
          <w:b/>
          <w:bCs/>
          <w:sz w:val="22"/>
          <w:szCs w:val="22"/>
        </w:rPr>
        <w:t>6</w:t>
      </w:r>
    </w:p>
    <w:p w14:paraId="7A5E7010" w14:textId="1EDACA7F"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Partnership Working and Communication</w:t>
      </w:r>
      <w:r w:rsidR="002F2BB0" w:rsidRPr="00E76D00">
        <w:rPr>
          <w:rFonts w:ascii="Arial" w:hAnsi="Arial" w:cs="Arial"/>
          <w:b/>
          <w:bCs/>
          <w:sz w:val="22"/>
          <w:szCs w:val="22"/>
        </w:rPr>
        <w:t>…………………………………………………..</w:t>
      </w:r>
      <w:r w:rsidRPr="00E76D00">
        <w:rPr>
          <w:rFonts w:ascii="Arial" w:hAnsi="Arial" w:cs="Arial"/>
          <w:b/>
          <w:bCs/>
          <w:sz w:val="22"/>
          <w:szCs w:val="22"/>
        </w:rPr>
        <w:tab/>
      </w:r>
      <w:r w:rsidR="002F2607">
        <w:rPr>
          <w:rFonts w:ascii="Arial" w:hAnsi="Arial" w:cs="Arial"/>
          <w:b/>
          <w:bCs/>
          <w:sz w:val="22"/>
          <w:szCs w:val="22"/>
        </w:rPr>
        <w:t>6/7</w:t>
      </w:r>
    </w:p>
    <w:p w14:paraId="13FE1891" w14:textId="3495B04B"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Ethical Practice and Professional Responsibility</w:t>
      </w:r>
      <w:r w:rsidR="002F2BB0" w:rsidRPr="00E76D00">
        <w:rPr>
          <w:rFonts w:ascii="Arial" w:hAnsi="Arial" w:cs="Arial"/>
          <w:b/>
          <w:bCs/>
          <w:sz w:val="22"/>
          <w:szCs w:val="22"/>
        </w:rPr>
        <w:t>………………………………………….</w:t>
      </w:r>
      <w:r w:rsidRPr="00E76D00">
        <w:rPr>
          <w:rFonts w:ascii="Arial" w:hAnsi="Arial" w:cs="Arial"/>
          <w:b/>
          <w:bCs/>
          <w:sz w:val="22"/>
          <w:szCs w:val="22"/>
        </w:rPr>
        <w:tab/>
      </w:r>
      <w:r w:rsidR="001667F9">
        <w:rPr>
          <w:rFonts w:ascii="Arial" w:hAnsi="Arial" w:cs="Arial"/>
          <w:b/>
          <w:bCs/>
          <w:sz w:val="22"/>
          <w:szCs w:val="22"/>
        </w:rPr>
        <w:t>7/8</w:t>
      </w:r>
    </w:p>
    <w:p w14:paraId="160124CE" w14:textId="2623B0A4"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Strengths, Areas for Improvement and Future Development</w:t>
      </w:r>
      <w:r w:rsidR="002F2BB0" w:rsidRPr="00E76D00">
        <w:rPr>
          <w:rFonts w:ascii="Arial" w:hAnsi="Arial" w:cs="Arial"/>
          <w:b/>
          <w:bCs/>
          <w:sz w:val="22"/>
          <w:szCs w:val="22"/>
        </w:rPr>
        <w:t>……………………………</w:t>
      </w:r>
      <w:r w:rsidRPr="00E76D00">
        <w:rPr>
          <w:rFonts w:ascii="Arial" w:hAnsi="Arial" w:cs="Arial"/>
          <w:b/>
          <w:bCs/>
          <w:sz w:val="22"/>
          <w:szCs w:val="22"/>
        </w:rPr>
        <w:tab/>
      </w:r>
      <w:r w:rsidR="007A2BEF">
        <w:rPr>
          <w:rFonts w:ascii="Arial" w:hAnsi="Arial" w:cs="Arial"/>
          <w:b/>
          <w:bCs/>
          <w:sz w:val="22"/>
          <w:szCs w:val="22"/>
        </w:rPr>
        <w:t>8/9</w:t>
      </w:r>
    </w:p>
    <w:p w14:paraId="44EDBA2B" w14:textId="1716800E"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Conclusion</w:t>
      </w:r>
      <w:r w:rsidR="00F5169E" w:rsidRPr="00E76D00">
        <w:rPr>
          <w:rFonts w:ascii="Arial" w:hAnsi="Arial" w:cs="Arial"/>
          <w:b/>
          <w:bCs/>
          <w:sz w:val="22"/>
          <w:szCs w:val="22"/>
        </w:rPr>
        <w:t>………………………………………………………………………………………</w:t>
      </w:r>
      <w:r w:rsidR="00907815">
        <w:rPr>
          <w:rFonts w:ascii="Arial" w:hAnsi="Arial" w:cs="Arial"/>
          <w:b/>
          <w:bCs/>
          <w:sz w:val="22"/>
          <w:szCs w:val="22"/>
        </w:rPr>
        <w:t>…9</w:t>
      </w:r>
    </w:p>
    <w:p w14:paraId="6F0BDA76" w14:textId="3567F542" w:rsidR="00367870" w:rsidRPr="00E76D00" w:rsidRDefault="00367870" w:rsidP="00376FB3">
      <w:pPr>
        <w:spacing w:line="360" w:lineRule="auto"/>
        <w:rPr>
          <w:rFonts w:ascii="Arial" w:hAnsi="Arial" w:cs="Arial"/>
          <w:b/>
          <w:bCs/>
          <w:sz w:val="22"/>
          <w:szCs w:val="22"/>
        </w:rPr>
      </w:pPr>
      <w:r w:rsidRPr="00E76D00">
        <w:rPr>
          <w:rFonts w:ascii="Arial" w:hAnsi="Arial" w:cs="Arial"/>
          <w:b/>
          <w:bCs/>
          <w:sz w:val="22"/>
          <w:szCs w:val="22"/>
        </w:rPr>
        <w:t>References</w:t>
      </w:r>
      <w:r w:rsidR="00F5169E" w:rsidRPr="00E76D00">
        <w:rPr>
          <w:rFonts w:ascii="Arial" w:hAnsi="Arial" w:cs="Arial"/>
          <w:b/>
          <w:bCs/>
          <w:sz w:val="22"/>
          <w:szCs w:val="22"/>
        </w:rPr>
        <w:t>………………………………………………………………………………………</w:t>
      </w:r>
      <w:r w:rsidRPr="00E76D00">
        <w:rPr>
          <w:rFonts w:ascii="Arial" w:hAnsi="Arial" w:cs="Arial"/>
          <w:b/>
          <w:bCs/>
          <w:sz w:val="22"/>
          <w:szCs w:val="22"/>
        </w:rPr>
        <w:t>10</w:t>
      </w:r>
      <w:r w:rsidR="00BB2027">
        <w:rPr>
          <w:rFonts w:ascii="Arial" w:hAnsi="Arial" w:cs="Arial"/>
          <w:b/>
          <w:bCs/>
          <w:sz w:val="22"/>
          <w:szCs w:val="22"/>
        </w:rPr>
        <w:t>/11</w:t>
      </w:r>
    </w:p>
    <w:p w14:paraId="723B93B9" w14:textId="77777777" w:rsidR="007E6971" w:rsidRPr="00E76D00" w:rsidRDefault="007E6971" w:rsidP="00F47F8D">
      <w:pPr>
        <w:spacing w:line="360" w:lineRule="auto"/>
        <w:rPr>
          <w:rFonts w:ascii="Arial" w:hAnsi="Arial" w:cs="Arial"/>
          <w:b/>
          <w:bCs/>
          <w:sz w:val="28"/>
          <w:szCs w:val="28"/>
        </w:rPr>
      </w:pPr>
    </w:p>
    <w:p w14:paraId="426DA964" w14:textId="77777777" w:rsidR="00A53F97" w:rsidRPr="00E76D00" w:rsidRDefault="00A53F97">
      <w:pPr>
        <w:rPr>
          <w:rFonts w:ascii="Arial" w:hAnsi="Arial" w:cs="Arial"/>
          <w:b/>
          <w:bCs/>
        </w:rPr>
      </w:pPr>
    </w:p>
    <w:p w14:paraId="47EFF388" w14:textId="77777777" w:rsidR="00A53F97" w:rsidRPr="00E76D00" w:rsidRDefault="00A53F97">
      <w:pPr>
        <w:rPr>
          <w:b/>
          <w:bCs/>
        </w:rPr>
      </w:pPr>
    </w:p>
    <w:p w14:paraId="51647754" w14:textId="77777777" w:rsidR="00A53F97" w:rsidRPr="00E76D00" w:rsidRDefault="00A53F97">
      <w:pPr>
        <w:rPr>
          <w:b/>
          <w:bCs/>
        </w:rPr>
      </w:pPr>
    </w:p>
    <w:p w14:paraId="17FF24DC" w14:textId="77777777" w:rsidR="00A53F97" w:rsidRPr="00E76D00" w:rsidRDefault="00A53F97">
      <w:pPr>
        <w:rPr>
          <w:b/>
          <w:bCs/>
        </w:rPr>
      </w:pPr>
    </w:p>
    <w:p w14:paraId="56A2B3B2" w14:textId="77777777" w:rsidR="00A53F97" w:rsidRPr="00E76D00" w:rsidRDefault="00A53F97">
      <w:pPr>
        <w:rPr>
          <w:b/>
          <w:bCs/>
        </w:rPr>
      </w:pPr>
    </w:p>
    <w:p w14:paraId="07B57A7F" w14:textId="77777777" w:rsidR="00A53F97" w:rsidRPr="00E76D00" w:rsidRDefault="00A53F97">
      <w:pPr>
        <w:rPr>
          <w:b/>
          <w:bCs/>
        </w:rPr>
      </w:pPr>
    </w:p>
    <w:p w14:paraId="38D3FF07" w14:textId="77777777" w:rsidR="00A53F97" w:rsidRPr="00E76D00" w:rsidRDefault="00A53F97">
      <w:pPr>
        <w:rPr>
          <w:b/>
          <w:bCs/>
        </w:rPr>
      </w:pPr>
    </w:p>
    <w:p w14:paraId="624FE2C8" w14:textId="77777777" w:rsidR="00A53F97" w:rsidRPr="00E76D00" w:rsidRDefault="00A53F97">
      <w:pPr>
        <w:rPr>
          <w:b/>
          <w:bCs/>
        </w:rPr>
      </w:pPr>
    </w:p>
    <w:p w14:paraId="646FEBE1" w14:textId="77777777" w:rsidR="000A6CC9" w:rsidRDefault="000A6CC9"/>
    <w:p w14:paraId="361D4D80" w14:textId="77777777" w:rsidR="000A6CC9" w:rsidRDefault="000A6CC9"/>
    <w:p w14:paraId="0E91C9F2" w14:textId="77777777" w:rsidR="00352F99" w:rsidRPr="003C41D0" w:rsidRDefault="00352F99" w:rsidP="00B843DB">
      <w:pPr>
        <w:spacing w:line="360" w:lineRule="auto"/>
        <w:rPr>
          <w:rFonts w:ascii="Arial" w:hAnsi="Arial" w:cs="Arial"/>
          <w:b/>
          <w:bCs/>
          <w:sz w:val="28"/>
          <w:szCs w:val="28"/>
        </w:rPr>
      </w:pPr>
      <w:r w:rsidRPr="003C41D0">
        <w:rPr>
          <w:rFonts w:ascii="Arial" w:hAnsi="Arial" w:cs="Arial"/>
          <w:b/>
          <w:bCs/>
          <w:sz w:val="28"/>
          <w:szCs w:val="28"/>
        </w:rPr>
        <w:t>Introduction</w:t>
      </w:r>
    </w:p>
    <w:p w14:paraId="09FCF979" w14:textId="77777777" w:rsidR="00352F99" w:rsidRDefault="00352F99" w:rsidP="00B843DB">
      <w:pPr>
        <w:spacing w:line="360" w:lineRule="auto"/>
        <w:rPr>
          <w:rFonts w:ascii="Arial" w:hAnsi="Arial" w:cs="Arial"/>
        </w:rPr>
      </w:pPr>
      <w:r w:rsidRPr="00B843DB">
        <w:rPr>
          <w:rFonts w:ascii="Arial" w:hAnsi="Arial" w:cs="Arial"/>
        </w:rPr>
        <w:t xml:space="preserve">The United Kingdom Health and Social Care have a goal of delivering safe, caring and effective care. This report discusses the concept of person-centred care, partnership working and ethical practice, the importance of which in enhancing service-user wellbeing and independence. It criticises such principles using the story of Robyn and contemplates their work in real life. </w:t>
      </w:r>
    </w:p>
    <w:p w14:paraId="32720A09" w14:textId="77777777" w:rsidR="003C41D0" w:rsidRDefault="003C41D0" w:rsidP="00B843DB">
      <w:pPr>
        <w:spacing w:line="360" w:lineRule="auto"/>
        <w:rPr>
          <w:rFonts w:ascii="Arial" w:hAnsi="Arial" w:cs="Arial"/>
        </w:rPr>
      </w:pPr>
    </w:p>
    <w:p w14:paraId="4BF13947" w14:textId="77777777" w:rsidR="003C41D0" w:rsidRPr="00B843DB" w:rsidRDefault="003C41D0" w:rsidP="00B843DB">
      <w:pPr>
        <w:spacing w:line="360" w:lineRule="auto"/>
        <w:rPr>
          <w:rFonts w:ascii="Arial" w:hAnsi="Arial" w:cs="Arial"/>
        </w:rPr>
      </w:pPr>
    </w:p>
    <w:p w14:paraId="48FB3F0B" w14:textId="77777777" w:rsidR="00352F99" w:rsidRPr="003A0B33" w:rsidRDefault="00352F99" w:rsidP="00B843DB">
      <w:pPr>
        <w:spacing w:line="360" w:lineRule="auto"/>
        <w:rPr>
          <w:rFonts w:ascii="Arial" w:hAnsi="Arial" w:cs="Arial"/>
          <w:b/>
          <w:bCs/>
          <w:sz w:val="28"/>
          <w:szCs w:val="28"/>
        </w:rPr>
      </w:pPr>
      <w:r w:rsidRPr="003A0B33">
        <w:rPr>
          <w:rFonts w:ascii="Arial" w:hAnsi="Arial" w:cs="Arial"/>
          <w:b/>
          <w:bCs/>
          <w:sz w:val="28"/>
          <w:szCs w:val="28"/>
        </w:rPr>
        <w:t>Task 1: Reflection on the Importance of Principles of Health and Social Care</w:t>
      </w:r>
    </w:p>
    <w:p w14:paraId="45324188" w14:textId="77777777" w:rsidR="000A6CC9" w:rsidRPr="00B843DB" w:rsidRDefault="000A6CC9" w:rsidP="00B843DB">
      <w:pPr>
        <w:spacing w:line="360" w:lineRule="auto"/>
        <w:rPr>
          <w:rFonts w:ascii="Arial" w:hAnsi="Arial" w:cs="Arial"/>
          <w:b/>
          <w:bCs/>
        </w:rPr>
      </w:pPr>
    </w:p>
    <w:p w14:paraId="53D5499E" w14:textId="530CA770" w:rsidR="000A6CC9" w:rsidRDefault="004C550C">
      <w:r>
        <w:t xml:space="preserve">                               </w:t>
      </w:r>
      <w:r w:rsidR="00865BE3">
        <w:t xml:space="preserve">    </w:t>
      </w:r>
      <w:r>
        <w:rPr>
          <w:noProof/>
        </w:rPr>
        <w:drawing>
          <wp:inline distT="0" distB="0" distL="0" distR="0" wp14:anchorId="34498CB6" wp14:editId="57F55C33">
            <wp:extent cx="2981325" cy="1987550"/>
            <wp:effectExtent l="0" t="0" r="9525" b="0"/>
            <wp:docPr id="13981172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1325" cy="1987550"/>
                    </a:xfrm>
                    <a:prstGeom prst="rect">
                      <a:avLst/>
                    </a:prstGeom>
                    <a:noFill/>
                  </pic:spPr>
                </pic:pic>
              </a:graphicData>
            </a:graphic>
          </wp:inline>
        </w:drawing>
      </w:r>
    </w:p>
    <w:p w14:paraId="1B91B390" w14:textId="77777777" w:rsidR="00307CC1" w:rsidRPr="00DF5959" w:rsidRDefault="00307CC1" w:rsidP="00307CC1">
      <w:pPr>
        <w:rPr>
          <w:rStyle w:val="SubtleEmphasis"/>
        </w:rPr>
      </w:pPr>
      <w:r w:rsidRPr="00DF5959">
        <w:rPr>
          <w:rStyle w:val="SubtleEmphasis"/>
        </w:rPr>
        <w:t xml:space="preserve">                                   </w:t>
      </w:r>
      <w:r w:rsidRPr="00DF5959">
        <w:rPr>
          <w:rStyle w:val="SubtleEmphasis"/>
        </w:rPr>
        <w:t>Figure 1: Health and Social Care</w:t>
      </w:r>
    </w:p>
    <w:p w14:paraId="2344B765" w14:textId="02133477" w:rsidR="000A6CC9" w:rsidRPr="00DF5959" w:rsidRDefault="00307CC1" w:rsidP="00307CC1">
      <w:pPr>
        <w:rPr>
          <w:rStyle w:val="SubtleEmphasis"/>
        </w:rPr>
      </w:pPr>
      <w:r w:rsidRPr="00DF5959">
        <w:rPr>
          <w:rStyle w:val="SubtleEmphasis"/>
        </w:rPr>
        <w:t xml:space="preserve">                                   </w:t>
      </w:r>
      <w:r w:rsidRPr="00DF5959">
        <w:rPr>
          <w:rStyle w:val="SubtleEmphasis"/>
        </w:rPr>
        <w:t>Source: (Stonebridge Associated Colleges, 2026)</w:t>
      </w:r>
      <w:r w:rsidRPr="00DF5959">
        <w:rPr>
          <w:rStyle w:val="SubtleEmphasis"/>
        </w:rPr>
        <w:t xml:space="preserve"> </w:t>
      </w:r>
    </w:p>
    <w:p w14:paraId="5B77F982" w14:textId="77777777" w:rsidR="003E7193" w:rsidRDefault="00ED0C3E" w:rsidP="003E7193">
      <w:pPr>
        <w:spacing w:line="360" w:lineRule="auto"/>
        <w:rPr>
          <w:rFonts w:ascii="Arial" w:hAnsi="Arial" w:cs="Arial"/>
        </w:rPr>
      </w:pPr>
      <w:r w:rsidRPr="00B843DB">
        <w:rPr>
          <w:rFonts w:ascii="Arial" w:hAnsi="Arial" w:cs="Arial"/>
          <w:sz w:val="22"/>
          <w:szCs w:val="22"/>
        </w:rPr>
        <w:t>The goal of health and social care in the United Kingdom is to offer secure, beneficial and caring assistance that upholds the needs and rights of the individuals. The core values that enhance the quality of the provided care, encourage independence and aid the ability to make informed decisions are person-centred care, partnership working and ethical practice (Bayuo et al., 2026). These values are united, as effective care means that professionals have to be aware of individual preferences, cooperate with others and make responsible choices</w:t>
      </w:r>
      <w:r w:rsidRPr="00B843DB">
        <w:rPr>
          <w:rFonts w:ascii="Arial" w:hAnsi="Arial" w:cs="Arial"/>
        </w:rPr>
        <w:t>.</w:t>
      </w:r>
    </w:p>
    <w:p w14:paraId="3E51E3DC" w14:textId="77999F0F" w:rsidR="00ED0C3E" w:rsidRPr="003E7193" w:rsidRDefault="00ED0C3E" w:rsidP="003E7193">
      <w:pPr>
        <w:spacing w:line="360" w:lineRule="auto"/>
        <w:rPr>
          <w:rFonts w:ascii="Arial" w:hAnsi="Arial" w:cs="Arial"/>
        </w:rPr>
      </w:pPr>
      <w:r w:rsidRPr="003A0B33">
        <w:rPr>
          <w:rFonts w:ascii="Arial" w:hAnsi="Arial" w:cs="Arial"/>
          <w:b/>
          <w:bCs/>
          <w:sz w:val="28"/>
          <w:szCs w:val="28"/>
        </w:rPr>
        <w:lastRenderedPageBreak/>
        <w:t>Person-Centred Care</w:t>
      </w:r>
    </w:p>
    <w:p w14:paraId="43012977" w14:textId="77777777" w:rsidR="00F90360" w:rsidRDefault="00ED0C3E" w:rsidP="00031F5C">
      <w:pPr>
        <w:spacing w:line="360" w:lineRule="auto"/>
        <w:rPr>
          <w:rFonts w:ascii="Arial" w:hAnsi="Arial" w:cs="Arial"/>
          <w:sz w:val="22"/>
          <w:szCs w:val="22"/>
        </w:rPr>
      </w:pPr>
      <w:r w:rsidRPr="00B843DB">
        <w:rPr>
          <w:rFonts w:ascii="Arial" w:hAnsi="Arial" w:cs="Arial"/>
          <w:sz w:val="22"/>
          <w:szCs w:val="22"/>
        </w:rPr>
        <w:t>Person-centred care is the process in which individual is identified as an individual person who has certain needs and preferences; values and experiences in life. Professionals ought to engage the service users in making decisions regarding their care rather than just adopt a usual practice</w:t>
      </w:r>
      <w:r w:rsidRPr="00B843DB">
        <w:rPr>
          <w:rFonts w:ascii="Arial" w:hAnsi="Arial" w:cs="Arial"/>
        </w:rPr>
        <w:t>.</w:t>
      </w:r>
      <w:r w:rsidR="00DE008A">
        <w:rPr>
          <w:rFonts w:ascii="Arial" w:hAnsi="Arial" w:cs="Arial"/>
        </w:rPr>
        <w:t xml:space="preserve"> </w:t>
      </w:r>
      <w:r w:rsidR="00F90360" w:rsidRPr="00F90360">
        <w:rPr>
          <w:rFonts w:ascii="Arial" w:hAnsi="Arial" w:cs="Arial"/>
        </w:rPr>
        <w:t xml:space="preserve">The Care Act 2014 is focused on the individual's wellbeing, dignity and control over everyday life. </w:t>
      </w:r>
      <w:r w:rsidR="00F90360" w:rsidRPr="00031F5C">
        <w:rPr>
          <w:rFonts w:ascii="Arial" w:hAnsi="Arial" w:cs="Arial"/>
          <w:sz w:val="22"/>
          <w:szCs w:val="22"/>
        </w:rPr>
        <w:t xml:space="preserve">The Hierarchy of Needs by Maslow can also be used to understand the reasons why healthcare professionals should take into account physical safety, emotional wellbeing, belonging and self-esteem (Ahmad, 2024). To illustrate this, a nurse attending to an individual with a disability ought to accommodate the choice of routine that the disabled person prefers and promote autonomy instead of doing everything on behalf of the disabled individual. </w:t>
      </w:r>
    </w:p>
    <w:p w14:paraId="4C371171" w14:textId="77777777" w:rsidR="003C41D0" w:rsidRDefault="003C41D0" w:rsidP="00031F5C">
      <w:pPr>
        <w:spacing w:line="360" w:lineRule="auto"/>
        <w:rPr>
          <w:rFonts w:ascii="Arial" w:hAnsi="Arial" w:cs="Arial"/>
          <w:sz w:val="22"/>
          <w:szCs w:val="22"/>
        </w:rPr>
      </w:pPr>
    </w:p>
    <w:p w14:paraId="0E5D3ECC" w14:textId="77777777" w:rsidR="003C41D0" w:rsidRPr="00031F5C" w:rsidRDefault="003C41D0" w:rsidP="00031F5C">
      <w:pPr>
        <w:spacing w:line="360" w:lineRule="auto"/>
        <w:rPr>
          <w:rFonts w:ascii="Arial" w:hAnsi="Arial" w:cs="Arial"/>
          <w:sz w:val="22"/>
          <w:szCs w:val="22"/>
        </w:rPr>
      </w:pPr>
    </w:p>
    <w:p w14:paraId="1EA099D7" w14:textId="77777777" w:rsidR="00F90360" w:rsidRPr="003A0B33" w:rsidRDefault="00F90360" w:rsidP="00031F5C">
      <w:pPr>
        <w:spacing w:line="360" w:lineRule="auto"/>
        <w:rPr>
          <w:rFonts w:ascii="Arial" w:hAnsi="Arial" w:cs="Arial"/>
          <w:b/>
          <w:bCs/>
          <w:sz w:val="28"/>
          <w:szCs w:val="28"/>
        </w:rPr>
      </w:pPr>
      <w:r w:rsidRPr="003A0B33">
        <w:rPr>
          <w:rFonts w:ascii="Arial" w:hAnsi="Arial" w:cs="Arial"/>
          <w:b/>
          <w:bCs/>
          <w:sz w:val="28"/>
          <w:szCs w:val="28"/>
        </w:rPr>
        <w:t>Partnership Working</w:t>
      </w:r>
    </w:p>
    <w:p w14:paraId="123A9E42" w14:textId="77777777" w:rsidR="00F90360" w:rsidRDefault="00F90360" w:rsidP="00031F5C">
      <w:pPr>
        <w:spacing w:line="360" w:lineRule="auto"/>
        <w:rPr>
          <w:rFonts w:ascii="Arial" w:hAnsi="Arial" w:cs="Arial"/>
          <w:sz w:val="22"/>
          <w:szCs w:val="22"/>
        </w:rPr>
      </w:pPr>
      <w:r w:rsidRPr="00031F5C">
        <w:rPr>
          <w:rFonts w:ascii="Arial" w:hAnsi="Arial" w:cs="Arial"/>
          <w:sz w:val="22"/>
          <w:szCs w:val="22"/>
        </w:rPr>
        <w:t>Partnership working is the collaboration between service users, family and healthcare professionals and social care organisations to attain co-ordinated support. With proper communication and sharing of information, duplicated assessments would be minimised, confusion reduced, and continuity of care enhanced. Health and Care Act 2022 ensure more integration of health and care services. An example of such collaboration is the cooperation of nurses with social workers and care assistants to make sure that the medical, emotional and practical needs of an individual are considered collectively (Alnes et al., 2022). However, collaboration can be hindered by disparities in professional priorities, ineffective communication and a lack of specific roles. As a result, practitioners ought to set common objectives, value each other as experts and engage service users in decision-making.</w:t>
      </w:r>
    </w:p>
    <w:p w14:paraId="46710707" w14:textId="77777777" w:rsidR="003C41D0" w:rsidRDefault="003C41D0" w:rsidP="00031F5C">
      <w:pPr>
        <w:spacing w:line="360" w:lineRule="auto"/>
        <w:rPr>
          <w:rFonts w:ascii="Arial" w:hAnsi="Arial" w:cs="Arial"/>
          <w:sz w:val="22"/>
          <w:szCs w:val="22"/>
        </w:rPr>
      </w:pPr>
    </w:p>
    <w:p w14:paraId="76A06C04" w14:textId="77777777" w:rsidR="003C41D0" w:rsidRPr="00031F5C" w:rsidRDefault="003C41D0" w:rsidP="00031F5C">
      <w:pPr>
        <w:spacing w:line="360" w:lineRule="auto"/>
        <w:rPr>
          <w:rFonts w:ascii="Arial" w:hAnsi="Arial" w:cs="Arial"/>
          <w:sz w:val="22"/>
          <w:szCs w:val="22"/>
        </w:rPr>
      </w:pPr>
    </w:p>
    <w:p w14:paraId="6DD5F296" w14:textId="77777777" w:rsidR="00F90360" w:rsidRPr="00135E61" w:rsidRDefault="00F90360" w:rsidP="00031F5C">
      <w:pPr>
        <w:spacing w:line="360" w:lineRule="auto"/>
        <w:rPr>
          <w:rFonts w:ascii="Arial" w:hAnsi="Arial" w:cs="Arial"/>
          <w:b/>
          <w:bCs/>
          <w:sz w:val="28"/>
          <w:szCs w:val="28"/>
        </w:rPr>
      </w:pPr>
      <w:r w:rsidRPr="00135E61">
        <w:rPr>
          <w:rFonts w:ascii="Arial" w:hAnsi="Arial" w:cs="Arial"/>
          <w:b/>
          <w:bCs/>
          <w:sz w:val="28"/>
          <w:szCs w:val="28"/>
        </w:rPr>
        <w:t>Ethical Practice</w:t>
      </w:r>
    </w:p>
    <w:p w14:paraId="22B2F186" w14:textId="77777777" w:rsidR="003C41D0" w:rsidRDefault="00F90360" w:rsidP="00881727">
      <w:pPr>
        <w:spacing w:line="360" w:lineRule="auto"/>
        <w:rPr>
          <w:rFonts w:ascii="Arial" w:hAnsi="Arial" w:cs="Arial"/>
          <w:sz w:val="22"/>
          <w:szCs w:val="22"/>
        </w:rPr>
      </w:pPr>
      <w:r w:rsidRPr="00031F5C">
        <w:rPr>
          <w:rFonts w:ascii="Arial" w:hAnsi="Arial" w:cs="Arial"/>
          <w:sz w:val="22"/>
          <w:szCs w:val="22"/>
        </w:rPr>
        <w:t xml:space="preserve">Ethical practice assists professionals in the process of determining what is right and wrong; care is unreliable, and what can be done to avoid harm to the service users. Four significant moral guidelines: autonomy, beneficence, non-maleficence and justice. These tenets uphold individual decision-making and wellness, avoidance of harm and just treatment. To follow the example, the informed decision made by a person must not be altered by an individual </w:t>
      </w:r>
      <w:r w:rsidRPr="00031F5C">
        <w:rPr>
          <w:rFonts w:ascii="Arial" w:hAnsi="Arial" w:cs="Arial"/>
          <w:sz w:val="22"/>
          <w:szCs w:val="22"/>
        </w:rPr>
        <w:lastRenderedPageBreak/>
        <w:t>unless the necessary legal and protective provisions are satisfied and a professional (profession should be mentioned) will explain existing care options (Holmberg and Godskesen, 2022). There is also a need for confidentiality, consent and professional accountability. Nonetheless, there are risks of facing ethical dilemmas relating to conflicts between personal decisions and safety considerations. To this extent, professionals need to balance and take appropriate evidence-based decisions that entail careful evaluation of the risks.</w:t>
      </w:r>
    </w:p>
    <w:p w14:paraId="7E56C2D8" w14:textId="77777777" w:rsidR="003C41D0" w:rsidRDefault="003C41D0" w:rsidP="00881727">
      <w:pPr>
        <w:spacing w:line="360" w:lineRule="auto"/>
        <w:rPr>
          <w:rFonts w:ascii="Arial" w:hAnsi="Arial" w:cs="Arial"/>
          <w:sz w:val="22"/>
          <w:szCs w:val="22"/>
        </w:rPr>
      </w:pPr>
    </w:p>
    <w:p w14:paraId="344CEBE4" w14:textId="77777777" w:rsidR="003C41D0" w:rsidRDefault="003C41D0" w:rsidP="00881727">
      <w:pPr>
        <w:spacing w:line="360" w:lineRule="auto"/>
        <w:rPr>
          <w:rFonts w:ascii="Arial" w:hAnsi="Arial" w:cs="Arial"/>
          <w:sz w:val="22"/>
          <w:szCs w:val="22"/>
        </w:rPr>
      </w:pPr>
    </w:p>
    <w:p w14:paraId="66269E14" w14:textId="617DDB24" w:rsidR="00881727" w:rsidRPr="003C41D0" w:rsidRDefault="00881727" w:rsidP="00881727">
      <w:pPr>
        <w:spacing w:line="360" w:lineRule="auto"/>
        <w:rPr>
          <w:rFonts w:ascii="Arial" w:hAnsi="Arial" w:cs="Arial"/>
          <w:sz w:val="22"/>
          <w:szCs w:val="22"/>
        </w:rPr>
      </w:pPr>
      <w:r w:rsidRPr="003A0B33">
        <w:rPr>
          <w:rFonts w:ascii="Arial" w:hAnsi="Arial" w:cs="Arial"/>
          <w:b/>
          <w:bCs/>
          <w:sz w:val="28"/>
          <w:szCs w:val="28"/>
        </w:rPr>
        <w:t>Task 2: Practical Examples of Concepts in Practice</w:t>
      </w:r>
    </w:p>
    <w:p w14:paraId="1713F90C" w14:textId="728B6384" w:rsidR="00881727" w:rsidRPr="003A0B33" w:rsidRDefault="00881727" w:rsidP="00881727">
      <w:pPr>
        <w:spacing w:line="360" w:lineRule="auto"/>
        <w:rPr>
          <w:rFonts w:ascii="Arial" w:hAnsi="Arial" w:cs="Arial"/>
          <w:b/>
          <w:bCs/>
          <w:sz w:val="28"/>
          <w:szCs w:val="28"/>
        </w:rPr>
      </w:pPr>
      <w:r w:rsidRPr="003A0B33">
        <w:rPr>
          <w:rFonts w:ascii="Arial" w:hAnsi="Arial" w:cs="Arial"/>
          <w:b/>
          <w:bCs/>
          <w:sz w:val="28"/>
          <w:szCs w:val="28"/>
        </w:rPr>
        <w:t>Person-Centred Care</w:t>
      </w:r>
    </w:p>
    <w:p w14:paraId="3EBEA6A9" w14:textId="5B47CEC5" w:rsidR="008E038D" w:rsidRDefault="00463205" w:rsidP="00881727">
      <w:pPr>
        <w:spacing w:line="360" w:lineRule="auto"/>
        <w:rPr>
          <w:rFonts w:ascii="Arial" w:hAnsi="Arial" w:cs="Arial"/>
          <w:b/>
          <w:bCs/>
        </w:rPr>
      </w:pPr>
      <w:r>
        <w:rPr>
          <w:rFonts w:ascii="Arial" w:hAnsi="Arial" w:cs="Arial"/>
          <w:b/>
          <w:bCs/>
        </w:rPr>
        <w:t xml:space="preserve">                                     </w:t>
      </w:r>
      <w:r w:rsidR="008E038D">
        <w:rPr>
          <w:rFonts w:ascii="Arial" w:hAnsi="Arial" w:cs="Arial"/>
          <w:b/>
          <w:bCs/>
          <w:noProof/>
        </w:rPr>
        <w:drawing>
          <wp:inline distT="0" distB="0" distL="0" distR="0" wp14:anchorId="33379499" wp14:editId="1BEEE331">
            <wp:extent cx="2542540" cy="2542540"/>
            <wp:effectExtent l="0" t="0" r="0" b="0"/>
            <wp:docPr id="21160226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42540" cy="2542540"/>
                    </a:xfrm>
                    <a:prstGeom prst="rect">
                      <a:avLst/>
                    </a:prstGeom>
                    <a:noFill/>
                  </pic:spPr>
                </pic:pic>
              </a:graphicData>
            </a:graphic>
          </wp:inline>
        </w:drawing>
      </w:r>
    </w:p>
    <w:p w14:paraId="243D461A" w14:textId="2C8CB622" w:rsidR="00EB5746" w:rsidRPr="00DF5959" w:rsidRDefault="00463205" w:rsidP="00843B2F">
      <w:pPr>
        <w:spacing w:line="360" w:lineRule="auto"/>
        <w:rPr>
          <w:rStyle w:val="SubtleEmphasis"/>
        </w:rPr>
      </w:pPr>
      <w:r>
        <w:rPr>
          <w:rFonts w:ascii="Arial" w:hAnsi="Arial" w:cs="Arial"/>
          <w:b/>
          <w:bCs/>
          <w:sz w:val="20"/>
          <w:szCs w:val="20"/>
        </w:rPr>
        <w:t xml:space="preserve">                                                </w:t>
      </w:r>
      <w:r w:rsidR="00EB5746" w:rsidRPr="00DF5959">
        <w:rPr>
          <w:rStyle w:val="SubtleEmphasis"/>
        </w:rPr>
        <w:t>Figure 2: Person-Centred Care</w:t>
      </w:r>
    </w:p>
    <w:p w14:paraId="2946EC7A" w14:textId="6623C53E" w:rsidR="00EB5746" w:rsidRPr="00DF5959" w:rsidRDefault="00463205" w:rsidP="00843B2F">
      <w:pPr>
        <w:spacing w:line="360" w:lineRule="auto"/>
        <w:rPr>
          <w:rStyle w:val="SubtleEmphasis"/>
        </w:rPr>
      </w:pPr>
      <w:r w:rsidRPr="00DF5959">
        <w:rPr>
          <w:rStyle w:val="SubtleEmphasis"/>
        </w:rPr>
        <w:t xml:space="preserve">                                                 </w:t>
      </w:r>
      <w:r w:rsidR="00EB5746" w:rsidRPr="00DF5959">
        <w:rPr>
          <w:rStyle w:val="SubtleEmphasis"/>
        </w:rPr>
        <w:t>Source: (Ocean Healthcare, 2024)</w:t>
      </w:r>
    </w:p>
    <w:p w14:paraId="68A5528D" w14:textId="77777777" w:rsidR="00575440" w:rsidRPr="002E1396" w:rsidRDefault="00575440" w:rsidP="00623C9E">
      <w:pPr>
        <w:spacing w:line="360" w:lineRule="auto"/>
        <w:rPr>
          <w:rFonts w:ascii="Arial" w:hAnsi="Arial" w:cs="Arial"/>
          <w:sz w:val="22"/>
          <w:szCs w:val="22"/>
        </w:rPr>
      </w:pPr>
    </w:p>
    <w:p w14:paraId="6FE1F6C8" w14:textId="77777777" w:rsidR="00575440" w:rsidRPr="002E1396" w:rsidRDefault="00575440" w:rsidP="00623C9E">
      <w:pPr>
        <w:spacing w:line="360" w:lineRule="auto"/>
        <w:rPr>
          <w:rFonts w:ascii="Arial" w:hAnsi="Arial" w:cs="Arial"/>
          <w:sz w:val="22"/>
          <w:szCs w:val="22"/>
        </w:rPr>
      </w:pPr>
      <w:r w:rsidRPr="002E1396">
        <w:rPr>
          <w:rFonts w:ascii="Arial" w:hAnsi="Arial" w:cs="Arial"/>
          <w:sz w:val="22"/>
          <w:szCs w:val="22"/>
        </w:rPr>
        <w:t xml:space="preserve">Person-centred care incorporates the individual's preferences, encourages independence, and makes sure that the service users are involved in decision-making concerning their support. The case of Robyn reveals the relevance of this method in the policies involved in health and social care in the UK. Robyn suffered a spinal injury, which left her tetraplegic and in need of constant support. At first, her personal assistants changed quite often, some of whom were not able to suit her properly due to their allergies to animals or phobias. As a result, Robyn has been unable to maintain her day-to-day routines and social interactions </w:t>
      </w:r>
      <w:r w:rsidRPr="002E1396">
        <w:rPr>
          <w:rFonts w:ascii="Arial" w:hAnsi="Arial" w:cs="Arial"/>
          <w:sz w:val="22"/>
          <w:szCs w:val="22"/>
        </w:rPr>
        <w:lastRenderedPageBreak/>
        <w:t xml:space="preserve">(Jindal et al., 2023). This showed an inability to give individualised support that is consistent. Her next Personal Health Budget has helped her to directly hire personal assistants and to select individuals who comprehend her lifestyle. This led her to have more control, confidence and independence. </w:t>
      </w:r>
    </w:p>
    <w:p w14:paraId="3B888838" w14:textId="77777777" w:rsidR="00623C9E" w:rsidRPr="002E1396" w:rsidRDefault="00623C9E" w:rsidP="00623C9E">
      <w:pPr>
        <w:spacing w:line="360" w:lineRule="auto"/>
        <w:rPr>
          <w:rFonts w:ascii="Arial" w:hAnsi="Arial" w:cs="Arial"/>
          <w:sz w:val="22"/>
          <w:szCs w:val="22"/>
        </w:rPr>
      </w:pPr>
    </w:p>
    <w:p w14:paraId="4AC53C8F" w14:textId="77777777" w:rsidR="00575440" w:rsidRPr="003A0B33" w:rsidRDefault="00575440" w:rsidP="00623C9E">
      <w:pPr>
        <w:spacing w:line="360" w:lineRule="auto"/>
        <w:rPr>
          <w:rFonts w:ascii="Arial" w:hAnsi="Arial" w:cs="Arial"/>
          <w:b/>
          <w:bCs/>
          <w:sz w:val="28"/>
          <w:szCs w:val="28"/>
        </w:rPr>
      </w:pPr>
      <w:r w:rsidRPr="003A0B33">
        <w:rPr>
          <w:rFonts w:ascii="Arial" w:hAnsi="Arial" w:cs="Arial"/>
          <w:b/>
          <w:bCs/>
          <w:sz w:val="28"/>
          <w:szCs w:val="28"/>
        </w:rPr>
        <w:t>Partnership Working</w:t>
      </w:r>
    </w:p>
    <w:p w14:paraId="69BB490E" w14:textId="0BB114FE" w:rsidR="00575440" w:rsidRPr="002E1396" w:rsidRDefault="00575440" w:rsidP="00623C9E">
      <w:pPr>
        <w:spacing w:line="360" w:lineRule="auto"/>
        <w:rPr>
          <w:rFonts w:ascii="Arial" w:hAnsi="Arial" w:cs="Arial"/>
          <w:sz w:val="22"/>
          <w:szCs w:val="22"/>
        </w:rPr>
      </w:pPr>
      <w:r w:rsidRPr="002E1396">
        <w:rPr>
          <w:rFonts w:ascii="Arial" w:hAnsi="Arial" w:cs="Arial"/>
          <w:sz w:val="22"/>
          <w:szCs w:val="22"/>
        </w:rPr>
        <w:t>Partnership working entails integration of service users, medical staff and social care agencies to plan the right support. The social care teams, Continuing Healthcare professionals, a Personal Health Budget nurse and the Personal Budget Support Service participated in the case of Robyn.</w:t>
      </w:r>
    </w:p>
    <w:p w14:paraId="02D3C515" w14:textId="77777777" w:rsidR="00EA3980" w:rsidRDefault="00EA3980" w:rsidP="00623C9E">
      <w:pPr>
        <w:spacing w:line="360" w:lineRule="auto"/>
        <w:rPr>
          <w:rFonts w:ascii="Arial" w:hAnsi="Arial" w:cs="Arial"/>
          <w:b/>
          <w:bCs/>
          <w:sz w:val="22"/>
          <w:szCs w:val="22"/>
        </w:rPr>
      </w:pPr>
    </w:p>
    <w:p w14:paraId="015C4E34" w14:textId="77777777" w:rsidR="00561197" w:rsidRDefault="00EA3980" w:rsidP="00EA3980">
      <w:pPr>
        <w:spacing w:line="360" w:lineRule="auto"/>
        <w:rPr>
          <w:rFonts w:ascii="Arial" w:hAnsi="Arial" w:cs="Arial"/>
          <w:sz w:val="28"/>
          <w:szCs w:val="28"/>
        </w:rPr>
      </w:pPr>
      <w:r w:rsidRPr="002E1396">
        <w:rPr>
          <w:rFonts w:ascii="Arial" w:hAnsi="Arial" w:cs="Arial"/>
          <w:sz w:val="22"/>
          <w:szCs w:val="22"/>
        </w:rPr>
        <w:t>Their participation assisted in setting up a budget and organising hiring in such a way that Robyn was able to take care of herself. This proves how teamwork can stand conjunctively, and the continuum of care can be enhanced (Gizaw et al., 2022). However, it was a lengthy process requiring about 18 months where Robyn spent much time lacking proper communication on their progress. These issues underscore the fact that having and engaging more than one professional does not necessarily imply successful partnership working. The communication has to be frequent, roles have to be well defined, and decisions should be made on time to avoid delays and make sure that the service users are aware of the entire care-planning process.</w:t>
      </w:r>
      <w:r w:rsidR="00F1651F" w:rsidRPr="002E1396">
        <w:rPr>
          <w:rFonts w:ascii="Arial" w:hAnsi="Arial" w:cs="Arial"/>
          <w:sz w:val="22"/>
          <w:szCs w:val="22"/>
        </w:rPr>
        <w:br/>
      </w:r>
    </w:p>
    <w:p w14:paraId="63981F9B" w14:textId="77777777" w:rsidR="00561197" w:rsidRDefault="00561197" w:rsidP="00EA3980">
      <w:pPr>
        <w:spacing w:line="360" w:lineRule="auto"/>
        <w:rPr>
          <w:rFonts w:ascii="Arial" w:hAnsi="Arial" w:cs="Arial"/>
          <w:sz w:val="28"/>
          <w:szCs w:val="28"/>
        </w:rPr>
      </w:pPr>
    </w:p>
    <w:p w14:paraId="24BB5D36" w14:textId="4D30C8E7" w:rsidR="00EA3980" w:rsidRPr="003C41D0" w:rsidRDefault="00EA3980" w:rsidP="00EA3980">
      <w:pPr>
        <w:spacing w:line="360" w:lineRule="auto"/>
        <w:rPr>
          <w:rFonts w:ascii="Arial" w:hAnsi="Arial" w:cs="Arial"/>
          <w:sz w:val="28"/>
          <w:szCs w:val="28"/>
        </w:rPr>
      </w:pPr>
      <w:r w:rsidRPr="003A0B33">
        <w:rPr>
          <w:rFonts w:ascii="Arial" w:hAnsi="Arial" w:cs="Arial"/>
          <w:b/>
          <w:bCs/>
          <w:sz w:val="28"/>
          <w:szCs w:val="28"/>
        </w:rPr>
        <w:t>Ethical Practice</w:t>
      </w:r>
    </w:p>
    <w:p w14:paraId="42F3A51B" w14:textId="77777777" w:rsidR="00EA3980" w:rsidRPr="002E1396" w:rsidRDefault="00EA3980" w:rsidP="00EA3980">
      <w:pPr>
        <w:spacing w:line="360" w:lineRule="auto"/>
        <w:rPr>
          <w:rFonts w:ascii="Arial" w:hAnsi="Arial" w:cs="Arial"/>
          <w:sz w:val="22"/>
          <w:szCs w:val="22"/>
        </w:rPr>
      </w:pPr>
      <w:r w:rsidRPr="002E1396">
        <w:rPr>
          <w:rFonts w:ascii="Arial" w:hAnsi="Arial" w:cs="Arial"/>
          <w:sz w:val="22"/>
          <w:szCs w:val="22"/>
        </w:rPr>
        <w:t xml:space="preserve">In the field of ethical practice, professionals should uphold the rights of people, ensure their dignity and make choices that enhance wellbeing. Autonomy, in particular, is seen in the case of Robyn as she is respected in her decision on how to receive care, and she is informed accordingly. It was significant to her to choose personal assistants and to plan her everyday life so that she could retain her identity and be self-sufficient. The new improved arrangements have enabled her to develop stable relationships with the care workers who were in a position to know her needs (Khatri et al., 2023). This has helped in enhancing physical and emotional health. Non-maleficence, or the avoidance of harm, and beneficence, or the establishment of wellbeing, are also applicable since the irregular care had a negative </w:t>
      </w:r>
      <w:r w:rsidRPr="002E1396">
        <w:rPr>
          <w:rFonts w:ascii="Arial" w:hAnsi="Arial" w:cs="Arial"/>
          <w:sz w:val="22"/>
          <w:szCs w:val="22"/>
        </w:rPr>
        <w:lastRenderedPageBreak/>
        <w:t>impact on the multitude of Robyn and her daily life. Nevertheless, using personal assistants directly may pose administrative/managerial burdens. Thus, practitioners are expected to offer the relevant recommendations and practical assistance to help people exercise their autonomy in a manner that will not be overwhelming.</w:t>
      </w:r>
    </w:p>
    <w:p w14:paraId="5195E566" w14:textId="77777777" w:rsidR="00561197" w:rsidRDefault="00561197" w:rsidP="00F1651F">
      <w:pPr>
        <w:spacing w:line="360" w:lineRule="auto"/>
        <w:rPr>
          <w:rFonts w:ascii="Arial" w:hAnsi="Arial" w:cs="Arial"/>
          <w:b/>
          <w:bCs/>
          <w:sz w:val="22"/>
          <w:szCs w:val="22"/>
        </w:rPr>
      </w:pPr>
    </w:p>
    <w:p w14:paraId="338EBCE0" w14:textId="77777777" w:rsidR="00561197" w:rsidRDefault="00561197" w:rsidP="00F1651F">
      <w:pPr>
        <w:spacing w:line="360" w:lineRule="auto"/>
        <w:rPr>
          <w:rFonts w:ascii="Arial" w:hAnsi="Arial" w:cs="Arial"/>
          <w:b/>
          <w:bCs/>
          <w:sz w:val="22"/>
          <w:szCs w:val="22"/>
        </w:rPr>
      </w:pPr>
    </w:p>
    <w:p w14:paraId="1811C80A" w14:textId="7E8E48E0" w:rsidR="00EA3980" w:rsidRPr="003A0B33" w:rsidRDefault="00EA3980" w:rsidP="00F1651F">
      <w:pPr>
        <w:spacing w:line="360" w:lineRule="auto"/>
        <w:rPr>
          <w:rFonts w:ascii="Arial" w:hAnsi="Arial" w:cs="Arial"/>
          <w:b/>
          <w:bCs/>
          <w:sz w:val="28"/>
          <w:szCs w:val="28"/>
        </w:rPr>
      </w:pPr>
      <w:r w:rsidRPr="003A0B33">
        <w:rPr>
          <w:rFonts w:ascii="Arial" w:hAnsi="Arial" w:cs="Arial"/>
          <w:b/>
          <w:bCs/>
          <w:sz w:val="28"/>
          <w:szCs w:val="28"/>
        </w:rPr>
        <w:t>Task 3: Self-Reflection as a Health and Social Care Professional</w:t>
      </w:r>
    </w:p>
    <w:p w14:paraId="7D33E931" w14:textId="77777777" w:rsidR="00EA3980" w:rsidRPr="003A0B33" w:rsidRDefault="00EA3980" w:rsidP="00F1651F">
      <w:pPr>
        <w:spacing w:line="360" w:lineRule="auto"/>
        <w:rPr>
          <w:rFonts w:ascii="Arial" w:hAnsi="Arial" w:cs="Arial"/>
          <w:b/>
          <w:bCs/>
          <w:sz w:val="28"/>
          <w:szCs w:val="28"/>
        </w:rPr>
      </w:pPr>
      <w:r w:rsidRPr="003A0B33">
        <w:rPr>
          <w:rFonts w:ascii="Arial" w:hAnsi="Arial" w:cs="Arial"/>
          <w:b/>
          <w:bCs/>
          <w:sz w:val="28"/>
          <w:szCs w:val="28"/>
        </w:rPr>
        <w:t>Person-Centred Care in My Professional Practice</w:t>
      </w:r>
    </w:p>
    <w:p w14:paraId="28D28847" w14:textId="3F341A35" w:rsidR="00825DDA" w:rsidRPr="0002022F" w:rsidRDefault="009A40BF" w:rsidP="0002022F">
      <w:pPr>
        <w:spacing w:line="360" w:lineRule="auto"/>
        <w:rPr>
          <w:rFonts w:ascii="Arial" w:hAnsi="Arial" w:cs="Arial"/>
          <w:sz w:val="22"/>
          <w:szCs w:val="22"/>
        </w:rPr>
      </w:pPr>
      <w:r>
        <w:rPr>
          <w:rFonts w:ascii="Arial" w:hAnsi="Arial" w:cs="Arial"/>
          <w:sz w:val="22"/>
          <w:szCs w:val="22"/>
        </w:rPr>
        <w:t>T</w:t>
      </w:r>
      <w:r w:rsidR="00EA3980" w:rsidRPr="0002022F">
        <w:rPr>
          <w:rFonts w:ascii="Arial" w:hAnsi="Arial" w:cs="Arial"/>
          <w:sz w:val="22"/>
          <w:szCs w:val="22"/>
        </w:rPr>
        <w:t xml:space="preserve">hem in their decision-making </w:t>
      </w:r>
      <w:r w:rsidR="002E1396" w:rsidRPr="0002022F">
        <w:rPr>
          <w:rFonts w:ascii="Arial" w:hAnsi="Arial" w:cs="Arial"/>
          <w:sz w:val="22"/>
          <w:szCs w:val="22"/>
        </w:rPr>
        <w:t xml:space="preserve">Person-centred care is vital in developing me as a health and social care professional since I would be motivated to appreciate everyone as an individual with various needs, preferences, beliefs and experiences. In my day-to-day practice, I would strive to treat the service users with dignity, listen to their concerns keenly and engage </w:t>
      </w:r>
      <w:r w:rsidR="00EA3980" w:rsidRPr="0002022F">
        <w:rPr>
          <w:rFonts w:ascii="Arial" w:hAnsi="Arial" w:cs="Arial"/>
          <w:sz w:val="22"/>
          <w:szCs w:val="22"/>
        </w:rPr>
        <w:t>about their care (Bage, 2026). Instead of being judgmental about what I think is the best thing to do with someone, I would</w:t>
      </w:r>
      <w:r w:rsidR="00825DDA" w:rsidRPr="0002022F">
        <w:rPr>
          <w:rFonts w:ascii="Arial" w:hAnsi="Arial" w:cs="Arial"/>
          <w:sz w:val="22"/>
          <w:szCs w:val="22"/>
        </w:rPr>
        <w:t xml:space="preserve"> </w:t>
      </w:r>
      <w:r w:rsidR="00825DDA" w:rsidRPr="0002022F">
        <w:rPr>
          <w:rFonts w:ascii="Arial" w:hAnsi="Arial" w:cs="Arial"/>
          <w:sz w:val="22"/>
          <w:szCs w:val="22"/>
        </w:rPr>
        <w:t>enquire of them what they possibly wish and allow them to make informed decisions. The achievement of individual wellbeing, dignity and control over daily life highlighted in the Care Act 2014 would form my approach to support.</w:t>
      </w:r>
    </w:p>
    <w:p w14:paraId="3FE51F91" w14:textId="77777777" w:rsidR="00561197" w:rsidRPr="0002022F" w:rsidRDefault="00825DDA" w:rsidP="0002022F">
      <w:pPr>
        <w:spacing w:line="360" w:lineRule="auto"/>
        <w:rPr>
          <w:rFonts w:ascii="Arial" w:hAnsi="Arial" w:cs="Arial"/>
          <w:sz w:val="22"/>
          <w:szCs w:val="22"/>
        </w:rPr>
      </w:pPr>
      <w:r w:rsidRPr="0002022F">
        <w:rPr>
          <w:rFonts w:ascii="Arial" w:hAnsi="Arial" w:cs="Arial"/>
          <w:sz w:val="22"/>
          <w:szCs w:val="22"/>
        </w:rPr>
        <w:t xml:space="preserve">The story of Robyn has assisted me to realise that even basic physical assistance is inadequate in attaining good care. People also require independent living, control and emotional support over their day-to-day lives. In case I am assisting a person with a disability, I would advise that person to keep on doing assignments on his/her own in most scenarios rather than overworking and determine the need to do the work (Shepherd et al., 2022). My weaknesses, which I am aware of, include ignorance as to the relevance of treating people as though they were entitled to it. </w:t>
      </w:r>
    </w:p>
    <w:p w14:paraId="0BFAD9EE" w14:textId="77777777" w:rsidR="00561197" w:rsidRDefault="00561197" w:rsidP="00982882">
      <w:pPr>
        <w:spacing w:line="360" w:lineRule="auto"/>
        <w:rPr>
          <w:rFonts w:ascii="Arial" w:hAnsi="Arial" w:cs="Arial"/>
          <w:sz w:val="22"/>
          <w:szCs w:val="22"/>
        </w:rPr>
      </w:pPr>
    </w:p>
    <w:p w14:paraId="2CFBB8DE" w14:textId="77777777" w:rsidR="00561197" w:rsidRDefault="00561197" w:rsidP="00982882">
      <w:pPr>
        <w:spacing w:line="360" w:lineRule="auto"/>
        <w:rPr>
          <w:rFonts w:ascii="Arial" w:hAnsi="Arial" w:cs="Arial"/>
          <w:sz w:val="22"/>
          <w:szCs w:val="22"/>
        </w:rPr>
      </w:pPr>
    </w:p>
    <w:p w14:paraId="5F9A8FEE" w14:textId="31874200" w:rsidR="00825DDA" w:rsidRPr="00561197" w:rsidRDefault="00825DDA" w:rsidP="00982882">
      <w:pPr>
        <w:spacing w:line="360" w:lineRule="auto"/>
        <w:rPr>
          <w:rFonts w:ascii="Arial" w:hAnsi="Arial" w:cs="Arial"/>
          <w:sz w:val="22"/>
          <w:szCs w:val="22"/>
        </w:rPr>
      </w:pPr>
      <w:r w:rsidRPr="003A0B33">
        <w:rPr>
          <w:rFonts w:ascii="Arial" w:hAnsi="Arial" w:cs="Arial"/>
          <w:b/>
          <w:bCs/>
          <w:sz w:val="28"/>
          <w:szCs w:val="28"/>
        </w:rPr>
        <w:t>Partnership Working and Communication</w:t>
      </w:r>
    </w:p>
    <w:p w14:paraId="4790998B" w14:textId="77777777" w:rsidR="00825DDA" w:rsidRPr="00765949" w:rsidRDefault="00825DDA" w:rsidP="008E63AF">
      <w:pPr>
        <w:spacing w:line="360" w:lineRule="auto"/>
        <w:rPr>
          <w:rFonts w:ascii="Arial" w:hAnsi="Arial" w:cs="Arial"/>
          <w:sz w:val="22"/>
          <w:szCs w:val="22"/>
        </w:rPr>
      </w:pPr>
      <w:r w:rsidRPr="00765949">
        <w:rPr>
          <w:rFonts w:ascii="Arial" w:hAnsi="Arial" w:cs="Arial"/>
          <w:sz w:val="22"/>
          <w:szCs w:val="22"/>
        </w:rPr>
        <w:t>The aspects of partnership working would also impact my interaction with my colleagues, service users and families, as well as other professionals. Collaboration is essential as people can need medical care, personal help, emotional and social care at the same time. I would ensure timely coordinated care through sharing pertinent information, listening to other viewpoints of the professionals and making sure responsibilities agreed upon are understood (Hormazabal-Salgado et al., 2024).</w:t>
      </w:r>
    </w:p>
    <w:p w14:paraId="115F3B8C" w14:textId="77777777" w:rsidR="00825DDA" w:rsidRPr="0002022F" w:rsidRDefault="00825DDA" w:rsidP="006E4987">
      <w:pPr>
        <w:spacing w:line="360" w:lineRule="auto"/>
        <w:rPr>
          <w:rFonts w:ascii="Arial" w:hAnsi="Arial" w:cs="Arial"/>
          <w:sz w:val="22"/>
          <w:szCs w:val="22"/>
        </w:rPr>
      </w:pPr>
      <w:r w:rsidRPr="00765949">
        <w:rPr>
          <w:rFonts w:ascii="Arial" w:hAnsi="Arial" w:cs="Arial"/>
          <w:sz w:val="22"/>
          <w:szCs w:val="22"/>
        </w:rPr>
        <w:lastRenderedPageBreak/>
        <w:t xml:space="preserve">As we can see, her case, which is narrated by Robyn, shows how effective the cooperation </w:t>
      </w:r>
      <w:r w:rsidRPr="0002022F">
        <w:rPr>
          <w:rFonts w:ascii="Arial" w:hAnsi="Arial" w:cs="Arial"/>
          <w:sz w:val="22"/>
          <w:szCs w:val="22"/>
        </w:rPr>
        <w:t>between social care teams, Continuing Healthcare professionals and personal budget support services can be in assisting people to receive more suitable care. The communication problems and delays she went through, however, are evidence that partnership working is more than just the involvement of a number of organisations. Professionals need to keep the information up to date, clarify roles and address the problems that service users may have (Moore, 2022). I would therefore strive to be an excellent communicator, document all meaningful facts and raise issues where there is seemingly no success in an arrangement. I also understand that sharing personal information has to be treated with confidentiality, and one should only share information in an appropriate and safe manner.</w:t>
      </w:r>
    </w:p>
    <w:p w14:paraId="7143F426" w14:textId="77777777" w:rsidR="00D5431D" w:rsidRPr="0002022F" w:rsidRDefault="00825DDA" w:rsidP="00D5431D">
      <w:pPr>
        <w:spacing w:line="360" w:lineRule="auto"/>
        <w:rPr>
          <w:rFonts w:ascii="Arial" w:hAnsi="Arial" w:cs="Arial"/>
          <w:sz w:val="22"/>
          <w:szCs w:val="22"/>
        </w:rPr>
      </w:pPr>
      <w:r w:rsidRPr="0002022F">
        <w:rPr>
          <w:rFonts w:ascii="Arial" w:hAnsi="Arial" w:cs="Arial"/>
          <w:sz w:val="22"/>
          <w:szCs w:val="22"/>
        </w:rPr>
        <w:t>A skill that I would improve on would be that of gaining more confidence in communicating with various backgrounds of professionals especially amidst divergence of opinion. I would overcome</w:t>
      </w:r>
      <w:r w:rsidR="00D5431D" w:rsidRPr="0002022F">
        <w:rPr>
          <w:rFonts w:ascii="Arial" w:hAnsi="Arial" w:cs="Arial"/>
          <w:sz w:val="22"/>
          <w:szCs w:val="22"/>
        </w:rPr>
        <w:t xml:space="preserve"> </w:t>
      </w:r>
      <w:r w:rsidR="00D5431D" w:rsidRPr="0002022F">
        <w:rPr>
          <w:rFonts w:ascii="Arial" w:hAnsi="Arial" w:cs="Arial"/>
          <w:sz w:val="22"/>
          <w:szCs w:val="22"/>
        </w:rPr>
        <w:t xml:space="preserve">this by being active in team discussions, following practising practitioners and active listening (Kelly et al., 2024). </w:t>
      </w:r>
    </w:p>
    <w:p w14:paraId="7A111081" w14:textId="77777777" w:rsidR="00561197" w:rsidRDefault="00561197" w:rsidP="00B4717E">
      <w:pPr>
        <w:spacing w:line="360" w:lineRule="auto"/>
        <w:rPr>
          <w:rFonts w:ascii="Arial" w:hAnsi="Arial" w:cs="Arial"/>
          <w:b/>
          <w:bCs/>
          <w:sz w:val="22"/>
          <w:szCs w:val="22"/>
        </w:rPr>
      </w:pPr>
    </w:p>
    <w:p w14:paraId="22908FB3" w14:textId="77777777" w:rsidR="00561197" w:rsidRDefault="00561197" w:rsidP="00B4717E">
      <w:pPr>
        <w:spacing w:line="360" w:lineRule="auto"/>
        <w:rPr>
          <w:rFonts w:ascii="Arial" w:hAnsi="Arial" w:cs="Arial"/>
          <w:b/>
          <w:bCs/>
          <w:sz w:val="22"/>
          <w:szCs w:val="22"/>
        </w:rPr>
      </w:pPr>
    </w:p>
    <w:p w14:paraId="536C5A41" w14:textId="7BB3249D" w:rsidR="00EA3980" w:rsidRPr="003A0B33" w:rsidRDefault="00D5431D" w:rsidP="00B4717E">
      <w:pPr>
        <w:spacing w:line="360" w:lineRule="auto"/>
        <w:rPr>
          <w:rFonts w:ascii="Arial" w:hAnsi="Arial" w:cs="Arial"/>
          <w:b/>
          <w:bCs/>
          <w:sz w:val="28"/>
          <w:szCs w:val="28"/>
        </w:rPr>
      </w:pPr>
      <w:r w:rsidRPr="003A0B33">
        <w:rPr>
          <w:rFonts w:ascii="Arial" w:hAnsi="Arial" w:cs="Arial"/>
          <w:b/>
          <w:bCs/>
          <w:sz w:val="28"/>
          <w:szCs w:val="28"/>
        </w:rPr>
        <w:t>Ethical Practice and Professional Responsibility</w:t>
      </w:r>
    </w:p>
    <w:p w14:paraId="505DB3B6" w14:textId="69FFCDF2" w:rsidR="00B409EA" w:rsidRDefault="00101B47" w:rsidP="00B4717E">
      <w:pPr>
        <w:spacing w:line="360" w:lineRule="auto"/>
        <w:rPr>
          <w:rFonts w:ascii="Arial" w:hAnsi="Arial" w:cs="Arial"/>
          <w:b/>
          <w:bCs/>
        </w:rPr>
      </w:pPr>
      <w:r>
        <w:rPr>
          <w:rFonts w:ascii="Arial" w:hAnsi="Arial" w:cs="Arial"/>
          <w:b/>
          <w:bCs/>
        </w:rPr>
        <w:t xml:space="preserve">                                    </w:t>
      </w:r>
      <w:r w:rsidR="00B409EA">
        <w:rPr>
          <w:rFonts w:ascii="Arial" w:hAnsi="Arial" w:cs="Arial"/>
          <w:b/>
          <w:bCs/>
          <w:noProof/>
        </w:rPr>
        <w:drawing>
          <wp:inline distT="0" distB="0" distL="0" distR="0" wp14:anchorId="670FC879" wp14:editId="43D7C044">
            <wp:extent cx="2993390" cy="1603375"/>
            <wp:effectExtent l="0" t="0" r="0" b="0"/>
            <wp:docPr id="19105595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3390" cy="1603375"/>
                    </a:xfrm>
                    <a:prstGeom prst="rect">
                      <a:avLst/>
                    </a:prstGeom>
                    <a:noFill/>
                  </pic:spPr>
                </pic:pic>
              </a:graphicData>
            </a:graphic>
          </wp:inline>
        </w:drawing>
      </w:r>
    </w:p>
    <w:p w14:paraId="1A048F70" w14:textId="030E97F7" w:rsidR="00101B47" w:rsidRPr="00EF1917" w:rsidRDefault="00126533" w:rsidP="00101B47">
      <w:pPr>
        <w:spacing w:line="360" w:lineRule="auto"/>
        <w:rPr>
          <w:rStyle w:val="SubtleEmphasis"/>
        </w:rPr>
      </w:pPr>
      <w:r>
        <w:rPr>
          <w:rFonts w:ascii="Arial" w:hAnsi="Arial" w:cs="Arial"/>
          <w:b/>
          <w:bCs/>
          <w:sz w:val="20"/>
          <w:szCs w:val="20"/>
        </w:rPr>
        <w:t xml:space="preserve">                                           </w:t>
      </w:r>
      <w:r w:rsidR="00101B47" w:rsidRPr="00EF1917">
        <w:rPr>
          <w:rStyle w:val="SubtleEmphasis"/>
        </w:rPr>
        <w:t>Figure 3: Mental Capacity Act 2005</w:t>
      </w:r>
    </w:p>
    <w:p w14:paraId="48CEA42D" w14:textId="20F05F78" w:rsidR="00101B47" w:rsidRDefault="00126533" w:rsidP="00101B47">
      <w:pPr>
        <w:spacing w:line="360" w:lineRule="auto"/>
        <w:rPr>
          <w:rFonts w:ascii="Arial" w:hAnsi="Arial" w:cs="Arial"/>
          <w:b/>
          <w:bCs/>
          <w:sz w:val="20"/>
          <w:szCs w:val="20"/>
        </w:rPr>
      </w:pPr>
      <w:r w:rsidRPr="00EF1917">
        <w:rPr>
          <w:rStyle w:val="SubtleEmphasis"/>
        </w:rPr>
        <w:t xml:space="preserve">                                           </w:t>
      </w:r>
      <w:r w:rsidR="00101B47" w:rsidRPr="00EF1917">
        <w:rPr>
          <w:rStyle w:val="SubtleEmphasis"/>
        </w:rPr>
        <w:t>Source: (Verified Learning, 2022</w:t>
      </w:r>
      <w:r w:rsidR="00F35D64">
        <w:rPr>
          <w:rStyle w:val="SubtleEmphasis"/>
        </w:rPr>
        <w:t>)</w:t>
      </w:r>
    </w:p>
    <w:p w14:paraId="459BC27B" w14:textId="77777777" w:rsidR="00DD3451" w:rsidRPr="00765949" w:rsidRDefault="00DD3451" w:rsidP="00DD3451">
      <w:pPr>
        <w:spacing w:line="360" w:lineRule="auto"/>
        <w:rPr>
          <w:rFonts w:ascii="Arial" w:hAnsi="Arial" w:cs="Arial"/>
          <w:sz w:val="22"/>
          <w:szCs w:val="22"/>
        </w:rPr>
      </w:pPr>
      <w:r w:rsidRPr="00765949">
        <w:rPr>
          <w:rFonts w:ascii="Arial" w:hAnsi="Arial" w:cs="Arial"/>
          <w:sz w:val="22"/>
          <w:szCs w:val="22"/>
        </w:rPr>
        <w:t xml:space="preserve">Being able to make ethical choices when faced with a situation of individual rights, safety and wellbeing would also be taught by ethical practice. Considering whether my actions would respect personal choice, help in promotion of wellbeing, help to avoid harm and offer fair treatment, the principles of autonomy, beneficence, non-maleficence and justice would assist me in such a consideration. Practically, I would communicate options clearly, get reasonable consent prior to providing care and ensure privacy protections and respect a </w:t>
      </w:r>
      <w:r w:rsidRPr="00765949">
        <w:rPr>
          <w:rFonts w:ascii="Arial" w:hAnsi="Arial" w:cs="Arial"/>
          <w:sz w:val="22"/>
          <w:szCs w:val="22"/>
        </w:rPr>
        <w:lastRenderedPageBreak/>
        <w:t>person's privacy. I would also not discriminate and treat people in the right way irrespective of the background, disability or personal beliefs (Bayuo et al., 2026).</w:t>
      </w:r>
    </w:p>
    <w:p w14:paraId="0380CAEB" w14:textId="77777777" w:rsidR="00DD3451" w:rsidRPr="00765949" w:rsidRDefault="00DD3451" w:rsidP="00DD3451">
      <w:pPr>
        <w:spacing w:line="360" w:lineRule="auto"/>
        <w:rPr>
          <w:rFonts w:ascii="Arial" w:hAnsi="Arial" w:cs="Arial"/>
          <w:sz w:val="22"/>
          <w:szCs w:val="22"/>
        </w:rPr>
      </w:pPr>
      <w:r w:rsidRPr="00765949">
        <w:rPr>
          <w:rFonts w:ascii="Arial" w:hAnsi="Arial" w:cs="Arial"/>
          <w:sz w:val="22"/>
          <w:szCs w:val="22"/>
        </w:rPr>
        <w:t>Mental Capacity Act 2005 is especially applicable in instances where one aims to assist those who might not be able to make a certain decision. I know that someone should not necessarily be presumptively discredited due to disability or health condition. Where possible, I would affirm the step of the individual to make his or her own choice and follow a legal procedure in the case where the individual did not have the necessary capacity to make a specific choice. In cases where it is deemed necessary, I would consult a senior professional and not make decisions that are not within my capability (Ahmad, 2024).</w:t>
      </w:r>
    </w:p>
    <w:p w14:paraId="42DB0537" w14:textId="77777777" w:rsidR="000E5236" w:rsidRDefault="00DD3451" w:rsidP="000C3F62">
      <w:pPr>
        <w:spacing w:line="360" w:lineRule="auto"/>
        <w:rPr>
          <w:rFonts w:ascii="Arial" w:hAnsi="Arial" w:cs="Arial"/>
          <w:sz w:val="22"/>
          <w:szCs w:val="22"/>
        </w:rPr>
      </w:pPr>
      <w:r w:rsidRPr="000C3F62">
        <w:rPr>
          <w:rFonts w:ascii="Arial" w:hAnsi="Arial" w:cs="Arial"/>
          <w:sz w:val="22"/>
          <w:szCs w:val="22"/>
        </w:rPr>
        <w:t>The story of Robyn has helped me deepen my insights on the issue of autonomy since her opportunity to elect her personal assistants was directly related to her sense of independence and</w:t>
      </w:r>
      <w:r w:rsidR="000E5236" w:rsidRPr="000C3F62">
        <w:rPr>
          <w:rFonts w:ascii="Arial" w:hAnsi="Arial" w:cs="Arial"/>
          <w:sz w:val="22"/>
          <w:szCs w:val="22"/>
        </w:rPr>
        <w:t xml:space="preserve"> </w:t>
      </w:r>
      <w:r w:rsidR="000E5236" w:rsidRPr="000C3F62">
        <w:rPr>
          <w:rFonts w:ascii="Arial" w:hAnsi="Arial" w:cs="Arial"/>
          <w:sz w:val="22"/>
          <w:szCs w:val="22"/>
        </w:rPr>
        <w:t xml:space="preserve">dignity. I would use this lesson by not imposing undue limitations on the decisions of service users but taking into consideration the valid safety issues. However, such cases as ethical situations may be rather complex if individual preferences are opposed to the possible risks. </w:t>
      </w:r>
    </w:p>
    <w:p w14:paraId="0AAF6C54" w14:textId="77777777" w:rsidR="00561197" w:rsidRDefault="00561197" w:rsidP="003B6AA7">
      <w:pPr>
        <w:spacing w:line="360" w:lineRule="auto"/>
        <w:rPr>
          <w:rFonts w:ascii="Arial" w:hAnsi="Arial" w:cs="Arial"/>
          <w:sz w:val="22"/>
          <w:szCs w:val="22"/>
        </w:rPr>
      </w:pPr>
    </w:p>
    <w:p w14:paraId="2C5A4DD9" w14:textId="77777777" w:rsidR="00561197" w:rsidRDefault="00561197" w:rsidP="003B6AA7">
      <w:pPr>
        <w:spacing w:line="360" w:lineRule="auto"/>
        <w:rPr>
          <w:rFonts w:ascii="Arial" w:hAnsi="Arial" w:cs="Arial"/>
          <w:sz w:val="22"/>
          <w:szCs w:val="22"/>
        </w:rPr>
      </w:pPr>
    </w:p>
    <w:p w14:paraId="6763E093" w14:textId="06DB7669" w:rsidR="000E5236" w:rsidRPr="003B6AA7" w:rsidRDefault="000E5236" w:rsidP="003B6AA7">
      <w:pPr>
        <w:spacing w:line="360" w:lineRule="auto"/>
        <w:rPr>
          <w:rFonts w:ascii="Arial" w:hAnsi="Arial" w:cs="Arial"/>
          <w:b/>
          <w:bCs/>
          <w:sz w:val="28"/>
          <w:szCs w:val="28"/>
        </w:rPr>
      </w:pPr>
      <w:r w:rsidRPr="003B6AA7">
        <w:rPr>
          <w:rFonts w:ascii="Arial" w:hAnsi="Arial" w:cs="Arial"/>
          <w:b/>
          <w:bCs/>
          <w:sz w:val="28"/>
          <w:szCs w:val="28"/>
        </w:rPr>
        <w:t>Strengths, Areas for Improvement and Future Development</w:t>
      </w:r>
    </w:p>
    <w:p w14:paraId="7DAB602F" w14:textId="77777777" w:rsidR="000E5236" w:rsidRPr="00F612B8" w:rsidRDefault="000E5236" w:rsidP="00F612B8">
      <w:pPr>
        <w:spacing w:line="360" w:lineRule="auto"/>
        <w:rPr>
          <w:rFonts w:ascii="Arial" w:hAnsi="Arial" w:cs="Arial"/>
          <w:sz w:val="22"/>
          <w:szCs w:val="22"/>
        </w:rPr>
      </w:pPr>
      <w:r w:rsidRPr="00F612B8">
        <w:rPr>
          <w:rFonts w:ascii="Arial" w:hAnsi="Arial" w:cs="Arial"/>
          <w:sz w:val="22"/>
          <w:szCs w:val="22"/>
        </w:rPr>
        <w:t>My present strengths are the ability to realise the essence of empathy, the necessity to respect individual differences and to comprehend the worth of communication. These are the qualities that will be used to develop a trusting relationship with service users. My feedback readiness is also open to learning and understanding that, to be able to provide effective care, I have to be able to develop professionally continuously (Alnes et al., 2022). I should develop my practical communication skills, ethical thinking, cooperation and the ability to react to some unforeseen situations.</w:t>
      </w:r>
    </w:p>
    <w:p w14:paraId="3295E3C9" w14:textId="77777777" w:rsidR="000E5236" w:rsidRPr="000C3F62" w:rsidRDefault="000E5236" w:rsidP="00F612B8">
      <w:pPr>
        <w:spacing w:line="360" w:lineRule="auto"/>
        <w:rPr>
          <w:rFonts w:ascii="Arial" w:hAnsi="Arial" w:cs="Arial"/>
          <w:sz w:val="22"/>
          <w:szCs w:val="22"/>
        </w:rPr>
      </w:pPr>
      <w:r w:rsidRPr="00F612B8">
        <w:rPr>
          <w:rFonts w:ascii="Arial" w:hAnsi="Arial" w:cs="Arial"/>
          <w:sz w:val="22"/>
          <w:szCs w:val="22"/>
        </w:rPr>
        <w:t>I would formulate a professional development plan that has specific objectives, which are measurable. I would first undergo pertinent safeguarding, confidentiality, consent, equality and person-centred care training. Second, I would ask to observe more established practitioners to understand how they evaluate the necessity, talk to families and deal with challenging circumstances. Third, I would supervise and reflectively use the practice to find</w:t>
      </w:r>
      <w:r w:rsidRPr="000C3F62">
        <w:rPr>
          <w:rFonts w:ascii="Arial" w:hAnsi="Arial" w:cs="Arial"/>
          <w:sz w:val="22"/>
          <w:szCs w:val="22"/>
        </w:rPr>
        <w:t xml:space="preserve"> out the errors, reviewing the decision and determining how better it would be next time (Gizaw et al., 2022). </w:t>
      </w:r>
    </w:p>
    <w:p w14:paraId="6409B891" w14:textId="77777777" w:rsidR="00561197" w:rsidRDefault="000E5236" w:rsidP="003B6AA7">
      <w:pPr>
        <w:spacing w:line="360" w:lineRule="auto"/>
        <w:rPr>
          <w:rFonts w:ascii="Arial" w:hAnsi="Arial" w:cs="Arial"/>
          <w:sz w:val="22"/>
          <w:szCs w:val="22"/>
        </w:rPr>
      </w:pPr>
      <w:r w:rsidRPr="000C3F62">
        <w:rPr>
          <w:rFonts w:ascii="Arial" w:hAnsi="Arial" w:cs="Arial"/>
          <w:sz w:val="22"/>
          <w:szCs w:val="22"/>
        </w:rPr>
        <w:lastRenderedPageBreak/>
        <w:t xml:space="preserve">I would measure my progress by asking supervisors to feed back on the progress I am making, analyse my learning objectives and the areas the training is required for. I would never lose sight of my boundaries of competence and would seek help when a circumstance was beyond my knowledge or experience. </w:t>
      </w:r>
    </w:p>
    <w:p w14:paraId="1B77BABA" w14:textId="77777777" w:rsidR="00561197" w:rsidRDefault="00561197" w:rsidP="003B6AA7">
      <w:pPr>
        <w:spacing w:line="360" w:lineRule="auto"/>
        <w:rPr>
          <w:rFonts w:ascii="Arial" w:hAnsi="Arial" w:cs="Arial"/>
          <w:sz w:val="22"/>
          <w:szCs w:val="22"/>
        </w:rPr>
      </w:pPr>
    </w:p>
    <w:p w14:paraId="3DA5A45B" w14:textId="77777777" w:rsidR="00561197" w:rsidRDefault="00561197" w:rsidP="003B6AA7">
      <w:pPr>
        <w:spacing w:line="360" w:lineRule="auto"/>
        <w:rPr>
          <w:rFonts w:ascii="Arial" w:hAnsi="Arial" w:cs="Arial"/>
          <w:sz w:val="22"/>
          <w:szCs w:val="22"/>
        </w:rPr>
      </w:pPr>
    </w:p>
    <w:p w14:paraId="15B8356D" w14:textId="5B433DC5" w:rsidR="000E5236" w:rsidRPr="00561197" w:rsidRDefault="000E5236" w:rsidP="003B6AA7">
      <w:pPr>
        <w:spacing w:line="360" w:lineRule="auto"/>
        <w:rPr>
          <w:rFonts w:ascii="Arial" w:hAnsi="Arial" w:cs="Arial"/>
          <w:sz w:val="22"/>
          <w:szCs w:val="22"/>
        </w:rPr>
      </w:pPr>
      <w:r w:rsidRPr="003B6AA7">
        <w:rPr>
          <w:rFonts w:ascii="Arial" w:hAnsi="Arial" w:cs="Arial"/>
          <w:b/>
          <w:bCs/>
          <w:sz w:val="28"/>
          <w:szCs w:val="28"/>
        </w:rPr>
        <w:t>Conclusion</w:t>
      </w:r>
    </w:p>
    <w:p w14:paraId="71D00959" w14:textId="56E6619A" w:rsidR="00126533" w:rsidRDefault="000E5236" w:rsidP="000C3F62">
      <w:pPr>
        <w:spacing w:line="360" w:lineRule="auto"/>
        <w:rPr>
          <w:rFonts w:ascii="Arial" w:hAnsi="Arial" w:cs="Arial"/>
          <w:sz w:val="22"/>
          <w:szCs w:val="22"/>
        </w:rPr>
      </w:pPr>
      <w:r w:rsidRPr="000C3F62">
        <w:rPr>
          <w:rFonts w:ascii="Arial" w:hAnsi="Arial" w:cs="Arial"/>
          <w:sz w:val="22"/>
          <w:szCs w:val="22"/>
        </w:rPr>
        <w:t>The high quality of health and social care requires person-centred care, partnership working and ethical practice. These values encourage self-respect, self-reliance and health. By engaging in ongoing learning, professional education and self-reflection, I will be able to improve my competencies, enhance decision-making and involvement in safe, caring and individualised care in my future professional practice.</w:t>
      </w:r>
    </w:p>
    <w:p w14:paraId="6F5449E1" w14:textId="77777777" w:rsidR="004C3B0A" w:rsidRDefault="004C3B0A" w:rsidP="000C3F62">
      <w:pPr>
        <w:spacing w:line="360" w:lineRule="auto"/>
        <w:rPr>
          <w:rFonts w:ascii="Arial" w:hAnsi="Arial" w:cs="Arial"/>
          <w:sz w:val="22"/>
          <w:szCs w:val="22"/>
        </w:rPr>
      </w:pPr>
    </w:p>
    <w:p w14:paraId="0371665F" w14:textId="77777777" w:rsidR="004C3B0A" w:rsidRDefault="004C3B0A" w:rsidP="000C3F62">
      <w:pPr>
        <w:spacing w:line="360" w:lineRule="auto"/>
        <w:rPr>
          <w:rFonts w:ascii="Arial" w:hAnsi="Arial" w:cs="Arial"/>
          <w:sz w:val="22"/>
          <w:szCs w:val="22"/>
        </w:rPr>
      </w:pPr>
    </w:p>
    <w:p w14:paraId="76D2E6DA" w14:textId="77777777" w:rsidR="004C3B0A" w:rsidRDefault="004C3B0A" w:rsidP="000C3F62">
      <w:pPr>
        <w:spacing w:line="360" w:lineRule="auto"/>
        <w:rPr>
          <w:rFonts w:ascii="Arial" w:hAnsi="Arial" w:cs="Arial"/>
          <w:sz w:val="22"/>
          <w:szCs w:val="22"/>
        </w:rPr>
      </w:pPr>
    </w:p>
    <w:p w14:paraId="5857D3CF" w14:textId="77777777" w:rsidR="004C3B0A" w:rsidRDefault="004C3B0A" w:rsidP="000C3F62">
      <w:pPr>
        <w:spacing w:line="360" w:lineRule="auto"/>
        <w:rPr>
          <w:rFonts w:ascii="Arial" w:hAnsi="Arial" w:cs="Arial"/>
          <w:sz w:val="22"/>
          <w:szCs w:val="22"/>
        </w:rPr>
      </w:pPr>
    </w:p>
    <w:p w14:paraId="1D97A206" w14:textId="77777777" w:rsidR="004C3B0A" w:rsidRDefault="004C3B0A" w:rsidP="000C3F62">
      <w:pPr>
        <w:spacing w:line="360" w:lineRule="auto"/>
        <w:rPr>
          <w:rFonts w:ascii="Arial" w:hAnsi="Arial" w:cs="Arial"/>
          <w:sz w:val="22"/>
          <w:szCs w:val="22"/>
        </w:rPr>
      </w:pPr>
    </w:p>
    <w:p w14:paraId="01DC158B" w14:textId="77777777" w:rsidR="004C3B0A" w:rsidRDefault="004C3B0A" w:rsidP="000C3F62">
      <w:pPr>
        <w:spacing w:line="360" w:lineRule="auto"/>
        <w:rPr>
          <w:rFonts w:ascii="Arial" w:hAnsi="Arial" w:cs="Arial"/>
          <w:sz w:val="22"/>
          <w:szCs w:val="22"/>
        </w:rPr>
      </w:pPr>
    </w:p>
    <w:p w14:paraId="09F927AA" w14:textId="77777777" w:rsidR="00D97BB5" w:rsidRDefault="00D97BB5" w:rsidP="00D97BB5">
      <w:pPr>
        <w:spacing w:line="360" w:lineRule="auto"/>
        <w:rPr>
          <w:rFonts w:ascii="Arial" w:hAnsi="Arial" w:cs="Arial"/>
          <w:b/>
          <w:bCs/>
          <w:sz w:val="22"/>
          <w:szCs w:val="22"/>
          <w:lang w:val="nl-NL"/>
        </w:rPr>
      </w:pPr>
      <w:bookmarkStart w:id="0" w:name="_Toc243492028"/>
    </w:p>
    <w:p w14:paraId="0379D70C" w14:textId="77777777" w:rsidR="00D97BB5" w:rsidRDefault="00D97BB5" w:rsidP="00D97BB5">
      <w:pPr>
        <w:spacing w:line="360" w:lineRule="auto"/>
        <w:rPr>
          <w:rFonts w:ascii="Arial" w:hAnsi="Arial" w:cs="Arial"/>
          <w:b/>
          <w:bCs/>
          <w:sz w:val="22"/>
          <w:szCs w:val="22"/>
          <w:lang w:val="nl-NL"/>
        </w:rPr>
      </w:pPr>
    </w:p>
    <w:p w14:paraId="2FAC9E86" w14:textId="77777777" w:rsidR="00D97BB5" w:rsidRDefault="00D97BB5" w:rsidP="00D97BB5">
      <w:pPr>
        <w:spacing w:line="360" w:lineRule="auto"/>
        <w:rPr>
          <w:rFonts w:ascii="Arial" w:hAnsi="Arial" w:cs="Arial"/>
          <w:b/>
          <w:bCs/>
          <w:sz w:val="22"/>
          <w:szCs w:val="22"/>
          <w:lang w:val="nl-NL"/>
        </w:rPr>
      </w:pPr>
    </w:p>
    <w:p w14:paraId="1A76C58B" w14:textId="77777777" w:rsidR="00D97BB5" w:rsidRDefault="00D97BB5" w:rsidP="00D97BB5">
      <w:pPr>
        <w:spacing w:line="360" w:lineRule="auto"/>
        <w:rPr>
          <w:rFonts w:ascii="Arial" w:hAnsi="Arial" w:cs="Arial"/>
          <w:b/>
          <w:bCs/>
          <w:sz w:val="22"/>
          <w:szCs w:val="22"/>
          <w:lang w:val="nl-NL"/>
        </w:rPr>
      </w:pPr>
    </w:p>
    <w:p w14:paraId="63B407C3" w14:textId="77777777" w:rsidR="00D97BB5" w:rsidRDefault="00D97BB5" w:rsidP="00D97BB5">
      <w:pPr>
        <w:spacing w:line="360" w:lineRule="auto"/>
        <w:rPr>
          <w:rFonts w:ascii="Arial" w:hAnsi="Arial" w:cs="Arial"/>
          <w:b/>
          <w:bCs/>
          <w:sz w:val="22"/>
          <w:szCs w:val="22"/>
          <w:lang w:val="nl-NL"/>
        </w:rPr>
      </w:pPr>
    </w:p>
    <w:p w14:paraId="26D8BD42" w14:textId="77777777" w:rsidR="00D97BB5" w:rsidRDefault="00D97BB5" w:rsidP="00D97BB5">
      <w:pPr>
        <w:spacing w:line="360" w:lineRule="auto"/>
        <w:rPr>
          <w:rFonts w:ascii="Arial" w:hAnsi="Arial" w:cs="Arial"/>
          <w:b/>
          <w:bCs/>
          <w:sz w:val="22"/>
          <w:szCs w:val="22"/>
          <w:lang w:val="nl-NL"/>
        </w:rPr>
      </w:pPr>
    </w:p>
    <w:p w14:paraId="56E20C3D" w14:textId="77777777" w:rsidR="00D97BB5" w:rsidRDefault="00D97BB5" w:rsidP="00D97BB5">
      <w:pPr>
        <w:spacing w:line="360" w:lineRule="auto"/>
        <w:rPr>
          <w:rFonts w:ascii="Arial" w:hAnsi="Arial" w:cs="Arial"/>
          <w:b/>
          <w:bCs/>
          <w:sz w:val="22"/>
          <w:szCs w:val="22"/>
          <w:lang w:val="nl-NL"/>
        </w:rPr>
      </w:pPr>
    </w:p>
    <w:p w14:paraId="44C1FBEA" w14:textId="77777777" w:rsidR="00D97BB5" w:rsidRDefault="00D97BB5" w:rsidP="00D97BB5">
      <w:pPr>
        <w:spacing w:line="360" w:lineRule="auto"/>
        <w:rPr>
          <w:rFonts w:ascii="Arial" w:hAnsi="Arial" w:cs="Arial"/>
          <w:b/>
          <w:bCs/>
          <w:sz w:val="22"/>
          <w:szCs w:val="22"/>
          <w:lang w:val="nl-NL"/>
        </w:rPr>
      </w:pPr>
    </w:p>
    <w:p w14:paraId="0D4DC9C5" w14:textId="77777777" w:rsidR="00D97BB5" w:rsidRDefault="00D97BB5" w:rsidP="00D97BB5">
      <w:pPr>
        <w:spacing w:line="360" w:lineRule="auto"/>
        <w:rPr>
          <w:rFonts w:ascii="Arial" w:hAnsi="Arial" w:cs="Arial"/>
          <w:b/>
          <w:bCs/>
          <w:sz w:val="22"/>
          <w:szCs w:val="22"/>
          <w:lang w:val="nl-NL"/>
        </w:rPr>
      </w:pPr>
    </w:p>
    <w:p w14:paraId="74D91331" w14:textId="77777777" w:rsidR="00652A28" w:rsidRDefault="00652A28" w:rsidP="00D97BB5">
      <w:pPr>
        <w:spacing w:line="360" w:lineRule="auto"/>
        <w:rPr>
          <w:rFonts w:ascii="Arial" w:hAnsi="Arial" w:cs="Arial"/>
          <w:b/>
          <w:bCs/>
          <w:sz w:val="22"/>
          <w:szCs w:val="22"/>
          <w:lang w:val="nl-NL"/>
        </w:rPr>
      </w:pPr>
    </w:p>
    <w:p w14:paraId="3D7C4B00" w14:textId="140DEA10" w:rsidR="00D97BB5" w:rsidRPr="00652A28" w:rsidRDefault="00D97BB5" w:rsidP="00652A28">
      <w:pPr>
        <w:spacing w:line="360" w:lineRule="auto"/>
        <w:rPr>
          <w:rFonts w:ascii="Arial" w:hAnsi="Arial" w:cs="Arial"/>
          <w:b/>
          <w:bCs/>
          <w:sz w:val="28"/>
          <w:szCs w:val="28"/>
          <w:lang w:val="en-US"/>
        </w:rPr>
      </w:pPr>
      <w:r w:rsidRPr="00652A28">
        <w:rPr>
          <w:rFonts w:ascii="Arial" w:hAnsi="Arial" w:cs="Arial"/>
          <w:b/>
          <w:bCs/>
          <w:sz w:val="28"/>
          <w:szCs w:val="28"/>
          <w:lang w:val="nl-NL"/>
        </w:rPr>
        <w:lastRenderedPageBreak/>
        <w:t>References</w:t>
      </w:r>
      <w:bookmarkEnd w:id="0"/>
    </w:p>
    <w:p w14:paraId="64560F3F" w14:textId="77777777" w:rsidR="00D97BB5" w:rsidRPr="00D9785D" w:rsidRDefault="00D97BB5" w:rsidP="00D9785D">
      <w:pPr>
        <w:spacing w:line="360" w:lineRule="auto"/>
        <w:rPr>
          <w:rFonts w:ascii="Arial" w:hAnsi="Arial" w:cs="Arial"/>
          <w:sz w:val="22"/>
          <w:szCs w:val="22"/>
          <w:lang w:val="en-US"/>
        </w:rPr>
      </w:pPr>
      <w:r w:rsidRPr="00D9785D">
        <w:rPr>
          <w:rFonts w:ascii="Arial" w:hAnsi="Arial" w:cs="Arial"/>
          <w:sz w:val="22"/>
          <w:szCs w:val="22"/>
          <w:lang w:val="en-US"/>
        </w:rPr>
        <w:t xml:space="preserve">Ahmad, N. (2024) “Sesi 1-Integrating Islamic Religious Perspectives into Mental Health Legislation: A Holistic Approach to Human Rights and Well-being in Brunei Darussalam,” </w:t>
      </w:r>
      <w:hyperlink r:id="rId10" w:history="1">
        <w:r w:rsidRPr="00D9785D">
          <w:rPr>
            <w:rStyle w:val="Hyperlink"/>
            <w:rFonts w:ascii="Arial" w:hAnsi="Arial" w:cs="Arial"/>
            <w:sz w:val="22"/>
            <w:szCs w:val="22"/>
            <w:lang w:val="en-US"/>
          </w:rPr>
          <w:t>https://doi.org/10.13140/RG.2.2.31339.96804</w:t>
        </w:r>
      </w:hyperlink>
      <w:r w:rsidRPr="00D9785D">
        <w:rPr>
          <w:rFonts w:ascii="Arial" w:hAnsi="Arial" w:cs="Arial"/>
          <w:sz w:val="22"/>
          <w:szCs w:val="22"/>
          <w:lang w:val="en-US"/>
        </w:rPr>
        <w:t xml:space="preserve"> </w:t>
      </w:r>
    </w:p>
    <w:p w14:paraId="5493D255" w14:textId="77777777" w:rsidR="00D97BB5" w:rsidRPr="00D9785D" w:rsidRDefault="00D97BB5" w:rsidP="00D9785D">
      <w:pPr>
        <w:spacing w:line="360" w:lineRule="auto"/>
        <w:rPr>
          <w:rFonts w:ascii="Arial" w:hAnsi="Arial" w:cs="Arial"/>
          <w:sz w:val="22"/>
          <w:szCs w:val="22"/>
          <w:lang w:val="en-US"/>
        </w:rPr>
      </w:pPr>
      <w:r w:rsidRPr="00D9785D">
        <w:rPr>
          <w:rFonts w:ascii="Arial" w:hAnsi="Arial" w:cs="Arial"/>
          <w:sz w:val="22"/>
          <w:szCs w:val="22"/>
        </w:rPr>
        <w:t>Alnes, R. E., Malmedal, W., Nordtug, B., Steinsheim, G., and Blindheim, K. (2022) “</w:t>
      </w:r>
      <w:r w:rsidRPr="00D9785D">
        <w:rPr>
          <w:rFonts w:ascii="Arial" w:hAnsi="Arial" w:cs="Arial"/>
          <w:sz w:val="22"/>
          <w:szCs w:val="22"/>
          <w:lang w:val="en-US"/>
        </w:rPr>
        <w:t xml:space="preserve">Improving everyday life of people with dementia living at home: Health care professionals' experiences,” </w:t>
      </w:r>
      <w:r w:rsidRPr="00D9785D">
        <w:rPr>
          <w:rFonts w:ascii="Arial" w:hAnsi="Arial" w:cs="Arial"/>
          <w:i/>
          <w:iCs/>
          <w:sz w:val="22"/>
          <w:szCs w:val="22"/>
          <w:lang w:val="en-US"/>
        </w:rPr>
        <w:t>Journal of nursing management</w:t>
      </w:r>
      <w:r w:rsidRPr="00D9785D">
        <w:rPr>
          <w:rFonts w:ascii="Arial" w:hAnsi="Arial" w:cs="Arial"/>
          <w:sz w:val="22"/>
          <w:szCs w:val="22"/>
          <w:lang w:val="en-US"/>
        </w:rPr>
        <w:t xml:space="preserve">, </w:t>
      </w:r>
      <w:r w:rsidRPr="00D9785D">
        <w:rPr>
          <w:rFonts w:ascii="Arial" w:hAnsi="Arial" w:cs="Arial"/>
          <w:i/>
          <w:iCs/>
          <w:sz w:val="22"/>
          <w:szCs w:val="22"/>
          <w:lang w:val="en-US"/>
        </w:rPr>
        <w:t>30</w:t>
      </w:r>
      <w:r w:rsidRPr="00D9785D">
        <w:rPr>
          <w:rFonts w:ascii="Arial" w:hAnsi="Arial" w:cs="Arial"/>
          <w:sz w:val="22"/>
          <w:szCs w:val="22"/>
          <w:lang w:val="en-US"/>
        </w:rPr>
        <w:t xml:space="preserve">(7), 3628-3636. </w:t>
      </w:r>
      <w:hyperlink r:id="rId11" w:history="1">
        <w:r w:rsidRPr="00D9785D">
          <w:rPr>
            <w:rStyle w:val="Hyperlink"/>
            <w:rFonts w:ascii="Arial" w:hAnsi="Arial" w:cs="Arial"/>
            <w:sz w:val="22"/>
            <w:szCs w:val="22"/>
            <w:lang w:val="en-US"/>
          </w:rPr>
          <w:t>https://doi.org/10.1111/jonm.13819</w:t>
        </w:r>
      </w:hyperlink>
      <w:r w:rsidRPr="00D9785D">
        <w:rPr>
          <w:rFonts w:ascii="Arial" w:hAnsi="Arial" w:cs="Arial"/>
          <w:sz w:val="22"/>
          <w:szCs w:val="22"/>
          <w:lang w:val="en-US"/>
        </w:rPr>
        <w:t xml:space="preserve"> </w:t>
      </w:r>
    </w:p>
    <w:p w14:paraId="45F8D6AD" w14:textId="77777777" w:rsidR="00D97BB5" w:rsidRPr="00D9785D" w:rsidRDefault="00D97BB5" w:rsidP="00D9785D">
      <w:pPr>
        <w:spacing w:line="360" w:lineRule="auto"/>
        <w:rPr>
          <w:rFonts w:ascii="Arial" w:hAnsi="Arial" w:cs="Arial"/>
          <w:sz w:val="22"/>
          <w:szCs w:val="22"/>
          <w:lang w:val="en-US"/>
        </w:rPr>
      </w:pPr>
      <w:r w:rsidRPr="00D9785D">
        <w:rPr>
          <w:rFonts w:ascii="Arial" w:hAnsi="Arial" w:cs="Arial"/>
          <w:sz w:val="22"/>
          <w:szCs w:val="22"/>
          <w:lang w:val="en-US"/>
        </w:rPr>
        <w:t xml:space="preserve">Bage, R. (2026) “Person-Centred Care,” In </w:t>
      </w:r>
      <w:r w:rsidRPr="00D9785D">
        <w:rPr>
          <w:rFonts w:ascii="Arial" w:hAnsi="Arial" w:cs="Arial"/>
          <w:i/>
          <w:iCs/>
          <w:sz w:val="22"/>
          <w:szCs w:val="22"/>
          <w:lang w:val="en-US"/>
        </w:rPr>
        <w:t>Mental Health Skills for Adult Nurses and Non-Specialist Healthcare Workers</w:t>
      </w:r>
      <w:r w:rsidRPr="00D9785D">
        <w:rPr>
          <w:rFonts w:ascii="Arial" w:hAnsi="Arial" w:cs="Arial"/>
          <w:sz w:val="22"/>
          <w:szCs w:val="22"/>
          <w:lang w:val="en-US"/>
        </w:rPr>
        <w:t xml:space="preserve"> (pp. 27-48). Cham: Springer Nature Switzerland. </w:t>
      </w:r>
      <w:hyperlink r:id="rId12" w:history="1">
        <w:r w:rsidRPr="00D9785D">
          <w:rPr>
            <w:rStyle w:val="Hyperlink"/>
            <w:rFonts w:ascii="Arial" w:hAnsi="Arial" w:cs="Arial"/>
            <w:sz w:val="22"/>
            <w:szCs w:val="22"/>
            <w:lang w:val="en-US"/>
          </w:rPr>
          <w:t>https://doi.org/10.1007/978-3-032-32835-9_2</w:t>
        </w:r>
      </w:hyperlink>
      <w:r w:rsidRPr="00D9785D">
        <w:rPr>
          <w:rFonts w:ascii="Arial" w:hAnsi="Arial" w:cs="Arial"/>
          <w:sz w:val="22"/>
          <w:szCs w:val="22"/>
          <w:lang w:val="en-US"/>
        </w:rPr>
        <w:t xml:space="preserve"> </w:t>
      </w:r>
    </w:p>
    <w:p w14:paraId="765095D8" w14:textId="77777777" w:rsidR="00D97BB5" w:rsidRPr="00D9785D" w:rsidRDefault="00D97BB5" w:rsidP="00D9785D">
      <w:pPr>
        <w:spacing w:line="360" w:lineRule="auto"/>
        <w:rPr>
          <w:rFonts w:ascii="Arial" w:hAnsi="Arial" w:cs="Arial"/>
          <w:sz w:val="22"/>
          <w:szCs w:val="22"/>
          <w:lang w:val="en-US"/>
        </w:rPr>
      </w:pPr>
      <w:r w:rsidRPr="00D9785D">
        <w:rPr>
          <w:rFonts w:ascii="Arial" w:hAnsi="Arial" w:cs="Arial"/>
          <w:sz w:val="22"/>
          <w:szCs w:val="22"/>
          <w:lang w:val="en-US"/>
        </w:rPr>
        <w:t xml:space="preserve">Bayuo, J., Kyei Baffour, P., Oduro, E. B., and Marfo, E. A. (2026) “Gigification of nursing services in the United States, the United Kingdom, and Canada: legal, ethical, and policy implications,” </w:t>
      </w:r>
      <w:r w:rsidRPr="00D9785D">
        <w:rPr>
          <w:rFonts w:ascii="Arial" w:hAnsi="Arial" w:cs="Arial"/>
          <w:i/>
          <w:iCs/>
          <w:sz w:val="22"/>
          <w:szCs w:val="22"/>
          <w:lang w:val="en-US"/>
        </w:rPr>
        <w:t>Policy, Politics, and Nursing Practice</w:t>
      </w:r>
      <w:r w:rsidRPr="00D9785D">
        <w:rPr>
          <w:rFonts w:ascii="Arial" w:hAnsi="Arial" w:cs="Arial"/>
          <w:sz w:val="22"/>
          <w:szCs w:val="22"/>
          <w:lang w:val="en-US"/>
        </w:rPr>
        <w:t xml:space="preserve">, </w:t>
      </w:r>
      <w:r w:rsidRPr="00D9785D">
        <w:rPr>
          <w:rFonts w:ascii="Arial" w:hAnsi="Arial" w:cs="Arial"/>
          <w:i/>
          <w:iCs/>
          <w:sz w:val="22"/>
          <w:szCs w:val="22"/>
          <w:lang w:val="en-US"/>
        </w:rPr>
        <w:t>27</w:t>
      </w:r>
      <w:r w:rsidRPr="00D9785D">
        <w:rPr>
          <w:rFonts w:ascii="Arial" w:hAnsi="Arial" w:cs="Arial"/>
          <w:sz w:val="22"/>
          <w:szCs w:val="22"/>
          <w:lang w:val="en-US"/>
        </w:rPr>
        <w:t xml:space="preserve">(3), 213-227. </w:t>
      </w:r>
      <w:hyperlink r:id="rId13" w:history="1">
        <w:r w:rsidRPr="00D9785D">
          <w:rPr>
            <w:rStyle w:val="Hyperlink"/>
            <w:rFonts w:ascii="Arial" w:hAnsi="Arial" w:cs="Arial"/>
            <w:sz w:val="22"/>
            <w:szCs w:val="22"/>
            <w:lang w:val="en-US"/>
          </w:rPr>
          <w:t>https://doi.org/10.1177/15271544261441590</w:t>
        </w:r>
      </w:hyperlink>
      <w:r w:rsidRPr="00D9785D">
        <w:rPr>
          <w:rFonts w:ascii="Arial" w:hAnsi="Arial" w:cs="Arial"/>
          <w:sz w:val="22"/>
          <w:szCs w:val="22"/>
          <w:lang w:val="en-US"/>
        </w:rPr>
        <w:t xml:space="preserve"> </w:t>
      </w:r>
    </w:p>
    <w:p w14:paraId="0C9167FF" w14:textId="77777777" w:rsidR="00D97BB5" w:rsidRPr="00D9785D" w:rsidRDefault="00D97BB5" w:rsidP="00D9785D">
      <w:pPr>
        <w:spacing w:line="360" w:lineRule="auto"/>
        <w:rPr>
          <w:rFonts w:ascii="Arial" w:hAnsi="Arial" w:cs="Arial"/>
          <w:sz w:val="22"/>
          <w:szCs w:val="22"/>
          <w:lang w:val="en-US"/>
        </w:rPr>
      </w:pPr>
      <w:r w:rsidRPr="00D9785D">
        <w:rPr>
          <w:rFonts w:ascii="Arial" w:hAnsi="Arial" w:cs="Arial"/>
          <w:sz w:val="22"/>
          <w:szCs w:val="22"/>
        </w:rPr>
        <w:t>Gizaw, Z., Astale, T., and Kassie, G. M. (2022) “</w:t>
      </w:r>
      <w:r w:rsidRPr="00D9785D">
        <w:rPr>
          <w:rFonts w:ascii="Arial" w:hAnsi="Arial" w:cs="Arial"/>
          <w:sz w:val="22"/>
          <w:szCs w:val="22"/>
          <w:lang w:val="en-US"/>
        </w:rPr>
        <w:t xml:space="preserve">What improves access to primary healthcare services in rural communities? A systematic review,” </w:t>
      </w:r>
      <w:r w:rsidRPr="00D9785D">
        <w:rPr>
          <w:rFonts w:ascii="Arial" w:hAnsi="Arial" w:cs="Arial"/>
          <w:i/>
          <w:iCs/>
          <w:sz w:val="22"/>
          <w:szCs w:val="22"/>
          <w:lang w:val="en-US"/>
        </w:rPr>
        <w:t>BMC primary care</w:t>
      </w:r>
      <w:r w:rsidRPr="00D9785D">
        <w:rPr>
          <w:rFonts w:ascii="Arial" w:hAnsi="Arial" w:cs="Arial"/>
          <w:sz w:val="22"/>
          <w:szCs w:val="22"/>
          <w:lang w:val="en-US"/>
        </w:rPr>
        <w:t xml:space="preserve">, </w:t>
      </w:r>
      <w:r w:rsidRPr="00D9785D">
        <w:rPr>
          <w:rFonts w:ascii="Arial" w:hAnsi="Arial" w:cs="Arial"/>
          <w:i/>
          <w:iCs/>
          <w:sz w:val="22"/>
          <w:szCs w:val="22"/>
          <w:lang w:val="en-US"/>
        </w:rPr>
        <w:t>23</w:t>
      </w:r>
      <w:r w:rsidRPr="00D9785D">
        <w:rPr>
          <w:rFonts w:ascii="Arial" w:hAnsi="Arial" w:cs="Arial"/>
          <w:sz w:val="22"/>
          <w:szCs w:val="22"/>
          <w:lang w:val="en-US"/>
        </w:rPr>
        <w:t xml:space="preserve">(1), 313. </w:t>
      </w:r>
      <w:hyperlink r:id="rId14" w:history="1">
        <w:r w:rsidRPr="00D9785D">
          <w:rPr>
            <w:rStyle w:val="Hyperlink"/>
            <w:rFonts w:ascii="Arial" w:hAnsi="Arial" w:cs="Arial"/>
            <w:sz w:val="22"/>
            <w:szCs w:val="22"/>
            <w:lang w:val="en-US"/>
          </w:rPr>
          <w:t>https://doi.org/10.1186/s12875-022-01919-0?urlappend=%3Futm_source%3Dresearchgate.net%26utm_medium%3Darticle</w:t>
        </w:r>
      </w:hyperlink>
      <w:r w:rsidRPr="00D9785D">
        <w:rPr>
          <w:rFonts w:ascii="Arial" w:hAnsi="Arial" w:cs="Arial"/>
          <w:sz w:val="22"/>
          <w:szCs w:val="22"/>
          <w:lang w:val="en-US"/>
        </w:rPr>
        <w:t xml:space="preserve"> </w:t>
      </w:r>
    </w:p>
    <w:p w14:paraId="414F6419" w14:textId="77777777" w:rsidR="00D97BB5" w:rsidRPr="00D9785D" w:rsidRDefault="00D97BB5" w:rsidP="00D9785D">
      <w:pPr>
        <w:spacing w:line="360" w:lineRule="auto"/>
        <w:rPr>
          <w:rFonts w:ascii="Arial" w:hAnsi="Arial" w:cs="Arial"/>
          <w:sz w:val="22"/>
          <w:szCs w:val="22"/>
          <w:lang w:val="en-US"/>
        </w:rPr>
      </w:pPr>
      <w:r w:rsidRPr="00D9785D">
        <w:rPr>
          <w:rFonts w:ascii="Arial" w:hAnsi="Arial" w:cs="Arial"/>
          <w:sz w:val="22"/>
          <w:szCs w:val="22"/>
          <w:lang w:val="en-US"/>
        </w:rPr>
        <w:t xml:space="preserve">Holmberg, B., and Godskesen, T. (2022) “Dignity in bodily care at the end of life in a nursing home: an ethnographic study,” </w:t>
      </w:r>
      <w:r w:rsidRPr="00D9785D">
        <w:rPr>
          <w:rFonts w:ascii="Arial" w:hAnsi="Arial" w:cs="Arial"/>
          <w:i/>
          <w:iCs/>
          <w:sz w:val="22"/>
          <w:szCs w:val="22"/>
          <w:lang w:val="en-US"/>
        </w:rPr>
        <w:t>BMC geriatrics</w:t>
      </w:r>
      <w:r w:rsidRPr="00D9785D">
        <w:rPr>
          <w:rFonts w:ascii="Arial" w:hAnsi="Arial" w:cs="Arial"/>
          <w:sz w:val="22"/>
          <w:szCs w:val="22"/>
          <w:lang w:val="en-US"/>
        </w:rPr>
        <w:t xml:space="preserve">, </w:t>
      </w:r>
      <w:r w:rsidRPr="00D9785D">
        <w:rPr>
          <w:rFonts w:ascii="Arial" w:hAnsi="Arial" w:cs="Arial"/>
          <w:i/>
          <w:iCs/>
          <w:sz w:val="22"/>
          <w:szCs w:val="22"/>
          <w:lang w:val="en-US"/>
        </w:rPr>
        <w:t>22</w:t>
      </w:r>
      <w:r w:rsidRPr="00D9785D">
        <w:rPr>
          <w:rFonts w:ascii="Arial" w:hAnsi="Arial" w:cs="Arial"/>
          <w:sz w:val="22"/>
          <w:szCs w:val="22"/>
          <w:lang w:val="en-US"/>
        </w:rPr>
        <w:t xml:space="preserve">(1), 593. </w:t>
      </w:r>
      <w:hyperlink r:id="rId15" w:history="1">
        <w:r w:rsidRPr="00D9785D">
          <w:rPr>
            <w:rStyle w:val="Hyperlink"/>
            <w:rFonts w:ascii="Arial" w:hAnsi="Arial" w:cs="Arial"/>
            <w:sz w:val="22"/>
            <w:szCs w:val="22"/>
            <w:lang w:val="en-US"/>
          </w:rPr>
          <w:t>https://doi.org/10.1186/s12877-022-03244-8?urlappend=%3Futm_source%3Dresearchgate.net%26utm_medium%3Darticle</w:t>
        </w:r>
      </w:hyperlink>
      <w:r w:rsidRPr="00D9785D">
        <w:rPr>
          <w:rFonts w:ascii="Arial" w:hAnsi="Arial" w:cs="Arial"/>
          <w:sz w:val="22"/>
          <w:szCs w:val="22"/>
          <w:lang w:val="en-US"/>
        </w:rPr>
        <w:t xml:space="preserve"> </w:t>
      </w:r>
    </w:p>
    <w:p w14:paraId="1DBFF158" w14:textId="77777777" w:rsidR="00D97BB5" w:rsidRPr="00D9785D" w:rsidRDefault="00D97BB5" w:rsidP="00D9785D">
      <w:pPr>
        <w:spacing w:line="360" w:lineRule="auto"/>
        <w:rPr>
          <w:rFonts w:ascii="Arial" w:hAnsi="Arial" w:cs="Arial"/>
          <w:sz w:val="22"/>
          <w:szCs w:val="22"/>
          <w:lang w:val="en-US"/>
        </w:rPr>
      </w:pPr>
      <w:r w:rsidRPr="00D9785D">
        <w:rPr>
          <w:rFonts w:ascii="Arial" w:hAnsi="Arial" w:cs="Arial"/>
          <w:sz w:val="22"/>
          <w:szCs w:val="22"/>
          <w:lang w:val="en-US"/>
        </w:rPr>
        <w:t xml:space="preserve">Hormazabal-Salgado, R., Whitehead, D., Osman, A. D., and Hills, D. (2024) “Person-centred decision-making in mental health: A scoping review,” </w:t>
      </w:r>
      <w:r w:rsidRPr="00D9785D">
        <w:rPr>
          <w:rFonts w:ascii="Arial" w:hAnsi="Arial" w:cs="Arial"/>
          <w:i/>
          <w:iCs/>
          <w:sz w:val="22"/>
          <w:szCs w:val="22"/>
          <w:lang w:val="en-US"/>
        </w:rPr>
        <w:t>Issues in Mental Health Nursing</w:t>
      </w:r>
      <w:r w:rsidRPr="00D9785D">
        <w:rPr>
          <w:rFonts w:ascii="Arial" w:hAnsi="Arial" w:cs="Arial"/>
          <w:sz w:val="22"/>
          <w:szCs w:val="22"/>
          <w:lang w:val="en-US"/>
        </w:rPr>
        <w:t xml:space="preserve">, </w:t>
      </w:r>
      <w:r w:rsidRPr="00D9785D">
        <w:rPr>
          <w:rFonts w:ascii="Arial" w:hAnsi="Arial" w:cs="Arial"/>
          <w:i/>
          <w:iCs/>
          <w:sz w:val="22"/>
          <w:szCs w:val="22"/>
          <w:lang w:val="en-US"/>
        </w:rPr>
        <w:t>45</w:t>
      </w:r>
      <w:r w:rsidRPr="00D9785D">
        <w:rPr>
          <w:rFonts w:ascii="Arial" w:hAnsi="Arial" w:cs="Arial"/>
          <w:sz w:val="22"/>
          <w:szCs w:val="22"/>
          <w:lang w:val="en-US"/>
        </w:rPr>
        <w:t xml:space="preserve">(3), 294-310. </w:t>
      </w:r>
      <w:hyperlink r:id="rId16" w:history="1">
        <w:r w:rsidRPr="00D9785D">
          <w:rPr>
            <w:rStyle w:val="Hyperlink"/>
            <w:rFonts w:ascii="Arial" w:hAnsi="Arial" w:cs="Arial"/>
            <w:sz w:val="22"/>
            <w:szCs w:val="22"/>
            <w:lang w:val="en-US"/>
          </w:rPr>
          <w:t>https://doi.org/10.1080/01612840.2023.2288181</w:t>
        </w:r>
      </w:hyperlink>
      <w:r w:rsidRPr="00D9785D">
        <w:rPr>
          <w:rFonts w:ascii="Arial" w:hAnsi="Arial" w:cs="Arial"/>
          <w:sz w:val="22"/>
          <w:szCs w:val="22"/>
          <w:lang w:val="en-US"/>
        </w:rPr>
        <w:t xml:space="preserve"> </w:t>
      </w:r>
    </w:p>
    <w:p w14:paraId="679A83C6" w14:textId="77777777" w:rsidR="00D97BB5" w:rsidRPr="00D9785D" w:rsidRDefault="00D97BB5" w:rsidP="00D9785D">
      <w:pPr>
        <w:spacing w:line="360" w:lineRule="auto"/>
        <w:rPr>
          <w:rFonts w:ascii="Arial" w:hAnsi="Arial" w:cs="Arial"/>
          <w:sz w:val="22"/>
          <w:szCs w:val="22"/>
          <w:lang w:val="en-US"/>
        </w:rPr>
      </w:pPr>
      <w:r w:rsidRPr="00D9785D">
        <w:rPr>
          <w:rFonts w:ascii="Arial" w:hAnsi="Arial" w:cs="Arial"/>
          <w:sz w:val="22"/>
          <w:szCs w:val="22"/>
          <w:lang w:val="en-US"/>
        </w:rPr>
        <w:t xml:space="preserve">Jindal, M., Chaiyachati, K. H., Fung, V., Manson, S. M., and Mortensen, K. (2023) “Eliminating health care inequities through strengthening access to care,” </w:t>
      </w:r>
      <w:r w:rsidRPr="00D9785D">
        <w:rPr>
          <w:rFonts w:ascii="Arial" w:hAnsi="Arial" w:cs="Arial"/>
          <w:i/>
          <w:iCs/>
          <w:sz w:val="22"/>
          <w:szCs w:val="22"/>
          <w:lang w:val="en-US"/>
        </w:rPr>
        <w:t>Health services research</w:t>
      </w:r>
      <w:r w:rsidRPr="00D9785D">
        <w:rPr>
          <w:rFonts w:ascii="Arial" w:hAnsi="Arial" w:cs="Arial"/>
          <w:sz w:val="22"/>
          <w:szCs w:val="22"/>
          <w:lang w:val="en-US"/>
        </w:rPr>
        <w:t xml:space="preserve">, </w:t>
      </w:r>
      <w:r w:rsidRPr="00D9785D">
        <w:rPr>
          <w:rFonts w:ascii="Arial" w:hAnsi="Arial" w:cs="Arial"/>
          <w:i/>
          <w:iCs/>
          <w:sz w:val="22"/>
          <w:szCs w:val="22"/>
          <w:lang w:val="en-US"/>
        </w:rPr>
        <w:t>58</w:t>
      </w:r>
      <w:r w:rsidRPr="00D9785D">
        <w:rPr>
          <w:rFonts w:ascii="Arial" w:hAnsi="Arial" w:cs="Arial"/>
          <w:sz w:val="22"/>
          <w:szCs w:val="22"/>
          <w:lang w:val="en-US"/>
        </w:rPr>
        <w:t xml:space="preserve">, 300-310. </w:t>
      </w:r>
      <w:hyperlink r:id="rId17" w:history="1">
        <w:r w:rsidRPr="00D9785D">
          <w:rPr>
            <w:rStyle w:val="Hyperlink"/>
            <w:rFonts w:ascii="Arial" w:hAnsi="Arial" w:cs="Arial"/>
            <w:sz w:val="22"/>
            <w:szCs w:val="22"/>
            <w:lang w:val="en-US"/>
          </w:rPr>
          <w:t>https://doi.org/10.1111/1475-6773.14202</w:t>
        </w:r>
      </w:hyperlink>
      <w:r w:rsidRPr="00D9785D">
        <w:rPr>
          <w:rFonts w:ascii="Arial" w:hAnsi="Arial" w:cs="Arial"/>
          <w:sz w:val="22"/>
          <w:szCs w:val="22"/>
          <w:lang w:val="en-US"/>
        </w:rPr>
        <w:t xml:space="preserve"> </w:t>
      </w:r>
    </w:p>
    <w:p w14:paraId="2DBE35B9" w14:textId="77777777" w:rsidR="00D97BB5" w:rsidRPr="00D9785D" w:rsidRDefault="00D97BB5" w:rsidP="00D9785D">
      <w:pPr>
        <w:spacing w:line="360" w:lineRule="auto"/>
        <w:rPr>
          <w:rFonts w:ascii="Arial" w:hAnsi="Arial" w:cs="Arial"/>
          <w:sz w:val="22"/>
          <w:szCs w:val="22"/>
          <w:lang w:val="en-US"/>
        </w:rPr>
      </w:pPr>
      <w:r w:rsidRPr="00D9785D">
        <w:rPr>
          <w:rFonts w:ascii="Arial" w:hAnsi="Arial" w:cs="Arial"/>
          <w:sz w:val="22"/>
          <w:szCs w:val="22"/>
          <w:lang w:val="en-US"/>
        </w:rPr>
        <w:t>Kelly, Y., Gannon, J., Bassul, C., Williams, M., Morrissey, D., McKee, J., ... and Flynn, R. (2024) “Applying a Human Rights</w:t>
      </w:r>
      <w:r w:rsidRPr="00D9785D">
        <w:rPr>
          <w:rFonts w:ascii="Cambria Math" w:hAnsi="Cambria Math" w:cs="Cambria Math"/>
          <w:sz w:val="22"/>
          <w:szCs w:val="22"/>
          <w:lang w:val="en-US"/>
        </w:rPr>
        <w:t>‐</w:t>
      </w:r>
      <w:r w:rsidRPr="00D9785D">
        <w:rPr>
          <w:rFonts w:ascii="Arial" w:hAnsi="Arial" w:cs="Arial"/>
          <w:sz w:val="22"/>
          <w:szCs w:val="22"/>
          <w:lang w:val="en-US"/>
        </w:rPr>
        <w:t xml:space="preserve">Based Approach to Formal Care and Support Provided in the Home: A Narrative Review,” </w:t>
      </w:r>
      <w:r w:rsidRPr="00D9785D">
        <w:rPr>
          <w:rFonts w:ascii="Arial" w:hAnsi="Arial" w:cs="Arial"/>
          <w:i/>
          <w:iCs/>
          <w:sz w:val="22"/>
          <w:szCs w:val="22"/>
          <w:lang w:val="en-US"/>
        </w:rPr>
        <w:t>Health and Social Care in the Community</w:t>
      </w:r>
      <w:r w:rsidRPr="00D9785D">
        <w:rPr>
          <w:rFonts w:ascii="Arial" w:hAnsi="Arial" w:cs="Arial"/>
          <w:sz w:val="22"/>
          <w:szCs w:val="22"/>
          <w:lang w:val="en-US"/>
        </w:rPr>
        <w:t xml:space="preserve">, </w:t>
      </w:r>
      <w:r w:rsidRPr="00D9785D">
        <w:rPr>
          <w:rFonts w:ascii="Arial" w:hAnsi="Arial" w:cs="Arial"/>
          <w:i/>
          <w:iCs/>
          <w:sz w:val="22"/>
          <w:szCs w:val="22"/>
          <w:lang w:val="en-US"/>
        </w:rPr>
        <w:t>2024</w:t>
      </w:r>
      <w:r w:rsidRPr="00D9785D">
        <w:rPr>
          <w:rFonts w:ascii="Arial" w:hAnsi="Arial" w:cs="Arial"/>
          <w:sz w:val="22"/>
          <w:szCs w:val="22"/>
          <w:lang w:val="en-US"/>
        </w:rPr>
        <w:t xml:space="preserve">(1), 6632018. </w:t>
      </w:r>
      <w:hyperlink r:id="rId18" w:history="1">
        <w:r w:rsidRPr="00D9785D">
          <w:rPr>
            <w:rStyle w:val="Hyperlink"/>
            <w:rFonts w:ascii="Arial" w:hAnsi="Arial" w:cs="Arial"/>
            <w:sz w:val="22"/>
            <w:szCs w:val="22"/>
            <w:lang w:val="en-US"/>
          </w:rPr>
          <w:t>https://doi.org/10.1155/2024/6632018?urlappend=%3Futm_source%3Dresearchgate.net%26utm_medium%3Darticle</w:t>
        </w:r>
      </w:hyperlink>
      <w:r w:rsidRPr="00D9785D">
        <w:rPr>
          <w:rFonts w:ascii="Arial" w:hAnsi="Arial" w:cs="Arial"/>
          <w:sz w:val="22"/>
          <w:szCs w:val="22"/>
          <w:lang w:val="en-US"/>
        </w:rPr>
        <w:t xml:space="preserve"> </w:t>
      </w:r>
    </w:p>
    <w:p w14:paraId="751FB82B" w14:textId="77777777" w:rsidR="00D97BB5" w:rsidRPr="00D9785D" w:rsidRDefault="00D97BB5" w:rsidP="00D9785D">
      <w:pPr>
        <w:spacing w:line="360" w:lineRule="auto"/>
        <w:rPr>
          <w:rFonts w:ascii="Arial" w:hAnsi="Arial" w:cs="Arial"/>
          <w:sz w:val="22"/>
          <w:szCs w:val="22"/>
          <w:lang w:val="en-US"/>
        </w:rPr>
      </w:pPr>
      <w:r w:rsidRPr="00D9785D">
        <w:rPr>
          <w:rFonts w:ascii="Arial" w:hAnsi="Arial" w:cs="Arial"/>
          <w:sz w:val="22"/>
          <w:szCs w:val="22"/>
          <w:lang w:val="en-US"/>
        </w:rPr>
        <w:t xml:space="preserve">Khatri, R., Endalamaw, A., Erku, D., Wolka, E., Nigatu, F., Zewdie, A., and Assefa, Y. (2023) “Continuity and care coordination of primary health care: a scoping review,” </w:t>
      </w:r>
      <w:r w:rsidRPr="00D9785D">
        <w:rPr>
          <w:rFonts w:ascii="Arial" w:hAnsi="Arial" w:cs="Arial"/>
          <w:i/>
          <w:iCs/>
          <w:sz w:val="22"/>
          <w:szCs w:val="22"/>
          <w:lang w:val="en-US"/>
        </w:rPr>
        <w:t>BMC health services research</w:t>
      </w:r>
      <w:r w:rsidRPr="00D9785D">
        <w:rPr>
          <w:rFonts w:ascii="Arial" w:hAnsi="Arial" w:cs="Arial"/>
          <w:sz w:val="22"/>
          <w:szCs w:val="22"/>
          <w:lang w:val="en-US"/>
        </w:rPr>
        <w:t xml:space="preserve">, </w:t>
      </w:r>
      <w:r w:rsidRPr="00D9785D">
        <w:rPr>
          <w:rFonts w:ascii="Arial" w:hAnsi="Arial" w:cs="Arial"/>
          <w:i/>
          <w:iCs/>
          <w:sz w:val="22"/>
          <w:szCs w:val="22"/>
          <w:lang w:val="en-US"/>
        </w:rPr>
        <w:t>23</w:t>
      </w:r>
      <w:r w:rsidRPr="00D9785D">
        <w:rPr>
          <w:rFonts w:ascii="Arial" w:hAnsi="Arial" w:cs="Arial"/>
          <w:sz w:val="22"/>
          <w:szCs w:val="22"/>
          <w:lang w:val="en-US"/>
        </w:rPr>
        <w:t xml:space="preserve">(1), 750. </w:t>
      </w:r>
      <w:hyperlink r:id="rId19" w:history="1">
        <w:r w:rsidRPr="00D9785D">
          <w:rPr>
            <w:rStyle w:val="Hyperlink"/>
            <w:rFonts w:ascii="Arial" w:hAnsi="Arial" w:cs="Arial"/>
            <w:sz w:val="22"/>
            <w:szCs w:val="22"/>
            <w:lang w:val="en-US"/>
          </w:rPr>
          <w:t>https://doi.org/10.1186/s12913-023-09718-8?urlappend=%3Futm_source%3Dresearchgate.net%26utm_medium%3Darticle</w:t>
        </w:r>
      </w:hyperlink>
      <w:r w:rsidRPr="00D9785D">
        <w:rPr>
          <w:rFonts w:ascii="Arial" w:hAnsi="Arial" w:cs="Arial"/>
          <w:sz w:val="22"/>
          <w:szCs w:val="22"/>
          <w:lang w:val="en-US"/>
        </w:rPr>
        <w:t xml:space="preserve"> </w:t>
      </w:r>
    </w:p>
    <w:p w14:paraId="5CE95224" w14:textId="77777777" w:rsidR="00D97BB5" w:rsidRPr="00D9785D" w:rsidRDefault="00D97BB5" w:rsidP="00D9785D">
      <w:pPr>
        <w:spacing w:line="360" w:lineRule="auto"/>
        <w:rPr>
          <w:rFonts w:ascii="Arial" w:hAnsi="Arial" w:cs="Arial"/>
          <w:sz w:val="22"/>
          <w:szCs w:val="22"/>
          <w:lang w:val="en-US"/>
        </w:rPr>
      </w:pPr>
      <w:r w:rsidRPr="00D9785D">
        <w:rPr>
          <w:rFonts w:ascii="Arial" w:hAnsi="Arial" w:cs="Arial"/>
          <w:sz w:val="22"/>
          <w:szCs w:val="22"/>
          <w:lang w:val="en-US"/>
        </w:rPr>
        <w:t xml:space="preserve">Moore, T. (2022) “Relationships and reciprocity; Where next for strengths-based social work in adult social care? </w:t>
      </w:r>
      <w:r w:rsidRPr="00D9785D">
        <w:rPr>
          <w:rFonts w:ascii="Arial" w:hAnsi="Arial" w:cs="Arial"/>
          <w:i/>
          <w:iCs/>
          <w:sz w:val="22"/>
          <w:szCs w:val="22"/>
          <w:lang w:val="en-US"/>
        </w:rPr>
        <w:t>Journal of Social Work Practice</w:t>
      </w:r>
      <w:r w:rsidRPr="00D9785D">
        <w:rPr>
          <w:rFonts w:ascii="Arial" w:hAnsi="Arial" w:cs="Arial"/>
          <w:sz w:val="22"/>
          <w:szCs w:val="22"/>
          <w:lang w:val="en-US"/>
        </w:rPr>
        <w:t xml:space="preserve">, </w:t>
      </w:r>
      <w:r w:rsidRPr="00D9785D">
        <w:rPr>
          <w:rFonts w:ascii="Arial" w:hAnsi="Arial" w:cs="Arial"/>
          <w:i/>
          <w:iCs/>
          <w:sz w:val="22"/>
          <w:szCs w:val="22"/>
          <w:lang w:val="en-US"/>
        </w:rPr>
        <w:t>36</w:t>
      </w:r>
      <w:r w:rsidRPr="00D9785D">
        <w:rPr>
          <w:rFonts w:ascii="Arial" w:hAnsi="Arial" w:cs="Arial"/>
          <w:sz w:val="22"/>
          <w:szCs w:val="22"/>
          <w:lang w:val="en-US"/>
        </w:rPr>
        <w:t>(4), 451-463,”</w:t>
      </w:r>
    </w:p>
    <w:p w14:paraId="7E01071E" w14:textId="77777777" w:rsidR="00D97BB5" w:rsidRPr="00D9785D" w:rsidRDefault="00D97BB5" w:rsidP="00D9785D">
      <w:pPr>
        <w:spacing w:line="360" w:lineRule="auto"/>
        <w:rPr>
          <w:rFonts w:ascii="Arial" w:hAnsi="Arial" w:cs="Arial"/>
          <w:sz w:val="22"/>
          <w:szCs w:val="22"/>
          <w:lang w:val="en-US"/>
        </w:rPr>
      </w:pPr>
      <w:r w:rsidRPr="00D9785D">
        <w:rPr>
          <w:rFonts w:ascii="Arial" w:hAnsi="Arial" w:cs="Arial"/>
          <w:sz w:val="22"/>
          <w:szCs w:val="22"/>
          <w:lang w:val="en-US"/>
        </w:rPr>
        <w:t>Ocean Healthcare. (2024, August 27) “</w:t>
      </w:r>
      <w:r w:rsidRPr="00D9785D">
        <w:rPr>
          <w:rFonts w:ascii="Arial" w:hAnsi="Arial" w:cs="Arial"/>
          <w:i/>
          <w:iCs/>
          <w:sz w:val="22"/>
          <w:szCs w:val="22"/>
          <w:lang w:val="en-US"/>
        </w:rPr>
        <w:t>Is person-centred care the key to better healthcare?</w:t>
      </w:r>
      <w:r w:rsidRPr="00D9785D">
        <w:rPr>
          <w:rFonts w:ascii="Arial" w:hAnsi="Arial" w:cs="Arial"/>
          <w:sz w:val="22"/>
          <w:szCs w:val="22"/>
          <w:lang w:val="en-US"/>
        </w:rPr>
        <w:t xml:space="preserve"> [Infographic],” </w:t>
      </w:r>
      <w:hyperlink r:id="rId20" w:history="1">
        <w:r w:rsidRPr="00D9785D">
          <w:rPr>
            <w:rStyle w:val="Hyperlink"/>
            <w:rFonts w:ascii="Arial" w:hAnsi="Arial" w:cs="Arial"/>
            <w:sz w:val="22"/>
            <w:szCs w:val="22"/>
            <w:lang w:val="en-US"/>
          </w:rPr>
          <w:t>Ocean Healthcare</w:t>
        </w:r>
      </w:hyperlink>
    </w:p>
    <w:p w14:paraId="087AF427" w14:textId="77777777" w:rsidR="00D97BB5" w:rsidRPr="00D9785D" w:rsidRDefault="00D97BB5" w:rsidP="00D9785D">
      <w:pPr>
        <w:spacing w:line="360" w:lineRule="auto"/>
        <w:rPr>
          <w:rFonts w:ascii="Arial" w:hAnsi="Arial" w:cs="Arial"/>
          <w:sz w:val="22"/>
          <w:szCs w:val="22"/>
          <w:lang w:val="en-US"/>
        </w:rPr>
      </w:pPr>
      <w:r w:rsidRPr="00D9785D">
        <w:rPr>
          <w:rFonts w:ascii="Arial" w:hAnsi="Arial" w:cs="Arial"/>
          <w:sz w:val="22"/>
          <w:szCs w:val="22"/>
          <w:lang w:val="en-US"/>
        </w:rPr>
        <w:t xml:space="preserve">Shepherd, J., Gurney, S., and Patel, H. P. (2022) “Shared decision making and personalised care support planning: pillars of integrated care for older people,” </w:t>
      </w:r>
      <w:r w:rsidRPr="00D9785D">
        <w:rPr>
          <w:rFonts w:ascii="Arial" w:hAnsi="Arial" w:cs="Arial"/>
          <w:i/>
          <w:iCs/>
          <w:sz w:val="22"/>
          <w:szCs w:val="22"/>
          <w:lang w:val="en-US"/>
        </w:rPr>
        <w:t>Clinics in Integrated Care</w:t>
      </w:r>
      <w:r w:rsidRPr="00D9785D">
        <w:rPr>
          <w:rFonts w:ascii="Arial" w:hAnsi="Arial" w:cs="Arial"/>
          <w:sz w:val="22"/>
          <w:szCs w:val="22"/>
          <w:lang w:val="en-US"/>
        </w:rPr>
        <w:t xml:space="preserve">, </w:t>
      </w:r>
      <w:r w:rsidRPr="00D9785D">
        <w:rPr>
          <w:rFonts w:ascii="Arial" w:hAnsi="Arial" w:cs="Arial"/>
          <w:i/>
          <w:iCs/>
          <w:sz w:val="22"/>
          <w:szCs w:val="22"/>
          <w:lang w:val="en-US"/>
        </w:rPr>
        <w:t>12</w:t>
      </w:r>
      <w:r w:rsidRPr="00D9785D">
        <w:rPr>
          <w:rFonts w:ascii="Arial" w:hAnsi="Arial" w:cs="Arial"/>
          <w:sz w:val="22"/>
          <w:szCs w:val="22"/>
          <w:lang w:val="en-US"/>
        </w:rPr>
        <w:t xml:space="preserve">, 100097. </w:t>
      </w:r>
      <w:hyperlink r:id="rId21" w:history="1">
        <w:r w:rsidRPr="00D9785D">
          <w:rPr>
            <w:rStyle w:val="Hyperlink"/>
            <w:rFonts w:ascii="Arial" w:hAnsi="Arial" w:cs="Arial"/>
            <w:sz w:val="22"/>
            <w:szCs w:val="22"/>
            <w:lang w:val="en-US"/>
          </w:rPr>
          <w:t>https://doi.org/10.1016/j.intcar.2022.100097</w:t>
        </w:r>
      </w:hyperlink>
      <w:r w:rsidRPr="00D9785D">
        <w:rPr>
          <w:rFonts w:ascii="Arial" w:hAnsi="Arial" w:cs="Arial"/>
          <w:sz w:val="22"/>
          <w:szCs w:val="22"/>
          <w:lang w:val="en-US"/>
        </w:rPr>
        <w:t xml:space="preserve"> </w:t>
      </w:r>
    </w:p>
    <w:p w14:paraId="6FF51F28" w14:textId="77777777" w:rsidR="00D97BB5" w:rsidRPr="00D9785D" w:rsidRDefault="00D97BB5" w:rsidP="00D9785D">
      <w:pPr>
        <w:spacing w:line="360" w:lineRule="auto"/>
        <w:rPr>
          <w:rFonts w:ascii="Arial" w:hAnsi="Arial" w:cs="Arial"/>
          <w:sz w:val="22"/>
          <w:szCs w:val="22"/>
          <w:lang w:val="en-US"/>
        </w:rPr>
      </w:pPr>
      <w:r w:rsidRPr="00D9785D">
        <w:rPr>
          <w:rFonts w:ascii="Arial" w:hAnsi="Arial" w:cs="Arial"/>
          <w:sz w:val="22"/>
          <w:szCs w:val="22"/>
          <w:lang w:val="en-US"/>
        </w:rPr>
        <w:t>Stonebridge Associated Colleges. (2026, June 20) “</w:t>
      </w:r>
      <w:r w:rsidRPr="00D9785D">
        <w:rPr>
          <w:rFonts w:ascii="Arial" w:hAnsi="Arial" w:cs="Arial"/>
          <w:i/>
          <w:iCs/>
          <w:sz w:val="22"/>
          <w:szCs w:val="22"/>
          <w:lang w:val="en-US"/>
        </w:rPr>
        <w:t>What is health and social care exactly?</w:t>
      </w:r>
      <w:r w:rsidRPr="00D9785D">
        <w:rPr>
          <w:rFonts w:ascii="Arial" w:hAnsi="Arial" w:cs="Arial"/>
          <w:sz w:val="22"/>
          <w:szCs w:val="22"/>
          <w:lang w:val="en-US"/>
        </w:rPr>
        <w:t xml:space="preserve"> [Image],” </w:t>
      </w:r>
      <w:hyperlink r:id="rId22" w:history="1">
        <w:r w:rsidRPr="00D9785D">
          <w:rPr>
            <w:rStyle w:val="Hyperlink"/>
            <w:rFonts w:ascii="Arial" w:hAnsi="Arial" w:cs="Arial"/>
            <w:sz w:val="22"/>
            <w:szCs w:val="22"/>
            <w:lang w:val="en-US"/>
          </w:rPr>
          <w:t>https://stonebridge.uk.com/blog/distance-learning/what-is-health-and-social-care-or/</w:t>
        </w:r>
      </w:hyperlink>
    </w:p>
    <w:p w14:paraId="29B93B11" w14:textId="77777777" w:rsidR="00D97BB5" w:rsidRPr="00D9785D" w:rsidRDefault="00D97BB5" w:rsidP="00D9785D">
      <w:pPr>
        <w:spacing w:line="360" w:lineRule="auto"/>
        <w:rPr>
          <w:rFonts w:ascii="Arial" w:hAnsi="Arial" w:cs="Arial"/>
          <w:sz w:val="22"/>
          <w:szCs w:val="22"/>
          <w:lang w:val="en-US"/>
        </w:rPr>
      </w:pPr>
      <w:r w:rsidRPr="00D9785D">
        <w:rPr>
          <w:rFonts w:ascii="Arial" w:hAnsi="Arial" w:cs="Arial"/>
          <w:sz w:val="22"/>
          <w:szCs w:val="22"/>
          <w:lang w:val="en-US"/>
        </w:rPr>
        <w:t>Verified Learning. (2022) “</w:t>
      </w:r>
      <w:r w:rsidRPr="00D9785D">
        <w:rPr>
          <w:rFonts w:ascii="Arial" w:hAnsi="Arial" w:cs="Arial"/>
          <w:i/>
          <w:iCs/>
          <w:sz w:val="22"/>
          <w:szCs w:val="22"/>
          <w:lang w:val="en-US"/>
        </w:rPr>
        <w:t>The Mental Capacity Act 2005</w:t>
      </w:r>
      <w:r w:rsidRPr="00D9785D">
        <w:rPr>
          <w:rFonts w:ascii="Arial" w:hAnsi="Arial" w:cs="Arial"/>
          <w:sz w:val="22"/>
          <w:szCs w:val="22"/>
          <w:lang w:val="en-US"/>
        </w:rPr>
        <w:t xml:space="preserve"> [Image],” Verified Learning. </w:t>
      </w:r>
      <w:hyperlink r:id="rId23" w:history="1">
        <w:r w:rsidRPr="00D9785D">
          <w:rPr>
            <w:rStyle w:val="Hyperlink"/>
            <w:rFonts w:ascii="Arial" w:hAnsi="Arial" w:cs="Arial"/>
            <w:sz w:val="22"/>
            <w:szCs w:val="22"/>
            <w:lang w:val="en-US"/>
          </w:rPr>
          <w:t>https://www.verifiedlearning.com/the-mental-capacity-act</w:t>
        </w:r>
      </w:hyperlink>
    </w:p>
    <w:p w14:paraId="0A30E73C" w14:textId="77777777" w:rsidR="004C3B0A" w:rsidRPr="000C3F62" w:rsidRDefault="004C3B0A" w:rsidP="000C3F62">
      <w:pPr>
        <w:spacing w:line="360" w:lineRule="auto"/>
        <w:rPr>
          <w:rFonts w:ascii="Arial" w:hAnsi="Arial" w:cs="Arial"/>
          <w:sz w:val="22"/>
          <w:szCs w:val="22"/>
        </w:rPr>
      </w:pPr>
    </w:p>
    <w:sectPr w:rsidR="004C3B0A" w:rsidRPr="000C3F62" w:rsidSect="00C40FE8">
      <w:footerReference w:type="default" r:id="rId2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8BD43" w14:textId="77777777" w:rsidR="00056A6F" w:rsidRDefault="00056A6F" w:rsidP="00A47C8B">
      <w:pPr>
        <w:spacing w:after="0" w:line="240" w:lineRule="auto"/>
      </w:pPr>
      <w:r>
        <w:separator/>
      </w:r>
    </w:p>
  </w:endnote>
  <w:endnote w:type="continuationSeparator" w:id="0">
    <w:p w14:paraId="78D7EB2F" w14:textId="77777777" w:rsidR="00056A6F" w:rsidRDefault="00056A6F" w:rsidP="00A47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493883"/>
      <w:docPartObj>
        <w:docPartGallery w:val="Page Numbers (Bottom of Page)"/>
        <w:docPartUnique/>
      </w:docPartObj>
    </w:sdtPr>
    <w:sdtContent>
      <w:p w14:paraId="72699D79" w14:textId="01FC3B69" w:rsidR="00A47C8B" w:rsidRDefault="00A47C8B">
        <w:pPr>
          <w:pStyle w:val="Footer"/>
          <w:jc w:val="center"/>
        </w:pPr>
        <w:r>
          <w:fldChar w:fldCharType="begin"/>
        </w:r>
        <w:r>
          <w:instrText>PAGE   \* MERGEFORMAT</w:instrText>
        </w:r>
        <w:r>
          <w:fldChar w:fldCharType="separate"/>
        </w:r>
        <w:r>
          <w:t>2</w:t>
        </w:r>
        <w:r>
          <w:fldChar w:fldCharType="end"/>
        </w:r>
      </w:p>
    </w:sdtContent>
  </w:sdt>
  <w:p w14:paraId="39109E90" w14:textId="77777777" w:rsidR="00A47C8B" w:rsidRDefault="00A47C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B96DE" w14:textId="77777777" w:rsidR="00056A6F" w:rsidRDefault="00056A6F" w:rsidP="00A47C8B">
      <w:pPr>
        <w:spacing w:after="0" w:line="240" w:lineRule="auto"/>
      </w:pPr>
      <w:r>
        <w:separator/>
      </w:r>
    </w:p>
  </w:footnote>
  <w:footnote w:type="continuationSeparator" w:id="0">
    <w:p w14:paraId="0A9EFB16" w14:textId="77777777" w:rsidR="00056A6F" w:rsidRDefault="00056A6F" w:rsidP="00A47C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0D0"/>
    <w:rsid w:val="0002022F"/>
    <w:rsid w:val="00031F5C"/>
    <w:rsid w:val="00056A6F"/>
    <w:rsid w:val="000A6CC9"/>
    <w:rsid w:val="000C1FD1"/>
    <w:rsid w:val="000C3F62"/>
    <w:rsid w:val="000E5236"/>
    <w:rsid w:val="00101B47"/>
    <w:rsid w:val="00103AE7"/>
    <w:rsid w:val="00126533"/>
    <w:rsid w:val="00135E61"/>
    <w:rsid w:val="00150AE9"/>
    <w:rsid w:val="00157EE6"/>
    <w:rsid w:val="001667F9"/>
    <w:rsid w:val="00184A0C"/>
    <w:rsid w:val="00243172"/>
    <w:rsid w:val="00244E00"/>
    <w:rsid w:val="002C4AB3"/>
    <w:rsid w:val="002E1396"/>
    <w:rsid w:val="002F2607"/>
    <w:rsid w:val="002F2BB0"/>
    <w:rsid w:val="00307CC1"/>
    <w:rsid w:val="00313F5F"/>
    <w:rsid w:val="0034628F"/>
    <w:rsid w:val="00352F99"/>
    <w:rsid w:val="00367870"/>
    <w:rsid w:val="00376FB3"/>
    <w:rsid w:val="003A0B33"/>
    <w:rsid w:val="003B6AA7"/>
    <w:rsid w:val="003C41D0"/>
    <w:rsid w:val="003E7193"/>
    <w:rsid w:val="004037A6"/>
    <w:rsid w:val="00406B52"/>
    <w:rsid w:val="004310DE"/>
    <w:rsid w:val="00442BA0"/>
    <w:rsid w:val="00463205"/>
    <w:rsid w:val="0048788C"/>
    <w:rsid w:val="004C3B0A"/>
    <w:rsid w:val="004C550C"/>
    <w:rsid w:val="004C7172"/>
    <w:rsid w:val="004D0BAD"/>
    <w:rsid w:val="00502521"/>
    <w:rsid w:val="0054308B"/>
    <w:rsid w:val="00546BAC"/>
    <w:rsid w:val="00560981"/>
    <w:rsid w:val="00561197"/>
    <w:rsid w:val="00575440"/>
    <w:rsid w:val="005C14E6"/>
    <w:rsid w:val="005C30D0"/>
    <w:rsid w:val="00623C9E"/>
    <w:rsid w:val="00652A28"/>
    <w:rsid w:val="00656FFA"/>
    <w:rsid w:val="00676808"/>
    <w:rsid w:val="006812A2"/>
    <w:rsid w:val="00697D18"/>
    <w:rsid w:val="006E4987"/>
    <w:rsid w:val="007518AF"/>
    <w:rsid w:val="00765949"/>
    <w:rsid w:val="00794217"/>
    <w:rsid w:val="007A2BEF"/>
    <w:rsid w:val="007E65D2"/>
    <w:rsid w:val="007E6971"/>
    <w:rsid w:val="00825DDA"/>
    <w:rsid w:val="00843B2F"/>
    <w:rsid w:val="00865BE3"/>
    <w:rsid w:val="00881727"/>
    <w:rsid w:val="008B11FC"/>
    <w:rsid w:val="008E038D"/>
    <w:rsid w:val="008E63AF"/>
    <w:rsid w:val="008E64C2"/>
    <w:rsid w:val="0090121C"/>
    <w:rsid w:val="00907815"/>
    <w:rsid w:val="00927F73"/>
    <w:rsid w:val="00982882"/>
    <w:rsid w:val="009A40BF"/>
    <w:rsid w:val="009B22CD"/>
    <w:rsid w:val="009E7202"/>
    <w:rsid w:val="00A23298"/>
    <w:rsid w:val="00A477EA"/>
    <w:rsid w:val="00A47C8B"/>
    <w:rsid w:val="00A53F97"/>
    <w:rsid w:val="00A55AD9"/>
    <w:rsid w:val="00B409EA"/>
    <w:rsid w:val="00B4717E"/>
    <w:rsid w:val="00B843DB"/>
    <w:rsid w:val="00BB2027"/>
    <w:rsid w:val="00BB4F9E"/>
    <w:rsid w:val="00BF5D58"/>
    <w:rsid w:val="00C30B8A"/>
    <w:rsid w:val="00C358AB"/>
    <w:rsid w:val="00C40FE8"/>
    <w:rsid w:val="00CB1841"/>
    <w:rsid w:val="00CF3C5B"/>
    <w:rsid w:val="00D13F3F"/>
    <w:rsid w:val="00D5431D"/>
    <w:rsid w:val="00D927AE"/>
    <w:rsid w:val="00D9785D"/>
    <w:rsid w:val="00D97BB5"/>
    <w:rsid w:val="00DD3451"/>
    <w:rsid w:val="00DE008A"/>
    <w:rsid w:val="00DE6955"/>
    <w:rsid w:val="00DF5959"/>
    <w:rsid w:val="00DF6917"/>
    <w:rsid w:val="00E76D00"/>
    <w:rsid w:val="00EA3980"/>
    <w:rsid w:val="00EB5746"/>
    <w:rsid w:val="00ED0C3E"/>
    <w:rsid w:val="00EF1917"/>
    <w:rsid w:val="00F1651F"/>
    <w:rsid w:val="00F35D64"/>
    <w:rsid w:val="00F47F8D"/>
    <w:rsid w:val="00F5169E"/>
    <w:rsid w:val="00F611B0"/>
    <w:rsid w:val="00F612B8"/>
    <w:rsid w:val="00F90360"/>
    <w:rsid w:val="00FD01DF"/>
    <w:rsid w:val="00FF2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1F1F5"/>
  <w15:chartTrackingRefBased/>
  <w15:docId w15:val="{710E105A-5424-45A2-9F61-B3D50E5F5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0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30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30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30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30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30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0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0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0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0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30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30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30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30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30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30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30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30D0"/>
    <w:rPr>
      <w:rFonts w:eastAsiaTheme="majorEastAsia" w:cstheme="majorBidi"/>
      <w:color w:val="272727" w:themeColor="text1" w:themeTint="D8"/>
    </w:rPr>
  </w:style>
  <w:style w:type="paragraph" w:styleId="Title">
    <w:name w:val="Title"/>
    <w:basedOn w:val="Normal"/>
    <w:next w:val="Normal"/>
    <w:link w:val="TitleChar"/>
    <w:uiPriority w:val="10"/>
    <w:qFormat/>
    <w:rsid w:val="005C30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0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0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30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30D0"/>
    <w:pPr>
      <w:spacing w:before="160"/>
      <w:jc w:val="center"/>
    </w:pPr>
    <w:rPr>
      <w:i/>
      <w:iCs/>
      <w:color w:val="404040" w:themeColor="text1" w:themeTint="BF"/>
    </w:rPr>
  </w:style>
  <w:style w:type="character" w:customStyle="1" w:styleId="QuoteChar">
    <w:name w:val="Quote Char"/>
    <w:basedOn w:val="DefaultParagraphFont"/>
    <w:link w:val="Quote"/>
    <w:uiPriority w:val="29"/>
    <w:rsid w:val="005C30D0"/>
    <w:rPr>
      <w:i/>
      <w:iCs/>
      <w:color w:val="404040" w:themeColor="text1" w:themeTint="BF"/>
    </w:rPr>
  </w:style>
  <w:style w:type="paragraph" w:styleId="ListParagraph">
    <w:name w:val="List Paragraph"/>
    <w:basedOn w:val="Normal"/>
    <w:uiPriority w:val="34"/>
    <w:qFormat/>
    <w:rsid w:val="005C30D0"/>
    <w:pPr>
      <w:ind w:left="720"/>
      <w:contextualSpacing/>
    </w:pPr>
  </w:style>
  <w:style w:type="character" w:styleId="IntenseEmphasis">
    <w:name w:val="Intense Emphasis"/>
    <w:basedOn w:val="DefaultParagraphFont"/>
    <w:uiPriority w:val="21"/>
    <w:qFormat/>
    <w:rsid w:val="005C30D0"/>
    <w:rPr>
      <w:i/>
      <w:iCs/>
      <w:color w:val="0F4761" w:themeColor="accent1" w:themeShade="BF"/>
    </w:rPr>
  </w:style>
  <w:style w:type="paragraph" w:styleId="IntenseQuote">
    <w:name w:val="Intense Quote"/>
    <w:basedOn w:val="Normal"/>
    <w:next w:val="Normal"/>
    <w:link w:val="IntenseQuoteChar"/>
    <w:uiPriority w:val="30"/>
    <w:qFormat/>
    <w:rsid w:val="005C30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30D0"/>
    <w:rPr>
      <w:i/>
      <w:iCs/>
      <w:color w:val="0F4761" w:themeColor="accent1" w:themeShade="BF"/>
    </w:rPr>
  </w:style>
  <w:style w:type="character" w:styleId="IntenseReference">
    <w:name w:val="Intense Reference"/>
    <w:basedOn w:val="DefaultParagraphFont"/>
    <w:uiPriority w:val="32"/>
    <w:qFormat/>
    <w:rsid w:val="005C30D0"/>
    <w:rPr>
      <w:b/>
      <w:bCs/>
      <w:smallCaps/>
      <w:color w:val="0F4761" w:themeColor="accent1" w:themeShade="BF"/>
      <w:spacing w:val="5"/>
    </w:rPr>
  </w:style>
  <w:style w:type="character" w:styleId="Hyperlink">
    <w:name w:val="Hyperlink"/>
    <w:basedOn w:val="DefaultParagraphFont"/>
    <w:uiPriority w:val="99"/>
    <w:unhideWhenUsed/>
    <w:rsid w:val="00D97BB5"/>
    <w:rPr>
      <w:color w:val="467886" w:themeColor="hyperlink"/>
      <w:u w:val="single"/>
    </w:rPr>
  </w:style>
  <w:style w:type="character" w:styleId="UnresolvedMention">
    <w:name w:val="Unresolved Mention"/>
    <w:basedOn w:val="DefaultParagraphFont"/>
    <w:uiPriority w:val="99"/>
    <w:semiHidden/>
    <w:unhideWhenUsed/>
    <w:rsid w:val="00D97BB5"/>
    <w:rPr>
      <w:color w:val="605E5C"/>
      <w:shd w:val="clear" w:color="auto" w:fill="E1DFDD"/>
    </w:rPr>
  </w:style>
  <w:style w:type="character" w:styleId="SubtleEmphasis">
    <w:name w:val="Subtle Emphasis"/>
    <w:basedOn w:val="DefaultParagraphFont"/>
    <w:uiPriority w:val="19"/>
    <w:qFormat/>
    <w:rsid w:val="00DF5959"/>
    <w:rPr>
      <w:i/>
      <w:iCs/>
      <w:color w:val="404040" w:themeColor="text1" w:themeTint="BF"/>
    </w:rPr>
  </w:style>
  <w:style w:type="character" w:styleId="FollowedHyperlink">
    <w:name w:val="FollowedHyperlink"/>
    <w:basedOn w:val="DefaultParagraphFont"/>
    <w:uiPriority w:val="99"/>
    <w:semiHidden/>
    <w:unhideWhenUsed/>
    <w:rsid w:val="0090121C"/>
    <w:rPr>
      <w:color w:val="96607D" w:themeColor="followedHyperlink"/>
      <w:u w:val="single"/>
    </w:rPr>
  </w:style>
  <w:style w:type="paragraph" w:styleId="Header">
    <w:name w:val="header"/>
    <w:basedOn w:val="Normal"/>
    <w:link w:val="HeaderChar"/>
    <w:uiPriority w:val="99"/>
    <w:unhideWhenUsed/>
    <w:rsid w:val="00A47C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C8B"/>
  </w:style>
  <w:style w:type="paragraph" w:styleId="Footer">
    <w:name w:val="footer"/>
    <w:basedOn w:val="Normal"/>
    <w:link w:val="FooterChar"/>
    <w:uiPriority w:val="99"/>
    <w:unhideWhenUsed/>
    <w:rsid w:val="00A47C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C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177/15271544261441590" TargetMode="External"/><Relationship Id="rId18" Type="http://schemas.openxmlformats.org/officeDocument/2006/relationships/hyperlink" Target="https://doi.org/10.1155/2024/6632018?urlappend=%3Futm_source%3Dresearchgate.net%26utm_medium%3Darticle"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doi.org/10.1016/j.intcar.2022.100097" TargetMode="External"/><Relationship Id="rId7" Type="http://schemas.openxmlformats.org/officeDocument/2006/relationships/image" Target="media/image2.png"/><Relationship Id="rId12" Type="http://schemas.openxmlformats.org/officeDocument/2006/relationships/hyperlink" Target="https://doi.org/10.1007/978-3-032-32835-9_2" TargetMode="External"/><Relationship Id="rId17" Type="http://schemas.openxmlformats.org/officeDocument/2006/relationships/hyperlink" Target="https://doi.org/10.1111/1475-6773.14202"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080/01612840.2023.2288181" TargetMode="External"/><Relationship Id="rId20" Type="http://schemas.openxmlformats.org/officeDocument/2006/relationships/hyperlink" Target="https://www.oceanhealthcare.co.uk/blog/is-person-centred-care-the-key-to-better-healthcare?utm_source=chatgpt.co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111/jonm.13819"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doi.org/10.1186/s12877-022-03244-8?urlappend=%3Futm_source%3Dresearchgate.net%26utm_medium%3Darticle" TargetMode="External"/><Relationship Id="rId23" Type="http://schemas.openxmlformats.org/officeDocument/2006/relationships/hyperlink" Target="https://www.verifiedlearning.com/the-mental-capacity-act" TargetMode="External"/><Relationship Id="rId10" Type="http://schemas.openxmlformats.org/officeDocument/2006/relationships/hyperlink" Target="https://doi.org/10.13140/RG.2.2.31339.96804" TargetMode="External"/><Relationship Id="rId19" Type="http://schemas.openxmlformats.org/officeDocument/2006/relationships/hyperlink" Target="https://doi.org/10.1186/s12913-023-09718-8?urlappend=%3Futm_source%3Dresearchgate.net%26utm_medium%3Darticle"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doi.org/10.1186/s12875-022-01919-0?urlappend=%3Futm_source%3Dresearchgate.net%26utm_medium%3Darticle" TargetMode="External"/><Relationship Id="rId22" Type="http://schemas.openxmlformats.org/officeDocument/2006/relationships/hyperlink" Target="https://stonebridge.uk.com/blog/distance-learning/what-is-health-and-social-care-or/?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469</TotalTime>
  <Pages>12</Pages>
  <Words>3067</Words>
  <Characters>17486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Armoo</dc:creator>
  <cp:keywords/>
  <dc:description/>
  <cp:lastModifiedBy>Gloria Armoo</cp:lastModifiedBy>
  <cp:revision>110</cp:revision>
  <dcterms:created xsi:type="dcterms:W3CDTF">2026-10-19T09:44:00Z</dcterms:created>
  <dcterms:modified xsi:type="dcterms:W3CDTF">2026-10-26T18:20:00Z</dcterms:modified>
</cp:coreProperties>
</file>