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AB28A0" w14:textId="41358567" w:rsidR="002D5B3F"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15674A50" w14:textId="77777777" w:rsidR="00EC37FC" w:rsidRPr="00EC37FC" w:rsidRDefault="00EC37FC" w:rsidP="00EC37FC">
      <w:pPr>
        <w:pStyle w:val="Header"/>
        <w:tabs>
          <w:tab w:val="clear" w:pos="4153"/>
          <w:tab w:val="clear" w:pos="8306"/>
        </w:tabs>
        <w:jc w:val="center"/>
        <w:rPr>
          <w:rFonts w:ascii="Arial" w:hAnsi="Arial" w:cs="Arial"/>
          <w:b/>
          <w:sz w:val="44"/>
          <w:szCs w:val="44"/>
        </w:rPr>
      </w:pPr>
    </w:p>
    <w:p w14:paraId="61ACD88C" w14:textId="77777777" w:rsidR="00EC37FC" w:rsidRPr="00EC37FC" w:rsidRDefault="00EC37FC" w:rsidP="00EC37FC">
      <w:pPr>
        <w:pStyle w:val="Header"/>
        <w:tabs>
          <w:tab w:val="clear" w:pos="4153"/>
          <w:tab w:val="clear" w:pos="8306"/>
        </w:tabs>
        <w:jc w:val="center"/>
        <w:rPr>
          <w:rFonts w:ascii="Arial" w:hAnsi="Arial" w:cs="Arial"/>
          <w:b/>
          <w:sz w:val="44"/>
          <w:szCs w:val="44"/>
        </w:rPr>
      </w:pPr>
    </w:p>
    <w:p w14:paraId="7D3BDB03" w14:textId="77777777" w:rsidR="00EC37FC" w:rsidRPr="00EC37FC" w:rsidRDefault="00EC37FC" w:rsidP="00EC37FC">
      <w:pPr>
        <w:ind w:left="720"/>
        <w:jc w:val="center"/>
        <w:rPr>
          <w:rFonts w:ascii="Arial" w:hAnsi="Arial" w:cs="Arial"/>
          <w:sz w:val="40"/>
          <w:szCs w:val="40"/>
        </w:rPr>
      </w:pPr>
      <w:r w:rsidRPr="00EC37FC">
        <w:rPr>
          <w:rFonts w:ascii="Arial" w:hAnsi="Arial" w:cs="Arial"/>
          <w:sz w:val="40"/>
          <w:szCs w:val="40"/>
        </w:rPr>
        <w:t>Module: Contract Law</w:t>
      </w:r>
    </w:p>
    <w:p w14:paraId="7C4DEC2F" w14:textId="77777777" w:rsidR="00EC37FC" w:rsidRPr="00EC37FC" w:rsidRDefault="00EC37FC" w:rsidP="00EC37FC">
      <w:pPr>
        <w:ind w:left="720"/>
        <w:jc w:val="center"/>
        <w:rPr>
          <w:rFonts w:ascii="Arial" w:hAnsi="Arial" w:cs="Arial"/>
          <w:sz w:val="40"/>
          <w:szCs w:val="40"/>
        </w:rPr>
      </w:pPr>
    </w:p>
    <w:p w14:paraId="546ACF11" w14:textId="77777777" w:rsidR="00EC37FC" w:rsidRPr="00EC37FC" w:rsidRDefault="00EC37FC" w:rsidP="00EC37FC">
      <w:pPr>
        <w:ind w:left="720"/>
        <w:jc w:val="center"/>
        <w:rPr>
          <w:rFonts w:ascii="Arial" w:hAnsi="Arial" w:cs="Arial"/>
          <w:sz w:val="40"/>
          <w:szCs w:val="40"/>
        </w:rPr>
      </w:pPr>
      <w:r w:rsidRPr="00EC37FC">
        <w:rPr>
          <w:rFonts w:ascii="Arial" w:hAnsi="Arial" w:cs="Arial"/>
          <w:sz w:val="40"/>
          <w:szCs w:val="40"/>
        </w:rPr>
        <w:t>Module code: BMLW5009 Contribution to</w:t>
      </w:r>
    </w:p>
    <w:p w14:paraId="2096B318" w14:textId="77777777" w:rsidR="00EC37FC" w:rsidRPr="00EC37FC" w:rsidRDefault="00EC37FC" w:rsidP="00EC37FC">
      <w:pPr>
        <w:ind w:left="720"/>
        <w:jc w:val="center"/>
        <w:rPr>
          <w:rFonts w:ascii="Arial" w:hAnsi="Arial" w:cs="Arial"/>
          <w:sz w:val="40"/>
          <w:szCs w:val="40"/>
        </w:rPr>
      </w:pPr>
      <w:r w:rsidRPr="00EC37FC">
        <w:rPr>
          <w:rFonts w:ascii="Arial" w:hAnsi="Arial" w:cs="Arial"/>
          <w:sz w:val="40"/>
          <w:szCs w:val="40"/>
        </w:rPr>
        <w:t>Overall Module 50%</w:t>
      </w:r>
    </w:p>
    <w:p w14:paraId="5061531E" w14:textId="77777777" w:rsidR="00EC37FC" w:rsidRPr="00EC37FC" w:rsidRDefault="00EC37FC" w:rsidP="00EC37FC">
      <w:pPr>
        <w:ind w:left="720"/>
        <w:jc w:val="center"/>
        <w:rPr>
          <w:rFonts w:ascii="Arial" w:hAnsi="Arial" w:cs="Arial"/>
          <w:sz w:val="40"/>
          <w:szCs w:val="40"/>
        </w:rPr>
      </w:pPr>
    </w:p>
    <w:p w14:paraId="40BE96F7" w14:textId="77777777" w:rsidR="00EC37FC" w:rsidRPr="00EC37FC" w:rsidRDefault="00EC37FC" w:rsidP="00EC37FC">
      <w:pPr>
        <w:ind w:left="720"/>
        <w:jc w:val="center"/>
        <w:rPr>
          <w:rFonts w:ascii="Arial" w:hAnsi="Arial" w:cs="Arial"/>
          <w:sz w:val="40"/>
          <w:szCs w:val="40"/>
        </w:rPr>
      </w:pPr>
      <w:r w:rsidRPr="00EC37FC">
        <w:rPr>
          <w:rFonts w:ascii="Arial" w:hAnsi="Arial" w:cs="Arial"/>
          <w:sz w:val="40"/>
          <w:szCs w:val="40"/>
        </w:rPr>
        <w:t>Assessment (%):</w:t>
      </w:r>
    </w:p>
    <w:p w14:paraId="6AB25F3D" w14:textId="77777777" w:rsidR="00EC37FC" w:rsidRPr="00EC37FC" w:rsidRDefault="00EC37FC" w:rsidP="00EC37FC">
      <w:pPr>
        <w:ind w:left="720"/>
        <w:jc w:val="center"/>
        <w:rPr>
          <w:rFonts w:ascii="Arial" w:hAnsi="Arial" w:cs="Arial"/>
          <w:sz w:val="40"/>
          <w:szCs w:val="40"/>
        </w:rPr>
      </w:pPr>
    </w:p>
    <w:p w14:paraId="6F9F81B8" w14:textId="57FC9B5F" w:rsidR="00152E9D" w:rsidRPr="00EC37FC" w:rsidRDefault="00EC37FC" w:rsidP="00EC37FC">
      <w:pPr>
        <w:ind w:left="720"/>
        <w:jc w:val="center"/>
        <w:rPr>
          <w:rFonts w:ascii="Arial" w:hAnsi="Arial" w:cs="Arial"/>
          <w:sz w:val="40"/>
          <w:szCs w:val="40"/>
        </w:rPr>
      </w:pPr>
      <w:r w:rsidRPr="00EC37FC">
        <w:rPr>
          <w:rFonts w:ascii="Arial" w:hAnsi="Arial" w:cs="Arial"/>
          <w:sz w:val="40"/>
          <w:szCs w:val="40"/>
        </w:rPr>
        <w:t>Lecturer: Zita Draper Internal Verifier: Cerys Davies</w:t>
      </w:r>
    </w:p>
    <w:p w14:paraId="55405ED0" w14:textId="77777777" w:rsidR="00152E9D" w:rsidRPr="00EC37FC" w:rsidRDefault="00152E9D" w:rsidP="00EC37FC">
      <w:pPr>
        <w:ind w:left="720"/>
        <w:jc w:val="center"/>
        <w:rPr>
          <w:rFonts w:ascii="Arial" w:hAnsi="Arial" w:cs="Arial"/>
          <w:sz w:val="40"/>
          <w:szCs w:val="40"/>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Default="00152E9D" w:rsidP="00A67FB1">
      <w:pPr>
        <w:ind w:left="720"/>
        <w:rPr>
          <w:rFonts w:ascii="Arial" w:hAnsi="Arial" w:cs="Arial"/>
          <w:sz w:val="24"/>
          <w:szCs w:val="24"/>
        </w:rPr>
      </w:pPr>
    </w:p>
    <w:p w14:paraId="2232DA00" w14:textId="77777777" w:rsidR="00044D44" w:rsidRDefault="00044D44" w:rsidP="00A67FB1">
      <w:pPr>
        <w:ind w:left="720"/>
        <w:rPr>
          <w:rFonts w:ascii="Arial" w:hAnsi="Arial" w:cs="Arial"/>
          <w:sz w:val="24"/>
          <w:szCs w:val="24"/>
        </w:rPr>
      </w:pPr>
    </w:p>
    <w:p w14:paraId="5E2FD3D7" w14:textId="77777777" w:rsidR="00044D44" w:rsidRDefault="00044D44" w:rsidP="00A67FB1">
      <w:pPr>
        <w:ind w:left="720"/>
        <w:rPr>
          <w:rFonts w:ascii="Arial" w:hAnsi="Arial" w:cs="Arial"/>
          <w:sz w:val="24"/>
          <w:szCs w:val="24"/>
        </w:rPr>
      </w:pPr>
    </w:p>
    <w:p w14:paraId="5EC81B47" w14:textId="77777777" w:rsidR="00044D44" w:rsidRDefault="00044D44" w:rsidP="00A67FB1">
      <w:pPr>
        <w:ind w:left="720"/>
        <w:rPr>
          <w:rFonts w:ascii="Arial" w:hAnsi="Arial" w:cs="Arial"/>
          <w:sz w:val="24"/>
          <w:szCs w:val="24"/>
        </w:rPr>
      </w:pPr>
    </w:p>
    <w:p w14:paraId="3C72A713" w14:textId="77777777" w:rsidR="00044D44" w:rsidRDefault="00044D44" w:rsidP="00A67FB1">
      <w:pPr>
        <w:ind w:left="720"/>
        <w:rPr>
          <w:rFonts w:ascii="Arial" w:hAnsi="Arial" w:cs="Arial"/>
          <w:sz w:val="24"/>
          <w:szCs w:val="24"/>
        </w:rPr>
      </w:pPr>
    </w:p>
    <w:p w14:paraId="778ADFD9" w14:textId="77777777" w:rsidR="00044D44" w:rsidRDefault="00044D44" w:rsidP="00A67FB1">
      <w:pPr>
        <w:ind w:left="720"/>
        <w:rPr>
          <w:rFonts w:ascii="Arial" w:hAnsi="Arial" w:cs="Arial"/>
          <w:sz w:val="24"/>
          <w:szCs w:val="24"/>
        </w:rPr>
      </w:pPr>
    </w:p>
    <w:p w14:paraId="00800D55" w14:textId="77777777" w:rsidR="00044D44" w:rsidRDefault="00044D44" w:rsidP="00A67FB1">
      <w:pPr>
        <w:ind w:left="720"/>
        <w:rPr>
          <w:rFonts w:ascii="Arial" w:hAnsi="Arial" w:cs="Arial"/>
          <w:sz w:val="24"/>
          <w:szCs w:val="24"/>
        </w:rPr>
      </w:pPr>
    </w:p>
    <w:p w14:paraId="57E81E97" w14:textId="77777777" w:rsidR="00044D44" w:rsidRDefault="00044D44" w:rsidP="00A67FB1">
      <w:pPr>
        <w:ind w:left="720"/>
        <w:rPr>
          <w:rFonts w:ascii="Arial" w:hAnsi="Arial" w:cs="Arial"/>
          <w:sz w:val="24"/>
          <w:szCs w:val="24"/>
        </w:rPr>
      </w:pPr>
    </w:p>
    <w:p w14:paraId="7FFCA4CC" w14:textId="77777777" w:rsidR="00044D44" w:rsidRDefault="00044D44" w:rsidP="00A67FB1">
      <w:pPr>
        <w:ind w:left="720"/>
        <w:rPr>
          <w:rFonts w:ascii="Arial" w:hAnsi="Arial" w:cs="Arial"/>
          <w:sz w:val="24"/>
          <w:szCs w:val="24"/>
        </w:rPr>
      </w:pPr>
    </w:p>
    <w:p w14:paraId="521A8503" w14:textId="77777777" w:rsidR="00044D44" w:rsidRDefault="00044D44" w:rsidP="00A67FB1">
      <w:pPr>
        <w:ind w:left="720"/>
        <w:rPr>
          <w:rFonts w:ascii="Arial" w:hAnsi="Arial" w:cs="Arial"/>
          <w:sz w:val="24"/>
          <w:szCs w:val="24"/>
        </w:rPr>
      </w:pPr>
    </w:p>
    <w:p w14:paraId="30A38A5D" w14:textId="77777777" w:rsidR="00044D44" w:rsidRDefault="00044D44" w:rsidP="00A67FB1">
      <w:pPr>
        <w:ind w:left="720"/>
        <w:rPr>
          <w:rFonts w:ascii="Arial" w:hAnsi="Arial" w:cs="Arial"/>
          <w:sz w:val="24"/>
          <w:szCs w:val="24"/>
        </w:rPr>
      </w:pPr>
    </w:p>
    <w:p w14:paraId="4F921B38" w14:textId="77777777" w:rsidR="00044D44" w:rsidRDefault="00044D44" w:rsidP="00A67FB1">
      <w:pPr>
        <w:ind w:left="720"/>
        <w:rPr>
          <w:rFonts w:ascii="Arial" w:hAnsi="Arial" w:cs="Arial"/>
          <w:sz w:val="24"/>
          <w:szCs w:val="24"/>
        </w:rPr>
      </w:pPr>
    </w:p>
    <w:p w14:paraId="19460BFA" w14:textId="77777777" w:rsidR="00044D44" w:rsidRDefault="00044D44" w:rsidP="00A67FB1">
      <w:pPr>
        <w:ind w:left="720"/>
        <w:rPr>
          <w:rFonts w:ascii="Arial" w:hAnsi="Arial" w:cs="Arial"/>
          <w:sz w:val="24"/>
          <w:szCs w:val="24"/>
        </w:rPr>
      </w:pPr>
    </w:p>
    <w:p w14:paraId="33576703" w14:textId="77777777" w:rsidR="00044D44" w:rsidRDefault="00044D44" w:rsidP="00A67FB1">
      <w:pPr>
        <w:ind w:left="720"/>
        <w:rPr>
          <w:rFonts w:ascii="Arial" w:hAnsi="Arial" w:cs="Arial"/>
          <w:sz w:val="24"/>
          <w:szCs w:val="24"/>
        </w:rPr>
      </w:pPr>
    </w:p>
    <w:p w14:paraId="17DE184D" w14:textId="77777777" w:rsidR="00044D44" w:rsidRDefault="00044D44" w:rsidP="00A67FB1">
      <w:pPr>
        <w:ind w:left="720"/>
        <w:rPr>
          <w:rFonts w:ascii="Arial" w:hAnsi="Arial" w:cs="Arial"/>
          <w:sz w:val="24"/>
          <w:szCs w:val="24"/>
        </w:rPr>
      </w:pPr>
    </w:p>
    <w:p w14:paraId="28D0F16D" w14:textId="77777777" w:rsidR="00044D44" w:rsidRDefault="00044D44" w:rsidP="00A67FB1">
      <w:pPr>
        <w:ind w:left="720"/>
        <w:rPr>
          <w:rFonts w:ascii="Arial" w:hAnsi="Arial" w:cs="Arial"/>
          <w:sz w:val="24"/>
          <w:szCs w:val="24"/>
        </w:rPr>
      </w:pPr>
    </w:p>
    <w:p w14:paraId="638FAA2E" w14:textId="77777777" w:rsidR="00044D44" w:rsidRDefault="00044D44" w:rsidP="00A67FB1">
      <w:pPr>
        <w:ind w:left="720"/>
        <w:rPr>
          <w:rFonts w:ascii="Arial" w:hAnsi="Arial" w:cs="Arial"/>
          <w:sz w:val="24"/>
          <w:szCs w:val="24"/>
        </w:rPr>
      </w:pPr>
    </w:p>
    <w:p w14:paraId="761A817D" w14:textId="77777777" w:rsidR="00044D44" w:rsidRDefault="00044D44" w:rsidP="00A67FB1">
      <w:pPr>
        <w:ind w:left="720"/>
        <w:rPr>
          <w:rFonts w:ascii="Arial" w:hAnsi="Arial" w:cs="Arial"/>
          <w:sz w:val="24"/>
          <w:szCs w:val="24"/>
        </w:rPr>
      </w:pPr>
    </w:p>
    <w:p w14:paraId="363493E3" w14:textId="77777777" w:rsidR="00044D44" w:rsidRDefault="00044D44" w:rsidP="00A67FB1">
      <w:pPr>
        <w:ind w:left="720"/>
        <w:rPr>
          <w:rFonts w:ascii="Arial" w:hAnsi="Arial" w:cs="Arial"/>
          <w:sz w:val="24"/>
          <w:szCs w:val="24"/>
        </w:rPr>
      </w:pPr>
    </w:p>
    <w:p w14:paraId="7B71A38F" w14:textId="77777777" w:rsidR="00044D44" w:rsidRDefault="00044D44" w:rsidP="00A67FB1">
      <w:pPr>
        <w:ind w:left="720"/>
        <w:rPr>
          <w:rFonts w:ascii="Arial" w:hAnsi="Arial" w:cs="Arial"/>
          <w:sz w:val="24"/>
          <w:szCs w:val="24"/>
        </w:rPr>
      </w:pPr>
    </w:p>
    <w:p w14:paraId="7FF76C3E" w14:textId="77777777" w:rsidR="00044D44" w:rsidRDefault="00044D44" w:rsidP="00A67FB1">
      <w:pPr>
        <w:ind w:left="720"/>
        <w:rPr>
          <w:rFonts w:ascii="Arial" w:hAnsi="Arial" w:cs="Arial"/>
          <w:sz w:val="24"/>
          <w:szCs w:val="24"/>
        </w:rPr>
      </w:pPr>
    </w:p>
    <w:p w14:paraId="76BC5C14" w14:textId="77777777" w:rsidR="00044D44" w:rsidRDefault="00044D44" w:rsidP="00A67FB1">
      <w:pPr>
        <w:ind w:left="720"/>
        <w:rPr>
          <w:rFonts w:ascii="Arial" w:hAnsi="Arial" w:cs="Arial"/>
          <w:sz w:val="24"/>
          <w:szCs w:val="24"/>
        </w:rPr>
      </w:pPr>
    </w:p>
    <w:p w14:paraId="3D455004" w14:textId="77777777" w:rsidR="00044D44" w:rsidRDefault="00044D44" w:rsidP="00A67FB1">
      <w:pPr>
        <w:ind w:left="720"/>
        <w:rPr>
          <w:rFonts w:ascii="Arial" w:hAnsi="Arial" w:cs="Arial"/>
          <w:sz w:val="24"/>
          <w:szCs w:val="24"/>
        </w:rPr>
      </w:pPr>
    </w:p>
    <w:p w14:paraId="6620FF10" w14:textId="77777777" w:rsidR="00044D44" w:rsidRDefault="00044D44" w:rsidP="00A67FB1">
      <w:pPr>
        <w:ind w:left="720"/>
        <w:rPr>
          <w:rFonts w:ascii="Arial" w:hAnsi="Arial" w:cs="Arial"/>
          <w:sz w:val="24"/>
          <w:szCs w:val="24"/>
        </w:rPr>
      </w:pPr>
    </w:p>
    <w:p w14:paraId="01E6FED1" w14:textId="77777777" w:rsidR="00044D44" w:rsidRDefault="00044D44" w:rsidP="00A67FB1">
      <w:pPr>
        <w:ind w:left="720"/>
        <w:rPr>
          <w:rFonts w:ascii="Arial" w:hAnsi="Arial" w:cs="Arial"/>
          <w:sz w:val="24"/>
          <w:szCs w:val="24"/>
        </w:rPr>
      </w:pPr>
    </w:p>
    <w:p w14:paraId="0B656F7C" w14:textId="77777777" w:rsidR="00044D44" w:rsidRDefault="00044D44" w:rsidP="00A67FB1">
      <w:pPr>
        <w:ind w:left="720"/>
        <w:rPr>
          <w:rFonts w:ascii="Arial" w:hAnsi="Arial" w:cs="Arial"/>
          <w:sz w:val="24"/>
          <w:szCs w:val="24"/>
        </w:rPr>
      </w:pPr>
    </w:p>
    <w:p w14:paraId="42E75CC8" w14:textId="77777777" w:rsidR="00044D44" w:rsidRDefault="00044D44" w:rsidP="00A67FB1">
      <w:pPr>
        <w:ind w:left="720"/>
        <w:rPr>
          <w:rFonts w:ascii="Arial" w:hAnsi="Arial" w:cs="Arial"/>
          <w:sz w:val="24"/>
          <w:szCs w:val="24"/>
        </w:rPr>
      </w:pPr>
    </w:p>
    <w:p w14:paraId="4D007BBE" w14:textId="77777777" w:rsidR="00044D44" w:rsidRDefault="00044D44" w:rsidP="00A67FB1">
      <w:pPr>
        <w:ind w:left="720"/>
        <w:rPr>
          <w:rFonts w:ascii="Arial" w:hAnsi="Arial" w:cs="Arial"/>
          <w:sz w:val="24"/>
          <w:szCs w:val="24"/>
        </w:rPr>
      </w:pPr>
    </w:p>
    <w:p w14:paraId="31A60049" w14:textId="77777777" w:rsidR="00044D44" w:rsidRDefault="00044D44" w:rsidP="00A67FB1">
      <w:pPr>
        <w:ind w:left="720"/>
        <w:rPr>
          <w:rFonts w:ascii="Arial" w:hAnsi="Arial" w:cs="Arial"/>
          <w:sz w:val="24"/>
          <w:szCs w:val="24"/>
        </w:rPr>
      </w:pPr>
    </w:p>
    <w:sdt>
      <w:sdtPr>
        <w:rPr>
          <w:rFonts w:ascii="Times New Roman" w:eastAsia="Times New Roman" w:hAnsi="Times New Roman" w:cs="Times New Roman"/>
          <w:b w:val="0"/>
          <w:bCs w:val="0"/>
          <w:color w:val="auto"/>
          <w:sz w:val="20"/>
          <w:szCs w:val="20"/>
          <w:lang w:val="en-GB" w:eastAsia="en-GB"/>
        </w:rPr>
        <w:id w:val="-1477142512"/>
        <w:docPartObj>
          <w:docPartGallery w:val="Table of Contents"/>
          <w:docPartUnique/>
        </w:docPartObj>
      </w:sdtPr>
      <w:sdtEndPr>
        <w:rPr>
          <w:noProof/>
        </w:rPr>
      </w:sdtEndPr>
      <w:sdtContent>
        <w:p w14:paraId="2695D62A" w14:textId="7006E7E0" w:rsidR="00044D44" w:rsidRDefault="00044D44">
          <w:pPr>
            <w:pStyle w:val="TOCHeading"/>
          </w:pPr>
          <w:r>
            <w:t>Table of Contents</w:t>
          </w:r>
        </w:p>
        <w:p w14:paraId="30EC16B1" w14:textId="0D877B0C" w:rsidR="00044D44" w:rsidRDefault="00044D44">
          <w:pPr>
            <w:pStyle w:val="TOC1"/>
            <w:tabs>
              <w:tab w:val="right" w:leader="dot" w:pos="10444"/>
            </w:tabs>
            <w:rPr>
              <w:noProof/>
            </w:rPr>
          </w:pPr>
          <w:r>
            <w:rPr>
              <w:b w:val="0"/>
              <w:bCs w:val="0"/>
            </w:rPr>
            <w:fldChar w:fldCharType="begin"/>
          </w:r>
          <w:r>
            <w:instrText xml:space="preserve"> TOC \o "1-3" \h \z \u </w:instrText>
          </w:r>
          <w:r>
            <w:rPr>
              <w:b w:val="0"/>
              <w:bCs w:val="0"/>
            </w:rPr>
            <w:fldChar w:fldCharType="separate"/>
          </w:r>
          <w:hyperlink w:anchor="_Toc161423337" w:history="1">
            <w:r w:rsidRPr="007E4320">
              <w:rPr>
                <w:rStyle w:val="Hyperlink"/>
                <w:rFonts w:eastAsia="Calibri"/>
                <w:noProof/>
                <w:lang w:val="en-US" w:eastAsia="en-US"/>
              </w:rPr>
              <w:t>The Role of Consideration in Contract Law</w:t>
            </w:r>
            <w:r>
              <w:rPr>
                <w:noProof/>
                <w:webHidden/>
              </w:rPr>
              <w:tab/>
            </w:r>
            <w:r>
              <w:rPr>
                <w:noProof/>
                <w:webHidden/>
              </w:rPr>
              <w:fldChar w:fldCharType="begin"/>
            </w:r>
            <w:r>
              <w:rPr>
                <w:noProof/>
                <w:webHidden/>
              </w:rPr>
              <w:instrText xml:space="preserve"> PAGEREF _Toc161423337 \h </w:instrText>
            </w:r>
            <w:r>
              <w:rPr>
                <w:noProof/>
                <w:webHidden/>
              </w:rPr>
            </w:r>
            <w:r>
              <w:rPr>
                <w:noProof/>
                <w:webHidden/>
              </w:rPr>
              <w:fldChar w:fldCharType="separate"/>
            </w:r>
            <w:r>
              <w:rPr>
                <w:noProof/>
                <w:webHidden/>
              </w:rPr>
              <w:t>3</w:t>
            </w:r>
            <w:r>
              <w:rPr>
                <w:noProof/>
                <w:webHidden/>
              </w:rPr>
              <w:fldChar w:fldCharType="end"/>
            </w:r>
          </w:hyperlink>
        </w:p>
        <w:p w14:paraId="6C2F5811" w14:textId="4E2B8799" w:rsidR="00044D44" w:rsidRDefault="00000000">
          <w:pPr>
            <w:pStyle w:val="TOC1"/>
            <w:tabs>
              <w:tab w:val="right" w:leader="dot" w:pos="10444"/>
            </w:tabs>
            <w:rPr>
              <w:noProof/>
            </w:rPr>
          </w:pPr>
          <w:hyperlink w:anchor="_Toc161423338" w:history="1">
            <w:r w:rsidR="00044D44" w:rsidRPr="007E4320">
              <w:rPr>
                <w:rStyle w:val="Hyperlink"/>
                <w:rFonts w:eastAsia="Calibri"/>
                <w:noProof/>
                <w:lang w:val="en-US" w:eastAsia="en-US"/>
              </w:rPr>
              <w:t>Introduction:</w:t>
            </w:r>
            <w:r w:rsidR="00044D44">
              <w:rPr>
                <w:noProof/>
                <w:webHidden/>
              </w:rPr>
              <w:tab/>
            </w:r>
            <w:r w:rsidR="00044D44">
              <w:rPr>
                <w:noProof/>
                <w:webHidden/>
              </w:rPr>
              <w:fldChar w:fldCharType="begin"/>
            </w:r>
            <w:r w:rsidR="00044D44">
              <w:rPr>
                <w:noProof/>
                <w:webHidden/>
              </w:rPr>
              <w:instrText xml:space="preserve"> PAGEREF _Toc161423338 \h </w:instrText>
            </w:r>
            <w:r w:rsidR="00044D44">
              <w:rPr>
                <w:noProof/>
                <w:webHidden/>
              </w:rPr>
            </w:r>
            <w:r w:rsidR="00044D44">
              <w:rPr>
                <w:noProof/>
                <w:webHidden/>
              </w:rPr>
              <w:fldChar w:fldCharType="separate"/>
            </w:r>
            <w:r w:rsidR="00044D44">
              <w:rPr>
                <w:noProof/>
                <w:webHidden/>
              </w:rPr>
              <w:t>3</w:t>
            </w:r>
            <w:r w:rsidR="00044D44">
              <w:rPr>
                <w:noProof/>
                <w:webHidden/>
              </w:rPr>
              <w:fldChar w:fldCharType="end"/>
            </w:r>
          </w:hyperlink>
        </w:p>
        <w:p w14:paraId="6F528739" w14:textId="6D1B3C24" w:rsidR="00044D44" w:rsidRDefault="00000000">
          <w:pPr>
            <w:pStyle w:val="TOC1"/>
            <w:tabs>
              <w:tab w:val="right" w:leader="dot" w:pos="10444"/>
            </w:tabs>
            <w:rPr>
              <w:noProof/>
            </w:rPr>
          </w:pPr>
          <w:hyperlink w:anchor="_Toc161423339" w:history="1">
            <w:r w:rsidR="00044D44" w:rsidRPr="007E4320">
              <w:rPr>
                <w:rStyle w:val="Hyperlink"/>
                <w:rFonts w:eastAsia="Calibri"/>
                <w:noProof/>
                <w:lang w:val="en-US" w:eastAsia="en-US"/>
              </w:rPr>
              <w:t>Formation of a Contract</w:t>
            </w:r>
            <w:r w:rsidR="00044D44">
              <w:rPr>
                <w:noProof/>
                <w:webHidden/>
              </w:rPr>
              <w:tab/>
            </w:r>
            <w:r w:rsidR="00044D44">
              <w:rPr>
                <w:noProof/>
                <w:webHidden/>
              </w:rPr>
              <w:fldChar w:fldCharType="begin"/>
            </w:r>
            <w:r w:rsidR="00044D44">
              <w:rPr>
                <w:noProof/>
                <w:webHidden/>
              </w:rPr>
              <w:instrText xml:space="preserve"> PAGEREF _Toc161423339 \h </w:instrText>
            </w:r>
            <w:r w:rsidR="00044D44">
              <w:rPr>
                <w:noProof/>
                <w:webHidden/>
              </w:rPr>
            </w:r>
            <w:r w:rsidR="00044D44">
              <w:rPr>
                <w:noProof/>
                <w:webHidden/>
              </w:rPr>
              <w:fldChar w:fldCharType="separate"/>
            </w:r>
            <w:r w:rsidR="00044D44">
              <w:rPr>
                <w:noProof/>
                <w:webHidden/>
              </w:rPr>
              <w:t>3</w:t>
            </w:r>
            <w:r w:rsidR="00044D44">
              <w:rPr>
                <w:noProof/>
                <w:webHidden/>
              </w:rPr>
              <w:fldChar w:fldCharType="end"/>
            </w:r>
          </w:hyperlink>
        </w:p>
        <w:p w14:paraId="4C1A8A12" w14:textId="07002FB5" w:rsidR="00044D44" w:rsidRDefault="00000000">
          <w:pPr>
            <w:pStyle w:val="TOC1"/>
            <w:tabs>
              <w:tab w:val="right" w:leader="dot" w:pos="10444"/>
            </w:tabs>
            <w:rPr>
              <w:noProof/>
            </w:rPr>
          </w:pPr>
          <w:hyperlink w:anchor="_Toc161423340" w:history="1">
            <w:r w:rsidR="00044D44" w:rsidRPr="007E4320">
              <w:rPr>
                <w:rStyle w:val="Hyperlink"/>
                <w:rFonts w:eastAsia="Calibri"/>
                <w:noProof/>
                <w:lang w:val="en-US" w:eastAsia="en-US"/>
              </w:rPr>
              <w:t>What is Consideration?</w:t>
            </w:r>
            <w:r w:rsidR="00044D44">
              <w:rPr>
                <w:noProof/>
                <w:webHidden/>
              </w:rPr>
              <w:tab/>
            </w:r>
            <w:r w:rsidR="00044D44">
              <w:rPr>
                <w:noProof/>
                <w:webHidden/>
              </w:rPr>
              <w:fldChar w:fldCharType="begin"/>
            </w:r>
            <w:r w:rsidR="00044D44">
              <w:rPr>
                <w:noProof/>
                <w:webHidden/>
              </w:rPr>
              <w:instrText xml:space="preserve"> PAGEREF _Toc161423340 \h </w:instrText>
            </w:r>
            <w:r w:rsidR="00044D44">
              <w:rPr>
                <w:noProof/>
                <w:webHidden/>
              </w:rPr>
            </w:r>
            <w:r w:rsidR="00044D44">
              <w:rPr>
                <w:noProof/>
                <w:webHidden/>
              </w:rPr>
              <w:fldChar w:fldCharType="separate"/>
            </w:r>
            <w:r w:rsidR="00044D44">
              <w:rPr>
                <w:noProof/>
                <w:webHidden/>
              </w:rPr>
              <w:t>4</w:t>
            </w:r>
            <w:r w:rsidR="00044D44">
              <w:rPr>
                <w:noProof/>
                <w:webHidden/>
              </w:rPr>
              <w:fldChar w:fldCharType="end"/>
            </w:r>
          </w:hyperlink>
        </w:p>
        <w:p w14:paraId="312FB1D3" w14:textId="2C4AB1A4" w:rsidR="00044D44" w:rsidRDefault="00000000">
          <w:pPr>
            <w:pStyle w:val="TOC1"/>
            <w:tabs>
              <w:tab w:val="right" w:leader="dot" w:pos="10444"/>
            </w:tabs>
            <w:rPr>
              <w:noProof/>
            </w:rPr>
          </w:pPr>
          <w:hyperlink w:anchor="_Toc161423341" w:history="1">
            <w:r w:rsidR="00044D44" w:rsidRPr="007E4320">
              <w:rPr>
                <w:rStyle w:val="Hyperlink"/>
                <w:rFonts w:eastAsia="Calibri"/>
                <w:noProof/>
                <w:lang w:val="en-US" w:eastAsia="en-US"/>
              </w:rPr>
              <w:t>Types of Consideration</w:t>
            </w:r>
            <w:r w:rsidR="00044D44">
              <w:rPr>
                <w:noProof/>
                <w:webHidden/>
              </w:rPr>
              <w:tab/>
            </w:r>
            <w:r w:rsidR="00044D44">
              <w:rPr>
                <w:noProof/>
                <w:webHidden/>
              </w:rPr>
              <w:fldChar w:fldCharType="begin"/>
            </w:r>
            <w:r w:rsidR="00044D44">
              <w:rPr>
                <w:noProof/>
                <w:webHidden/>
              </w:rPr>
              <w:instrText xml:space="preserve"> PAGEREF _Toc161423341 \h </w:instrText>
            </w:r>
            <w:r w:rsidR="00044D44">
              <w:rPr>
                <w:noProof/>
                <w:webHidden/>
              </w:rPr>
            </w:r>
            <w:r w:rsidR="00044D44">
              <w:rPr>
                <w:noProof/>
                <w:webHidden/>
              </w:rPr>
              <w:fldChar w:fldCharType="separate"/>
            </w:r>
            <w:r w:rsidR="00044D44">
              <w:rPr>
                <w:noProof/>
                <w:webHidden/>
              </w:rPr>
              <w:t>4</w:t>
            </w:r>
            <w:r w:rsidR="00044D44">
              <w:rPr>
                <w:noProof/>
                <w:webHidden/>
              </w:rPr>
              <w:fldChar w:fldCharType="end"/>
            </w:r>
          </w:hyperlink>
        </w:p>
        <w:p w14:paraId="0DC5CAF7" w14:textId="05A01C04" w:rsidR="00044D44" w:rsidRDefault="00000000">
          <w:pPr>
            <w:pStyle w:val="TOC1"/>
            <w:tabs>
              <w:tab w:val="right" w:leader="dot" w:pos="10444"/>
            </w:tabs>
            <w:rPr>
              <w:noProof/>
            </w:rPr>
          </w:pPr>
          <w:hyperlink w:anchor="_Toc161423342" w:history="1">
            <w:r w:rsidR="00044D44" w:rsidRPr="007E4320">
              <w:rPr>
                <w:rStyle w:val="Hyperlink"/>
                <w:rFonts w:eastAsia="Calibri"/>
                <w:noProof/>
                <w:lang w:val="en-US" w:eastAsia="en-US"/>
              </w:rPr>
              <w:t>When Consideration is Valid</w:t>
            </w:r>
            <w:r w:rsidR="00044D44">
              <w:rPr>
                <w:noProof/>
                <w:webHidden/>
              </w:rPr>
              <w:tab/>
            </w:r>
            <w:r w:rsidR="00044D44">
              <w:rPr>
                <w:noProof/>
                <w:webHidden/>
              </w:rPr>
              <w:fldChar w:fldCharType="begin"/>
            </w:r>
            <w:r w:rsidR="00044D44">
              <w:rPr>
                <w:noProof/>
                <w:webHidden/>
              </w:rPr>
              <w:instrText xml:space="preserve"> PAGEREF _Toc161423342 \h </w:instrText>
            </w:r>
            <w:r w:rsidR="00044D44">
              <w:rPr>
                <w:noProof/>
                <w:webHidden/>
              </w:rPr>
            </w:r>
            <w:r w:rsidR="00044D44">
              <w:rPr>
                <w:noProof/>
                <w:webHidden/>
              </w:rPr>
              <w:fldChar w:fldCharType="separate"/>
            </w:r>
            <w:r w:rsidR="00044D44">
              <w:rPr>
                <w:noProof/>
                <w:webHidden/>
              </w:rPr>
              <w:t>6</w:t>
            </w:r>
            <w:r w:rsidR="00044D44">
              <w:rPr>
                <w:noProof/>
                <w:webHidden/>
              </w:rPr>
              <w:fldChar w:fldCharType="end"/>
            </w:r>
          </w:hyperlink>
        </w:p>
        <w:p w14:paraId="78081B00" w14:textId="32983367" w:rsidR="00044D44" w:rsidRDefault="00000000">
          <w:pPr>
            <w:pStyle w:val="TOC1"/>
            <w:tabs>
              <w:tab w:val="right" w:leader="dot" w:pos="10444"/>
            </w:tabs>
            <w:rPr>
              <w:noProof/>
            </w:rPr>
          </w:pPr>
          <w:hyperlink w:anchor="_Toc161423343" w:history="1">
            <w:r w:rsidR="00044D44" w:rsidRPr="007E4320">
              <w:rPr>
                <w:rStyle w:val="Hyperlink"/>
                <w:rFonts w:eastAsia="Calibri"/>
                <w:noProof/>
                <w:lang w:val="en-US" w:eastAsia="en-US"/>
              </w:rPr>
              <w:t>Issues with Consideration</w:t>
            </w:r>
            <w:r w:rsidR="00044D44">
              <w:rPr>
                <w:noProof/>
                <w:webHidden/>
              </w:rPr>
              <w:tab/>
            </w:r>
            <w:r w:rsidR="00044D44">
              <w:rPr>
                <w:noProof/>
                <w:webHidden/>
              </w:rPr>
              <w:fldChar w:fldCharType="begin"/>
            </w:r>
            <w:r w:rsidR="00044D44">
              <w:rPr>
                <w:noProof/>
                <w:webHidden/>
              </w:rPr>
              <w:instrText xml:space="preserve"> PAGEREF _Toc161423343 \h </w:instrText>
            </w:r>
            <w:r w:rsidR="00044D44">
              <w:rPr>
                <w:noProof/>
                <w:webHidden/>
              </w:rPr>
            </w:r>
            <w:r w:rsidR="00044D44">
              <w:rPr>
                <w:noProof/>
                <w:webHidden/>
              </w:rPr>
              <w:fldChar w:fldCharType="separate"/>
            </w:r>
            <w:r w:rsidR="00044D44">
              <w:rPr>
                <w:noProof/>
                <w:webHidden/>
              </w:rPr>
              <w:t>7</w:t>
            </w:r>
            <w:r w:rsidR="00044D44">
              <w:rPr>
                <w:noProof/>
                <w:webHidden/>
              </w:rPr>
              <w:fldChar w:fldCharType="end"/>
            </w:r>
          </w:hyperlink>
        </w:p>
        <w:p w14:paraId="6A00D4D2" w14:textId="69C343CD" w:rsidR="00044D44" w:rsidRDefault="00000000">
          <w:pPr>
            <w:pStyle w:val="TOC1"/>
            <w:tabs>
              <w:tab w:val="right" w:leader="dot" w:pos="10444"/>
            </w:tabs>
            <w:rPr>
              <w:noProof/>
            </w:rPr>
          </w:pPr>
          <w:hyperlink w:anchor="_Toc161423344" w:history="1">
            <w:r w:rsidR="00044D44" w:rsidRPr="007E4320">
              <w:rPr>
                <w:rStyle w:val="Hyperlink"/>
                <w:rFonts w:eastAsia="Calibri"/>
                <w:noProof/>
                <w:lang w:val="en-US" w:eastAsia="en-US"/>
              </w:rPr>
              <w:t>Reform Suggestions</w:t>
            </w:r>
            <w:r w:rsidR="00044D44">
              <w:rPr>
                <w:noProof/>
                <w:webHidden/>
              </w:rPr>
              <w:tab/>
            </w:r>
            <w:r w:rsidR="00044D44">
              <w:rPr>
                <w:noProof/>
                <w:webHidden/>
              </w:rPr>
              <w:fldChar w:fldCharType="begin"/>
            </w:r>
            <w:r w:rsidR="00044D44">
              <w:rPr>
                <w:noProof/>
                <w:webHidden/>
              </w:rPr>
              <w:instrText xml:space="preserve"> PAGEREF _Toc161423344 \h </w:instrText>
            </w:r>
            <w:r w:rsidR="00044D44">
              <w:rPr>
                <w:noProof/>
                <w:webHidden/>
              </w:rPr>
            </w:r>
            <w:r w:rsidR="00044D44">
              <w:rPr>
                <w:noProof/>
                <w:webHidden/>
              </w:rPr>
              <w:fldChar w:fldCharType="separate"/>
            </w:r>
            <w:r w:rsidR="00044D44">
              <w:rPr>
                <w:noProof/>
                <w:webHidden/>
              </w:rPr>
              <w:t>7</w:t>
            </w:r>
            <w:r w:rsidR="00044D44">
              <w:rPr>
                <w:noProof/>
                <w:webHidden/>
              </w:rPr>
              <w:fldChar w:fldCharType="end"/>
            </w:r>
          </w:hyperlink>
        </w:p>
        <w:p w14:paraId="3CF165DD" w14:textId="0C4EF54A" w:rsidR="00044D44" w:rsidRDefault="00000000">
          <w:pPr>
            <w:pStyle w:val="TOC1"/>
            <w:tabs>
              <w:tab w:val="right" w:leader="dot" w:pos="10444"/>
            </w:tabs>
            <w:rPr>
              <w:noProof/>
            </w:rPr>
          </w:pPr>
          <w:hyperlink w:anchor="_Toc161423345" w:history="1">
            <w:r w:rsidR="00044D44" w:rsidRPr="007E4320">
              <w:rPr>
                <w:rStyle w:val="Hyperlink"/>
                <w:rFonts w:eastAsia="Calibri"/>
                <w:noProof/>
                <w:lang w:val="en-US" w:eastAsia="en-US"/>
              </w:rPr>
              <w:t>Conclusion</w:t>
            </w:r>
            <w:r w:rsidR="00044D44">
              <w:rPr>
                <w:noProof/>
                <w:webHidden/>
              </w:rPr>
              <w:tab/>
            </w:r>
            <w:r w:rsidR="00044D44">
              <w:rPr>
                <w:noProof/>
                <w:webHidden/>
              </w:rPr>
              <w:fldChar w:fldCharType="begin"/>
            </w:r>
            <w:r w:rsidR="00044D44">
              <w:rPr>
                <w:noProof/>
                <w:webHidden/>
              </w:rPr>
              <w:instrText xml:space="preserve"> PAGEREF _Toc161423345 \h </w:instrText>
            </w:r>
            <w:r w:rsidR="00044D44">
              <w:rPr>
                <w:noProof/>
                <w:webHidden/>
              </w:rPr>
            </w:r>
            <w:r w:rsidR="00044D44">
              <w:rPr>
                <w:noProof/>
                <w:webHidden/>
              </w:rPr>
              <w:fldChar w:fldCharType="separate"/>
            </w:r>
            <w:r w:rsidR="00044D44">
              <w:rPr>
                <w:noProof/>
                <w:webHidden/>
              </w:rPr>
              <w:t>8</w:t>
            </w:r>
            <w:r w:rsidR="00044D44">
              <w:rPr>
                <w:noProof/>
                <w:webHidden/>
              </w:rPr>
              <w:fldChar w:fldCharType="end"/>
            </w:r>
          </w:hyperlink>
        </w:p>
        <w:p w14:paraId="13DDA681" w14:textId="482EE662" w:rsidR="00044D44" w:rsidRDefault="00000000">
          <w:pPr>
            <w:pStyle w:val="TOC1"/>
            <w:tabs>
              <w:tab w:val="right" w:leader="dot" w:pos="10444"/>
            </w:tabs>
            <w:rPr>
              <w:noProof/>
            </w:rPr>
          </w:pPr>
          <w:hyperlink w:anchor="_Toc161423346" w:history="1">
            <w:r w:rsidR="00044D44" w:rsidRPr="007E4320">
              <w:rPr>
                <w:rStyle w:val="Hyperlink"/>
                <w:rFonts w:eastAsia="Calibri"/>
                <w:noProof/>
                <w:lang w:val="en-US" w:eastAsia="en-US"/>
              </w:rPr>
              <w:t>References</w:t>
            </w:r>
            <w:r w:rsidR="00044D44">
              <w:rPr>
                <w:noProof/>
                <w:webHidden/>
              </w:rPr>
              <w:tab/>
            </w:r>
            <w:r w:rsidR="00044D44">
              <w:rPr>
                <w:noProof/>
                <w:webHidden/>
              </w:rPr>
              <w:fldChar w:fldCharType="begin"/>
            </w:r>
            <w:r w:rsidR="00044D44">
              <w:rPr>
                <w:noProof/>
                <w:webHidden/>
              </w:rPr>
              <w:instrText xml:space="preserve"> PAGEREF _Toc161423346 \h </w:instrText>
            </w:r>
            <w:r w:rsidR="00044D44">
              <w:rPr>
                <w:noProof/>
                <w:webHidden/>
              </w:rPr>
            </w:r>
            <w:r w:rsidR="00044D44">
              <w:rPr>
                <w:noProof/>
                <w:webHidden/>
              </w:rPr>
              <w:fldChar w:fldCharType="separate"/>
            </w:r>
            <w:r w:rsidR="00044D44">
              <w:rPr>
                <w:noProof/>
                <w:webHidden/>
              </w:rPr>
              <w:t>9</w:t>
            </w:r>
            <w:r w:rsidR="00044D44">
              <w:rPr>
                <w:noProof/>
                <w:webHidden/>
              </w:rPr>
              <w:fldChar w:fldCharType="end"/>
            </w:r>
          </w:hyperlink>
        </w:p>
        <w:p w14:paraId="5D45D622" w14:textId="4A491066" w:rsidR="00044D44" w:rsidRDefault="00044D44">
          <w:r>
            <w:rPr>
              <w:b/>
              <w:bCs/>
              <w:noProof/>
            </w:rPr>
            <w:fldChar w:fldCharType="end"/>
          </w:r>
        </w:p>
      </w:sdtContent>
    </w:sdt>
    <w:p w14:paraId="00F7A0CB" w14:textId="77777777" w:rsidR="00044D44" w:rsidRDefault="00044D44" w:rsidP="00A67FB1">
      <w:pPr>
        <w:ind w:left="720"/>
        <w:rPr>
          <w:rFonts w:ascii="Arial" w:hAnsi="Arial" w:cs="Arial"/>
          <w:sz w:val="24"/>
          <w:szCs w:val="24"/>
        </w:rPr>
      </w:pPr>
    </w:p>
    <w:p w14:paraId="51CF976F" w14:textId="77777777" w:rsidR="00044D44" w:rsidRDefault="00044D44" w:rsidP="00A67FB1">
      <w:pPr>
        <w:ind w:left="720"/>
        <w:rPr>
          <w:rFonts w:ascii="Arial" w:hAnsi="Arial" w:cs="Arial"/>
          <w:sz w:val="24"/>
          <w:szCs w:val="24"/>
        </w:rPr>
      </w:pPr>
    </w:p>
    <w:p w14:paraId="7E338635" w14:textId="77777777" w:rsidR="00044D44" w:rsidRDefault="00044D44" w:rsidP="00A67FB1">
      <w:pPr>
        <w:ind w:left="720"/>
        <w:rPr>
          <w:rFonts w:ascii="Arial" w:hAnsi="Arial" w:cs="Arial"/>
          <w:sz w:val="24"/>
          <w:szCs w:val="24"/>
        </w:rPr>
      </w:pPr>
    </w:p>
    <w:p w14:paraId="2971AB33" w14:textId="77777777" w:rsidR="00044D44" w:rsidRDefault="00044D44" w:rsidP="00A67FB1">
      <w:pPr>
        <w:ind w:left="720"/>
        <w:rPr>
          <w:rFonts w:ascii="Arial" w:hAnsi="Arial" w:cs="Arial"/>
          <w:sz w:val="24"/>
          <w:szCs w:val="24"/>
        </w:rPr>
      </w:pPr>
    </w:p>
    <w:p w14:paraId="07124D13" w14:textId="77777777" w:rsidR="00044D44" w:rsidRDefault="00044D44" w:rsidP="00A67FB1">
      <w:pPr>
        <w:ind w:left="720"/>
        <w:rPr>
          <w:rFonts w:ascii="Arial" w:hAnsi="Arial" w:cs="Arial"/>
          <w:sz w:val="24"/>
          <w:szCs w:val="24"/>
        </w:rPr>
      </w:pPr>
    </w:p>
    <w:p w14:paraId="4105D451" w14:textId="77777777" w:rsidR="00044D44" w:rsidRDefault="00044D44" w:rsidP="00A67FB1">
      <w:pPr>
        <w:ind w:left="720"/>
        <w:rPr>
          <w:rFonts w:ascii="Arial" w:hAnsi="Arial" w:cs="Arial"/>
          <w:sz w:val="24"/>
          <w:szCs w:val="24"/>
        </w:rPr>
      </w:pPr>
    </w:p>
    <w:p w14:paraId="2FA54151" w14:textId="77777777" w:rsidR="00044D44" w:rsidRDefault="00044D44" w:rsidP="00A67FB1">
      <w:pPr>
        <w:ind w:left="720"/>
        <w:rPr>
          <w:rFonts w:ascii="Arial" w:hAnsi="Arial" w:cs="Arial"/>
          <w:sz w:val="24"/>
          <w:szCs w:val="24"/>
        </w:rPr>
      </w:pPr>
    </w:p>
    <w:p w14:paraId="0F28AEE4" w14:textId="77777777" w:rsidR="00044D44" w:rsidRDefault="00044D44" w:rsidP="00A67FB1">
      <w:pPr>
        <w:ind w:left="720"/>
        <w:rPr>
          <w:rFonts w:ascii="Arial" w:hAnsi="Arial" w:cs="Arial"/>
          <w:sz w:val="24"/>
          <w:szCs w:val="24"/>
        </w:rPr>
      </w:pPr>
    </w:p>
    <w:p w14:paraId="318B053C" w14:textId="77777777" w:rsidR="00044D44" w:rsidRDefault="00044D44" w:rsidP="00A67FB1">
      <w:pPr>
        <w:ind w:left="720"/>
        <w:rPr>
          <w:rFonts w:ascii="Arial" w:hAnsi="Arial" w:cs="Arial"/>
          <w:sz w:val="24"/>
          <w:szCs w:val="24"/>
        </w:rPr>
      </w:pPr>
    </w:p>
    <w:p w14:paraId="70107256" w14:textId="77777777" w:rsidR="00044D44" w:rsidRDefault="00044D44" w:rsidP="00A67FB1">
      <w:pPr>
        <w:ind w:left="720"/>
        <w:rPr>
          <w:rFonts w:ascii="Arial" w:hAnsi="Arial" w:cs="Arial"/>
          <w:sz w:val="24"/>
          <w:szCs w:val="24"/>
        </w:rPr>
      </w:pPr>
    </w:p>
    <w:p w14:paraId="7AC39ABA" w14:textId="77777777" w:rsidR="00044D44" w:rsidRDefault="00044D44" w:rsidP="00A67FB1">
      <w:pPr>
        <w:ind w:left="720"/>
        <w:rPr>
          <w:rFonts w:ascii="Arial" w:hAnsi="Arial" w:cs="Arial"/>
          <w:sz w:val="24"/>
          <w:szCs w:val="24"/>
        </w:rPr>
      </w:pPr>
    </w:p>
    <w:p w14:paraId="3A6C613C" w14:textId="77777777" w:rsidR="00044D44" w:rsidRDefault="00044D44" w:rsidP="00A67FB1">
      <w:pPr>
        <w:ind w:left="720"/>
        <w:rPr>
          <w:rFonts w:ascii="Arial" w:hAnsi="Arial" w:cs="Arial"/>
          <w:sz w:val="24"/>
          <w:szCs w:val="24"/>
        </w:rPr>
      </w:pPr>
    </w:p>
    <w:p w14:paraId="707A30FB" w14:textId="77777777" w:rsidR="00044D44" w:rsidRDefault="00044D44" w:rsidP="00A67FB1">
      <w:pPr>
        <w:ind w:left="720"/>
        <w:rPr>
          <w:rFonts w:ascii="Arial" w:hAnsi="Arial" w:cs="Arial"/>
          <w:sz w:val="24"/>
          <w:szCs w:val="24"/>
        </w:rPr>
      </w:pPr>
    </w:p>
    <w:p w14:paraId="5371B4A0" w14:textId="77777777" w:rsidR="00044D44" w:rsidRDefault="00044D44" w:rsidP="00A67FB1">
      <w:pPr>
        <w:ind w:left="720"/>
        <w:rPr>
          <w:rFonts w:ascii="Arial" w:hAnsi="Arial" w:cs="Arial"/>
          <w:sz w:val="24"/>
          <w:szCs w:val="24"/>
        </w:rPr>
      </w:pPr>
    </w:p>
    <w:p w14:paraId="35280133" w14:textId="77777777" w:rsidR="00044D44" w:rsidRDefault="00044D44" w:rsidP="00A67FB1">
      <w:pPr>
        <w:ind w:left="720"/>
        <w:rPr>
          <w:rFonts w:ascii="Arial" w:hAnsi="Arial" w:cs="Arial"/>
          <w:sz w:val="24"/>
          <w:szCs w:val="24"/>
        </w:rPr>
      </w:pPr>
    </w:p>
    <w:p w14:paraId="7F21A56E" w14:textId="77777777" w:rsidR="00044D44" w:rsidRDefault="00044D44" w:rsidP="00A67FB1">
      <w:pPr>
        <w:ind w:left="720"/>
        <w:rPr>
          <w:rFonts w:ascii="Arial" w:hAnsi="Arial" w:cs="Arial"/>
          <w:sz w:val="24"/>
          <w:szCs w:val="24"/>
        </w:rPr>
      </w:pPr>
    </w:p>
    <w:p w14:paraId="19278D87" w14:textId="77777777" w:rsidR="00044D44" w:rsidRDefault="00044D44" w:rsidP="00A67FB1">
      <w:pPr>
        <w:ind w:left="720"/>
        <w:rPr>
          <w:rFonts w:ascii="Arial" w:hAnsi="Arial" w:cs="Arial"/>
          <w:sz w:val="24"/>
          <w:szCs w:val="24"/>
        </w:rPr>
      </w:pPr>
    </w:p>
    <w:p w14:paraId="7F9A8A99" w14:textId="77777777" w:rsidR="00044D44" w:rsidRDefault="00044D44" w:rsidP="00A67FB1">
      <w:pPr>
        <w:ind w:left="720"/>
        <w:rPr>
          <w:rFonts w:ascii="Arial" w:hAnsi="Arial" w:cs="Arial"/>
          <w:sz w:val="24"/>
          <w:szCs w:val="24"/>
        </w:rPr>
      </w:pPr>
    </w:p>
    <w:p w14:paraId="08B2D9CF" w14:textId="77777777" w:rsidR="00044D44" w:rsidRDefault="00044D44" w:rsidP="00A67FB1">
      <w:pPr>
        <w:ind w:left="720"/>
        <w:rPr>
          <w:rFonts w:ascii="Arial" w:hAnsi="Arial" w:cs="Arial"/>
          <w:sz w:val="24"/>
          <w:szCs w:val="24"/>
        </w:rPr>
      </w:pPr>
    </w:p>
    <w:p w14:paraId="3F07FFDA" w14:textId="77777777" w:rsidR="00044D44" w:rsidRDefault="00044D44" w:rsidP="00A67FB1">
      <w:pPr>
        <w:ind w:left="720"/>
        <w:rPr>
          <w:rFonts w:ascii="Arial" w:hAnsi="Arial" w:cs="Arial"/>
          <w:sz w:val="24"/>
          <w:szCs w:val="24"/>
        </w:rPr>
      </w:pPr>
    </w:p>
    <w:p w14:paraId="63C57D15" w14:textId="77777777" w:rsidR="00044D44" w:rsidRDefault="00044D44" w:rsidP="00A67FB1">
      <w:pPr>
        <w:ind w:left="720"/>
        <w:rPr>
          <w:rFonts w:ascii="Arial" w:hAnsi="Arial" w:cs="Arial"/>
          <w:sz w:val="24"/>
          <w:szCs w:val="24"/>
        </w:rPr>
      </w:pPr>
    </w:p>
    <w:p w14:paraId="3AEBFE0B" w14:textId="77777777" w:rsidR="00044D44" w:rsidRDefault="00044D44" w:rsidP="00A67FB1">
      <w:pPr>
        <w:ind w:left="720"/>
        <w:rPr>
          <w:rFonts w:ascii="Arial" w:hAnsi="Arial" w:cs="Arial"/>
          <w:sz w:val="24"/>
          <w:szCs w:val="24"/>
        </w:rPr>
      </w:pPr>
    </w:p>
    <w:p w14:paraId="16CACC87" w14:textId="77777777" w:rsidR="00044D44" w:rsidRDefault="00044D44" w:rsidP="00A67FB1">
      <w:pPr>
        <w:ind w:left="720"/>
        <w:rPr>
          <w:rFonts w:ascii="Arial" w:hAnsi="Arial" w:cs="Arial"/>
          <w:sz w:val="24"/>
          <w:szCs w:val="24"/>
        </w:rPr>
      </w:pPr>
    </w:p>
    <w:p w14:paraId="2DC26526" w14:textId="77777777" w:rsidR="00044D44" w:rsidRDefault="00044D44" w:rsidP="00A67FB1">
      <w:pPr>
        <w:ind w:left="720"/>
        <w:rPr>
          <w:rFonts w:ascii="Arial" w:hAnsi="Arial" w:cs="Arial"/>
          <w:sz w:val="24"/>
          <w:szCs w:val="24"/>
        </w:rPr>
      </w:pPr>
    </w:p>
    <w:p w14:paraId="7EEA1548" w14:textId="77777777" w:rsidR="00044D44" w:rsidRDefault="00044D44" w:rsidP="00A67FB1">
      <w:pPr>
        <w:ind w:left="720"/>
        <w:rPr>
          <w:rFonts w:ascii="Arial" w:hAnsi="Arial" w:cs="Arial"/>
          <w:sz w:val="24"/>
          <w:szCs w:val="24"/>
        </w:rPr>
      </w:pPr>
    </w:p>
    <w:p w14:paraId="1D56F68D" w14:textId="77777777" w:rsidR="00044D44" w:rsidRDefault="00044D44" w:rsidP="00A67FB1">
      <w:pPr>
        <w:ind w:left="720"/>
        <w:rPr>
          <w:rFonts w:ascii="Arial" w:hAnsi="Arial" w:cs="Arial"/>
          <w:sz w:val="24"/>
          <w:szCs w:val="24"/>
        </w:rPr>
      </w:pPr>
    </w:p>
    <w:p w14:paraId="43C043D6" w14:textId="77777777" w:rsidR="00044D44" w:rsidRDefault="00044D44" w:rsidP="00A67FB1">
      <w:pPr>
        <w:ind w:left="720"/>
        <w:rPr>
          <w:rFonts w:ascii="Arial" w:hAnsi="Arial" w:cs="Arial"/>
          <w:sz w:val="24"/>
          <w:szCs w:val="24"/>
        </w:rPr>
      </w:pPr>
    </w:p>
    <w:p w14:paraId="458E6221" w14:textId="77777777" w:rsidR="00044D44" w:rsidRDefault="00044D44" w:rsidP="00A67FB1">
      <w:pPr>
        <w:ind w:left="720"/>
        <w:rPr>
          <w:rFonts w:ascii="Arial" w:hAnsi="Arial" w:cs="Arial"/>
          <w:sz w:val="24"/>
          <w:szCs w:val="24"/>
        </w:rPr>
      </w:pPr>
    </w:p>
    <w:p w14:paraId="6D774CDC" w14:textId="77777777" w:rsidR="00044D44" w:rsidRDefault="00044D44" w:rsidP="00A67FB1">
      <w:pPr>
        <w:ind w:left="720"/>
        <w:rPr>
          <w:rFonts w:ascii="Arial" w:hAnsi="Arial" w:cs="Arial"/>
          <w:sz w:val="24"/>
          <w:szCs w:val="24"/>
        </w:rPr>
      </w:pPr>
    </w:p>
    <w:p w14:paraId="033F67A3" w14:textId="77777777" w:rsidR="00044D44" w:rsidRDefault="00044D44" w:rsidP="00A67FB1">
      <w:pPr>
        <w:ind w:left="720"/>
        <w:rPr>
          <w:rFonts w:ascii="Arial" w:hAnsi="Arial" w:cs="Arial"/>
          <w:sz w:val="24"/>
          <w:szCs w:val="24"/>
        </w:rPr>
      </w:pPr>
    </w:p>
    <w:p w14:paraId="2F9B7273" w14:textId="77777777" w:rsidR="00044D44" w:rsidRDefault="00044D44" w:rsidP="00A67FB1">
      <w:pPr>
        <w:ind w:left="720"/>
        <w:rPr>
          <w:rFonts w:ascii="Arial" w:hAnsi="Arial" w:cs="Arial"/>
          <w:sz w:val="24"/>
          <w:szCs w:val="24"/>
        </w:rPr>
      </w:pPr>
    </w:p>
    <w:p w14:paraId="1D69AD74" w14:textId="77777777" w:rsidR="00044D44" w:rsidRDefault="00044D44" w:rsidP="00A67FB1">
      <w:pPr>
        <w:ind w:left="720"/>
        <w:rPr>
          <w:rFonts w:ascii="Arial" w:hAnsi="Arial" w:cs="Arial"/>
          <w:sz w:val="24"/>
          <w:szCs w:val="24"/>
        </w:rPr>
      </w:pPr>
    </w:p>
    <w:p w14:paraId="1E6B97D8" w14:textId="77777777" w:rsidR="00044D44" w:rsidRDefault="00044D44" w:rsidP="00A67FB1">
      <w:pPr>
        <w:ind w:left="720"/>
        <w:rPr>
          <w:rFonts w:ascii="Arial" w:hAnsi="Arial" w:cs="Arial"/>
          <w:sz w:val="24"/>
          <w:szCs w:val="24"/>
        </w:rPr>
      </w:pPr>
    </w:p>
    <w:p w14:paraId="5D4F6DD4" w14:textId="77777777" w:rsidR="00152E9D" w:rsidRPr="00A406E5" w:rsidRDefault="00152E9D" w:rsidP="00044D44">
      <w:pPr>
        <w:rPr>
          <w:rFonts w:ascii="Arial" w:hAnsi="Arial" w:cs="Arial"/>
          <w:sz w:val="24"/>
          <w:szCs w:val="24"/>
        </w:rPr>
      </w:pPr>
    </w:p>
    <w:p w14:paraId="77835AFC" w14:textId="77777777" w:rsidR="00152E9D" w:rsidRPr="00A406E5" w:rsidRDefault="00152E9D" w:rsidP="00E355E4">
      <w:pPr>
        <w:rPr>
          <w:rFonts w:ascii="Arial" w:hAnsi="Arial" w:cs="Arial"/>
          <w:sz w:val="24"/>
          <w:szCs w:val="24"/>
        </w:rPr>
      </w:pPr>
    </w:p>
    <w:p w14:paraId="18329518" w14:textId="77777777" w:rsidR="00E355E4" w:rsidRDefault="00E355E4" w:rsidP="00044D44">
      <w:pPr>
        <w:pStyle w:val="Heading1"/>
        <w:rPr>
          <w:rFonts w:eastAsia="Calibri"/>
          <w:lang w:val="en-US" w:eastAsia="en-US"/>
        </w:rPr>
      </w:pPr>
      <w:bookmarkStart w:id="0" w:name="_Toc161423337"/>
      <w:r w:rsidRPr="00E355E4">
        <w:rPr>
          <w:rFonts w:eastAsia="Calibri"/>
          <w:lang w:val="en-US" w:eastAsia="en-US"/>
        </w:rPr>
        <w:t>The Role of Consideration in Contract Law</w:t>
      </w:r>
      <w:bookmarkEnd w:id="0"/>
    </w:p>
    <w:p w14:paraId="25E8B1A6" w14:textId="7F19298A" w:rsidR="00044D44" w:rsidRPr="00E355E4" w:rsidRDefault="00044D44" w:rsidP="00044D44">
      <w:pPr>
        <w:pStyle w:val="Heading1"/>
        <w:rPr>
          <w:rFonts w:eastAsia="Calibri"/>
          <w:lang w:val="en-US" w:eastAsia="en-US"/>
        </w:rPr>
      </w:pPr>
      <w:bookmarkStart w:id="1" w:name="_Toc161423338"/>
      <w:r>
        <w:rPr>
          <w:rFonts w:eastAsia="Calibri"/>
          <w:lang w:val="en-US" w:eastAsia="en-US"/>
        </w:rPr>
        <w:t>Introduction:</w:t>
      </w:r>
      <w:bookmarkEnd w:id="1"/>
    </w:p>
    <w:p w14:paraId="678E6C85" w14:textId="77777777" w:rsidR="00E355E4" w:rsidRPr="00E355E4" w:rsidRDefault="00E355E4" w:rsidP="00044D44">
      <w:pPr>
        <w:spacing w:before="100" w:beforeAutospacing="1" w:after="100" w:afterAutospacing="1" w:line="480" w:lineRule="auto"/>
        <w:ind w:firstLine="720"/>
        <w:jc w:val="both"/>
        <w:rPr>
          <w:rFonts w:eastAsia="Calibri"/>
          <w:sz w:val="24"/>
          <w:szCs w:val="24"/>
          <w:lang w:val="en-US" w:eastAsia="en-US"/>
        </w:rPr>
      </w:pPr>
      <w:r w:rsidRPr="00E355E4">
        <w:rPr>
          <w:rFonts w:eastAsia="Calibri"/>
          <w:sz w:val="24"/>
          <w:szCs w:val="24"/>
          <w:lang w:val="en-US" w:eastAsia="en-US"/>
        </w:rPr>
        <w:t xml:space="preserve">Consideration is the most vital theme in contract law and is the basis of the doctrine in creating and maintaining contractual relationships. In law, a contract is based upon certain elements and qualities, such as offer, acceptance, intention to develop relations and consideration (Hoffman &amp; Eigen, 2022). The paper evaluates the part played by consideration in the law of contract, considering the relevance of consideration in the law of contract. The paper, therefore, through the analysis of the concept of consideration, its definition, </w:t>
      </w:r>
      <w:proofErr w:type="gramStart"/>
      <w:r w:rsidRPr="00E355E4">
        <w:rPr>
          <w:rFonts w:eastAsia="Calibri"/>
          <w:sz w:val="24"/>
          <w:szCs w:val="24"/>
          <w:lang w:val="en-US" w:eastAsia="en-US"/>
        </w:rPr>
        <w:t>different types</w:t>
      </w:r>
      <w:proofErr w:type="gramEnd"/>
      <w:r w:rsidRPr="00E355E4">
        <w:rPr>
          <w:rFonts w:eastAsia="Calibri"/>
          <w:sz w:val="24"/>
          <w:szCs w:val="24"/>
          <w:lang w:val="en-US" w:eastAsia="en-US"/>
        </w:rPr>
        <w:t>, criteria for valid consideration, joint issues, and possible reforms, tries to ensure a complete understanding regarding the functionality of such conditions within a legal landscape. Individuals learn by the complications associated with considering whether it is enforceable and their implications on how they pertain to the formulation of contracts.</w:t>
      </w:r>
    </w:p>
    <w:p w14:paraId="5DE60A00" w14:textId="77777777" w:rsidR="00E355E4" w:rsidRPr="00E355E4" w:rsidRDefault="00E355E4" w:rsidP="00044D44">
      <w:pPr>
        <w:pStyle w:val="Heading1"/>
        <w:rPr>
          <w:rFonts w:eastAsia="Calibri"/>
          <w:lang w:val="en-US" w:eastAsia="en-US"/>
        </w:rPr>
      </w:pPr>
      <w:bookmarkStart w:id="2" w:name="_Toc161423339"/>
      <w:r w:rsidRPr="00E355E4">
        <w:rPr>
          <w:rFonts w:eastAsia="Calibri"/>
          <w:lang w:val="en-US" w:eastAsia="en-US"/>
        </w:rPr>
        <w:t>Formation of a Contract</w:t>
      </w:r>
      <w:bookmarkEnd w:id="2"/>
    </w:p>
    <w:p w14:paraId="5D1A7A1D" w14:textId="77777777" w:rsidR="00E355E4" w:rsidRPr="00E355E4" w:rsidRDefault="00E355E4" w:rsidP="00044D44">
      <w:pPr>
        <w:spacing w:before="100" w:beforeAutospacing="1" w:after="100" w:afterAutospacing="1" w:line="480" w:lineRule="auto"/>
        <w:ind w:firstLine="720"/>
        <w:jc w:val="both"/>
        <w:rPr>
          <w:rFonts w:eastAsia="Calibri"/>
          <w:sz w:val="24"/>
          <w:szCs w:val="24"/>
          <w:lang w:val="en-US" w:eastAsia="en-US"/>
        </w:rPr>
      </w:pPr>
      <w:r w:rsidRPr="00E355E4">
        <w:rPr>
          <w:rFonts w:eastAsia="Calibri"/>
          <w:sz w:val="24"/>
          <w:szCs w:val="24"/>
          <w:lang w:val="en-US" w:eastAsia="en-US"/>
        </w:rPr>
        <w:t xml:space="preserve">Forming a contract is </w:t>
      </w:r>
      <w:proofErr w:type="gramStart"/>
      <w:r w:rsidRPr="00E355E4">
        <w:rPr>
          <w:rFonts w:eastAsia="Calibri"/>
          <w:sz w:val="24"/>
          <w:szCs w:val="24"/>
          <w:lang w:val="en-US" w:eastAsia="en-US"/>
        </w:rPr>
        <w:t>the heart of the matter</w:t>
      </w:r>
      <w:proofErr w:type="gramEnd"/>
      <w:r w:rsidRPr="00E355E4">
        <w:rPr>
          <w:rFonts w:eastAsia="Calibri"/>
          <w:sz w:val="24"/>
          <w:szCs w:val="24"/>
          <w:lang w:val="en-US" w:eastAsia="en-US"/>
        </w:rPr>
        <w:t xml:space="preserve"> and forms one of the processes where some particular legal principles and requirements must be strictly observed (Dias, 2022). It often involves an offer, acceptance, intention to create legal relations, and consideration. An offer displays willingness to make a binding contract under specified terms, and acceptance displays unconditional agreement to the terms of the offer (Bashir et al., 2023). Agreement entails a meeting of the minds of those involved. That means that both parties ought to come to an understanding and agree with the fundamental terms of the contract.</w:t>
      </w:r>
    </w:p>
    <w:p w14:paraId="5BCB9BC0" w14:textId="41160E88" w:rsidR="00E355E4" w:rsidRPr="00E355E4" w:rsidRDefault="00E355E4" w:rsidP="00044D44">
      <w:pPr>
        <w:spacing w:before="100" w:beforeAutospacing="1" w:after="100" w:afterAutospacing="1" w:line="480" w:lineRule="auto"/>
        <w:ind w:firstLine="720"/>
        <w:jc w:val="both"/>
        <w:rPr>
          <w:rFonts w:eastAsia="Calibri"/>
          <w:sz w:val="24"/>
          <w:szCs w:val="24"/>
          <w:lang w:val="en-US" w:eastAsia="en-US"/>
        </w:rPr>
      </w:pPr>
      <w:r w:rsidRPr="00E355E4">
        <w:rPr>
          <w:rFonts w:eastAsia="Calibri"/>
          <w:sz w:val="24"/>
          <w:szCs w:val="24"/>
          <w:lang w:val="en-US" w:eastAsia="en-US"/>
        </w:rPr>
        <w:t xml:space="preserve">On the other </w:t>
      </w:r>
      <w:r w:rsidR="00866C5D" w:rsidRPr="00E355E4">
        <w:rPr>
          <w:rFonts w:eastAsia="Calibri"/>
          <w:sz w:val="24"/>
          <w:szCs w:val="24"/>
          <w:lang w:val="en-US" w:eastAsia="en-US"/>
        </w:rPr>
        <w:t>hand, includes</w:t>
      </w:r>
      <w:r w:rsidRPr="00E355E4">
        <w:rPr>
          <w:rFonts w:eastAsia="Calibri"/>
          <w:sz w:val="24"/>
          <w:szCs w:val="24"/>
          <w:lang w:val="en-US" w:eastAsia="en-US"/>
        </w:rPr>
        <w:t xml:space="preserve"> significant, fundamental aspects of the requirements entailed in the formation of the contract include the intention to create legal relations, the parties must have an intention for the agreement to legally bind between them as opposed to social or domestic arrangements, thereupon the court enforces (Dias, 2022). This ensures that none other than those with legal significance alone are enforceable by the courts. Another essential element of a contract is </w:t>
      </w:r>
      <w:r w:rsidR="00866C5D" w:rsidRPr="00E355E4">
        <w:rPr>
          <w:rFonts w:eastAsia="Calibri"/>
          <w:sz w:val="24"/>
          <w:szCs w:val="24"/>
          <w:lang w:val="en-US" w:eastAsia="en-US"/>
        </w:rPr>
        <w:t>consideration,</w:t>
      </w:r>
      <w:r w:rsidRPr="00E355E4">
        <w:rPr>
          <w:rFonts w:eastAsia="Calibri"/>
          <w:sz w:val="24"/>
          <w:szCs w:val="24"/>
          <w:lang w:val="en-US" w:eastAsia="en-US"/>
        </w:rPr>
        <w:t xml:space="preserve"> or some price or value </w:t>
      </w:r>
      <w:r w:rsidRPr="00E355E4">
        <w:rPr>
          <w:rFonts w:eastAsia="Calibri"/>
          <w:sz w:val="24"/>
          <w:szCs w:val="24"/>
          <w:lang w:val="en-US" w:eastAsia="en-US"/>
        </w:rPr>
        <w:lastRenderedPageBreak/>
        <w:t>caused to pass between the parties (Marica, 2023). This forms an inducement or motive for the contract and convinces each side to regard the other's promises as binding.</w:t>
      </w:r>
    </w:p>
    <w:p w14:paraId="2D230033" w14:textId="77777777" w:rsidR="00E355E4" w:rsidRPr="00E355E4" w:rsidRDefault="00E355E4" w:rsidP="00044D44">
      <w:pPr>
        <w:pStyle w:val="Heading1"/>
        <w:rPr>
          <w:rFonts w:eastAsia="Calibri"/>
          <w:lang w:val="en-US" w:eastAsia="en-US"/>
        </w:rPr>
      </w:pPr>
      <w:bookmarkStart w:id="3" w:name="_Toc161423340"/>
      <w:r w:rsidRPr="00E355E4">
        <w:rPr>
          <w:rFonts w:eastAsia="Calibri"/>
          <w:lang w:val="en-US" w:eastAsia="en-US"/>
        </w:rPr>
        <w:t>What is Consideration?</w:t>
      </w:r>
      <w:bookmarkEnd w:id="3"/>
    </w:p>
    <w:p w14:paraId="32CB6A23" w14:textId="59AB98CA" w:rsidR="00E355E4" w:rsidRPr="00E355E4" w:rsidRDefault="00E355E4" w:rsidP="00044D44">
      <w:pPr>
        <w:spacing w:before="100" w:beforeAutospacing="1" w:after="100" w:afterAutospacing="1" w:line="480" w:lineRule="auto"/>
        <w:ind w:firstLine="720"/>
        <w:jc w:val="both"/>
        <w:rPr>
          <w:rFonts w:eastAsia="Calibri"/>
          <w:sz w:val="24"/>
          <w:szCs w:val="24"/>
          <w:lang w:val="en-US" w:eastAsia="en-US"/>
        </w:rPr>
      </w:pPr>
      <w:r w:rsidRPr="00E355E4">
        <w:rPr>
          <w:rFonts w:eastAsia="Calibri"/>
          <w:sz w:val="24"/>
          <w:szCs w:val="24"/>
          <w:lang w:val="en-US" w:eastAsia="en-US"/>
        </w:rPr>
        <w:t xml:space="preserve">Consideration is a fundamental concept in the law of contracts that refers to any value based on which parties to the contract revert. In essence, it is the basis for the formation and enforceability of a contract, representing the so-called "price" that each party is paying for the other party's promise (Dias, 2022). A contract is </w:t>
      </w:r>
      <w:r w:rsidR="00866C5D" w:rsidRPr="00E355E4">
        <w:rPr>
          <w:rFonts w:eastAsia="Calibri"/>
          <w:sz w:val="24"/>
          <w:szCs w:val="24"/>
          <w:lang w:val="en-US" w:eastAsia="en-US"/>
        </w:rPr>
        <w:t>said</w:t>
      </w:r>
      <w:r w:rsidRPr="00E355E4">
        <w:rPr>
          <w:rFonts w:eastAsia="Calibri"/>
          <w:sz w:val="24"/>
          <w:szCs w:val="24"/>
          <w:lang w:val="en-US" w:eastAsia="en-US"/>
        </w:rPr>
        <w:t xml:space="preserve"> to be one without consideration and hence gratuitous and unenforceable if entered into without it (Bashir et al., 2023). It could be payment in money, merchandise, services, forbearance, or a promise to do something. In other words, consideration is some value that affords a party to act in entering an agreement with the other accordingly and is the basis of the deal between the parties (McNamara &amp; Sepasgozar, 2021). It </w:t>
      </w:r>
      <w:r w:rsidR="00866C5D" w:rsidRPr="00E355E4">
        <w:rPr>
          <w:rFonts w:eastAsia="Calibri"/>
          <w:sz w:val="24"/>
          <w:szCs w:val="24"/>
          <w:lang w:val="en-US" w:eastAsia="en-US"/>
        </w:rPr>
        <w:t>must</w:t>
      </w:r>
      <w:r w:rsidRPr="00E355E4">
        <w:rPr>
          <w:rFonts w:eastAsia="Calibri"/>
          <w:sz w:val="24"/>
          <w:szCs w:val="24"/>
          <w:lang w:val="en-US" w:eastAsia="en-US"/>
        </w:rPr>
        <w:t xml:space="preserve"> have legal value, that is, something that the law </w:t>
      </w:r>
      <w:r w:rsidR="00866C5D" w:rsidRPr="00E355E4">
        <w:rPr>
          <w:rFonts w:eastAsia="Calibri"/>
          <w:sz w:val="24"/>
          <w:szCs w:val="24"/>
          <w:lang w:val="en-US" w:eastAsia="en-US"/>
        </w:rPr>
        <w:t>must</w:t>
      </w:r>
      <w:r w:rsidRPr="00E355E4">
        <w:rPr>
          <w:rFonts w:eastAsia="Calibri"/>
          <w:sz w:val="24"/>
          <w:szCs w:val="24"/>
          <w:lang w:val="en-US" w:eastAsia="en-US"/>
        </w:rPr>
        <w:t xml:space="preserve"> recognize as giving support to the contract. This will ensure that the contract is not even morally unenforceable. Consideration must also be sufficient but not adequate (AL-Billeh, 2022). This means that the value of the consideration exchanged cannot be missing between the parties, so provided some value did pass between the parties in exchange for the promise, then that is enough.</w:t>
      </w:r>
    </w:p>
    <w:p w14:paraId="40B390BD" w14:textId="77777777" w:rsidR="00E355E4" w:rsidRPr="00E355E4" w:rsidRDefault="00E355E4" w:rsidP="00044D44">
      <w:pPr>
        <w:pStyle w:val="Heading1"/>
        <w:rPr>
          <w:rFonts w:eastAsia="Calibri"/>
          <w:lang w:val="en-US" w:eastAsia="en-US"/>
        </w:rPr>
      </w:pPr>
      <w:bookmarkStart w:id="4" w:name="_Toc161423341"/>
      <w:r w:rsidRPr="00E355E4">
        <w:rPr>
          <w:rFonts w:eastAsia="Calibri"/>
          <w:lang w:val="en-US" w:eastAsia="en-US"/>
        </w:rPr>
        <w:t>Types of Consideration</w:t>
      </w:r>
      <w:bookmarkEnd w:id="4"/>
    </w:p>
    <w:p w14:paraId="63DD8CB0" w14:textId="2F538273" w:rsidR="00E355E4" w:rsidRPr="00E355E4" w:rsidRDefault="00E355E4" w:rsidP="00044D44">
      <w:pPr>
        <w:spacing w:before="100" w:beforeAutospacing="1" w:after="100" w:afterAutospacing="1" w:line="480" w:lineRule="auto"/>
        <w:ind w:firstLine="720"/>
        <w:jc w:val="both"/>
        <w:rPr>
          <w:rFonts w:eastAsia="Calibri"/>
          <w:sz w:val="24"/>
          <w:szCs w:val="24"/>
          <w:lang w:val="en-US" w:eastAsia="en-US"/>
        </w:rPr>
      </w:pPr>
      <w:r w:rsidRPr="00E355E4">
        <w:rPr>
          <w:rFonts w:eastAsia="Calibri"/>
          <w:sz w:val="24"/>
          <w:szCs w:val="24"/>
          <w:lang w:val="en-US" w:eastAsia="en-US"/>
        </w:rPr>
        <w:t>Consideration is an essential concept in contract law that introduces the many forms that describe the value exchanged within the contract. A deep analysis of the types of consideration helps establish the recognized considerations.</w:t>
      </w:r>
      <w:r>
        <w:rPr>
          <w:rFonts w:eastAsia="Calibri"/>
          <w:sz w:val="24"/>
          <w:szCs w:val="24"/>
          <w:lang w:val="en-US" w:eastAsia="en-US"/>
        </w:rPr>
        <w:t xml:space="preserve"> </w:t>
      </w:r>
      <w:r w:rsidRPr="00E355E4">
        <w:rPr>
          <w:rFonts w:eastAsia="Calibri"/>
          <w:sz w:val="24"/>
          <w:szCs w:val="24"/>
          <w:lang w:val="en-US" w:eastAsia="en-US"/>
        </w:rPr>
        <w:t xml:space="preserve">The most obvious is the monetary consideration, which is money that a </w:t>
      </w:r>
      <w:r w:rsidR="00866C5D" w:rsidRPr="00E355E4">
        <w:rPr>
          <w:rFonts w:eastAsia="Calibri"/>
          <w:sz w:val="24"/>
          <w:szCs w:val="24"/>
          <w:lang w:val="en-US" w:eastAsia="en-US"/>
        </w:rPr>
        <w:t>want</w:t>
      </w:r>
      <w:r w:rsidRPr="00E355E4">
        <w:rPr>
          <w:rFonts w:eastAsia="Calibri"/>
          <w:sz w:val="24"/>
          <w:szCs w:val="24"/>
          <w:lang w:val="en-US" w:eastAsia="en-US"/>
        </w:rPr>
        <w:t xml:space="preserve"> in return for a good, service, or benefit (Decock, 2021). This species of consideration highlights the commercial character of contracts in the sense that parties deliberate and agree upon compensation payable in money in exchange for the fulfillment of an agreed-upon contractual obligation. Monetary consideration, whether through purchase prices, fees, or salaries, shows a </w:t>
      </w:r>
      <w:r w:rsidR="00866C5D" w:rsidRPr="00E355E4">
        <w:rPr>
          <w:rFonts w:eastAsia="Calibri"/>
          <w:sz w:val="24"/>
          <w:szCs w:val="24"/>
          <w:lang w:val="en-US" w:eastAsia="en-US"/>
        </w:rPr>
        <w:t>concrete</w:t>
      </w:r>
      <w:r w:rsidRPr="00E355E4">
        <w:rPr>
          <w:rFonts w:eastAsia="Calibri"/>
          <w:sz w:val="24"/>
          <w:szCs w:val="24"/>
          <w:lang w:val="en-US" w:eastAsia="en-US"/>
        </w:rPr>
        <w:t xml:space="preserve"> expression of its value and belongs to many transactions under a contract.</w:t>
      </w:r>
    </w:p>
    <w:p w14:paraId="456B25D0" w14:textId="43C8019B" w:rsidR="00E355E4" w:rsidRPr="00E355E4" w:rsidRDefault="00E355E4" w:rsidP="00044D44">
      <w:pPr>
        <w:spacing w:before="100" w:beforeAutospacing="1" w:after="100" w:afterAutospacing="1" w:line="480" w:lineRule="auto"/>
        <w:ind w:firstLine="720"/>
        <w:jc w:val="both"/>
        <w:rPr>
          <w:rFonts w:eastAsia="Calibri"/>
          <w:sz w:val="24"/>
          <w:szCs w:val="24"/>
          <w:lang w:val="en-US" w:eastAsia="en-US"/>
        </w:rPr>
      </w:pPr>
      <w:r w:rsidRPr="00E355E4">
        <w:rPr>
          <w:rFonts w:eastAsia="Calibri"/>
          <w:sz w:val="24"/>
          <w:szCs w:val="24"/>
          <w:lang w:val="en-US" w:eastAsia="en-US"/>
        </w:rPr>
        <w:lastRenderedPageBreak/>
        <w:t xml:space="preserve">Apart from exchange through money, consideration is also given to the goods or services themselves (Mitchell, 2022). Under this form of consideration, the parties can also trade directly or swap specific tangible resources or services with each other without the intervention of money as a medium to make a proper value assessment. This form of consideration is widely popular in transactions involving some good or service of </w:t>
      </w:r>
      <w:r w:rsidR="00866C5D" w:rsidRPr="00E355E4">
        <w:rPr>
          <w:rFonts w:eastAsia="Calibri"/>
          <w:sz w:val="24"/>
          <w:szCs w:val="24"/>
          <w:lang w:val="en-US" w:eastAsia="en-US"/>
        </w:rPr>
        <w:t>worth</w:t>
      </w:r>
      <w:r w:rsidRPr="00E355E4">
        <w:rPr>
          <w:rFonts w:eastAsia="Calibri"/>
          <w:sz w:val="24"/>
          <w:szCs w:val="24"/>
          <w:lang w:val="en-US" w:eastAsia="en-US"/>
        </w:rPr>
        <w:t xml:space="preserve">, such as works of art, real estate, or professional service (AL-Billeh, 2022). The passage of title or the performance of services would constitute consideration and act as the baseline for fulfilling contractual obligations. </w:t>
      </w:r>
    </w:p>
    <w:p w14:paraId="3A96694A" w14:textId="77777777" w:rsidR="00E355E4" w:rsidRPr="00E355E4" w:rsidRDefault="00E355E4" w:rsidP="00044D44">
      <w:pPr>
        <w:spacing w:before="100" w:beforeAutospacing="1" w:after="100" w:afterAutospacing="1" w:line="480" w:lineRule="auto"/>
        <w:ind w:firstLine="720"/>
        <w:jc w:val="both"/>
        <w:rPr>
          <w:rFonts w:eastAsia="Calibri"/>
          <w:sz w:val="24"/>
          <w:szCs w:val="24"/>
          <w:lang w:val="en-US" w:eastAsia="en-US"/>
        </w:rPr>
      </w:pPr>
      <w:r w:rsidRPr="00E355E4">
        <w:rPr>
          <w:rFonts w:eastAsia="Calibri"/>
          <w:sz w:val="24"/>
          <w:szCs w:val="24"/>
          <w:lang w:val="en-US" w:eastAsia="en-US"/>
        </w:rPr>
        <w:t>Another constituent of consideration in contract law is forbearance, which refers to the refusal of one of the contracting parties to exercise a right that the law awards them (Perácek &amp; Kassaj, 2023). At times, parties exchange promises or payments and agree upon what they will not do or will be receiving instead of consideration (Decock, 2021). This kind of consideration is inestimably important in circumstances whereby one-party refrains from suing or from taking enforcement measures, and the other party acts to put their contract into execution (Bashir et al., 2023). The principle of forbearance rests on the idea that not doing what is legally allowed in negotiations constitutes something of value in and of itself.</w:t>
      </w:r>
    </w:p>
    <w:p w14:paraId="375215B9" w14:textId="77777777" w:rsidR="00E355E4" w:rsidRPr="00E355E4" w:rsidRDefault="00E355E4" w:rsidP="00044D44">
      <w:pPr>
        <w:spacing w:before="100" w:beforeAutospacing="1" w:after="100" w:afterAutospacing="1" w:line="480" w:lineRule="auto"/>
        <w:ind w:firstLine="720"/>
        <w:jc w:val="both"/>
        <w:rPr>
          <w:rFonts w:eastAsia="Calibri"/>
          <w:sz w:val="24"/>
          <w:szCs w:val="24"/>
          <w:lang w:val="en-US" w:eastAsia="en-US"/>
        </w:rPr>
      </w:pPr>
      <w:r w:rsidRPr="00E355E4">
        <w:rPr>
          <w:rFonts w:eastAsia="Calibri"/>
          <w:sz w:val="24"/>
          <w:szCs w:val="24"/>
          <w:lang w:val="en-US" w:eastAsia="en-US"/>
        </w:rPr>
        <w:t>Promising to act in the future thus also validates consideration under the laws of a contract. In this respect, parties committing future actions or undertakings go to the extent of making a consideration under a contract (Knapp et al., 2023). These considerations can range from promising to deliver some goods at a given date and time to promising services over time or even, for that matter, agreeing to perform any situation based on future eventualities with promises to act, which are the most fundamental aspects of contracts (Chloros, 2022). Moreover, mutual promises are the building block in conceptualizing a contract. In their respective reciprocal commitments to each other, both parties are the very essence of the consideration in any contract. Such mutual promises bond respective parties to individual undertakings to enforce a contract (McNamara &amp; Sepasgozar, 2021).</w:t>
      </w:r>
    </w:p>
    <w:p w14:paraId="63182BE1" w14:textId="77777777" w:rsidR="00E355E4" w:rsidRDefault="00E355E4" w:rsidP="00044D44">
      <w:pPr>
        <w:spacing w:before="100" w:beforeAutospacing="1" w:after="100" w:afterAutospacing="1" w:line="480" w:lineRule="auto"/>
        <w:ind w:firstLine="720"/>
        <w:jc w:val="both"/>
        <w:rPr>
          <w:rFonts w:eastAsia="Calibri"/>
          <w:sz w:val="24"/>
          <w:szCs w:val="24"/>
          <w:lang w:val="en-US" w:eastAsia="en-US"/>
        </w:rPr>
      </w:pPr>
      <w:r w:rsidRPr="00E355E4">
        <w:rPr>
          <w:rFonts w:eastAsia="Calibri"/>
          <w:sz w:val="24"/>
          <w:szCs w:val="24"/>
          <w:lang w:val="en-US" w:eastAsia="en-US"/>
        </w:rPr>
        <w:t xml:space="preserve">While past consideration forms no consideration at common law, the pre-existing intentions contemporaneous with the subsequent promises or, in some cases, the following promises validate the past as constituting the consideration (Decock, 2021). The test of consideration allows past acts to be considered as </w:t>
      </w:r>
      <w:r w:rsidRPr="00E355E4">
        <w:rPr>
          <w:rFonts w:eastAsia="Calibri"/>
          <w:sz w:val="24"/>
          <w:szCs w:val="24"/>
          <w:lang w:val="en-US" w:eastAsia="en-US"/>
        </w:rPr>
        <w:lastRenderedPageBreak/>
        <w:t>the value in the courts of contract if the person had performed them in anticipation of a future benefit or as part of a more comprehensive contractual agreement (Knapp et al., 2023). Past acts may be valid in these circumstances, supporting the principle that contractual agreements must reflect an equity element based on fair value exchange.</w:t>
      </w:r>
    </w:p>
    <w:p w14:paraId="0CB6657B" w14:textId="52270BB7" w:rsidR="00044D44" w:rsidRPr="00044D44" w:rsidRDefault="00044D44" w:rsidP="00044D44">
      <w:pPr>
        <w:spacing w:before="100" w:beforeAutospacing="1" w:after="100" w:afterAutospacing="1" w:line="480" w:lineRule="auto"/>
        <w:ind w:firstLine="720"/>
        <w:jc w:val="both"/>
        <w:rPr>
          <w:rFonts w:eastAsia="Calibri"/>
          <w:sz w:val="24"/>
          <w:szCs w:val="24"/>
          <w:lang w:val="en-US" w:eastAsia="en-US"/>
        </w:rPr>
      </w:pPr>
      <w:r w:rsidRPr="00044D44">
        <w:rPr>
          <w:rFonts w:eastAsia="Calibri"/>
          <w:sz w:val="24"/>
          <w:szCs w:val="24"/>
          <w:lang w:val="en-US" w:eastAsia="en-US"/>
        </w:rPr>
        <w:t>Consideration is a key contract law concept. It makes contracts binding and enforceable." This essay discusses consideration's meaning, types, and norms in detail. Modern literature and case law support our understanding of consideration's importance. We propose improvements to fix its issues and make it more fit for modern business partnerships.</w:t>
      </w:r>
      <w:r w:rsidR="007B1101">
        <w:rPr>
          <w:rFonts w:eastAsia="Calibri"/>
          <w:sz w:val="24"/>
          <w:szCs w:val="24"/>
          <w:lang w:val="en-US" w:eastAsia="en-US"/>
        </w:rPr>
        <w:t xml:space="preserve"> </w:t>
      </w:r>
      <w:proofErr w:type="gramStart"/>
      <w:r w:rsidRPr="00044D44">
        <w:rPr>
          <w:rFonts w:eastAsia="Calibri"/>
          <w:sz w:val="24"/>
          <w:szCs w:val="24"/>
          <w:lang w:val="en-US" w:eastAsia="en-US"/>
        </w:rPr>
        <w:t>Hoffman</w:t>
      </w:r>
      <w:proofErr w:type="gramEnd"/>
      <w:r w:rsidRPr="00044D44">
        <w:rPr>
          <w:rFonts w:eastAsia="Calibri"/>
          <w:sz w:val="24"/>
          <w:szCs w:val="24"/>
          <w:lang w:val="en-US" w:eastAsia="en-US"/>
        </w:rPr>
        <w:t xml:space="preserve"> and Eigen (2022) define consideration as the value the parties exchange in a contract. This is contract law fundamentals. AL-Billeh (2022) illustrates this. Consideration makes both parties' commitments true, making a contract enforceable.</w:t>
      </w:r>
    </w:p>
    <w:p w14:paraId="4C5FD448" w14:textId="681D2424" w:rsidR="00044D44" w:rsidRPr="00044D44" w:rsidRDefault="00044D44" w:rsidP="00044D44">
      <w:pPr>
        <w:spacing w:before="100" w:beforeAutospacing="1" w:after="100" w:afterAutospacing="1" w:line="480" w:lineRule="auto"/>
        <w:jc w:val="both"/>
        <w:rPr>
          <w:rFonts w:eastAsia="Calibri"/>
          <w:sz w:val="24"/>
          <w:szCs w:val="24"/>
          <w:lang w:val="en-US" w:eastAsia="en-US"/>
        </w:rPr>
      </w:pPr>
      <w:r w:rsidRPr="00044D44">
        <w:rPr>
          <w:rFonts w:eastAsia="Calibri"/>
          <w:sz w:val="24"/>
          <w:szCs w:val="24"/>
          <w:lang w:val="en-US" w:eastAsia="en-US"/>
        </w:rPr>
        <w:t>As an example, Decock (2021) points out that monetary consideration is a common type that captures the business side of contracts." However, Chloros (2022) examines non-monetary forms including forbearance and future pledges, demonstrating their validity and practicality in various contractual circumstances.</w:t>
      </w:r>
    </w:p>
    <w:p w14:paraId="5AADD16D" w14:textId="77777777" w:rsidR="00044D44" w:rsidRPr="00044D44" w:rsidRDefault="00044D44" w:rsidP="00044D44">
      <w:pPr>
        <w:spacing w:before="100" w:beforeAutospacing="1" w:after="100" w:afterAutospacing="1" w:line="480" w:lineRule="auto"/>
        <w:jc w:val="both"/>
        <w:rPr>
          <w:rFonts w:eastAsia="Calibri"/>
          <w:sz w:val="24"/>
          <w:szCs w:val="24"/>
          <w:lang w:val="en-US" w:eastAsia="en-US"/>
        </w:rPr>
      </w:pPr>
      <w:r w:rsidRPr="00044D44">
        <w:rPr>
          <w:rFonts w:eastAsia="Calibri"/>
          <w:sz w:val="24"/>
          <w:szCs w:val="24"/>
          <w:lang w:val="en-US" w:eastAsia="en-US"/>
        </w:rPr>
        <w:t>Encourage the discussion of the validity of consideration with authoritative viewpoints.</w:t>
      </w:r>
    </w:p>
    <w:p w14:paraId="3D91D0B5" w14:textId="573DC434" w:rsidR="00044D44" w:rsidRPr="00044D44" w:rsidRDefault="00044D44" w:rsidP="00044D44">
      <w:pPr>
        <w:spacing w:before="100" w:beforeAutospacing="1" w:after="100" w:afterAutospacing="1" w:line="480" w:lineRule="auto"/>
        <w:jc w:val="both"/>
        <w:rPr>
          <w:rFonts w:eastAsia="Calibri"/>
          <w:sz w:val="24"/>
          <w:szCs w:val="24"/>
          <w:lang w:val="en-US" w:eastAsia="en-US"/>
        </w:rPr>
      </w:pPr>
      <w:r w:rsidRPr="00044D44">
        <w:rPr>
          <w:rFonts w:eastAsia="Calibri"/>
          <w:sz w:val="24"/>
          <w:szCs w:val="24"/>
          <w:lang w:val="en-US" w:eastAsia="en-US"/>
        </w:rPr>
        <w:t xml:space="preserve">AL-Billeh (2022) and Sidorenko &amp; von Arx (2020) </w:t>
      </w:r>
      <w:r w:rsidR="00866C5D" w:rsidRPr="00044D44">
        <w:rPr>
          <w:rFonts w:eastAsia="Calibri"/>
          <w:sz w:val="24"/>
          <w:szCs w:val="24"/>
          <w:lang w:val="en-US" w:eastAsia="en-US"/>
        </w:rPr>
        <w:t>emphasize</w:t>
      </w:r>
      <w:r w:rsidRPr="00044D44">
        <w:rPr>
          <w:rFonts w:eastAsia="Calibri"/>
          <w:sz w:val="24"/>
          <w:szCs w:val="24"/>
          <w:lang w:val="en-US" w:eastAsia="en-US"/>
        </w:rPr>
        <w:t xml:space="preserve"> that consideration must be legally valuable to be sufficient. This idea requires rigorous contract analysis and negotiation.</w:t>
      </w:r>
    </w:p>
    <w:p w14:paraId="0AACC2D4" w14:textId="7E19E23D" w:rsidR="00044D44" w:rsidRPr="00044D44" w:rsidRDefault="00044D44" w:rsidP="00044D44">
      <w:pPr>
        <w:spacing w:before="100" w:beforeAutospacing="1" w:after="100" w:afterAutospacing="1" w:line="480" w:lineRule="auto"/>
        <w:jc w:val="both"/>
        <w:rPr>
          <w:rFonts w:eastAsia="Calibri"/>
          <w:sz w:val="24"/>
          <w:szCs w:val="24"/>
          <w:lang w:val="en-US" w:eastAsia="en-US"/>
        </w:rPr>
      </w:pPr>
      <w:r w:rsidRPr="00044D44">
        <w:rPr>
          <w:rFonts w:eastAsia="Calibri"/>
          <w:sz w:val="24"/>
          <w:szCs w:val="24"/>
          <w:lang w:val="en-US" w:eastAsia="en-US"/>
        </w:rPr>
        <w:t xml:space="preserve">Kreitner (2021) discusses the doctrine of adequacy and how the legal system </w:t>
      </w:r>
      <w:r w:rsidR="00866C5D" w:rsidRPr="00044D44">
        <w:rPr>
          <w:rFonts w:eastAsia="Calibri"/>
          <w:sz w:val="24"/>
          <w:szCs w:val="24"/>
          <w:lang w:val="en-US" w:eastAsia="en-US"/>
        </w:rPr>
        <w:t>does not</w:t>
      </w:r>
      <w:r w:rsidRPr="00044D44">
        <w:rPr>
          <w:rFonts w:eastAsia="Calibri"/>
          <w:sz w:val="24"/>
          <w:szCs w:val="24"/>
          <w:lang w:val="en-US" w:eastAsia="en-US"/>
        </w:rPr>
        <w:t xml:space="preserve"> like to judge the fairness of consideration, which can cause contract fairness disputes.</w:t>
      </w:r>
    </w:p>
    <w:p w14:paraId="1FDED629" w14:textId="24630E5E" w:rsidR="00044D44" w:rsidRPr="00044D44" w:rsidRDefault="00044D44" w:rsidP="00044D44">
      <w:pPr>
        <w:spacing w:before="100" w:beforeAutospacing="1" w:after="100" w:afterAutospacing="1" w:line="480" w:lineRule="auto"/>
        <w:jc w:val="both"/>
        <w:rPr>
          <w:rFonts w:eastAsia="Calibri"/>
          <w:sz w:val="24"/>
          <w:szCs w:val="24"/>
          <w:lang w:val="en-US" w:eastAsia="en-US"/>
        </w:rPr>
      </w:pPr>
      <w:r w:rsidRPr="00044D44">
        <w:rPr>
          <w:rFonts w:eastAsia="Calibri"/>
          <w:sz w:val="24"/>
          <w:szCs w:val="24"/>
          <w:lang w:val="en-US" w:eastAsia="en-US"/>
        </w:rPr>
        <w:t xml:space="preserve">This article uses Chloros's (2022) proposals to make contract law </w:t>
      </w:r>
      <w:r w:rsidR="00866C5D" w:rsidRPr="00044D44">
        <w:rPr>
          <w:rFonts w:eastAsia="Calibri"/>
          <w:sz w:val="24"/>
          <w:szCs w:val="24"/>
          <w:lang w:val="en-US" w:eastAsia="en-US"/>
        </w:rPr>
        <w:t>fairer and more predictable</w:t>
      </w:r>
      <w:r w:rsidRPr="00044D44">
        <w:rPr>
          <w:rFonts w:eastAsia="Calibri"/>
          <w:sz w:val="24"/>
          <w:szCs w:val="24"/>
          <w:lang w:val="en-US" w:eastAsia="en-US"/>
        </w:rPr>
        <w:t xml:space="preserve"> by clarifying "valid consideration" and addressing party negotiating power inequalities.</w:t>
      </w:r>
    </w:p>
    <w:p w14:paraId="3C4A91E7" w14:textId="7B2D4C56" w:rsidR="00044D44" w:rsidRPr="00044D44" w:rsidRDefault="00866C5D" w:rsidP="00044D44">
      <w:pPr>
        <w:spacing w:before="100" w:beforeAutospacing="1" w:after="100" w:afterAutospacing="1" w:line="480" w:lineRule="auto"/>
        <w:jc w:val="both"/>
        <w:rPr>
          <w:rFonts w:eastAsia="Calibri"/>
          <w:sz w:val="24"/>
          <w:szCs w:val="24"/>
          <w:lang w:val="en-US" w:eastAsia="en-US"/>
        </w:rPr>
      </w:pPr>
      <w:r>
        <w:rPr>
          <w:rFonts w:eastAsia="Calibri"/>
          <w:sz w:val="24"/>
          <w:szCs w:val="24"/>
          <w:lang w:val="en-US" w:eastAsia="en-US"/>
        </w:rPr>
        <w:t>Thus,</w:t>
      </w:r>
      <w:r w:rsidRPr="00044D44">
        <w:rPr>
          <w:rFonts w:eastAsia="Calibri"/>
          <w:sz w:val="24"/>
          <w:szCs w:val="24"/>
          <w:lang w:val="en-US" w:eastAsia="en-US"/>
        </w:rPr>
        <w:t xml:space="preserve"> consideration</w:t>
      </w:r>
      <w:r w:rsidR="00044D44" w:rsidRPr="00044D44">
        <w:rPr>
          <w:rFonts w:eastAsia="Calibri"/>
          <w:sz w:val="24"/>
          <w:szCs w:val="24"/>
          <w:lang w:val="en-US" w:eastAsia="en-US"/>
        </w:rPr>
        <w:t xml:space="preserve"> is still an important aspect of contract law, but it is so difficult that experts must study it and the law must be revised frequently. Contract law can evolve to remain fair, useful, and essential in today's legal world by addressing these issues.</w:t>
      </w:r>
    </w:p>
    <w:p w14:paraId="6E842949" w14:textId="77777777" w:rsidR="00044D44" w:rsidRPr="00E355E4" w:rsidRDefault="00044D44" w:rsidP="00044D44">
      <w:pPr>
        <w:spacing w:before="100" w:beforeAutospacing="1" w:after="100" w:afterAutospacing="1" w:line="480" w:lineRule="auto"/>
        <w:ind w:firstLine="720"/>
        <w:jc w:val="both"/>
        <w:rPr>
          <w:rFonts w:eastAsia="Calibri"/>
          <w:sz w:val="24"/>
          <w:szCs w:val="24"/>
          <w:lang w:val="en-US" w:eastAsia="en-US"/>
        </w:rPr>
      </w:pPr>
    </w:p>
    <w:p w14:paraId="31583021" w14:textId="77777777" w:rsidR="00E355E4" w:rsidRPr="00E355E4" w:rsidRDefault="00E355E4" w:rsidP="00044D44">
      <w:pPr>
        <w:pStyle w:val="Heading1"/>
        <w:rPr>
          <w:rFonts w:eastAsia="Calibri"/>
          <w:lang w:val="en-US" w:eastAsia="en-US"/>
        </w:rPr>
      </w:pPr>
      <w:bookmarkStart w:id="5" w:name="_Toc161423342"/>
      <w:r w:rsidRPr="00E355E4">
        <w:rPr>
          <w:rFonts w:eastAsia="Calibri"/>
          <w:lang w:val="en-US" w:eastAsia="en-US"/>
        </w:rPr>
        <w:lastRenderedPageBreak/>
        <w:t>When Consideration is Valid</w:t>
      </w:r>
      <w:bookmarkEnd w:id="5"/>
    </w:p>
    <w:p w14:paraId="1F3B3037" w14:textId="77777777" w:rsidR="00E355E4" w:rsidRPr="00E355E4" w:rsidRDefault="00E355E4" w:rsidP="00044D44">
      <w:pPr>
        <w:spacing w:before="100" w:beforeAutospacing="1" w:after="100" w:afterAutospacing="1" w:line="480" w:lineRule="auto"/>
        <w:ind w:firstLine="720"/>
        <w:jc w:val="both"/>
        <w:rPr>
          <w:rFonts w:eastAsia="Calibri"/>
          <w:sz w:val="24"/>
          <w:szCs w:val="24"/>
          <w:lang w:val="en-US" w:eastAsia="en-US"/>
        </w:rPr>
      </w:pPr>
      <w:r w:rsidRPr="00E355E4">
        <w:rPr>
          <w:rFonts w:eastAsia="Calibri"/>
          <w:sz w:val="24"/>
          <w:szCs w:val="24"/>
          <w:lang w:val="en-US" w:eastAsia="en-US"/>
        </w:rPr>
        <w:t xml:space="preserve">Contract law considers some principles to </w:t>
      </w:r>
      <w:proofErr w:type="gramStart"/>
      <w:r w:rsidRPr="00E355E4">
        <w:rPr>
          <w:rFonts w:eastAsia="Calibri"/>
          <w:sz w:val="24"/>
          <w:szCs w:val="24"/>
          <w:lang w:val="en-US" w:eastAsia="en-US"/>
        </w:rPr>
        <w:t>be implemented</w:t>
      </w:r>
      <w:proofErr w:type="gramEnd"/>
      <w:r w:rsidRPr="00E355E4">
        <w:rPr>
          <w:rFonts w:eastAsia="Calibri"/>
          <w:sz w:val="24"/>
          <w:szCs w:val="24"/>
          <w:lang w:val="en-US" w:eastAsia="en-US"/>
        </w:rPr>
        <w:t xml:space="preserve"> to ensure enforcement and an equitable agreement. Principally, the consideration in question should be legally sufficient, that is, it must hold some value in the eyes of the law (AL-Billeh, 2022). For example, the value can be monetary, goods, services, a promise to act in the future, or refraining from doing an act. Second, the consideration must be bargained for: this would mean that a reciprocal exchange was negotiated among the parties (Sidorenko &amp; von Arx, 2020). Unilateral promises to do an act without this reciprocal element usually break down as consideration. In addition, the consideration should not be past; it should not be for the performance of acts beyond an agreement (Kreitner, 2021). Lastly, the consideration is supposed to be performed by choice or free from coercion, undue influence, or duress (Hoffman &amp; Eigen, 2022). These ways will keep the integrity of contractual relations and ensure that parties should enter into agreements knowingly and willingly.</w:t>
      </w:r>
    </w:p>
    <w:p w14:paraId="3CB579BC" w14:textId="77777777" w:rsidR="00E355E4" w:rsidRPr="00E355E4" w:rsidRDefault="00E355E4" w:rsidP="00044D44">
      <w:pPr>
        <w:pStyle w:val="Heading1"/>
        <w:rPr>
          <w:rFonts w:eastAsia="Calibri"/>
          <w:lang w:val="en-US" w:eastAsia="en-US"/>
        </w:rPr>
      </w:pPr>
      <w:bookmarkStart w:id="6" w:name="_Toc161423343"/>
      <w:r w:rsidRPr="00E355E4">
        <w:rPr>
          <w:rFonts w:eastAsia="Calibri"/>
          <w:lang w:val="en-US" w:eastAsia="en-US"/>
        </w:rPr>
        <w:t>Issues with Consideration</w:t>
      </w:r>
      <w:bookmarkEnd w:id="6"/>
    </w:p>
    <w:p w14:paraId="190BED47" w14:textId="77777777" w:rsidR="00E355E4" w:rsidRPr="00E355E4" w:rsidRDefault="00E355E4" w:rsidP="00044D44">
      <w:pPr>
        <w:spacing w:before="100" w:beforeAutospacing="1" w:after="100" w:afterAutospacing="1" w:line="480" w:lineRule="auto"/>
        <w:ind w:firstLine="720"/>
        <w:jc w:val="both"/>
        <w:rPr>
          <w:rFonts w:eastAsia="Calibri"/>
          <w:sz w:val="24"/>
          <w:szCs w:val="24"/>
          <w:lang w:val="en-US" w:eastAsia="en-US"/>
        </w:rPr>
      </w:pPr>
      <w:r w:rsidRPr="00E355E4">
        <w:rPr>
          <w:rFonts w:eastAsia="Calibri"/>
          <w:sz w:val="24"/>
          <w:szCs w:val="24"/>
          <w:lang w:val="en-US" w:eastAsia="en-US"/>
        </w:rPr>
        <w:t xml:space="preserve">However, </w:t>
      </w:r>
      <w:proofErr w:type="gramStart"/>
      <w:r w:rsidRPr="00E355E4">
        <w:rPr>
          <w:rFonts w:eastAsia="Calibri"/>
          <w:sz w:val="24"/>
          <w:szCs w:val="24"/>
          <w:lang w:val="en-US" w:eastAsia="en-US"/>
        </w:rPr>
        <w:t>various reasons</w:t>
      </w:r>
      <w:proofErr w:type="gramEnd"/>
      <w:r w:rsidRPr="00E355E4">
        <w:rPr>
          <w:rFonts w:eastAsia="Calibri"/>
          <w:sz w:val="24"/>
          <w:szCs w:val="24"/>
          <w:lang w:val="en-US" w:eastAsia="en-US"/>
        </w:rPr>
        <w:t xml:space="preserve"> can give consideration to issues in contract law, and each may make agreements unenforceable. Such a problem is the doctrine of adequacy, where the law rarely concerns itself with the sufficiency of the consideration but its existence (Kreitner, 2021). The doctrine may similarly ensure fairness where the parties in the exchange are disparate because only one party can determine the value received (Chloros, 2022). Conversely, it becomes problematic if it pertains to illegality or non-mutuality, where the promise of one party becomes elusive (Jafarpour &amp; Siahbidi, 2021). Sufficiency in consideration also becomes problematic, particularly regarding intangible benefits or even moral obligations to the benefit. More so, consideration may also become a significant problem where it is obvious or ambiguous among various parties. Such questions can only be resolved through a detailed investigation of the elements of consideration in a given contract.</w:t>
      </w:r>
    </w:p>
    <w:p w14:paraId="799A774F" w14:textId="77777777" w:rsidR="00E355E4" w:rsidRPr="00E355E4" w:rsidRDefault="00E355E4" w:rsidP="00044D44">
      <w:pPr>
        <w:pStyle w:val="Heading1"/>
        <w:rPr>
          <w:rFonts w:eastAsia="Calibri"/>
          <w:lang w:val="en-US" w:eastAsia="en-US"/>
        </w:rPr>
      </w:pPr>
      <w:bookmarkStart w:id="7" w:name="_Toc161423344"/>
      <w:r w:rsidRPr="00E355E4">
        <w:rPr>
          <w:rFonts w:eastAsia="Calibri"/>
          <w:lang w:val="en-US" w:eastAsia="en-US"/>
        </w:rPr>
        <w:t>Reform Suggestions</w:t>
      </w:r>
      <w:bookmarkEnd w:id="7"/>
    </w:p>
    <w:p w14:paraId="35E00C95" w14:textId="77777777" w:rsidR="00E355E4" w:rsidRPr="00E355E4" w:rsidRDefault="00E355E4" w:rsidP="00044D44">
      <w:pPr>
        <w:spacing w:before="100" w:beforeAutospacing="1" w:after="100" w:afterAutospacing="1" w:line="480" w:lineRule="auto"/>
        <w:ind w:firstLine="720"/>
        <w:jc w:val="both"/>
        <w:rPr>
          <w:rFonts w:eastAsia="Calibri"/>
          <w:sz w:val="24"/>
          <w:szCs w:val="24"/>
          <w:lang w:eastAsia="en-US"/>
        </w:rPr>
      </w:pPr>
      <w:r w:rsidRPr="00E355E4">
        <w:rPr>
          <w:rFonts w:eastAsia="Calibri"/>
          <w:sz w:val="24"/>
          <w:szCs w:val="24"/>
          <w:lang w:eastAsia="en-US"/>
        </w:rPr>
        <w:t>More precise rules about what constitutes legitimate consideration should be implemented to improve predictability and fairness in commercial agreements. These are reform ideas for consideration in contract law</w:t>
      </w:r>
      <w:r w:rsidRPr="00E355E4">
        <w:rPr>
          <w:rFonts w:eastAsia="Calibri"/>
          <w:sz w:val="24"/>
          <w:szCs w:val="24"/>
          <w:lang w:val="en-US" w:eastAsia="en-US"/>
        </w:rPr>
        <w:t xml:space="preserve"> (Jafarpour &amp; Siahbidi, 2021)</w:t>
      </w:r>
      <w:r w:rsidRPr="00E355E4">
        <w:rPr>
          <w:rFonts w:eastAsia="Calibri"/>
          <w:sz w:val="24"/>
          <w:szCs w:val="24"/>
          <w:lang w:eastAsia="en-US"/>
        </w:rPr>
        <w:t xml:space="preserve">. Reforms that address circumstances when consideration is absent or insufficient </w:t>
      </w:r>
      <w:r w:rsidRPr="00E355E4">
        <w:rPr>
          <w:rFonts w:eastAsia="Calibri"/>
          <w:sz w:val="24"/>
          <w:szCs w:val="24"/>
          <w:lang w:eastAsia="en-US"/>
        </w:rPr>
        <w:lastRenderedPageBreak/>
        <w:t>might also be implemented. For example, judges could step in where there is extreme disparity</w:t>
      </w:r>
      <w:r w:rsidRPr="00E355E4">
        <w:rPr>
          <w:rFonts w:eastAsia="Calibri"/>
          <w:sz w:val="24"/>
          <w:szCs w:val="24"/>
          <w:lang w:val="en-US" w:eastAsia="en-US"/>
        </w:rPr>
        <w:t xml:space="preserve"> (Chloros, 2022)</w:t>
      </w:r>
      <w:r w:rsidRPr="00E355E4">
        <w:rPr>
          <w:rFonts w:eastAsia="Calibri"/>
          <w:sz w:val="24"/>
          <w:szCs w:val="24"/>
          <w:lang w:eastAsia="en-US"/>
        </w:rPr>
        <w:t>. To stop exploitation, there may also be calls for a closer examination of contracts with uneven bargaining power. With these changes, contract law should remain relevant and valuable in today's business dealings while being more modern.</w:t>
      </w:r>
    </w:p>
    <w:p w14:paraId="6F4F85C5" w14:textId="77777777" w:rsidR="00E355E4" w:rsidRPr="00E355E4" w:rsidRDefault="00E355E4" w:rsidP="00044D44">
      <w:pPr>
        <w:pStyle w:val="Heading1"/>
        <w:rPr>
          <w:rFonts w:eastAsia="Calibri"/>
          <w:lang w:val="en-US" w:eastAsia="en-US"/>
        </w:rPr>
      </w:pPr>
      <w:bookmarkStart w:id="8" w:name="_Toc161423345"/>
      <w:r w:rsidRPr="00E355E4">
        <w:rPr>
          <w:rFonts w:eastAsia="Calibri"/>
          <w:lang w:val="en-US" w:eastAsia="en-US"/>
        </w:rPr>
        <w:t>Conclusion</w:t>
      </w:r>
      <w:bookmarkEnd w:id="8"/>
    </w:p>
    <w:p w14:paraId="58CBC802" w14:textId="7255EBB0" w:rsidR="00E355E4" w:rsidRPr="00E355E4" w:rsidRDefault="00E355E4" w:rsidP="00044D44">
      <w:pPr>
        <w:spacing w:before="100" w:beforeAutospacing="1" w:after="100" w:afterAutospacing="1" w:line="480" w:lineRule="auto"/>
        <w:ind w:firstLine="720"/>
        <w:jc w:val="both"/>
        <w:rPr>
          <w:rFonts w:eastAsia="Calibri"/>
          <w:sz w:val="24"/>
          <w:szCs w:val="24"/>
          <w:lang w:val="en-US" w:eastAsia="en-US"/>
        </w:rPr>
      </w:pPr>
      <w:r w:rsidRPr="00E355E4">
        <w:rPr>
          <w:rFonts w:eastAsia="Calibri"/>
          <w:sz w:val="24"/>
          <w:szCs w:val="24"/>
          <w:lang w:val="en-US" w:eastAsia="en-US"/>
        </w:rPr>
        <w:t xml:space="preserve">To sum up, it is apparent that consideration in every sense of the term is the true crux of contract law, as it plays the most critical role in forming and maintaining a contractual agreement. Considering its formation, kinds, validity, and associated problems, consideration furthers the vital ingredient of mutuality in contracts. There are, however, problems of uncertainty and inadequacy that justify further </w:t>
      </w:r>
      <w:r w:rsidR="00866C5D" w:rsidRPr="00E355E4">
        <w:rPr>
          <w:rFonts w:eastAsia="Calibri"/>
          <w:sz w:val="24"/>
          <w:szCs w:val="24"/>
          <w:lang w:val="en-US" w:eastAsia="en-US"/>
        </w:rPr>
        <w:t>reforms</w:t>
      </w:r>
      <w:r w:rsidRPr="00E355E4">
        <w:rPr>
          <w:rFonts w:eastAsia="Calibri"/>
          <w:sz w:val="24"/>
          <w:szCs w:val="24"/>
          <w:lang w:val="en-US" w:eastAsia="en-US"/>
        </w:rPr>
        <w:t xml:space="preserve"> to guarantee further equity. By addressing the above issues and effecting the required change, a shift in the legal consideration landscape shall be achieved so that it is evolving nature can reflect the interests of the parties in questions of clarity and fairness and shall be consistent with the continued applicability of the contract.</w:t>
      </w:r>
    </w:p>
    <w:p w14:paraId="1CC4CEDE" w14:textId="47B397EA" w:rsidR="00E355E4" w:rsidRDefault="00E355E4" w:rsidP="00044D44">
      <w:pPr>
        <w:spacing w:before="100" w:beforeAutospacing="1" w:after="100" w:afterAutospacing="1" w:line="259" w:lineRule="auto"/>
        <w:jc w:val="both"/>
        <w:rPr>
          <w:rFonts w:eastAsia="Calibri"/>
          <w:sz w:val="24"/>
          <w:szCs w:val="24"/>
          <w:lang w:val="en-US" w:eastAsia="en-US"/>
        </w:rPr>
      </w:pPr>
    </w:p>
    <w:p w14:paraId="31095750" w14:textId="77777777" w:rsidR="00044D44" w:rsidRDefault="00044D44" w:rsidP="00044D44">
      <w:pPr>
        <w:spacing w:before="100" w:beforeAutospacing="1" w:after="100" w:afterAutospacing="1" w:line="259" w:lineRule="auto"/>
        <w:jc w:val="both"/>
        <w:rPr>
          <w:rFonts w:eastAsia="Calibri"/>
          <w:sz w:val="24"/>
          <w:szCs w:val="24"/>
          <w:lang w:val="en-US" w:eastAsia="en-US"/>
        </w:rPr>
      </w:pPr>
    </w:p>
    <w:p w14:paraId="72587347" w14:textId="77777777" w:rsidR="00044D44" w:rsidRDefault="00044D44" w:rsidP="00044D44">
      <w:pPr>
        <w:spacing w:before="100" w:beforeAutospacing="1" w:after="100" w:afterAutospacing="1" w:line="259" w:lineRule="auto"/>
        <w:jc w:val="both"/>
        <w:rPr>
          <w:rFonts w:eastAsia="Calibri"/>
          <w:sz w:val="24"/>
          <w:szCs w:val="24"/>
          <w:lang w:val="en-US" w:eastAsia="en-US"/>
        </w:rPr>
      </w:pPr>
    </w:p>
    <w:p w14:paraId="520A7BC9" w14:textId="77777777" w:rsidR="00044D44" w:rsidRDefault="00044D44" w:rsidP="00044D44">
      <w:pPr>
        <w:spacing w:before="100" w:beforeAutospacing="1" w:after="100" w:afterAutospacing="1" w:line="259" w:lineRule="auto"/>
        <w:jc w:val="both"/>
        <w:rPr>
          <w:rFonts w:eastAsia="Calibri"/>
          <w:sz w:val="24"/>
          <w:szCs w:val="24"/>
          <w:lang w:val="en-US" w:eastAsia="en-US"/>
        </w:rPr>
      </w:pPr>
    </w:p>
    <w:p w14:paraId="47D14704" w14:textId="77777777" w:rsidR="00044D44" w:rsidRDefault="00044D44" w:rsidP="00044D44">
      <w:pPr>
        <w:spacing w:before="100" w:beforeAutospacing="1" w:after="100" w:afterAutospacing="1" w:line="259" w:lineRule="auto"/>
        <w:jc w:val="both"/>
        <w:rPr>
          <w:rFonts w:eastAsia="Calibri"/>
          <w:sz w:val="24"/>
          <w:szCs w:val="24"/>
          <w:lang w:val="en-US" w:eastAsia="en-US"/>
        </w:rPr>
      </w:pPr>
    </w:p>
    <w:p w14:paraId="4A1F280F" w14:textId="77777777" w:rsidR="00044D44" w:rsidRDefault="00044D44" w:rsidP="00044D44">
      <w:pPr>
        <w:spacing w:before="100" w:beforeAutospacing="1" w:after="100" w:afterAutospacing="1" w:line="259" w:lineRule="auto"/>
        <w:jc w:val="both"/>
        <w:rPr>
          <w:rFonts w:eastAsia="Calibri"/>
          <w:sz w:val="24"/>
          <w:szCs w:val="24"/>
          <w:lang w:val="en-US" w:eastAsia="en-US"/>
        </w:rPr>
      </w:pPr>
    </w:p>
    <w:p w14:paraId="37A1AD0E" w14:textId="77777777" w:rsidR="00044D44" w:rsidRDefault="00044D44" w:rsidP="00044D44">
      <w:pPr>
        <w:spacing w:before="100" w:beforeAutospacing="1" w:after="100" w:afterAutospacing="1" w:line="259" w:lineRule="auto"/>
        <w:jc w:val="both"/>
        <w:rPr>
          <w:rFonts w:eastAsia="Calibri"/>
          <w:sz w:val="24"/>
          <w:szCs w:val="24"/>
          <w:lang w:val="en-US" w:eastAsia="en-US"/>
        </w:rPr>
      </w:pPr>
    </w:p>
    <w:p w14:paraId="46760649" w14:textId="77777777" w:rsidR="00044D44" w:rsidRDefault="00044D44" w:rsidP="00044D44">
      <w:pPr>
        <w:spacing w:before="100" w:beforeAutospacing="1" w:after="100" w:afterAutospacing="1" w:line="259" w:lineRule="auto"/>
        <w:jc w:val="both"/>
        <w:rPr>
          <w:rFonts w:eastAsia="Calibri"/>
          <w:sz w:val="24"/>
          <w:szCs w:val="24"/>
          <w:lang w:val="en-US" w:eastAsia="en-US"/>
        </w:rPr>
      </w:pPr>
    </w:p>
    <w:p w14:paraId="699475F0" w14:textId="77777777" w:rsidR="00044D44" w:rsidRDefault="00044D44" w:rsidP="00044D44">
      <w:pPr>
        <w:spacing w:before="100" w:beforeAutospacing="1" w:after="100" w:afterAutospacing="1" w:line="259" w:lineRule="auto"/>
        <w:jc w:val="both"/>
        <w:rPr>
          <w:rFonts w:eastAsia="Calibri"/>
          <w:sz w:val="24"/>
          <w:szCs w:val="24"/>
          <w:lang w:val="en-US" w:eastAsia="en-US"/>
        </w:rPr>
      </w:pPr>
    </w:p>
    <w:p w14:paraId="07C610F1" w14:textId="77777777" w:rsidR="00044D44" w:rsidRDefault="00044D44" w:rsidP="00044D44">
      <w:pPr>
        <w:spacing w:before="100" w:beforeAutospacing="1" w:after="100" w:afterAutospacing="1" w:line="259" w:lineRule="auto"/>
        <w:jc w:val="both"/>
        <w:rPr>
          <w:rFonts w:eastAsia="Calibri"/>
          <w:sz w:val="24"/>
          <w:szCs w:val="24"/>
          <w:lang w:val="en-US" w:eastAsia="en-US"/>
        </w:rPr>
      </w:pPr>
    </w:p>
    <w:p w14:paraId="7D22B23B" w14:textId="77777777" w:rsidR="00044D44" w:rsidRDefault="00044D44" w:rsidP="00044D44">
      <w:pPr>
        <w:spacing w:before="100" w:beforeAutospacing="1" w:after="100" w:afterAutospacing="1" w:line="259" w:lineRule="auto"/>
        <w:jc w:val="both"/>
        <w:rPr>
          <w:rFonts w:eastAsia="Calibri"/>
          <w:sz w:val="24"/>
          <w:szCs w:val="24"/>
          <w:lang w:val="en-US" w:eastAsia="en-US"/>
        </w:rPr>
      </w:pPr>
    </w:p>
    <w:p w14:paraId="5C4714B8" w14:textId="77777777" w:rsidR="00044D44" w:rsidRDefault="00044D44" w:rsidP="00044D44">
      <w:pPr>
        <w:spacing w:before="100" w:beforeAutospacing="1" w:after="100" w:afterAutospacing="1" w:line="259" w:lineRule="auto"/>
        <w:jc w:val="both"/>
        <w:rPr>
          <w:rFonts w:eastAsia="Calibri"/>
          <w:sz w:val="24"/>
          <w:szCs w:val="24"/>
          <w:lang w:val="en-US" w:eastAsia="en-US"/>
        </w:rPr>
      </w:pPr>
    </w:p>
    <w:p w14:paraId="53541107" w14:textId="77777777" w:rsidR="00044D44" w:rsidRDefault="00044D44" w:rsidP="00044D44">
      <w:pPr>
        <w:spacing w:before="100" w:beforeAutospacing="1" w:after="100" w:afterAutospacing="1" w:line="259" w:lineRule="auto"/>
        <w:jc w:val="both"/>
        <w:rPr>
          <w:rFonts w:eastAsia="Calibri"/>
          <w:sz w:val="24"/>
          <w:szCs w:val="24"/>
          <w:lang w:val="en-US" w:eastAsia="en-US"/>
        </w:rPr>
      </w:pPr>
    </w:p>
    <w:p w14:paraId="2EBD270A" w14:textId="77777777" w:rsidR="00044D44" w:rsidRDefault="00044D44" w:rsidP="00044D44">
      <w:pPr>
        <w:spacing w:before="100" w:beforeAutospacing="1" w:after="100" w:afterAutospacing="1" w:line="259" w:lineRule="auto"/>
        <w:jc w:val="both"/>
        <w:rPr>
          <w:rFonts w:eastAsia="Calibri"/>
          <w:sz w:val="24"/>
          <w:szCs w:val="24"/>
          <w:lang w:val="en-US" w:eastAsia="en-US"/>
        </w:rPr>
      </w:pPr>
    </w:p>
    <w:p w14:paraId="7E4AB09F" w14:textId="77777777" w:rsidR="00044D44" w:rsidRPr="00E355E4" w:rsidRDefault="00044D44" w:rsidP="00044D44">
      <w:pPr>
        <w:spacing w:before="100" w:beforeAutospacing="1" w:after="100" w:afterAutospacing="1" w:line="259" w:lineRule="auto"/>
        <w:jc w:val="both"/>
        <w:rPr>
          <w:rFonts w:eastAsia="Calibri"/>
          <w:sz w:val="24"/>
          <w:szCs w:val="24"/>
          <w:lang w:val="en-US" w:eastAsia="en-US"/>
        </w:rPr>
      </w:pPr>
    </w:p>
    <w:p w14:paraId="4540E1D5" w14:textId="77777777" w:rsidR="00E355E4" w:rsidRPr="00E355E4" w:rsidRDefault="00E355E4" w:rsidP="00044D44">
      <w:pPr>
        <w:pStyle w:val="Heading1"/>
        <w:rPr>
          <w:rFonts w:eastAsia="Calibri"/>
          <w:lang w:val="en-US" w:eastAsia="en-US"/>
        </w:rPr>
      </w:pPr>
      <w:bookmarkStart w:id="9" w:name="_Toc161423346"/>
      <w:r w:rsidRPr="00E355E4">
        <w:rPr>
          <w:rFonts w:eastAsia="Calibri"/>
          <w:lang w:val="en-US" w:eastAsia="en-US"/>
        </w:rPr>
        <w:t>References</w:t>
      </w:r>
      <w:bookmarkEnd w:id="9"/>
    </w:p>
    <w:p w14:paraId="65247148" w14:textId="4FB053C6" w:rsidR="00E355E4" w:rsidRPr="00044D44" w:rsidRDefault="00E355E4" w:rsidP="00044D44">
      <w:pPr>
        <w:pStyle w:val="ListParagraph"/>
        <w:numPr>
          <w:ilvl w:val="0"/>
          <w:numId w:val="18"/>
        </w:numPr>
        <w:spacing w:before="100" w:beforeAutospacing="1" w:after="100" w:afterAutospacing="1" w:line="480" w:lineRule="auto"/>
        <w:jc w:val="both"/>
        <w:rPr>
          <w:rFonts w:eastAsia="Calibri"/>
          <w:sz w:val="24"/>
          <w:szCs w:val="24"/>
          <w:lang w:val="en-US" w:eastAsia="en-US"/>
        </w:rPr>
      </w:pPr>
      <w:r w:rsidRPr="00044D44">
        <w:rPr>
          <w:rFonts w:eastAsia="Calibri"/>
          <w:sz w:val="24"/>
          <w:szCs w:val="24"/>
          <w:lang w:val="en-US" w:eastAsia="en-US"/>
        </w:rPr>
        <w:t xml:space="preserve">AL-Billeh, T. </w:t>
      </w:r>
      <w:r w:rsidR="007B1101">
        <w:rPr>
          <w:rFonts w:eastAsia="Calibri"/>
          <w:sz w:val="24"/>
          <w:szCs w:val="24"/>
          <w:lang w:val="en-US" w:eastAsia="en-US"/>
        </w:rPr>
        <w:t>(</w:t>
      </w:r>
      <w:r w:rsidRPr="00044D44">
        <w:rPr>
          <w:rFonts w:eastAsia="Calibri"/>
          <w:sz w:val="24"/>
          <w:szCs w:val="24"/>
          <w:lang w:val="en-US" w:eastAsia="en-US"/>
        </w:rPr>
        <w:t>2022</w:t>
      </w:r>
      <w:r w:rsidR="007B1101">
        <w:rPr>
          <w:rFonts w:eastAsia="Calibri"/>
          <w:sz w:val="24"/>
          <w:szCs w:val="24"/>
          <w:lang w:val="en-US" w:eastAsia="en-US"/>
        </w:rPr>
        <w:t>)</w:t>
      </w:r>
      <w:r w:rsidRPr="00044D44">
        <w:rPr>
          <w:rFonts w:eastAsia="Calibri"/>
          <w:sz w:val="24"/>
          <w:szCs w:val="24"/>
          <w:lang w:val="en-US" w:eastAsia="en-US"/>
        </w:rPr>
        <w:t xml:space="preserve"> </w:t>
      </w:r>
      <w:r w:rsidR="007B1101">
        <w:rPr>
          <w:rFonts w:eastAsia="Calibri"/>
          <w:sz w:val="24"/>
          <w:szCs w:val="24"/>
          <w:lang w:val="en-US" w:eastAsia="en-US"/>
        </w:rPr>
        <w:t>‘</w:t>
      </w:r>
      <w:r w:rsidRPr="00044D44">
        <w:rPr>
          <w:rFonts w:eastAsia="Calibri"/>
          <w:sz w:val="24"/>
          <w:szCs w:val="24"/>
          <w:lang w:val="en-US" w:eastAsia="en-US"/>
        </w:rPr>
        <w:t>The Judicial Oversight on the Administrative Contracts in the Jordanian Legislation and the Comparison</w:t>
      </w:r>
      <w:r w:rsidR="007B1101">
        <w:rPr>
          <w:rFonts w:eastAsia="Calibri"/>
          <w:sz w:val="24"/>
          <w:szCs w:val="24"/>
          <w:lang w:val="en-US" w:eastAsia="en-US"/>
        </w:rPr>
        <w:t>’</w:t>
      </w:r>
      <w:r w:rsidRPr="00044D44">
        <w:rPr>
          <w:rFonts w:eastAsia="Calibri"/>
          <w:sz w:val="24"/>
          <w:szCs w:val="24"/>
          <w:lang w:val="en-US" w:eastAsia="en-US"/>
        </w:rPr>
        <w:t xml:space="preserve">: </w:t>
      </w:r>
      <w:r w:rsidRPr="007B1101">
        <w:rPr>
          <w:rFonts w:eastAsia="Calibri"/>
          <w:i/>
          <w:iCs/>
          <w:sz w:val="24"/>
          <w:szCs w:val="24"/>
          <w:lang w:val="en-US" w:eastAsia="en-US"/>
        </w:rPr>
        <w:t>The Modern Qualitative Jurisdiction of the Administrative Judiciary. Indian JL &amp; Just., </w:t>
      </w:r>
      <w:r w:rsidRPr="00044D44">
        <w:rPr>
          <w:rFonts w:eastAsia="Calibri"/>
          <w:i/>
          <w:iCs/>
          <w:sz w:val="24"/>
          <w:szCs w:val="24"/>
          <w:lang w:val="en-US" w:eastAsia="en-US"/>
        </w:rPr>
        <w:t>13</w:t>
      </w:r>
      <w:r w:rsidRPr="00044D44">
        <w:rPr>
          <w:rFonts w:eastAsia="Calibri"/>
          <w:sz w:val="24"/>
          <w:szCs w:val="24"/>
          <w:lang w:val="en-US" w:eastAsia="en-US"/>
        </w:rPr>
        <w:t>, p.1.</w:t>
      </w:r>
      <w:r w:rsidR="007B1101">
        <w:rPr>
          <w:rFonts w:eastAsia="Calibri"/>
          <w:sz w:val="24"/>
          <w:szCs w:val="24"/>
          <w:lang w:val="en-US" w:eastAsia="en-US"/>
        </w:rPr>
        <w:t xml:space="preserve"> Available at:</w:t>
      </w:r>
      <w:r w:rsidRPr="00044D44">
        <w:rPr>
          <w:rFonts w:eastAsia="Calibri"/>
          <w:sz w:val="24"/>
          <w:szCs w:val="24"/>
          <w:lang w:val="en-US" w:eastAsia="en-US"/>
        </w:rPr>
        <w:t xml:space="preserve"> </w:t>
      </w:r>
      <w:hyperlink r:id="rId10" w:history="1">
        <w:r w:rsidRPr="00044D44">
          <w:rPr>
            <w:rFonts w:eastAsia="Calibri"/>
            <w:color w:val="0563C1"/>
            <w:sz w:val="24"/>
            <w:szCs w:val="24"/>
            <w:u w:val="single"/>
            <w:lang w:val="en-US" w:eastAsia="en-US"/>
          </w:rPr>
          <w:t>https://heinonline.org/hol-cgi-bin/get_pdf.cgi?handle=hein.journals/ijlj13&amp;section=31</w:t>
        </w:r>
      </w:hyperlink>
      <w:r w:rsidR="007B1101">
        <w:rPr>
          <w:rFonts w:eastAsia="Calibri"/>
          <w:sz w:val="24"/>
          <w:szCs w:val="24"/>
          <w:lang w:val="en-US" w:eastAsia="en-US"/>
        </w:rPr>
        <w:t>(Accessed:12.02.2024)</w:t>
      </w:r>
    </w:p>
    <w:p w14:paraId="421ACD3E" w14:textId="40A8A6A7" w:rsidR="00E355E4" w:rsidRPr="00044D44" w:rsidRDefault="00E355E4" w:rsidP="00044D44">
      <w:pPr>
        <w:pStyle w:val="ListParagraph"/>
        <w:numPr>
          <w:ilvl w:val="0"/>
          <w:numId w:val="18"/>
        </w:numPr>
        <w:spacing w:before="100" w:beforeAutospacing="1" w:after="100" w:afterAutospacing="1" w:line="480" w:lineRule="auto"/>
        <w:jc w:val="both"/>
        <w:rPr>
          <w:rFonts w:eastAsia="Calibri"/>
          <w:sz w:val="24"/>
          <w:szCs w:val="24"/>
          <w:lang w:val="en-US" w:eastAsia="en-US"/>
        </w:rPr>
      </w:pPr>
      <w:r w:rsidRPr="00044D44">
        <w:rPr>
          <w:rFonts w:eastAsia="Calibri"/>
          <w:sz w:val="24"/>
          <w:szCs w:val="24"/>
          <w:lang w:val="en-US" w:eastAsia="en-US"/>
        </w:rPr>
        <w:t xml:space="preserve">Bashir, H., Ahmad, B., Bari, M.W. and Khan, Q.U.A. </w:t>
      </w:r>
      <w:r w:rsidR="007B1101">
        <w:rPr>
          <w:rFonts w:eastAsia="Calibri"/>
          <w:sz w:val="24"/>
          <w:szCs w:val="24"/>
          <w:lang w:val="en-US" w:eastAsia="en-US"/>
        </w:rPr>
        <w:t>(</w:t>
      </w:r>
      <w:r w:rsidRPr="00044D44">
        <w:rPr>
          <w:rFonts w:eastAsia="Calibri"/>
          <w:sz w:val="24"/>
          <w:szCs w:val="24"/>
          <w:lang w:val="en-US" w:eastAsia="en-US"/>
        </w:rPr>
        <w:t>2023</w:t>
      </w:r>
      <w:r w:rsidR="007B1101">
        <w:rPr>
          <w:rFonts w:eastAsia="Calibri"/>
          <w:sz w:val="24"/>
          <w:szCs w:val="24"/>
          <w:lang w:val="en-US" w:eastAsia="en-US"/>
        </w:rPr>
        <w:t>)</w:t>
      </w:r>
      <w:r w:rsidRPr="00044D44">
        <w:rPr>
          <w:rFonts w:eastAsia="Calibri"/>
          <w:sz w:val="24"/>
          <w:szCs w:val="24"/>
          <w:lang w:val="en-US" w:eastAsia="en-US"/>
        </w:rPr>
        <w:t xml:space="preserve"> </w:t>
      </w:r>
      <w:r w:rsidR="007B1101">
        <w:rPr>
          <w:rFonts w:eastAsia="Calibri"/>
          <w:sz w:val="24"/>
          <w:szCs w:val="24"/>
          <w:lang w:val="en-US" w:eastAsia="en-US"/>
        </w:rPr>
        <w:t>‘</w:t>
      </w:r>
      <w:r w:rsidRPr="00044D44">
        <w:rPr>
          <w:rFonts w:eastAsia="Calibri"/>
          <w:sz w:val="24"/>
          <w:szCs w:val="24"/>
          <w:lang w:val="en-US" w:eastAsia="en-US"/>
        </w:rPr>
        <w:t xml:space="preserve">The impact of organizational practices on formation and development of psychological contract: </w:t>
      </w:r>
      <w:r w:rsidR="00866C5D" w:rsidRPr="00044D44">
        <w:rPr>
          <w:rFonts w:eastAsia="Calibri"/>
          <w:sz w:val="24"/>
          <w:szCs w:val="24"/>
          <w:lang w:val="en-US" w:eastAsia="en-US"/>
        </w:rPr>
        <w:t>expatriates’</w:t>
      </w:r>
      <w:r w:rsidRPr="00044D44">
        <w:rPr>
          <w:rFonts w:eastAsia="Calibri"/>
          <w:sz w:val="24"/>
          <w:szCs w:val="24"/>
          <w:lang w:val="en-US" w:eastAsia="en-US"/>
        </w:rPr>
        <w:t xml:space="preserve"> perception-based view.</w:t>
      </w:r>
      <w:r w:rsidR="007B1101">
        <w:rPr>
          <w:rFonts w:eastAsia="Calibri"/>
          <w:sz w:val="24"/>
          <w:szCs w:val="24"/>
          <w:lang w:val="en-US" w:eastAsia="en-US"/>
        </w:rPr>
        <w:t>’</w:t>
      </w:r>
      <w:r w:rsidRPr="00044D44">
        <w:rPr>
          <w:rFonts w:eastAsia="Calibri"/>
          <w:sz w:val="24"/>
          <w:szCs w:val="24"/>
          <w:lang w:val="en-US" w:eastAsia="en-US"/>
        </w:rPr>
        <w:t> </w:t>
      </w:r>
      <w:r w:rsidRPr="00044D44">
        <w:rPr>
          <w:rFonts w:eastAsia="Calibri"/>
          <w:i/>
          <w:iCs/>
          <w:sz w:val="24"/>
          <w:szCs w:val="24"/>
          <w:lang w:val="en-US" w:eastAsia="en-US"/>
        </w:rPr>
        <w:t>International Journal of Emerging Markets</w:t>
      </w:r>
      <w:r w:rsidRPr="00044D44">
        <w:rPr>
          <w:rFonts w:eastAsia="Calibri"/>
          <w:sz w:val="24"/>
          <w:szCs w:val="24"/>
          <w:lang w:val="en-US" w:eastAsia="en-US"/>
        </w:rPr>
        <w:t>, </w:t>
      </w:r>
      <w:r w:rsidRPr="00044D44">
        <w:rPr>
          <w:rFonts w:eastAsia="Calibri"/>
          <w:i/>
          <w:iCs/>
          <w:sz w:val="24"/>
          <w:szCs w:val="24"/>
          <w:lang w:val="en-US" w:eastAsia="en-US"/>
        </w:rPr>
        <w:t>18</w:t>
      </w:r>
      <w:r w:rsidRPr="00044D44">
        <w:rPr>
          <w:rFonts w:eastAsia="Calibri"/>
          <w:sz w:val="24"/>
          <w:szCs w:val="24"/>
          <w:lang w:val="en-US" w:eastAsia="en-US"/>
        </w:rPr>
        <w:t xml:space="preserve">(9), pp.2198-2217. </w:t>
      </w:r>
      <w:r w:rsidR="007B1101">
        <w:rPr>
          <w:rFonts w:eastAsia="Calibri"/>
          <w:sz w:val="24"/>
          <w:szCs w:val="24"/>
          <w:lang w:val="en-US" w:eastAsia="en-US"/>
        </w:rPr>
        <w:t xml:space="preserve">Available at: </w:t>
      </w:r>
      <w:hyperlink r:id="rId11" w:history="1">
        <w:r w:rsidR="007B1101" w:rsidRPr="00942B3B">
          <w:rPr>
            <w:rStyle w:val="Hyperlink"/>
            <w:rFonts w:eastAsia="Calibri"/>
            <w:sz w:val="24"/>
            <w:szCs w:val="24"/>
            <w:lang w:val="en-US" w:eastAsia="en-US"/>
          </w:rPr>
          <w:t>https://www.emerald.com/insight/content/doi/10.1108/IJOEM-10-2020-1187/full/html</w:t>
        </w:r>
      </w:hyperlink>
      <w:r w:rsidR="007B1101">
        <w:rPr>
          <w:rFonts w:eastAsia="Calibri"/>
          <w:color w:val="0563C1"/>
          <w:sz w:val="24"/>
          <w:szCs w:val="24"/>
          <w:u w:val="single"/>
          <w:lang w:val="en-US" w:eastAsia="en-US"/>
        </w:rPr>
        <w:t xml:space="preserve"> </w:t>
      </w:r>
      <w:r w:rsidR="007B1101">
        <w:rPr>
          <w:rFonts w:eastAsia="Calibri"/>
          <w:sz w:val="24"/>
          <w:szCs w:val="24"/>
          <w:lang w:val="en-US" w:eastAsia="en-US"/>
        </w:rPr>
        <w:t>(Accessed:12.02.2024)</w:t>
      </w:r>
    </w:p>
    <w:p w14:paraId="1940A78E" w14:textId="40AA1513" w:rsidR="00E355E4" w:rsidRPr="00044D44" w:rsidRDefault="00E355E4" w:rsidP="00044D44">
      <w:pPr>
        <w:pStyle w:val="ListParagraph"/>
        <w:numPr>
          <w:ilvl w:val="0"/>
          <w:numId w:val="18"/>
        </w:numPr>
        <w:spacing w:before="100" w:beforeAutospacing="1" w:after="100" w:afterAutospacing="1" w:line="480" w:lineRule="auto"/>
        <w:jc w:val="both"/>
        <w:rPr>
          <w:rFonts w:eastAsia="Calibri"/>
          <w:sz w:val="24"/>
          <w:szCs w:val="24"/>
          <w:lang w:val="en-US" w:eastAsia="en-US"/>
        </w:rPr>
      </w:pPr>
      <w:r w:rsidRPr="00044D44">
        <w:rPr>
          <w:rFonts w:eastAsia="Calibri"/>
          <w:sz w:val="24"/>
          <w:szCs w:val="24"/>
          <w:lang w:val="en-US" w:eastAsia="en-US"/>
        </w:rPr>
        <w:t>Chloros, A.G.</w:t>
      </w:r>
      <w:r w:rsidR="007B1101">
        <w:rPr>
          <w:rFonts w:eastAsia="Calibri"/>
          <w:sz w:val="24"/>
          <w:szCs w:val="24"/>
          <w:lang w:val="en-US" w:eastAsia="en-US"/>
        </w:rPr>
        <w:t xml:space="preserve"> (</w:t>
      </w:r>
      <w:r w:rsidRPr="00044D44">
        <w:rPr>
          <w:rFonts w:eastAsia="Calibri"/>
          <w:sz w:val="24"/>
          <w:szCs w:val="24"/>
          <w:lang w:val="en-US" w:eastAsia="en-US"/>
        </w:rPr>
        <w:t>2022</w:t>
      </w:r>
      <w:r w:rsidR="007B1101">
        <w:rPr>
          <w:rFonts w:eastAsia="Calibri"/>
          <w:sz w:val="24"/>
          <w:szCs w:val="24"/>
          <w:lang w:val="en-US" w:eastAsia="en-US"/>
        </w:rPr>
        <w:t>)</w:t>
      </w:r>
      <w:r w:rsidRPr="00044D44">
        <w:rPr>
          <w:rFonts w:eastAsia="Calibri"/>
          <w:sz w:val="24"/>
          <w:szCs w:val="24"/>
          <w:lang w:val="en-US" w:eastAsia="en-US"/>
        </w:rPr>
        <w:t xml:space="preserve"> </w:t>
      </w:r>
      <w:r w:rsidR="007B1101">
        <w:rPr>
          <w:rFonts w:eastAsia="Calibri"/>
          <w:sz w:val="24"/>
          <w:szCs w:val="24"/>
          <w:lang w:val="en-US" w:eastAsia="en-US"/>
        </w:rPr>
        <w:t>‘</w:t>
      </w:r>
      <w:r w:rsidRPr="00044D44">
        <w:rPr>
          <w:rFonts w:eastAsia="Calibri"/>
          <w:sz w:val="24"/>
          <w:szCs w:val="24"/>
          <w:lang w:val="en-US" w:eastAsia="en-US"/>
        </w:rPr>
        <w:t>The Doctrine of Consideration and the Reform of the Law of Contract: A Comparative Analysis.</w:t>
      </w:r>
      <w:r w:rsidR="007B1101">
        <w:rPr>
          <w:rFonts w:eastAsia="Calibri"/>
          <w:sz w:val="24"/>
          <w:szCs w:val="24"/>
          <w:lang w:val="en-US" w:eastAsia="en-US"/>
        </w:rPr>
        <w:t>’</w:t>
      </w:r>
      <w:r w:rsidRPr="00044D44">
        <w:rPr>
          <w:rFonts w:eastAsia="Calibri"/>
          <w:sz w:val="24"/>
          <w:szCs w:val="24"/>
          <w:lang w:val="en-US" w:eastAsia="en-US"/>
        </w:rPr>
        <w:t> </w:t>
      </w:r>
      <w:r w:rsidRPr="00044D44">
        <w:rPr>
          <w:rFonts w:eastAsia="Calibri"/>
          <w:i/>
          <w:iCs/>
          <w:sz w:val="24"/>
          <w:szCs w:val="24"/>
          <w:lang w:val="en-US" w:eastAsia="en-US"/>
        </w:rPr>
        <w:t>International &amp; Comparative Law Quarterly</w:t>
      </w:r>
      <w:r w:rsidRPr="00044D44">
        <w:rPr>
          <w:rFonts w:eastAsia="Calibri"/>
          <w:sz w:val="24"/>
          <w:szCs w:val="24"/>
          <w:lang w:val="en-US" w:eastAsia="en-US"/>
        </w:rPr>
        <w:t>, </w:t>
      </w:r>
      <w:r w:rsidRPr="00044D44">
        <w:rPr>
          <w:rFonts w:eastAsia="Calibri"/>
          <w:i/>
          <w:iCs/>
          <w:sz w:val="24"/>
          <w:szCs w:val="24"/>
          <w:lang w:val="en-US" w:eastAsia="en-US"/>
        </w:rPr>
        <w:t>17</w:t>
      </w:r>
      <w:r w:rsidRPr="00044D44">
        <w:rPr>
          <w:rFonts w:eastAsia="Calibri"/>
          <w:sz w:val="24"/>
          <w:szCs w:val="24"/>
          <w:lang w:val="en-US" w:eastAsia="en-US"/>
        </w:rPr>
        <w:t xml:space="preserve">(1), pp.137-166. </w:t>
      </w:r>
      <w:r w:rsidR="00635191">
        <w:rPr>
          <w:rFonts w:eastAsia="Calibri"/>
          <w:sz w:val="24"/>
          <w:szCs w:val="24"/>
          <w:lang w:val="en-US" w:eastAsia="en-US"/>
        </w:rPr>
        <w:t xml:space="preserve">Available at : </w:t>
      </w:r>
      <w:hyperlink r:id="rId12" w:history="1">
        <w:r w:rsidR="00635191" w:rsidRPr="00942B3B">
          <w:rPr>
            <w:rStyle w:val="Hyperlink"/>
            <w:rFonts w:eastAsia="Calibri"/>
            <w:sz w:val="24"/>
            <w:szCs w:val="24"/>
            <w:lang w:val="en-US" w:eastAsia="en-US"/>
          </w:rPr>
          <w:t>https://www.cambridge.org/core/journals/international-and-comparative-law-quarterly/article/doctrine-of-consideration-and-the-reform-of-the-law-of-contract/B247C34C84A3DBED86FD57EE6C48EEC6</w:t>
        </w:r>
      </w:hyperlink>
      <w:r w:rsidR="00635191">
        <w:rPr>
          <w:rFonts w:eastAsia="Calibri"/>
          <w:color w:val="0563C1"/>
          <w:sz w:val="24"/>
          <w:szCs w:val="24"/>
          <w:u w:val="single"/>
          <w:lang w:val="en-US" w:eastAsia="en-US"/>
        </w:rPr>
        <w:t xml:space="preserve"> </w:t>
      </w:r>
      <w:r w:rsidR="00635191">
        <w:rPr>
          <w:rFonts w:eastAsia="Calibri"/>
          <w:sz w:val="24"/>
          <w:szCs w:val="24"/>
          <w:lang w:val="en-US" w:eastAsia="en-US"/>
        </w:rPr>
        <w:t>(Accessed:12.02.2024)</w:t>
      </w:r>
    </w:p>
    <w:p w14:paraId="6068B8DE" w14:textId="15FD724A" w:rsidR="00E355E4" w:rsidRPr="00044D44" w:rsidRDefault="00E355E4" w:rsidP="00044D44">
      <w:pPr>
        <w:pStyle w:val="ListParagraph"/>
        <w:numPr>
          <w:ilvl w:val="0"/>
          <w:numId w:val="18"/>
        </w:numPr>
        <w:spacing w:before="100" w:beforeAutospacing="1" w:after="100" w:afterAutospacing="1" w:line="480" w:lineRule="auto"/>
        <w:jc w:val="both"/>
        <w:rPr>
          <w:rFonts w:eastAsia="Calibri"/>
          <w:sz w:val="24"/>
          <w:szCs w:val="24"/>
          <w:lang w:val="en-US" w:eastAsia="en-US"/>
        </w:rPr>
      </w:pPr>
      <w:r w:rsidRPr="00044D44">
        <w:rPr>
          <w:rFonts w:eastAsia="Calibri"/>
          <w:sz w:val="24"/>
          <w:szCs w:val="24"/>
          <w:lang w:val="en-US" w:eastAsia="en-US"/>
        </w:rPr>
        <w:t xml:space="preserve">Decock, W. </w:t>
      </w:r>
      <w:r w:rsidR="00635191">
        <w:rPr>
          <w:rFonts w:eastAsia="Calibri"/>
          <w:sz w:val="24"/>
          <w:szCs w:val="24"/>
          <w:lang w:val="en-US" w:eastAsia="en-US"/>
        </w:rPr>
        <w:t>(</w:t>
      </w:r>
      <w:r w:rsidRPr="00044D44">
        <w:rPr>
          <w:rFonts w:eastAsia="Calibri"/>
          <w:sz w:val="24"/>
          <w:szCs w:val="24"/>
          <w:lang w:val="en-US" w:eastAsia="en-US"/>
        </w:rPr>
        <w:t>2021</w:t>
      </w:r>
      <w:r w:rsidR="00635191">
        <w:rPr>
          <w:rFonts w:eastAsia="Calibri"/>
          <w:sz w:val="24"/>
          <w:szCs w:val="24"/>
          <w:lang w:val="en-US" w:eastAsia="en-US"/>
        </w:rPr>
        <w:t>)</w:t>
      </w:r>
      <w:r w:rsidRPr="00044D44">
        <w:rPr>
          <w:rFonts w:eastAsia="Calibri"/>
          <w:sz w:val="24"/>
          <w:szCs w:val="24"/>
          <w:lang w:val="en-US" w:eastAsia="en-US"/>
        </w:rPr>
        <w:t xml:space="preserve"> </w:t>
      </w:r>
      <w:r w:rsidR="00635191">
        <w:rPr>
          <w:rFonts w:eastAsia="Calibri"/>
          <w:sz w:val="24"/>
          <w:szCs w:val="24"/>
          <w:lang w:val="en-US" w:eastAsia="en-US"/>
        </w:rPr>
        <w:t>‘</w:t>
      </w:r>
      <w:r w:rsidRPr="00044D44">
        <w:rPr>
          <w:rFonts w:eastAsia="Calibri"/>
          <w:sz w:val="24"/>
          <w:szCs w:val="24"/>
          <w:lang w:val="en-US" w:eastAsia="en-US"/>
        </w:rPr>
        <w:t>Contract Law.</w:t>
      </w:r>
      <w:r w:rsidR="00635191">
        <w:rPr>
          <w:rFonts w:eastAsia="Calibri"/>
          <w:sz w:val="24"/>
          <w:szCs w:val="24"/>
          <w:lang w:val="en-US" w:eastAsia="en-US"/>
        </w:rPr>
        <w:t>’</w:t>
      </w:r>
      <w:r w:rsidRPr="00044D44">
        <w:rPr>
          <w:rFonts w:eastAsia="Calibri"/>
          <w:sz w:val="24"/>
          <w:szCs w:val="24"/>
          <w:lang w:val="en-US" w:eastAsia="en-US"/>
        </w:rPr>
        <w:t xml:space="preserve"> </w:t>
      </w:r>
      <w:r w:rsidRPr="00635191">
        <w:rPr>
          <w:rFonts w:eastAsia="Calibri"/>
          <w:i/>
          <w:iCs/>
          <w:sz w:val="24"/>
          <w:szCs w:val="24"/>
          <w:lang w:val="en-US" w:eastAsia="en-US"/>
        </w:rPr>
        <w:t>In A Companion to the Spanish Scholastics </w:t>
      </w:r>
      <w:r w:rsidRPr="00044D44">
        <w:rPr>
          <w:rFonts w:eastAsia="Calibri"/>
          <w:sz w:val="24"/>
          <w:szCs w:val="24"/>
          <w:lang w:val="en-US" w:eastAsia="en-US"/>
        </w:rPr>
        <w:t xml:space="preserve">(pp. 432-447). Brill. </w:t>
      </w:r>
      <w:r w:rsidR="00635191">
        <w:rPr>
          <w:rFonts w:eastAsia="Calibri"/>
          <w:sz w:val="24"/>
          <w:szCs w:val="24"/>
          <w:lang w:val="en-US" w:eastAsia="en-US"/>
        </w:rPr>
        <w:t xml:space="preserve">Available at: </w:t>
      </w:r>
      <w:hyperlink r:id="rId13" w:history="1">
        <w:r w:rsidR="00635191" w:rsidRPr="00942B3B">
          <w:rPr>
            <w:rStyle w:val="Hyperlink"/>
            <w:rFonts w:eastAsia="Calibri"/>
            <w:sz w:val="24"/>
            <w:szCs w:val="24"/>
            <w:lang w:val="en-US" w:eastAsia="en-US"/>
          </w:rPr>
          <w:t>https://brill.com/display/book/edcoll/9789004296961/BP000024.xml</w:t>
        </w:r>
      </w:hyperlink>
      <w:r w:rsidR="00635191">
        <w:rPr>
          <w:rFonts w:eastAsia="Calibri"/>
          <w:color w:val="0563C1"/>
          <w:sz w:val="24"/>
          <w:szCs w:val="24"/>
          <w:u w:val="single"/>
          <w:lang w:val="en-US" w:eastAsia="en-US"/>
        </w:rPr>
        <w:t xml:space="preserve"> </w:t>
      </w:r>
      <w:r w:rsidR="00635191">
        <w:rPr>
          <w:rFonts w:eastAsia="Calibri"/>
          <w:sz w:val="24"/>
          <w:szCs w:val="24"/>
          <w:lang w:val="en-US" w:eastAsia="en-US"/>
        </w:rPr>
        <w:t>(Accessed:12.02.2024)</w:t>
      </w:r>
    </w:p>
    <w:p w14:paraId="2C890506" w14:textId="5ABC1F29" w:rsidR="00E355E4" w:rsidRPr="00044D44" w:rsidRDefault="00E355E4" w:rsidP="00044D44">
      <w:pPr>
        <w:pStyle w:val="ListParagraph"/>
        <w:numPr>
          <w:ilvl w:val="0"/>
          <w:numId w:val="18"/>
        </w:numPr>
        <w:spacing w:before="100" w:beforeAutospacing="1" w:after="100" w:afterAutospacing="1" w:line="480" w:lineRule="auto"/>
        <w:jc w:val="both"/>
        <w:rPr>
          <w:rFonts w:eastAsia="Calibri"/>
          <w:sz w:val="24"/>
          <w:szCs w:val="24"/>
          <w:lang w:val="en-US" w:eastAsia="en-US"/>
        </w:rPr>
      </w:pPr>
      <w:r w:rsidRPr="00044D44">
        <w:rPr>
          <w:rFonts w:eastAsia="Calibri"/>
          <w:sz w:val="24"/>
          <w:szCs w:val="24"/>
          <w:lang w:val="en-US" w:eastAsia="en-US"/>
        </w:rPr>
        <w:t xml:space="preserve">Dias, N. </w:t>
      </w:r>
      <w:r w:rsidR="00635191">
        <w:rPr>
          <w:rFonts w:eastAsia="Calibri"/>
          <w:sz w:val="24"/>
          <w:szCs w:val="24"/>
          <w:lang w:val="en-US" w:eastAsia="en-US"/>
        </w:rPr>
        <w:t>(</w:t>
      </w:r>
      <w:r w:rsidRPr="00044D44">
        <w:rPr>
          <w:rFonts w:eastAsia="Calibri"/>
          <w:sz w:val="24"/>
          <w:szCs w:val="24"/>
          <w:lang w:val="en-US" w:eastAsia="en-US"/>
        </w:rPr>
        <w:t>2022</w:t>
      </w:r>
      <w:r w:rsidR="00635191">
        <w:rPr>
          <w:rFonts w:eastAsia="Calibri"/>
          <w:sz w:val="24"/>
          <w:szCs w:val="24"/>
          <w:lang w:val="en-US" w:eastAsia="en-US"/>
        </w:rPr>
        <w:t>)</w:t>
      </w:r>
      <w:r w:rsidRPr="00044D44">
        <w:rPr>
          <w:rFonts w:eastAsia="Calibri"/>
          <w:sz w:val="24"/>
          <w:szCs w:val="24"/>
          <w:lang w:val="en-US" w:eastAsia="en-US"/>
        </w:rPr>
        <w:t xml:space="preserve"> </w:t>
      </w:r>
      <w:r w:rsidR="00635191">
        <w:rPr>
          <w:rFonts w:eastAsia="Calibri"/>
          <w:sz w:val="24"/>
          <w:szCs w:val="24"/>
          <w:lang w:val="en-US" w:eastAsia="en-US"/>
        </w:rPr>
        <w:t>‘</w:t>
      </w:r>
      <w:r w:rsidRPr="00044D44">
        <w:rPr>
          <w:rFonts w:eastAsia="Calibri"/>
          <w:sz w:val="24"/>
          <w:szCs w:val="24"/>
          <w:lang w:val="en-US" w:eastAsia="en-US"/>
        </w:rPr>
        <w:t>Re-examining the relationship between mutual promises in contract law.</w:t>
      </w:r>
      <w:r w:rsidR="00635191">
        <w:rPr>
          <w:rFonts w:eastAsia="Calibri"/>
          <w:sz w:val="24"/>
          <w:szCs w:val="24"/>
          <w:lang w:val="en-US" w:eastAsia="en-US"/>
        </w:rPr>
        <w:t>’</w:t>
      </w:r>
      <w:r w:rsidRPr="00044D44">
        <w:rPr>
          <w:rFonts w:eastAsia="Calibri"/>
          <w:sz w:val="24"/>
          <w:szCs w:val="24"/>
          <w:lang w:val="en-US" w:eastAsia="en-US"/>
        </w:rPr>
        <w:t> </w:t>
      </w:r>
      <w:r w:rsidRPr="00044D44">
        <w:rPr>
          <w:rFonts w:eastAsia="Calibri"/>
          <w:i/>
          <w:iCs/>
          <w:sz w:val="24"/>
          <w:szCs w:val="24"/>
          <w:lang w:val="en-US" w:eastAsia="en-US"/>
        </w:rPr>
        <w:t>Melbourne University Law Review</w:t>
      </w:r>
      <w:r w:rsidRPr="00044D44">
        <w:rPr>
          <w:rFonts w:eastAsia="Calibri"/>
          <w:sz w:val="24"/>
          <w:szCs w:val="24"/>
          <w:lang w:val="en-US" w:eastAsia="en-US"/>
        </w:rPr>
        <w:t>, </w:t>
      </w:r>
      <w:r w:rsidRPr="00044D44">
        <w:rPr>
          <w:rFonts w:eastAsia="Calibri"/>
          <w:i/>
          <w:iCs/>
          <w:sz w:val="24"/>
          <w:szCs w:val="24"/>
          <w:lang w:val="en-US" w:eastAsia="en-US"/>
        </w:rPr>
        <w:t>45</w:t>
      </w:r>
      <w:r w:rsidRPr="00044D44">
        <w:rPr>
          <w:rFonts w:eastAsia="Calibri"/>
          <w:sz w:val="24"/>
          <w:szCs w:val="24"/>
          <w:lang w:val="en-US" w:eastAsia="en-US"/>
        </w:rPr>
        <w:t xml:space="preserve">(2), pp.550-596. </w:t>
      </w:r>
      <w:r w:rsidR="00635191">
        <w:rPr>
          <w:rFonts w:eastAsia="Calibri"/>
          <w:sz w:val="24"/>
          <w:szCs w:val="24"/>
          <w:lang w:val="en-US" w:eastAsia="en-US"/>
        </w:rPr>
        <w:t xml:space="preserve">Available at:  </w:t>
      </w:r>
      <w:hyperlink r:id="rId14" w:history="1">
        <w:r w:rsidR="00635191" w:rsidRPr="00942B3B">
          <w:rPr>
            <w:rStyle w:val="Hyperlink"/>
            <w:rFonts w:eastAsia="Calibri"/>
            <w:sz w:val="24"/>
            <w:szCs w:val="24"/>
            <w:lang w:val="en-US" w:eastAsia="en-US"/>
          </w:rPr>
          <w:t>https://search.informit.org/doi/abs/10.3316/informit.660961721878446</w:t>
        </w:r>
      </w:hyperlink>
      <w:r w:rsidR="00635191">
        <w:rPr>
          <w:rFonts w:eastAsia="Calibri"/>
          <w:color w:val="0563C1"/>
          <w:sz w:val="24"/>
          <w:szCs w:val="24"/>
          <w:u w:val="single"/>
          <w:lang w:val="en-US" w:eastAsia="en-US"/>
        </w:rPr>
        <w:t xml:space="preserve"> </w:t>
      </w:r>
      <w:r w:rsidR="00635191">
        <w:rPr>
          <w:rFonts w:eastAsia="Calibri"/>
          <w:sz w:val="24"/>
          <w:szCs w:val="24"/>
          <w:lang w:val="en-US" w:eastAsia="en-US"/>
        </w:rPr>
        <w:t>(Accessed:12.02.2024)</w:t>
      </w:r>
    </w:p>
    <w:p w14:paraId="1F9291FF" w14:textId="7DBBFEC4" w:rsidR="00E355E4" w:rsidRPr="00044D44" w:rsidRDefault="00E355E4" w:rsidP="00044D44">
      <w:pPr>
        <w:pStyle w:val="ListParagraph"/>
        <w:numPr>
          <w:ilvl w:val="0"/>
          <w:numId w:val="18"/>
        </w:numPr>
        <w:spacing w:before="100" w:beforeAutospacing="1" w:after="100" w:afterAutospacing="1" w:line="480" w:lineRule="auto"/>
        <w:jc w:val="both"/>
        <w:rPr>
          <w:rFonts w:eastAsia="Calibri"/>
          <w:sz w:val="24"/>
          <w:szCs w:val="24"/>
          <w:lang w:val="en-US" w:eastAsia="en-US"/>
        </w:rPr>
      </w:pPr>
      <w:r w:rsidRPr="00044D44">
        <w:rPr>
          <w:rFonts w:eastAsia="Calibri"/>
          <w:sz w:val="24"/>
          <w:szCs w:val="24"/>
          <w:lang w:val="en-US" w:eastAsia="en-US"/>
        </w:rPr>
        <w:t xml:space="preserve">Hoffman, </w:t>
      </w:r>
      <w:r w:rsidR="00866C5D" w:rsidRPr="00044D44">
        <w:rPr>
          <w:rFonts w:eastAsia="Calibri"/>
          <w:sz w:val="24"/>
          <w:szCs w:val="24"/>
          <w:lang w:val="en-US" w:eastAsia="en-US"/>
        </w:rPr>
        <w:t>D.A.,</w:t>
      </w:r>
      <w:r w:rsidRPr="00044D44">
        <w:rPr>
          <w:rFonts w:eastAsia="Calibri"/>
          <w:sz w:val="24"/>
          <w:szCs w:val="24"/>
          <w:lang w:val="en-US" w:eastAsia="en-US"/>
        </w:rPr>
        <w:t xml:space="preserve"> and Eigen, Z.J. </w:t>
      </w:r>
      <w:r w:rsidR="00635191">
        <w:rPr>
          <w:rFonts w:eastAsia="Calibri"/>
          <w:sz w:val="24"/>
          <w:szCs w:val="24"/>
          <w:lang w:val="en-US" w:eastAsia="en-US"/>
        </w:rPr>
        <w:t>(</w:t>
      </w:r>
      <w:r w:rsidRPr="00044D44">
        <w:rPr>
          <w:rFonts w:eastAsia="Calibri"/>
          <w:sz w:val="24"/>
          <w:szCs w:val="24"/>
          <w:lang w:val="en-US" w:eastAsia="en-US"/>
        </w:rPr>
        <w:t>2022</w:t>
      </w:r>
      <w:r w:rsidR="00635191">
        <w:rPr>
          <w:rFonts w:eastAsia="Calibri"/>
          <w:sz w:val="24"/>
          <w:szCs w:val="24"/>
          <w:lang w:val="en-US" w:eastAsia="en-US"/>
        </w:rPr>
        <w:t>)</w:t>
      </w:r>
      <w:r w:rsidRPr="00044D44">
        <w:rPr>
          <w:rFonts w:eastAsia="Calibri"/>
          <w:sz w:val="24"/>
          <w:szCs w:val="24"/>
          <w:lang w:val="en-US" w:eastAsia="en-US"/>
        </w:rPr>
        <w:t xml:space="preserve"> </w:t>
      </w:r>
      <w:r w:rsidR="00635191">
        <w:rPr>
          <w:rFonts w:eastAsia="Calibri"/>
          <w:sz w:val="24"/>
          <w:szCs w:val="24"/>
          <w:lang w:val="en-US" w:eastAsia="en-US"/>
        </w:rPr>
        <w:t>‘</w:t>
      </w:r>
      <w:r w:rsidRPr="00044D44">
        <w:rPr>
          <w:rFonts w:eastAsia="Calibri"/>
          <w:sz w:val="24"/>
          <w:szCs w:val="24"/>
          <w:lang w:val="en-US" w:eastAsia="en-US"/>
        </w:rPr>
        <w:t>Contract consideration and behavior.</w:t>
      </w:r>
      <w:r w:rsidR="00635191">
        <w:rPr>
          <w:rFonts w:eastAsia="Calibri"/>
          <w:sz w:val="24"/>
          <w:szCs w:val="24"/>
          <w:lang w:val="en-US" w:eastAsia="en-US"/>
        </w:rPr>
        <w:t>’</w:t>
      </w:r>
      <w:r w:rsidRPr="00044D44">
        <w:rPr>
          <w:rFonts w:eastAsia="Calibri"/>
          <w:sz w:val="24"/>
          <w:szCs w:val="24"/>
          <w:lang w:val="en-US" w:eastAsia="en-US"/>
        </w:rPr>
        <w:t> </w:t>
      </w:r>
      <w:r w:rsidRPr="00044D44">
        <w:rPr>
          <w:rFonts w:eastAsia="Calibri"/>
          <w:i/>
          <w:iCs/>
          <w:sz w:val="24"/>
          <w:szCs w:val="24"/>
          <w:lang w:val="en-US" w:eastAsia="en-US"/>
        </w:rPr>
        <w:t>Geo. Wash. L. Rev.</w:t>
      </w:r>
      <w:r w:rsidRPr="00044D44">
        <w:rPr>
          <w:rFonts w:eastAsia="Calibri"/>
          <w:sz w:val="24"/>
          <w:szCs w:val="24"/>
          <w:lang w:val="en-US" w:eastAsia="en-US"/>
        </w:rPr>
        <w:t>, </w:t>
      </w:r>
      <w:r w:rsidRPr="00044D44">
        <w:rPr>
          <w:rFonts w:eastAsia="Calibri"/>
          <w:i/>
          <w:iCs/>
          <w:sz w:val="24"/>
          <w:szCs w:val="24"/>
          <w:lang w:val="en-US" w:eastAsia="en-US"/>
        </w:rPr>
        <w:t>85</w:t>
      </w:r>
      <w:r w:rsidRPr="00044D44">
        <w:rPr>
          <w:rFonts w:eastAsia="Calibri"/>
          <w:sz w:val="24"/>
          <w:szCs w:val="24"/>
          <w:lang w:val="en-US" w:eastAsia="en-US"/>
        </w:rPr>
        <w:t>, p.351.</w:t>
      </w:r>
      <w:r w:rsidR="00635191">
        <w:rPr>
          <w:rFonts w:eastAsia="Calibri"/>
          <w:sz w:val="24"/>
          <w:szCs w:val="24"/>
          <w:lang w:val="en-US" w:eastAsia="en-US"/>
        </w:rPr>
        <w:t xml:space="preserve"> Available at:</w:t>
      </w:r>
      <w:r w:rsidRPr="00044D44">
        <w:rPr>
          <w:rFonts w:eastAsia="Calibri"/>
          <w:sz w:val="24"/>
          <w:szCs w:val="24"/>
          <w:lang w:val="en-US" w:eastAsia="en-US"/>
        </w:rPr>
        <w:t xml:space="preserve"> </w:t>
      </w:r>
      <w:hyperlink r:id="rId15" w:history="1">
        <w:r w:rsidRPr="00044D44">
          <w:rPr>
            <w:rFonts w:eastAsia="Calibri"/>
            <w:color w:val="0563C1"/>
            <w:sz w:val="24"/>
            <w:szCs w:val="24"/>
            <w:u w:val="single"/>
            <w:lang w:val="en-US" w:eastAsia="en-US"/>
          </w:rPr>
          <w:t>https://heinonline.org/hol-cgi-bin/get_pdf.cgi?handle=hein.journals/gwlr85&amp;section=14</w:t>
        </w:r>
      </w:hyperlink>
      <w:r w:rsidR="00635191">
        <w:rPr>
          <w:rFonts w:eastAsia="Calibri"/>
          <w:color w:val="0563C1"/>
          <w:sz w:val="24"/>
          <w:szCs w:val="24"/>
          <w:u w:val="single"/>
          <w:lang w:val="en-US" w:eastAsia="en-US"/>
        </w:rPr>
        <w:t xml:space="preserve"> </w:t>
      </w:r>
      <w:r w:rsidR="00635191">
        <w:rPr>
          <w:rFonts w:eastAsia="Calibri"/>
          <w:sz w:val="24"/>
          <w:szCs w:val="24"/>
          <w:lang w:val="en-US" w:eastAsia="en-US"/>
        </w:rPr>
        <w:t>(Accessed:1</w:t>
      </w:r>
      <w:r w:rsidR="00635191">
        <w:rPr>
          <w:rFonts w:eastAsia="Calibri"/>
          <w:sz w:val="24"/>
          <w:szCs w:val="24"/>
          <w:lang w:val="en-US" w:eastAsia="en-US"/>
        </w:rPr>
        <w:t>3</w:t>
      </w:r>
      <w:r w:rsidR="00635191">
        <w:rPr>
          <w:rFonts w:eastAsia="Calibri"/>
          <w:sz w:val="24"/>
          <w:szCs w:val="24"/>
          <w:lang w:val="en-US" w:eastAsia="en-US"/>
        </w:rPr>
        <w:t>.02.2024)</w:t>
      </w:r>
    </w:p>
    <w:p w14:paraId="54F79CCE" w14:textId="6DC3ED87" w:rsidR="00E355E4" w:rsidRPr="00044D44" w:rsidRDefault="00E355E4" w:rsidP="00044D44">
      <w:pPr>
        <w:pStyle w:val="ListParagraph"/>
        <w:numPr>
          <w:ilvl w:val="0"/>
          <w:numId w:val="18"/>
        </w:numPr>
        <w:spacing w:before="100" w:beforeAutospacing="1" w:after="100" w:afterAutospacing="1" w:line="480" w:lineRule="auto"/>
        <w:jc w:val="both"/>
        <w:rPr>
          <w:rFonts w:eastAsia="Calibri"/>
          <w:sz w:val="24"/>
          <w:szCs w:val="24"/>
          <w:lang w:val="en-US" w:eastAsia="en-US"/>
        </w:rPr>
      </w:pPr>
      <w:r w:rsidRPr="00044D44">
        <w:rPr>
          <w:rFonts w:eastAsia="Calibri"/>
          <w:sz w:val="24"/>
          <w:szCs w:val="24"/>
          <w:lang w:val="en-US" w:eastAsia="en-US"/>
        </w:rPr>
        <w:t xml:space="preserve">Jafarpour, J. and Siahbidi, K.S. </w:t>
      </w:r>
      <w:r w:rsidR="00635191">
        <w:rPr>
          <w:rFonts w:eastAsia="Calibri"/>
          <w:sz w:val="24"/>
          <w:szCs w:val="24"/>
          <w:lang w:val="en-US" w:eastAsia="en-US"/>
        </w:rPr>
        <w:t>(</w:t>
      </w:r>
      <w:r w:rsidRPr="00044D44">
        <w:rPr>
          <w:rFonts w:eastAsia="Calibri"/>
          <w:sz w:val="24"/>
          <w:szCs w:val="24"/>
          <w:lang w:val="en-US" w:eastAsia="en-US"/>
        </w:rPr>
        <w:t>2021</w:t>
      </w:r>
      <w:r w:rsidR="00635191">
        <w:rPr>
          <w:rFonts w:eastAsia="Calibri"/>
          <w:sz w:val="24"/>
          <w:szCs w:val="24"/>
          <w:lang w:val="en-US" w:eastAsia="en-US"/>
        </w:rPr>
        <w:t>)</w:t>
      </w:r>
      <w:r w:rsidRPr="00044D44">
        <w:rPr>
          <w:rFonts w:eastAsia="Calibri"/>
          <w:sz w:val="24"/>
          <w:szCs w:val="24"/>
          <w:lang w:val="en-US" w:eastAsia="en-US"/>
        </w:rPr>
        <w:t xml:space="preserve"> </w:t>
      </w:r>
      <w:r w:rsidR="00635191">
        <w:rPr>
          <w:rFonts w:eastAsia="Calibri"/>
          <w:sz w:val="24"/>
          <w:szCs w:val="24"/>
          <w:lang w:val="en-US" w:eastAsia="en-US"/>
        </w:rPr>
        <w:t>‘</w:t>
      </w:r>
      <w:r w:rsidRPr="00044D44">
        <w:rPr>
          <w:rFonts w:eastAsia="Calibri"/>
          <w:sz w:val="24"/>
          <w:szCs w:val="24"/>
          <w:lang w:val="en-US" w:eastAsia="en-US"/>
        </w:rPr>
        <w:t>A Reflection on the Relation Between Mortgage Contract and the Agreement of Pledge of Security</w:t>
      </w:r>
      <w:r w:rsidR="00635191">
        <w:rPr>
          <w:rFonts w:eastAsia="Calibri"/>
          <w:sz w:val="24"/>
          <w:szCs w:val="24"/>
          <w:lang w:val="en-US" w:eastAsia="en-US"/>
        </w:rPr>
        <w:t>’</w:t>
      </w:r>
      <w:r w:rsidRPr="00044D44">
        <w:rPr>
          <w:rFonts w:eastAsia="Calibri"/>
          <w:sz w:val="24"/>
          <w:szCs w:val="24"/>
          <w:lang w:val="en-US" w:eastAsia="en-US"/>
        </w:rPr>
        <w:t xml:space="preserve"> </w:t>
      </w:r>
      <w:r w:rsidRPr="00635191">
        <w:rPr>
          <w:rFonts w:eastAsia="Calibri"/>
          <w:i/>
          <w:iCs/>
          <w:sz w:val="24"/>
          <w:szCs w:val="24"/>
          <w:lang w:val="en-US" w:eastAsia="en-US"/>
        </w:rPr>
        <w:t xml:space="preserve">A Critical Study about the Evolution of the Pledged Assets from </w:t>
      </w:r>
      <w:r w:rsidRPr="00635191">
        <w:rPr>
          <w:rFonts w:eastAsia="Calibri"/>
          <w:i/>
          <w:iCs/>
          <w:sz w:val="24"/>
          <w:szCs w:val="24"/>
          <w:lang w:val="en-US" w:eastAsia="en-US"/>
        </w:rPr>
        <w:lastRenderedPageBreak/>
        <w:t>the Traditional Pawn to the Pledge in Modern Law.</w:t>
      </w:r>
      <w:r w:rsidR="00635191">
        <w:rPr>
          <w:rFonts w:eastAsia="Calibri"/>
          <w:i/>
          <w:iCs/>
          <w:sz w:val="24"/>
          <w:szCs w:val="24"/>
          <w:lang w:val="en-US" w:eastAsia="en-US"/>
        </w:rPr>
        <w:t xml:space="preserve"> </w:t>
      </w:r>
      <w:r w:rsidR="00635191">
        <w:rPr>
          <w:rFonts w:eastAsia="Calibri"/>
          <w:sz w:val="24"/>
          <w:szCs w:val="24"/>
          <w:lang w:val="en-US" w:eastAsia="en-US"/>
        </w:rPr>
        <w:t xml:space="preserve">Available at: </w:t>
      </w:r>
      <w:hyperlink r:id="rId16" w:history="1">
        <w:r w:rsidR="00635191" w:rsidRPr="00942B3B">
          <w:rPr>
            <w:rStyle w:val="Hyperlink"/>
            <w:rFonts w:eastAsia="Calibri"/>
            <w:sz w:val="24"/>
            <w:szCs w:val="24"/>
            <w:lang w:val="en-US" w:eastAsia="en-US"/>
          </w:rPr>
          <w:t>https://www.sid.ir/paper/403683/en</w:t>
        </w:r>
      </w:hyperlink>
      <w:r w:rsidR="00635191">
        <w:rPr>
          <w:rFonts w:eastAsia="Calibri"/>
          <w:color w:val="0563C1"/>
          <w:sz w:val="24"/>
          <w:szCs w:val="24"/>
          <w:u w:val="single"/>
          <w:lang w:val="en-US" w:eastAsia="en-US"/>
        </w:rPr>
        <w:t xml:space="preserve"> </w:t>
      </w:r>
      <w:r w:rsidR="00635191">
        <w:rPr>
          <w:rFonts w:eastAsia="Calibri"/>
          <w:sz w:val="24"/>
          <w:szCs w:val="24"/>
          <w:lang w:val="en-US" w:eastAsia="en-US"/>
        </w:rPr>
        <w:t>(Accessed:1</w:t>
      </w:r>
      <w:r w:rsidR="00635191">
        <w:rPr>
          <w:rFonts w:eastAsia="Calibri"/>
          <w:sz w:val="24"/>
          <w:szCs w:val="24"/>
          <w:lang w:val="en-US" w:eastAsia="en-US"/>
        </w:rPr>
        <w:t>4</w:t>
      </w:r>
      <w:r w:rsidR="00635191">
        <w:rPr>
          <w:rFonts w:eastAsia="Calibri"/>
          <w:sz w:val="24"/>
          <w:szCs w:val="24"/>
          <w:lang w:val="en-US" w:eastAsia="en-US"/>
        </w:rPr>
        <w:t>.02.2024)</w:t>
      </w:r>
    </w:p>
    <w:p w14:paraId="3A477B61" w14:textId="25B360DA" w:rsidR="00E355E4" w:rsidRPr="00044D44" w:rsidRDefault="00E355E4" w:rsidP="00044D44">
      <w:pPr>
        <w:pStyle w:val="ListParagraph"/>
        <w:numPr>
          <w:ilvl w:val="0"/>
          <w:numId w:val="18"/>
        </w:numPr>
        <w:spacing w:before="100" w:beforeAutospacing="1" w:after="100" w:afterAutospacing="1" w:line="480" w:lineRule="auto"/>
        <w:jc w:val="both"/>
        <w:rPr>
          <w:rFonts w:eastAsia="Calibri"/>
          <w:sz w:val="24"/>
          <w:szCs w:val="24"/>
          <w:lang w:val="en-US" w:eastAsia="en-US"/>
        </w:rPr>
      </w:pPr>
      <w:r w:rsidRPr="00044D44">
        <w:rPr>
          <w:rFonts w:eastAsia="Calibri"/>
          <w:sz w:val="24"/>
          <w:szCs w:val="24"/>
          <w:lang w:val="en-US" w:eastAsia="en-US"/>
        </w:rPr>
        <w:t>Knapp, C.L., Crystal, N.M., Prince, H.G., Hart, D.K. and Silverstein, J.M.</w:t>
      </w:r>
      <w:r w:rsidR="00635191">
        <w:rPr>
          <w:rFonts w:eastAsia="Calibri"/>
          <w:sz w:val="24"/>
          <w:szCs w:val="24"/>
          <w:lang w:val="en-US" w:eastAsia="en-US"/>
        </w:rPr>
        <w:t xml:space="preserve"> (</w:t>
      </w:r>
      <w:r w:rsidRPr="00044D44">
        <w:rPr>
          <w:rFonts w:eastAsia="Calibri"/>
          <w:sz w:val="24"/>
          <w:szCs w:val="24"/>
          <w:lang w:val="en-US" w:eastAsia="en-US"/>
        </w:rPr>
        <w:t>2023</w:t>
      </w:r>
      <w:r w:rsidR="00635191">
        <w:rPr>
          <w:rFonts w:eastAsia="Calibri"/>
          <w:sz w:val="24"/>
          <w:szCs w:val="24"/>
          <w:lang w:val="en-US" w:eastAsia="en-US"/>
        </w:rPr>
        <w:t>)</w:t>
      </w:r>
      <w:r w:rsidRPr="00044D44">
        <w:rPr>
          <w:rFonts w:eastAsia="Calibri"/>
          <w:sz w:val="24"/>
          <w:szCs w:val="24"/>
          <w:lang w:val="en-US" w:eastAsia="en-US"/>
        </w:rPr>
        <w:t> </w:t>
      </w:r>
      <w:r w:rsidR="00635191" w:rsidRPr="00635191">
        <w:rPr>
          <w:rFonts w:eastAsia="Calibri"/>
          <w:sz w:val="24"/>
          <w:szCs w:val="24"/>
          <w:lang w:val="en-US" w:eastAsia="en-US"/>
        </w:rPr>
        <w:t>‘</w:t>
      </w:r>
      <w:r w:rsidRPr="00635191">
        <w:rPr>
          <w:rFonts w:eastAsia="Calibri"/>
          <w:sz w:val="24"/>
          <w:szCs w:val="24"/>
          <w:lang w:val="en-US" w:eastAsia="en-US"/>
        </w:rPr>
        <w:t xml:space="preserve">Problems in Contract Law: cases and materials. Aspen Publishing. </w:t>
      </w:r>
      <w:r w:rsidR="00635191" w:rsidRPr="00635191">
        <w:rPr>
          <w:rFonts w:eastAsia="Calibri"/>
          <w:sz w:val="24"/>
          <w:szCs w:val="24"/>
          <w:lang w:val="en-US" w:eastAsia="en-US"/>
        </w:rPr>
        <w:t>‘</w:t>
      </w:r>
      <w:r w:rsidR="00635191">
        <w:rPr>
          <w:rFonts w:eastAsia="Calibri"/>
          <w:sz w:val="24"/>
          <w:szCs w:val="24"/>
          <w:lang w:val="en-US" w:eastAsia="en-US"/>
        </w:rPr>
        <w:t xml:space="preserve"> Available at: </w:t>
      </w:r>
      <w:hyperlink r:id="rId17" w:history="1">
        <w:r w:rsidR="00635191" w:rsidRPr="00942B3B">
          <w:rPr>
            <w:rStyle w:val="Hyperlink"/>
            <w:rFonts w:eastAsia="Calibri"/>
            <w:sz w:val="24"/>
            <w:szCs w:val="24"/>
            <w:lang w:val="en-US" w:eastAsia="en-US"/>
          </w:rPr>
          <w:t>https://books.google.com/books?hl=en&amp;lr=&amp;id=QT2qEAAAQBAJ&amp;oi=fnd&amp;pg=PT62&amp;dq=The+Role+of+Consideration+in+Contract+Law&amp;ots=Ye7UfMIvow&amp;sig=B1Ka3e_l9ol2_7uNIC4ztHJXsUg</w:t>
        </w:r>
      </w:hyperlink>
      <w:r w:rsidR="00635191">
        <w:rPr>
          <w:rFonts w:eastAsia="Calibri"/>
          <w:color w:val="0563C1"/>
          <w:sz w:val="24"/>
          <w:szCs w:val="24"/>
          <w:u w:val="single"/>
          <w:lang w:val="en-US" w:eastAsia="en-US"/>
        </w:rPr>
        <w:t xml:space="preserve"> </w:t>
      </w:r>
      <w:r w:rsidR="00635191">
        <w:rPr>
          <w:rFonts w:eastAsia="Calibri"/>
          <w:sz w:val="24"/>
          <w:szCs w:val="24"/>
          <w:lang w:val="en-US" w:eastAsia="en-US"/>
        </w:rPr>
        <w:t>(Accessed:12.02.2024)</w:t>
      </w:r>
    </w:p>
    <w:p w14:paraId="63550B55" w14:textId="1B497AFB" w:rsidR="00E355E4" w:rsidRPr="00044D44" w:rsidRDefault="00E355E4" w:rsidP="00044D44">
      <w:pPr>
        <w:pStyle w:val="ListParagraph"/>
        <w:numPr>
          <w:ilvl w:val="0"/>
          <w:numId w:val="18"/>
        </w:numPr>
        <w:spacing w:before="100" w:beforeAutospacing="1" w:after="100" w:afterAutospacing="1" w:line="480" w:lineRule="auto"/>
        <w:jc w:val="both"/>
        <w:rPr>
          <w:rFonts w:eastAsia="Calibri"/>
          <w:sz w:val="24"/>
          <w:szCs w:val="24"/>
          <w:lang w:val="en-US" w:eastAsia="en-US"/>
        </w:rPr>
      </w:pPr>
      <w:r w:rsidRPr="00044D44">
        <w:rPr>
          <w:rFonts w:eastAsia="Calibri"/>
          <w:sz w:val="24"/>
          <w:szCs w:val="24"/>
          <w:lang w:val="en-US" w:eastAsia="en-US"/>
        </w:rPr>
        <w:t xml:space="preserve">Kreitner, R., </w:t>
      </w:r>
      <w:r w:rsidR="00635191">
        <w:rPr>
          <w:rFonts w:eastAsia="Calibri"/>
          <w:sz w:val="24"/>
          <w:szCs w:val="24"/>
          <w:lang w:val="en-US" w:eastAsia="en-US"/>
        </w:rPr>
        <w:t>(</w:t>
      </w:r>
      <w:r w:rsidRPr="00044D44">
        <w:rPr>
          <w:rFonts w:eastAsia="Calibri"/>
          <w:sz w:val="24"/>
          <w:szCs w:val="24"/>
          <w:lang w:val="en-US" w:eastAsia="en-US"/>
        </w:rPr>
        <w:t>2021</w:t>
      </w:r>
      <w:r w:rsidR="00635191">
        <w:rPr>
          <w:rFonts w:eastAsia="Calibri"/>
          <w:sz w:val="24"/>
          <w:szCs w:val="24"/>
          <w:lang w:val="en-US" w:eastAsia="en-US"/>
        </w:rPr>
        <w:t>)</w:t>
      </w:r>
      <w:r w:rsidRPr="00044D44">
        <w:rPr>
          <w:rFonts w:eastAsia="Calibri"/>
          <w:sz w:val="24"/>
          <w:szCs w:val="24"/>
          <w:lang w:val="en-US" w:eastAsia="en-US"/>
        </w:rPr>
        <w:t xml:space="preserve"> </w:t>
      </w:r>
      <w:r w:rsidR="00635191">
        <w:rPr>
          <w:rFonts w:eastAsia="Calibri"/>
          <w:sz w:val="24"/>
          <w:szCs w:val="24"/>
          <w:lang w:val="en-US" w:eastAsia="en-US"/>
        </w:rPr>
        <w:t>‘</w:t>
      </w:r>
      <w:r w:rsidRPr="00044D44">
        <w:rPr>
          <w:rFonts w:eastAsia="Calibri"/>
          <w:sz w:val="24"/>
          <w:szCs w:val="24"/>
          <w:lang w:val="en-US" w:eastAsia="en-US"/>
        </w:rPr>
        <w:t>Speculations of contract, or how contract law stopped worrying and learned to love risk.</w:t>
      </w:r>
      <w:r w:rsidR="00635191">
        <w:rPr>
          <w:rFonts w:eastAsia="Calibri"/>
          <w:sz w:val="24"/>
          <w:szCs w:val="24"/>
          <w:lang w:val="en-US" w:eastAsia="en-US"/>
        </w:rPr>
        <w:t>’</w:t>
      </w:r>
      <w:r w:rsidRPr="00044D44">
        <w:rPr>
          <w:rFonts w:eastAsia="Calibri"/>
          <w:sz w:val="24"/>
          <w:szCs w:val="24"/>
          <w:lang w:val="en-US" w:eastAsia="en-US"/>
        </w:rPr>
        <w:t xml:space="preserve"> </w:t>
      </w:r>
      <w:r w:rsidRPr="00635191">
        <w:rPr>
          <w:rFonts w:eastAsia="Calibri"/>
          <w:i/>
          <w:iCs/>
          <w:sz w:val="24"/>
          <w:szCs w:val="24"/>
          <w:lang w:val="en-US" w:eastAsia="en-US"/>
        </w:rPr>
        <w:t>In Governing Risks</w:t>
      </w:r>
      <w:r w:rsidRPr="00044D44">
        <w:rPr>
          <w:rFonts w:eastAsia="Calibri"/>
          <w:sz w:val="24"/>
          <w:szCs w:val="24"/>
          <w:lang w:val="en-US" w:eastAsia="en-US"/>
        </w:rPr>
        <w:t xml:space="preserve"> (pp. 439-481). </w:t>
      </w:r>
      <w:r w:rsidR="00635191">
        <w:rPr>
          <w:rFonts w:eastAsia="Calibri"/>
          <w:sz w:val="24"/>
          <w:szCs w:val="24"/>
          <w:lang w:val="en-US" w:eastAsia="en-US"/>
        </w:rPr>
        <w:t xml:space="preserve">Available at:  </w:t>
      </w:r>
      <w:hyperlink r:id="rId18" w:history="1">
        <w:r w:rsidR="00635191" w:rsidRPr="00942B3B">
          <w:rPr>
            <w:rStyle w:val="Hyperlink"/>
            <w:rFonts w:eastAsia="Calibri"/>
            <w:sz w:val="24"/>
            <w:szCs w:val="24"/>
            <w:lang w:val="en-US" w:eastAsia="en-US"/>
          </w:rPr>
          <w:t>https://www.taylorfrancis.com/chapters/edit/10.4324/9781315253893-20/speculations-contract-contract-law-stopped-worrying-learned-love-risk-roy-kreitner</w:t>
        </w:r>
      </w:hyperlink>
      <w:r w:rsidR="00635191">
        <w:rPr>
          <w:rFonts w:eastAsia="Calibri"/>
          <w:color w:val="0563C1"/>
          <w:sz w:val="24"/>
          <w:szCs w:val="24"/>
          <w:u w:val="single"/>
          <w:lang w:val="en-US" w:eastAsia="en-US"/>
        </w:rPr>
        <w:t xml:space="preserve"> </w:t>
      </w:r>
      <w:r w:rsidR="00635191">
        <w:rPr>
          <w:rFonts w:eastAsia="Calibri"/>
          <w:sz w:val="24"/>
          <w:szCs w:val="24"/>
          <w:lang w:val="en-US" w:eastAsia="en-US"/>
        </w:rPr>
        <w:t>(Accessed:12.02.2024)</w:t>
      </w:r>
    </w:p>
    <w:p w14:paraId="50A0A693" w14:textId="57A7A81D" w:rsidR="00E355E4" w:rsidRPr="00044D44" w:rsidRDefault="00E355E4" w:rsidP="00044D44">
      <w:pPr>
        <w:pStyle w:val="ListParagraph"/>
        <w:numPr>
          <w:ilvl w:val="0"/>
          <w:numId w:val="18"/>
        </w:numPr>
        <w:spacing w:before="100" w:beforeAutospacing="1" w:after="100" w:afterAutospacing="1" w:line="480" w:lineRule="auto"/>
        <w:jc w:val="both"/>
        <w:rPr>
          <w:rFonts w:eastAsia="Calibri"/>
          <w:sz w:val="24"/>
          <w:szCs w:val="24"/>
          <w:lang w:val="en-US" w:eastAsia="en-US"/>
        </w:rPr>
      </w:pPr>
      <w:r w:rsidRPr="00044D44">
        <w:rPr>
          <w:rFonts w:eastAsia="Calibri"/>
          <w:sz w:val="24"/>
          <w:szCs w:val="24"/>
          <w:lang w:val="en-US" w:eastAsia="en-US"/>
        </w:rPr>
        <w:t>Marica, M.E.</w:t>
      </w:r>
      <w:r w:rsidR="00635191">
        <w:rPr>
          <w:rFonts w:eastAsia="Calibri"/>
          <w:sz w:val="24"/>
          <w:szCs w:val="24"/>
          <w:lang w:val="en-US" w:eastAsia="en-US"/>
        </w:rPr>
        <w:t xml:space="preserve"> (</w:t>
      </w:r>
      <w:r w:rsidRPr="00044D44">
        <w:rPr>
          <w:rFonts w:eastAsia="Calibri"/>
          <w:sz w:val="24"/>
          <w:szCs w:val="24"/>
          <w:lang w:val="en-US" w:eastAsia="en-US"/>
        </w:rPr>
        <w:t>2023</w:t>
      </w:r>
      <w:r w:rsidR="00635191">
        <w:rPr>
          <w:rFonts w:eastAsia="Calibri"/>
          <w:sz w:val="24"/>
          <w:szCs w:val="24"/>
          <w:lang w:val="en-US" w:eastAsia="en-US"/>
        </w:rPr>
        <w:t>)</w:t>
      </w:r>
      <w:r w:rsidRPr="00044D44">
        <w:rPr>
          <w:rFonts w:eastAsia="Calibri"/>
          <w:sz w:val="24"/>
          <w:szCs w:val="24"/>
          <w:lang w:val="en-US" w:eastAsia="en-US"/>
        </w:rPr>
        <w:t xml:space="preserve"> </w:t>
      </w:r>
      <w:r w:rsidR="00635191">
        <w:rPr>
          <w:rFonts w:eastAsia="Calibri"/>
          <w:sz w:val="24"/>
          <w:szCs w:val="24"/>
          <w:lang w:val="en-US" w:eastAsia="en-US"/>
        </w:rPr>
        <w:t>‘</w:t>
      </w:r>
      <w:r w:rsidRPr="00044D44">
        <w:rPr>
          <w:rFonts w:eastAsia="Calibri"/>
          <w:sz w:val="24"/>
          <w:szCs w:val="24"/>
          <w:lang w:val="en-US" w:eastAsia="en-US"/>
        </w:rPr>
        <w:t>Considerations on disciplinary sanctions applicable to employees. Elements of comparative Law.</w:t>
      </w:r>
      <w:r w:rsidR="00635191">
        <w:rPr>
          <w:rFonts w:eastAsia="Calibri"/>
          <w:sz w:val="24"/>
          <w:szCs w:val="24"/>
          <w:lang w:val="en-US" w:eastAsia="en-US"/>
        </w:rPr>
        <w:t>’</w:t>
      </w:r>
      <w:r w:rsidRPr="00044D44">
        <w:rPr>
          <w:rFonts w:eastAsia="Calibri"/>
          <w:sz w:val="24"/>
          <w:szCs w:val="24"/>
          <w:lang w:val="en-US" w:eastAsia="en-US"/>
        </w:rPr>
        <w:t> </w:t>
      </w:r>
      <w:r w:rsidRPr="00044D44">
        <w:rPr>
          <w:rFonts w:eastAsia="Calibri"/>
          <w:i/>
          <w:iCs/>
          <w:sz w:val="24"/>
          <w:szCs w:val="24"/>
          <w:lang w:val="en-US" w:eastAsia="en-US"/>
        </w:rPr>
        <w:t>Perspectives of Law and Public Administration</w:t>
      </w:r>
      <w:r w:rsidRPr="00044D44">
        <w:rPr>
          <w:rFonts w:eastAsia="Calibri"/>
          <w:sz w:val="24"/>
          <w:szCs w:val="24"/>
          <w:lang w:val="en-US" w:eastAsia="en-US"/>
        </w:rPr>
        <w:t>, </w:t>
      </w:r>
      <w:r w:rsidRPr="00044D44">
        <w:rPr>
          <w:rFonts w:eastAsia="Calibri"/>
          <w:i/>
          <w:iCs/>
          <w:sz w:val="24"/>
          <w:szCs w:val="24"/>
          <w:lang w:val="en-US" w:eastAsia="en-US"/>
        </w:rPr>
        <w:t>12</w:t>
      </w:r>
      <w:r w:rsidRPr="00044D44">
        <w:rPr>
          <w:rFonts w:eastAsia="Calibri"/>
          <w:sz w:val="24"/>
          <w:szCs w:val="24"/>
          <w:lang w:val="en-US" w:eastAsia="en-US"/>
        </w:rPr>
        <w:t xml:space="preserve">(2), pp.185-193. </w:t>
      </w:r>
      <w:r w:rsidR="00635191">
        <w:rPr>
          <w:rFonts w:eastAsia="Calibri"/>
          <w:sz w:val="24"/>
          <w:szCs w:val="24"/>
          <w:lang w:val="en-US" w:eastAsia="en-US"/>
        </w:rPr>
        <w:t xml:space="preserve">Available at: </w:t>
      </w:r>
      <w:hyperlink r:id="rId19" w:history="1">
        <w:r w:rsidR="00635191" w:rsidRPr="00942B3B">
          <w:rPr>
            <w:rStyle w:val="Hyperlink"/>
            <w:rFonts w:eastAsia="Calibri"/>
            <w:sz w:val="24"/>
            <w:szCs w:val="24"/>
            <w:lang w:val="en-US" w:eastAsia="en-US"/>
          </w:rPr>
          <w:t>https://www.ceeol.com/search/article-detail?id=1221758</w:t>
        </w:r>
      </w:hyperlink>
      <w:r w:rsidR="00635191">
        <w:rPr>
          <w:rFonts w:eastAsia="Calibri"/>
          <w:color w:val="0563C1"/>
          <w:sz w:val="24"/>
          <w:szCs w:val="24"/>
          <w:u w:val="single"/>
          <w:lang w:val="en-US" w:eastAsia="en-US"/>
        </w:rPr>
        <w:t xml:space="preserve"> </w:t>
      </w:r>
      <w:r w:rsidR="00635191">
        <w:rPr>
          <w:rFonts w:eastAsia="Calibri"/>
          <w:sz w:val="24"/>
          <w:szCs w:val="24"/>
          <w:lang w:val="en-US" w:eastAsia="en-US"/>
        </w:rPr>
        <w:t>(Accessed:12.02.2024)</w:t>
      </w:r>
    </w:p>
    <w:p w14:paraId="3E23486B" w14:textId="052B5B9A" w:rsidR="00E355E4" w:rsidRPr="00044D44" w:rsidRDefault="00E355E4" w:rsidP="00044D44">
      <w:pPr>
        <w:pStyle w:val="ListParagraph"/>
        <w:numPr>
          <w:ilvl w:val="0"/>
          <w:numId w:val="18"/>
        </w:numPr>
        <w:spacing w:before="100" w:beforeAutospacing="1" w:after="100" w:afterAutospacing="1" w:line="480" w:lineRule="auto"/>
        <w:jc w:val="both"/>
        <w:rPr>
          <w:rFonts w:eastAsia="Calibri"/>
          <w:sz w:val="24"/>
          <w:szCs w:val="24"/>
          <w:lang w:val="en-US" w:eastAsia="en-US"/>
        </w:rPr>
      </w:pPr>
      <w:r w:rsidRPr="00044D44">
        <w:rPr>
          <w:rFonts w:eastAsia="Calibri"/>
          <w:sz w:val="24"/>
          <w:szCs w:val="24"/>
          <w:lang w:val="en-US" w:eastAsia="en-US"/>
        </w:rPr>
        <w:t xml:space="preserve">McNamara, A.J. and Sepasgozar, S.M. </w:t>
      </w:r>
      <w:r w:rsidR="00635191">
        <w:rPr>
          <w:rFonts w:eastAsia="Calibri"/>
          <w:sz w:val="24"/>
          <w:szCs w:val="24"/>
          <w:lang w:val="en-US" w:eastAsia="en-US"/>
        </w:rPr>
        <w:t>(</w:t>
      </w:r>
      <w:r w:rsidRPr="00044D44">
        <w:rPr>
          <w:rFonts w:eastAsia="Calibri"/>
          <w:sz w:val="24"/>
          <w:szCs w:val="24"/>
          <w:lang w:val="en-US" w:eastAsia="en-US"/>
        </w:rPr>
        <w:t>2021</w:t>
      </w:r>
      <w:r w:rsidR="00635191">
        <w:rPr>
          <w:rFonts w:eastAsia="Calibri"/>
          <w:sz w:val="24"/>
          <w:szCs w:val="24"/>
          <w:lang w:val="en-US" w:eastAsia="en-US"/>
        </w:rPr>
        <w:t>)</w:t>
      </w:r>
      <w:r w:rsidRPr="00044D44">
        <w:rPr>
          <w:rFonts w:eastAsia="Calibri"/>
          <w:sz w:val="24"/>
          <w:szCs w:val="24"/>
          <w:lang w:val="en-US" w:eastAsia="en-US"/>
        </w:rPr>
        <w:t xml:space="preserve"> </w:t>
      </w:r>
      <w:r w:rsidR="00635191">
        <w:rPr>
          <w:rFonts w:eastAsia="Calibri"/>
          <w:sz w:val="24"/>
          <w:szCs w:val="24"/>
          <w:lang w:val="en-US" w:eastAsia="en-US"/>
        </w:rPr>
        <w:t>‘</w:t>
      </w:r>
      <w:r w:rsidRPr="00044D44">
        <w:rPr>
          <w:rFonts w:eastAsia="Calibri"/>
          <w:sz w:val="24"/>
          <w:szCs w:val="24"/>
          <w:lang w:val="en-US" w:eastAsia="en-US"/>
        </w:rPr>
        <w:t>Intelligent contract adoption in the construction industry: Concept development.</w:t>
      </w:r>
      <w:r w:rsidR="00635191">
        <w:rPr>
          <w:rFonts w:eastAsia="Calibri"/>
          <w:sz w:val="24"/>
          <w:szCs w:val="24"/>
          <w:lang w:val="en-US" w:eastAsia="en-US"/>
        </w:rPr>
        <w:t xml:space="preserve">’ </w:t>
      </w:r>
      <w:r w:rsidRPr="00044D44">
        <w:rPr>
          <w:rFonts w:eastAsia="Calibri"/>
          <w:i/>
          <w:iCs/>
          <w:sz w:val="24"/>
          <w:szCs w:val="24"/>
          <w:lang w:val="en-US" w:eastAsia="en-US"/>
        </w:rPr>
        <w:t>Automation in construction</w:t>
      </w:r>
      <w:r w:rsidRPr="00044D44">
        <w:rPr>
          <w:rFonts w:eastAsia="Calibri"/>
          <w:sz w:val="24"/>
          <w:szCs w:val="24"/>
          <w:lang w:val="en-US" w:eastAsia="en-US"/>
        </w:rPr>
        <w:t>, </w:t>
      </w:r>
      <w:r w:rsidRPr="00044D44">
        <w:rPr>
          <w:rFonts w:eastAsia="Calibri"/>
          <w:i/>
          <w:iCs/>
          <w:sz w:val="24"/>
          <w:szCs w:val="24"/>
          <w:lang w:val="en-US" w:eastAsia="en-US"/>
        </w:rPr>
        <w:t>122</w:t>
      </w:r>
      <w:r w:rsidRPr="00044D44">
        <w:rPr>
          <w:rFonts w:eastAsia="Calibri"/>
          <w:sz w:val="24"/>
          <w:szCs w:val="24"/>
          <w:lang w:val="en-US" w:eastAsia="en-US"/>
        </w:rPr>
        <w:t xml:space="preserve">, p.103452. </w:t>
      </w:r>
      <w:r w:rsidR="00635191">
        <w:rPr>
          <w:rFonts w:eastAsia="Calibri"/>
          <w:sz w:val="24"/>
          <w:szCs w:val="24"/>
          <w:lang w:val="en-US" w:eastAsia="en-US"/>
        </w:rPr>
        <w:t xml:space="preserve">Available at: </w:t>
      </w:r>
      <w:hyperlink r:id="rId20" w:history="1">
        <w:r w:rsidR="00635191" w:rsidRPr="00942B3B">
          <w:rPr>
            <w:rStyle w:val="Hyperlink"/>
            <w:rFonts w:eastAsia="Calibri"/>
            <w:sz w:val="24"/>
            <w:szCs w:val="24"/>
            <w:lang w:val="en-US" w:eastAsia="en-US"/>
          </w:rPr>
          <w:t>https://www.sciencedirect.com/science/article/pii/S0926580520310323</w:t>
        </w:r>
      </w:hyperlink>
      <w:r w:rsidR="00635191">
        <w:rPr>
          <w:rFonts w:eastAsia="Calibri"/>
          <w:color w:val="0563C1"/>
          <w:sz w:val="24"/>
          <w:szCs w:val="24"/>
          <w:u w:val="single"/>
          <w:lang w:val="en-US" w:eastAsia="en-US"/>
        </w:rPr>
        <w:t xml:space="preserve"> </w:t>
      </w:r>
      <w:r w:rsidR="00635191">
        <w:rPr>
          <w:rFonts w:eastAsia="Calibri"/>
          <w:sz w:val="24"/>
          <w:szCs w:val="24"/>
          <w:lang w:val="en-US" w:eastAsia="en-US"/>
        </w:rPr>
        <w:t>(Accessed:12.02.2024)</w:t>
      </w:r>
    </w:p>
    <w:p w14:paraId="6A9E03BD" w14:textId="39CF9959" w:rsidR="00E355E4" w:rsidRPr="00044D44" w:rsidRDefault="00E355E4" w:rsidP="00044D44">
      <w:pPr>
        <w:pStyle w:val="ListParagraph"/>
        <w:numPr>
          <w:ilvl w:val="0"/>
          <w:numId w:val="18"/>
        </w:numPr>
        <w:spacing w:before="100" w:beforeAutospacing="1" w:after="100" w:afterAutospacing="1" w:line="480" w:lineRule="auto"/>
        <w:jc w:val="both"/>
        <w:rPr>
          <w:rFonts w:eastAsia="Calibri"/>
          <w:sz w:val="24"/>
          <w:szCs w:val="24"/>
          <w:lang w:val="en-US" w:eastAsia="en-US"/>
        </w:rPr>
      </w:pPr>
      <w:r w:rsidRPr="00044D44">
        <w:rPr>
          <w:rFonts w:eastAsia="Calibri"/>
          <w:sz w:val="24"/>
          <w:szCs w:val="24"/>
          <w:lang w:val="en-US" w:eastAsia="en-US"/>
        </w:rPr>
        <w:t>Mitchell, C.</w:t>
      </w:r>
      <w:r w:rsidR="00635191">
        <w:rPr>
          <w:rFonts w:eastAsia="Calibri"/>
          <w:sz w:val="24"/>
          <w:szCs w:val="24"/>
          <w:lang w:val="en-US" w:eastAsia="en-US"/>
        </w:rPr>
        <w:t xml:space="preserve"> (</w:t>
      </w:r>
      <w:r w:rsidRPr="00044D44">
        <w:rPr>
          <w:rFonts w:eastAsia="Calibri"/>
          <w:sz w:val="24"/>
          <w:szCs w:val="24"/>
          <w:lang w:val="en-US" w:eastAsia="en-US"/>
        </w:rPr>
        <w:t>2022</w:t>
      </w:r>
      <w:r w:rsidR="00635191">
        <w:rPr>
          <w:rFonts w:eastAsia="Calibri"/>
          <w:sz w:val="24"/>
          <w:szCs w:val="24"/>
          <w:lang w:val="en-US" w:eastAsia="en-US"/>
        </w:rPr>
        <w:t>)</w:t>
      </w:r>
      <w:r w:rsidRPr="00044D44">
        <w:rPr>
          <w:rFonts w:eastAsia="Calibri"/>
          <w:sz w:val="24"/>
          <w:szCs w:val="24"/>
          <w:lang w:val="en-US" w:eastAsia="en-US"/>
        </w:rPr>
        <w:t> </w:t>
      </w:r>
      <w:r w:rsidR="00635191">
        <w:rPr>
          <w:rFonts w:eastAsia="Calibri"/>
          <w:sz w:val="24"/>
          <w:szCs w:val="24"/>
          <w:lang w:val="en-US" w:eastAsia="en-US"/>
        </w:rPr>
        <w:t>‘</w:t>
      </w:r>
      <w:r w:rsidRPr="00635191">
        <w:rPr>
          <w:rFonts w:eastAsia="Calibri"/>
          <w:sz w:val="24"/>
          <w:szCs w:val="24"/>
          <w:lang w:val="en-US" w:eastAsia="en-US"/>
        </w:rPr>
        <w:t>Vanishing Contract Law</w:t>
      </w:r>
      <w:r w:rsidR="00635191">
        <w:rPr>
          <w:rFonts w:eastAsia="Calibri"/>
          <w:sz w:val="24"/>
          <w:szCs w:val="24"/>
          <w:lang w:val="en-US" w:eastAsia="en-US"/>
        </w:rPr>
        <w:t>’</w:t>
      </w:r>
      <w:r w:rsidRPr="00635191">
        <w:rPr>
          <w:rFonts w:eastAsia="Calibri"/>
          <w:sz w:val="24"/>
          <w:szCs w:val="24"/>
          <w:lang w:val="en-US" w:eastAsia="en-US"/>
        </w:rPr>
        <w:t xml:space="preserve"> </w:t>
      </w:r>
      <w:r w:rsidRPr="00044D44">
        <w:rPr>
          <w:rFonts w:eastAsia="Calibri"/>
          <w:i/>
          <w:iCs/>
          <w:sz w:val="24"/>
          <w:szCs w:val="24"/>
          <w:lang w:val="en-US" w:eastAsia="en-US"/>
        </w:rPr>
        <w:t>Common Law in the Age of Contracts</w:t>
      </w:r>
      <w:r w:rsidRPr="00044D44">
        <w:rPr>
          <w:rFonts w:eastAsia="Calibri"/>
          <w:sz w:val="24"/>
          <w:szCs w:val="24"/>
          <w:lang w:val="en-US" w:eastAsia="en-US"/>
        </w:rPr>
        <w:t>. Cambridge University Press.</w:t>
      </w:r>
      <w:r w:rsidR="00635191">
        <w:rPr>
          <w:rFonts w:eastAsia="Calibri"/>
          <w:sz w:val="24"/>
          <w:szCs w:val="24"/>
          <w:lang w:val="en-US" w:eastAsia="en-US"/>
        </w:rPr>
        <w:t xml:space="preserve"> Available at:</w:t>
      </w:r>
      <w:r w:rsidRPr="00044D44">
        <w:rPr>
          <w:rFonts w:eastAsia="Calibri"/>
          <w:sz w:val="24"/>
          <w:szCs w:val="24"/>
          <w:lang w:val="en-US" w:eastAsia="en-US"/>
        </w:rPr>
        <w:t xml:space="preserve"> </w:t>
      </w:r>
      <w:hyperlink r:id="rId21" w:history="1">
        <w:r w:rsidRPr="00044D44">
          <w:rPr>
            <w:rFonts w:eastAsia="Calibri"/>
            <w:color w:val="0563C1"/>
            <w:sz w:val="24"/>
            <w:szCs w:val="24"/>
            <w:u w:val="single"/>
            <w:lang w:val="en-US" w:eastAsia="en-US"/>
          </w:rPr>
          <w:t>https://books.google.com/books?hl=en&amp;lr=&amp;id=GbiBEAAAQBAJ&amp;oi=fnd&amp;pg=PA1&amp;dq=modern+law+of+contract&amp;ots=5yR3RsoxlQ&amp;sig=9kA1WA6tTB9E_Oc_UmkM6ek9Fhc</w:t>
        </w:r>
      </w:hyperlink>
      <w:r w:rsidR="00635191">
        <w:rPr>
          <w:rFonts w:eastAsia="Calibri"/>
          <w:color w:val="0563C1"/>
          <w:sz w:val="24"/>
          <w:szCs w:val="24"/>
          <w:u w:val="single"/>
          <w:lang w:val="en-US" w:eastAsia="en-US"/>
        </w:rPr>
        <w:t xml:space="preserve"> </w:t>
      </w:r>
      <w:r w:rsidR="00635191">
        <w:rPr>
          <w:rFonts w:eastAsia="Calibri"/>
          <w:sz w:val="24"/>
          <w:szCs w:val="24"/>
          <w:lang w:val="en-US" w:eastAsia="en-US"/>
        </w:rPr>
        <w:t>(Accessed:12.02.2024)</w:t>
      </w:r>
    </w:p>
    <w:p w14:paraId="4B0265D1" w14:textId="787A89D7" w:rsidR="00E355E4" w:rsidRPr="00044D44" w:rsidRDefault="00E355E4" w:rsidP="00044D44">
      <w:pPr>
        <w:pStyle w:val="ListParagraph"/>
        <w:numPr>
          <w:ilvl w:val="0"/>
          <w:numId w:val="18"/>
        </w:numPr>
        <w:spacing w:before="100" w:beforeAutospacing="1" w:after="100" w:afterAutospacing="1" w:line="480" w:lineRule="auto"/>
        <w:jc w:val="both"/>
        <w:rPr>
          <w:rFonts w:eastAsia="Calibri"/>
          <w:sz w:val="24"/>
          <w:szCs w:val="24"/>
          <w:lang w:val="en-US" w:eastAsia="en-US"/>
        </w:rPr>
      </w:pPr>
      <w:r w:rsidRPr="00044D44">
        <w:rPr>
          <w:rFonts w:eastAsia="Calibri"/>
          <w:sz w:val="24"/>
          <w:szCs w:val="24"/>
          <w:lang w:val="en-US" w:eastAsia="en-US"/>
        </w:rPr>
        <w:t xml:space="preserve">Perácek, T. and Kassaj, M. </w:t>
      </w:r>
      <w:r w:rsidR="00635191">
        <w:rPr>
          <w:rFonts w:eastAsia="Calibri"/>
          <w:sz w:val="24"/>
          <w:szCs w:val="24"/>
          <w:lang w:val="en-US" w:eastAsia="en-US"/>
        </w:rPr>
        <w:t>(</w:t>
      </w:r>
      <w:r w:rsidRPr="00044D44">
        <w:rPr>
          <w:rFonts w:eastAsia="Calibri"/>
          <w:sz w:val="24"/>
          <w:szCs w:val="24"/>
          <w:lang w:val="en-US" w:eastAsia="en-US"/>
        </w:rPr>
        <w:t>2023</w:t>
      </w:r>
      <w:r w:rsidR="00635191">
        <w:rPr>
          <w:rFonts w:eastAsia="Calibri"/>
          <w:sz w:val="24"/>
          <w:szCs w:val="24"/>
          <w:lang w:val="en-US" w:eastAsia="en-US"/>
        </w:rPr>
        <w:t>)</w:t>
      </w:r>
      <w:r w:rsidRPr="00044D44">
        <w:rPr>
          <w:rFonts w:eastAsia="Calibri"/>
          <w:sz w:val="24"/>
          <w:szCs w:val="24"/>
          <w:lang w:val="en-US" w:eastAsia="en-US"/>
        </w:rPr>
        <w:t xml:space="preserve"> </w:t>
      </w:r>
      <w:r w:rsidR="00635191">
        <w:rPr>
          <w:rFonts w:eastAsia="Calibri"/>
          <w:sz w:val="24"/>
          <w:szCs w:val="24"/>
          <w:lang w:val="en-US" w:eastAsia="en-US"/>
        </w:rPr>
        <w:t>‘</w:t>
      </w:r>
      <w:r w:rsidRPr="00044D44">
        <w:rPr>
          <w:rFonts w:eastAsia="Calibri"/>
          <w:sz w:val="24"/>
          <w:szCs w:val="24"/>
          <w:lang w:val="en-US" w:eastAsia="en-US"/>
        </w:rPr>
        <w:t>The influence of jurisprudence on the formation of relations between the manager and the limited liability company.</w:t>
      </w:r>
      <w:r w:rsidR="00635191">
        <w:rPr>
          <w:rFonts w:eastAsia="Calibri"/>
          <w:sz w:val="24"/>
          <w:szCs w:val="24"/>
          <w:lang w:val="en-US" w:eastAsia="en-US"/>
        </w:rPr>
        <w:t>’</w:t>
      </w:r>
      <w:r w:rsidRPr="00044D44">
        <w:rPr>
          <w:rFonts w:eastAsia="Calibri"/>
          <w:sz w:val="24"/>
          <w:szCs w:val="24"/>
          <w:lang w:val="en-US" w:eastAsia="en-US"/>
        </w:rPr>
        <w:t> </w:t>
      </w:r>
      <w:r w:rsidRPr="00044D44">
        <w:rPr>
          <w:rFonts w:eastAsia="Calibri"/>
          <w:i/>
          <w:iCs/>
          <w:sz w:val="24"/>
          <w:szCs w:val="24"/>
          <w:lang w:val="en-US" w:eastAsia="en-US"/>
        </w:rPr>
        <w:t>Juridical Trib.</w:t>
      </w:r>
      <w:r w:rsidRPr="00044D44">
        <w:rPr>
          <w:rFonts w:eastAsia="Calibri"/>
          <w:sz w:val="24"/>
          <w:szCs w:val="24"/>
          <w:lang w:val="en-US" w:eastAsia="en-US"/>
        </w:rPr>
        <w:t>, </w:t>
      </w:r>
      <w:r w:rsidRPr="00044D44">
        <w:rPr>
          <w:rFonts w:eastAsia="Calibri"/>
          <w:i/>
          <w:iCs/>
          <w:sz w:val="24"/>
          <w:szCs w:val="24"/>
          <w:lang w:val="en-US" w:eastAsia="en-US"/>
        </w:rPr>
        <w:t>13</w:t>
      </w:r>
      <w:r w:rsidRPr="00044D44">
        <w:rPr>
          <w:rFonts w:eastAsia="Calibri"/>
          <w:sz w:val="24"/>
          <w:szCs w:val="24"/>
          <w:lang w:val="en-US" w:eastAsia="en-US"/>
        </w:rPr>
        <w:t>, p.43.</w:t>
      </w:r>
      <w:r w:rsidR="00635191">
        <w:rPr>
          <w:rFonts w:eastAsia="Calibri"/>
          <w:sz w:val="24"/>
          <w:szCs w:val="24"/>
          <w:lang w:val="en-US" w:eastAsia="en-US"/>
        </w:rPr>
        <w:t xml:space="preserve"> Available at:</w:t>
      </w:r>
      <w:r w:rsidRPr="00044D44">
        <w:rPr>
          <w:rFonts w:eastAsia="Calibri"/>
          <w:sz w:val="24"/>
          <w:szCs w:val="24"/>
          <w:lang w:val="en-US" w:eastAsia="en-US"/>
        </w:rPr>
        <w:t xml:space="preserve"> </w:t>
      </w:r>
      <w:hyperlink r:id="rId22" w:history="1">
        <w:r w:rsidRPr="00044D44">
          <w:rPr>
            <w:rFonts w:eastAsia="Calibri"/>
            <w:color w:val="0563C1"/>
            <w:sz w:val="24"/>
            <w:szCs w:val="24"/>
            <w:u w:val="single"/>
            <w:lang w:val="en-US" w:eastAsia="en-US"/>
          </w:rPr>
          <w:t>https://heinonline.org/hol-cgi-bin/get_pdf.cgi?handle=hein.journals/juridtrib13&amp;section=8</w:t>
        </w:r>
      </w:hyperlink>
      <w:r w:rsidR="00635191">
        <w:rPr>
          <w:rFonts w:eastAsia="Calibri"/>
          <w:color w:val="0563C1"/>
          <w:sz w:val="24"/>
          <w:szCs w:val="24"/>
          <w:u w:val="single"/>
          <w:lang w:val="en-US" w:eastAsia="en-US"/>
        </w:rPr>
        <w:t xml:space="preserve"> </w:t>
      </w:r>
      <w:r w:rsidR="00635191">
        <w:rPr>
          <w:rFonts w:eastAsia="Calibri"/>
          <w:sz w:val="24"/>
          <w:szCs w:val="24"/>
          <w:lang w:val="en-US" w:eastAsia="en-US"/>
        </w:rPr>
        <w:t>(Accessed:12.02.2024)</w:t>
      </w:r>
    </w:p>
    <w:p w14:paraId="3608DBF1" w14:textId="58A31FED" w:rsidR="00E355E4" w:rsidRPr="00044D44" w:rsidRDefault="00E355E4" w:rsidP="00044D44">
      <w:pPr>
        <w:pStyle w:val="ListParagraph"/>
        <w:numPr>
          <w:ilvl w:val="0"/>
          <w:numId w:val="18"/>
        </w:numPr>
        <w:spacing w:before="100" w:beforeAutospacing="1" w:after="100" w:afterAutospacing="1" w:line="480" w:lineRule="auto"/>
        <w:jc w:val="both"/>
        <w:rPr>
          <w:rFonts w:eastAsia="Calibri"/>
          <w:sz w:val="24"/>
          <w:szCs w:val="24"/>
          <w:lang w:val="en-US" w:eastAsia="en-US"/>
        </w:rPr>
      </w:pPr>
      <w:r w:rsidRPr="00044D44">
        <w:rPr>
          <w:rFonts w:eastAsia="Calibri"/>
          <w:sz w:val="24"/>
          <w:szCs w:val="24"/>
          <w:lang w:val="en-US" w:eastAsia="en-US"/>
        </w:rPr>
        <w:lastRenderedPageBreak/>
        <w:t xml:space="preserve">Sidorenko, E.L. and von Arx, P. </w:t>
      </w:r>
      <w:r w:rsidR="00635191">
        <w:rPr>
          <w:rFonts w:eastAsia="Calibri"/>
          <w:sz w:val="24"/>
          <w:szCs w:val="24"/>
          <w:lang w:val="en-US" w:eastAsia="en-US"/>
        </w:rPr>
        <w:t>(</w:t>
      </w:r>
      <w:r w:rsidRPr="00044D44">
        <w:rPr>
          <w:rFonts w:eastAsia="Calibri"/>
          <w:sz w:val="24"/>
          <w:szCs w:val="24"/>
          <w:lang w:val="en-US" w:eastAsia="en-US"/>
        </w:rPr>
        <w:t>2020</w:t>
      </w:r>
      <w:r w:rsidR="00635191">
        <w:rPr>
          <w:rFonts w:eastAsia="Calibri"/>
          <w:sz w:val="24"/>
          <w:szCs w:val="24"/>
          <w:lang w:val="en-US" w:eastAsia="en-US"/>
        </w:rPr>
        <w:t>)</w:t>
      </w:r>
      <w:r w:rsidRPr="00044D44">
        <w:rPr>
          <w:rFonts w:eastAsia="Calibri"/>
          <w:sz w:val="24"/>
          <w:szCs w:val="24"/>
          <w:lang w:val="en-US" w:eastAsia="en-US"/>
        </w:rPr>
        <w:t xml:space="preserve"> </w:t>
      </w:r>
      <w:r w:rsidR="00635191">
        <w:rPr>
          <w:rFonts w:eastAsia="Calibri"/>
          <w:sz w:val="24"/>
          <w:szCs w:val="24"/>
          <w:lang w:val="en-US" w:eastAsia="en-US"/>
        </w:rPr>
        <w:t>‘</w:t>
      </w:r>
      <w:r w:rsidRPr="00044D44">
        <w:rPr>
          <w:rFonts w:eastAsia="Calibri"/>
          <w:sz w:val="24"/>
          <w:szCs w:val="24"/>
          <w:lang w:val="en-US" w:eastAsia="en-US"/>
        </w:rPr>
        <w:t>Transformation of law in the context of digitalization: Defining the correct priorities.</w:t>
      </w:r>
      <w:r w:rsidR="00635191">
        <w:rPr>
          <w:rFonts w:eastAsia="Calibri"/>
          <w:sz w:val="24"/>
          <w:szCs w:val="24"/>
          <w:lang w:val="en-US" w:eastAsia="en-US"/>
        </w:rPr>
        <w:t xml:space="preserve">’ </w:t>
      </w:r>
      <w:r w:rsidRPr="00044D44">
        <w:rPr>
          <w:rFonts w:eastAsia="Calibri"/>
          <w:sz w:val="24"/>
          <w:szCs w:val="24"/>
          <w:lang w:val="en-US" w:eastAsia="en-US"/>
        </w:rPr>
        <w:t> </w:t>
      </w:r>
      <w:r w:rsidRPr="00044D44">
        <w:rPr>
          <w:rFonts w:eastAsia="Calibri"/>
          <w:i/>
          <w:iCs/>
          <w:sz w:val="24"/>
          <w:szCs w:val="24"/>
          <w:lang w:val="en-US" w:eastAsia="en-US"/>
        </w:rPr>
        <w:t>Digital LJ</w:t>
      </w:r>
      <w:r w:rsidRPr="00044D44">
        <w:rPr>
          <w:rFonts w:eastAsia="Calibri"/>
          <w:sz w:val="24"/>
          <w:szCs w:val="24"/>
          <w:lang w:val="en-US" w:eastAsia="en-US"/>
        </w:rPr>
        <w:t>, </w:t>
      </w:r>
      <w:r w:rsidRPr="00044D44">
        <w:rPr>
          <w:rFonts w:eastAsia="Calibri"/>
          <w:i/>
          <w:iCs/>
          <w:sz w:val="24"/>
          <w:szCs w:val="24"/>
          <w:lang w:val="en-US" w:eastAsia="en-US"/>
        </w:rPr>
        <w:t>1</w:t>
      </w:r>
      <w:r w:rsidRPr="00044D44">
        <w:rPr>
          <w:rFonts w:eastAsia="Calibri"/>
          <w:sz w:val="24"/>
          <w:szCs w:val="24"/>
          <w:lang w:val="en-US" w:eastAsia="en-US"/>
        </w:rPr>
        <w:t>, p.24.</w:t>
      </w:r>
      <w:r w:rsidR="00635191">
        <w:rPr>
          <w:rFonts w:eastAsia="Calibri"/>
          <w:sz w:val="24"/>
          <w:szCs w:val="24"/>
          <w:lang w:val="en-US" w:eastAsia="en-US"/>
        </w:rPr>
        <w:t xml:space="preserve"> Available at: </w:t>
      </w:r>
      <w:hyperlink r:id="rId23" w:history="1">
        <w:r w:rsidR="00635191" w:rsidRPr="00942B3B">
          <w:rPr>
            <w:rStyle w:val="Hyperlink"/>
            <w:rFonts w:eastAsia="Calibri"/>
            <w:sz w:val="24"/>
            <w:szCs w:val="24"/>
            <w:lang w:val="en-US" w:eastAsia="en-US"/>
          </w:rPr>
          <w:t>https://heinonline.org/hol-cgi-bin/get_pdf.cgi?handle=hein.journals/dgtllwj1&amp;section=7</w:t>
        </w:r>
      </w:hyperlink>
      <w:r w:rsidR="00635191">
        <w:rPr>
          <w:rFonts w:eastAsia="Calibri"/>
          <w:color w:val="0563C1"/>
          <w:sz w:val="24"/>
          <w:szCs w:val="24"/>
          <w:u w:val="single"/>
          <w:lang w:val="en-US" w:eastAsia="en-US"/>
        </w:rPr>
        <w:t xml:space="preserve"> </w:t>
      </w:r>
      <w:r w:rsidR="00635191">
        <w:rPr>
          <w:rFonts w:eastAsia="Calibri"/>
          <w:sz w:val="24"/>
          <w:szCs w:val="24"/>
          <w:lang w:val="en-US" w:eastAsia="en-US"/>
        </w:rPr>
        <w:t>(Accessed:12.02.2024)</w:t>
      </w:r>
    </w:p>
    <w:p w14:paraId="0CEA7E4D" w14:textId="2A3FF527" w:rsidR="00E355E4" w:rsidRPr="00044D44" w:rsidRDefault="00E355E4" w:rsidP="00044D44">
      <w:pPr>
        <w:pStyle w:val="ListParagraph"/>
        <w:numPr>
          <w:ilvl w:val="0"/>
          <w:numId w:val="18"/>
        </w:numPr>
        <w:spacing w:before="100" w:beforeAutospacing="1" w:after="100" w:afterAutospacing="1" w:line="480" w:lineRule="auto"/>
        <w:jc w:val="both"/>
        <w:rPr>
          <w:rFonts w:eastAsia="Calibri"/>
          <w:sz w:val="24"/>
          <w:szCs w:val="24"/>
          <w:lang w:val="en-US" w:eastAsia="en-US"/>
        </w:rPr>
      </w:pPr>
      <w:r w:rsidRPr="00044D44">
        <w:rPr>
          <w:rFonts w:eastAsia="Calibri"/>
          <w:sz w:val="24"/>
          <w:szCs w:val="24"/>
          <w:lang w:val="en-US" w:eastAsia="en-US"/>
        </w:rPr>
        <w:t xml:space="preserve">Smith, J.W. </w:t>
      </w:r>
      <w:r w:rsidR="00635191">
        <w:rPr>
          <w:rFonts w:eastAsia="Calibri"/>
          <w:sz w:val="24"/>
          <w:szCs w:val="24"/>
          <w:lang w:val="en-US" w:eastAsia="en-US"/>
        </w:rPr>
        <w:t>(</w:t>
      </w:r>
      <w:r w:rsidRPr="00044D44">
        <w:rPr>
          <w:rFonts w:eastAsia="Calibri"/>
          <w:sz w:val="24"/>
          <w:szCs w:val="24"/>
          <w:lang w:val="en-US" w:eastAsia="en-US"/>
        </w:rPr>
        <w:t>2024</w:t>
      </w:r>
      <w:r w:rsidR="00635191">
        <w:rPr>
          <w:rFonts w:eastAsia="Calibri"/>
          <w:sz w:val="24"/>
          <w:szCs w:val="24"/>
          <w:lang w:val="en-US" w:eastAsia="en-US"/>
        </w:rPr>
        <w:t>) ‘</w:t>
      </w:r>
      <w:r w:rsidRPr="00635191">
        <w:rPr>
          <w:rFonts w:eastAsia="Calibri"/>
          <w:sz w:val="24"/>
          <w:szCs w:val="24"/>
          <w:lang w:val="en-US" w:eastAsia="en-US"/>
        </w:rPr>
        <w:t>The law of contracts.</w:t>
      </w:r>
      <w:r w:rsidR="00635191">
        <w:rPr>
          <w:rFonts w:eastAsia="Calibri"/>
          <w:sz w:val="24"/>
          <w:szCs w:val="24"/>
          <w:lang w:val="en-US" w:eastAsia="en-US"/>
        </w:rPr>
        <w:t>’</w:t>
      </w:r>
      <w:r w:rsidRPr="00044D44">
        <w:rPr>
          <w:rFonts w:eastAsia="Calibri"/>
          <w:sz w:val="24"/>
          <w:szCs w:val="24"/>
          <w:lang w:val="en-US" w:eastAsia="en-US"/>
        </w:rPr>
        <w:t xml:space="preserve"> </w:t>
      </w:r>
      <w:r w:rsidRPr="00635191">
        <w:rPr>
          <w:rFonts w:eastAsia="Calibri"/>
          <w:i/>
          <w:iCs/>
          <w:sz w:val="24"/>
          <w:szCs w:val="24"/>
          <w:lang w:val="en-US" w:eastAsia="en-US"/>
        </w:rPr>
        <w:t xml:space="preserve">BoD–Books on Demand. </w:t>
      </w:r>
      <w:r w:rsidR="00635191">
        <w:rPr>
          <w:rFonts w:eastAsia="Calibri"/>
          <w:sz w:val="24"/>
          <w:szCs w:val="24"/>
          <w:lang w:val="en-US" w:eastAsia="en-US"/>
        </w:rPr>
        <w:t xml:space="preserve">Available at: </w:t>
      </w:r>
      <w:hyperlink r:id="rId24" w:history="1">
        <w:r w:rsidR="00635191" w:rsidRPr="00942B3B">
          <w:rPr>
            <w:rStyle w:val="Hyperlink"/>
            <w:rFonts w:eastAsia="Calibri"/>
            <w:sz w:val="24"/>
            <w:szCs w:val="24"/>
            <w:lang w:val="en-US" w:eastAsia="en-US"/>
          </w:rPr>
          <w:t>https://books.google.com/books?hl=en&amp;lr=&amp;id=9-TrEAAAQBAJ&amp;oi=fnd&amp;pg=PR42&amp;dq=consideration+in+law+contract&amp;ots=_T1Rvj8r7u&amp;sig=A_k8JaNrmKhh1xeS-xk9dYFWzbM</w:t>
        </w:r>
      </w:hyperlink>
      <w:r w:rsidR="00635191">
        <w:rPr>
          <w:rFonts w:eastAsia="Calibri"/>
          <w:color w:val="0563C1"/>
          <w:sz w:val="24"/>
          <w:szCs w:val="24"/>
          <w:u w:val="single"/>
          <w:lang w:val="en-US" w:eastAsia="en-US"/>
        </w:rPr>
        <w:t xml:space="preserve"> </w:t>
      </w:r>
      <w:r w:rsidR="00635191">
        <w:rPr>
          <w:rFonts w:eastAsia="Calibri"/>
          <w:sz w:val="24"/>
          <w:szCs w:val="24"/>
          <w:lang w:val="en-US" w:eastAsia="en-US"/>
        </w:rPr>
        <w:t>(Accessed:12.02.2024)</w:t>
      </w:r>
    </w:p>
    <w:p w14:paraId="1AFC09F8" w14:textId="1743774A" w:rsidR="00E355E4" w:rsidRPr="00044D44" w:rsidRDefault="00E355E4" w:rsidP="00044D44">
      <w:pPr>
        <w:pStyle w:val="ListParagraph"/>
        <w:numPr>
          <w:ilvl w:val="0"/>
          <w:numId w:val="18"/>
        </w:numPr>
        <w:spacing w:before="100" w:beforeAutospacing="1" w:after="100" w:afterAutospacing="1" w:line="480" w:lineRule="auto"/>
        <w:jc w:val="both"/>
        <w:rPr>
          <w:rFonts w:eastAsia="Calibri"/>
          <w:sz w:val="24"/>
          <w:szCs w:val="24"/>
          <w:lang w:val="en-US" w:eastAsia="en-US"/>
        </w:rPr>
      </w:pPr>
      <w:r w:rsidRPr="00044D44">
        <w:rPr>
          <w:rFonts w:eastAsia="Calibri"/>
          <w:sz w:val="24"/>
          <w:szCs w:val="24"/>
          <w:lang w:val="en-US" w:eastAsia="en-US"/>
        </w:rPr>
        <w:t xml:space="preserve">Taylor, R. and Taylor, D. </w:t>
      </w:r>
      <w:r w:rsidR="00635191">
        <w:rPr>
          <w:rFonts w:eastAsia="Calibri"/>
          <w:sz w:val="24"/>
          <w:szCs w:val="24"/>
          <w:lang w:val="en-US" w:eastAsia="en-US"/>
        </w:rPr>
        <w:t>(</w:t>
      </w:r>
      <w:r w:rsidRPr="00044D44">
        <w:rPr>
          <w:rFonts w:eastAsia="Calibri"/>
          <w:sz w:val="24"/>
          <w:szCs w:val="24"/>
          <w:lang w:val="en-US" w:eastAsia="en-US"/>
        </w:rPr>
        <w:t>2023</w:t>
      </w:r>
      <w:r w:rsidR="00635191">
        <w:rPr>
          <w:rFonts w:eastAsia="Calibri"/>
          <w:sz w:val="24"/>
          <w:szCs w:val="24"/>
          <w:lang w:val="en-US" w:eastAsia="en-US"/>
        </w:rPr>
        <w:t>)</w:t>
      </w:r>
      <w:r w:rsidRPr="00044D44">
        <w:rPr>
          <w:rFonts w:eastAsia="Calibri"/>
          <w:sz w:val="24"/>
          <w:szCs w:val="24"/>
          <w:lang w:val="en-US" w:eastAsia="en-US"/>
        </w:rPr>
        <w:t> </w:t>
      </w:r>
      <w:r w:rsidR="00866C5D">
        <w:rPr>
          <w:rFonts w:eastAsia="Calibri"/>
          <w:sz w:val="24"/>
          <w:szCs w:val="24"/>
          <w:lang w:val="en-US" w:eastAsia="en-US"/>
        </w:rPr>
        <w:t>‘</w:t>
      </w:r>
      <w:r w:rsidRPr="00866C5D">
        <w:rPr>
          <w:rFonts w:eastAsia="Calibri"/>
          <w:sz w:val="24"/>
          <w:szCs w:val="24"/>
          <w:lang w:val="en-US" w:eastAsia="en-US"/>
        </w:rPr>
        <w:t>Contract Law Directions.</w:t>
      </w:r>
      <w:r w:rsidR="00866C5D">
        <w:rPr>
          <w:rFonts w:eastAsia="Calibri"/>
          <w:sz w:val="24"/>
          <w:szCs w:val="24"/>
          <w:lang w:val="en-US" w:eastAsia="en-US"/>
        </w:rPr>
        <w:t>’</w:t>
      </w:r>
      <w:r w:rsidRPr="00866C5D">
        <w:rPr>
          <w:rFonts w:eastAsia="Calibri"/>
          <w:sz w:val="24"/>
          <w:szCs w:val="24"/>
          <w:lang w:val="en-US" w:eastAsia="en-US"/>
        </w:rPr>
        <w:t xml:space="preserve">. </w:t>
      </w:r>
      <w:r w:rsidR="00866C5D">
        <w:rPr>
          <w:rFonts w:eastAsia="Calibri"/>
          <w:sz w:val="24"/>
          <w:szCs w:val="24"/>
          <w:lang w:val="en-US" w:eastAsia="en-US"/>
        </w:rPr>
        <w:t xml:space="preserve">Available at:  </w:t>
      </w:r>
      <w:hyperlink r:id="rId25" w:history="1">
        <w:r w:rsidR="00866C5D" w:rsidRPr="00942B3B">
          <w:rPr>
            <w:rStyle w:val="Hyperlink"/>
            <w:rFonts w:eastAsia="Calibri"/>
            <w:sz w:val="24"/>
            <w:szCs w:val="24"/>
            <w:lang w:val="en-US" w:eastAsia="en-US"/>
          </w:rPr>
          <w:t>https://books.google.com/books?hl=en&amp;lr=&amp;id=ZuK9EAAAQBAJ&amp;oi=fnd&amp;pg=PP1&amp;dq=consideration+in+law+contract&amp;ots=TR4b5K9vPo&amp;sig=stGt8wfLRdun84TF2W4ZLSItsr8</w:t>
        </w:r>
      </w:hyperlink>
      <w:r w:rsidR="00866C5D">
        <w:rPr>
          <w:rFonts w:eastAsia="Calibri"/>
          <w:color w:val="0563C1"/>
          <w:sz w:val="24"/>
          <w:szCs w:val="24"/>
          <w:u w:val="single"/>
          <w:lang w:val="en-US" w:eastAsia="en-US"/>
        </w:rPr>
        <w:t xml:space="preserve"> </w:t>
      </w:r>
      <w:r w:rsidR="00866C5D">
        <w:rPr>
          <w:rFonts w:eastAsia="Calibri"/>
          <w:sz w:val="24"/>
          <w:szCs w:val="24"/>
          <w:lang w:val="en-US" w:eastAsia="en-US"/>
        </w:rPr>
        <w:t>(Accessed:1</w:t>
      </w:r>
      <w:r w:rsidR="00866C5D">
        <w:rPr>
          <w:rFonts w:eastAsia="Calibri"/>
          <w:sz w:val="24"/>
          <w:szCs w:val="24"/>
          <w:lang w:val="en-US" w:eastAsia="en-US"/>
        </w:rPr>
        <w:t>3</w:t>
      </w:r>
      <w:r w:rsidR="00866C5D">
        <w:rPr>
          <w:rFonts w:eastAsia="Calibri"/>
          <w:sz w:val="24"/>
          <w:szCs w:val="24"/>
          <w:lang w:val="en-US" w:eastAsia="en-US"/>
        </w:rPr>
        <w:t>.02.2024)</w:t>
      </w:r>
    </w:p>
    <w:p w14:paraId="054678D3" w14:textId="77777777" w:rsidR="00152E9D" w:rsidRPr="00A406E5" w:rsidRDefault="00152E9D" w:rsidP="00044D44">
      <w:pPr>
        <w:ind w:left="720"/>
        <w:jc w:val="both"/>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8688F97" w14:textId="77777777" w:rsidR="004D5E9B" w:rsidRDefault="004D5E9B" w:rsidP="00D22D9C">
      <w:pPr>
        <w:jc w:val="both"/>
        <w:rPr>
          <w:rFonts w:ascii="Arial" w:hAnsi="Arial" w:cs="Arial"/>
          <w:sz w:val="22"/>
          <w:szCs w:val="22"/>
        </w:rPr>
      </w:pPr>
    </w:p>
    <w:sectPr w:rsidR="004D5E9B" w:rsidSect="00FE19D1">
      <w:footerReference w:type="default" r:id="rId26"/>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D6FA61F" w14:textId="77777777" w:rsidR="00FE19D1" w:rsidRDefault="00FE19D1">
      <w:r>
        <w:separator/>
      </w:r>
    </w:p>
  </w:endnote>
  <w:endnote w:type="continuationSeparator" w:id="0">
    <w:p w14:paraId="20BBEABF" w14:textId="77777777" w:rsidR="00FE19D1" w:rsidRDefault="00FE19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1B16CFD" w14:textId="79829A39" w:rsidR="00044D44" w:rsidRDefault="00044D44">
    <w:pPr>
      <w:pStyle w:val="Footer"/>
    </w:pPr>
    <w:r>
      <w:rPr>
        <w:noProof/>
        <w:color w:val="4F81BD" w:themeColor="accent1"/>
        <w:lang w:eastAsia="zh-CN"/>
      </w:rPr>
      <mc:AlternateContent>
        <mc:Choice Requires="wps">
          <w:drawing>
            <wp:anchor distT="0" distB="0" distL="114300" distR="114300" simplePos="0" relativeHeight="251659264" behindDoc="0" locked="0" layoutInCell="1" allowOverlap="1" wp14:anchorId="2263824E" wp14:editId="5E8ABF14">
              <wp:simplePos x="0" y="0"/>
              <wp:positionH relativeFrom="page">
                <wp:align>center</wp:align>
              </wp:positionH>
              <wp:positionV relativeFrom="page">
                <wp:align>center</wp:align>
              </wp:positionV>
              <wp:extent cx="7364730" cy="9528810"/>
              <wp:effectExtent l="0" t="0" r="26670" b="26670"/>
              <wp:wrapNone/>
              <wp:docPr id="452" name="Rectangle 3"/>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36E3A6F" id="Rectangle 3"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" filled="f" strokecolor="#938953 [1614]" strokeweight="1.25pt">
              <w10:wrap anchorx="page" anchory="page"/>
            </v:rect>
          </w:pict>
        </mc:Fallback>
      </mc:AlternateContent>
    </w:r>
    <w:r>
      <w:rPr>
        <w:color w:val="4F81BD" w:themeColor="accent1"/>
      </w:rPr>
      <w:t xml:space="preserve"> </w:t>
    </w:r>
    <w:r>
      <w:rPr>
        <w:rFonts w:asciiTheme="majorHAnsi" w:eastAsiaTheme="majorEastAsia" w:hAnsiTheme="majorHAnsi" w:cstheme="majorBidi"/>
        <w:color w:val="4F81BD" w:themeColor="accent1"/>
      </w:rPr>
      <w:t xml:space="preserve">pg. </w:t>
    </w:r>
    <w:r>
      <w:rPr>
        <w:rFonts w:asciiTheme="minorHAnsi" w:eastAsiaTheme="minorEastAsia" w:hAnsiTheme="minorHAnsi" w:cstheme="minorBidi"/>
        <w:color w:val="4F81BD" w:themeColor="accent1"/>
      </w:rPr>
      <w:fldChar w:fldCharType="begin"/>
    </w:r>
    <w:r>
      <w:rPr>
        <w:color w:val="4F81BD" w:themeColor="accent1"/>
      </w:rPr>
      <w:instrText xml:space="preserve"> PAGE    \* MERGEFORMAT </w:instrText>
    </w:r>
    <w:r>
      <w:rPr>
        <w:rFonts w:asciiTheme="minorHAnsi" w:eastAsiaTheme="minorEastAsia" w:hAnsiTheme="minorHAnsi" w:cstheme="minorBidi"/>
        <w:color w:val="4F81BD" w:themeColor="accent1"/>
      </w:rPr>
      <w:fldChar w:fldCharType="separate"/>
    </w:r>
    <w:r>
      <w:rPr>
        <w:rFonts w:asciiTheme="majorHAnsi" w:eastAsiaTheme="majorEastAsia" w:hAnsiTheme="majorHAnsi" w:cstheme="majorBidi"/>
        <w:noProof/>
        <w:color w:val="4F81BD" w:themeColor="accent1"/>
      </w:rPr>
      <w:t>2</w:t>
    </w:r>
    <w:r>
      <w:rPr>
        <w:rFonts w:asciiTheme="majorHAnsi" w:eastAsiaTheme="majorEastAsia" w:hAnsiTheme="majorHAnsi" w:cstheme="majorBidi"/>
        <w:noProof/>
        <w:color w:val="4F81BD" w:themeColor="accent1"/>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118F9D7" w14:textId="77777777" w:rsidR="00FE19D1" w:rsidRDefault="00FE19D1">
      <w:r>
        <w:separator/>
      </w:r>
    </w:p>
  </w:footnote>
  <w:footnote w:type="continuationSeparator" w:id="0">
    <w:p w14:paraId="59A45BD7" w14:textId="77777777" w:rsidR="00FE19D1" w:rsidRDefault="00FE19D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1D0544"/>
    <w:multiLevelType w:val="hybridMultilevel"/>
    <w:tmpl w:val="9046537E"/>
    <w:lvl w:ilvl="0" w:tplc="CDDC0EF0">
      <w:numFmt w:val="bullet"/>
      <w:lvlText w:val="-"/>
      <w:lvlJc w:val="left"/>
      <w:pPr>
        <w:ind w:left="1080" w:hanging="360"/>
      </w:pPr>
      <w:rPr>
        <w:rFonts w:ascii="Times New Roman" w:eastAsia="Times New Roman" w:hAnsi="Times New Roman" w:cs="Times New Roman" w:hint="default"/>
        <w:sz w:val="28"/>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8A7034"/>
    <w:multiLevelType w:val="hybridMultilevel"/>
    <w:tmpl w:val="B3B48D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892693780">
    <w:abstractNumId w:val="2"/>
  </w:num>
  <w:num w:numId="2" w16cid:durableId="1660304930">
    <w:abstractNumId w:val="11"/>
  </w:num>
  <w:num w:numId="3" w16cid:durableId="1434782672">
    <w:abstractNumId w:val="17"/>
  </w:num>
  <w:num w:numId="4" w16cid:durableId="198276288">
    <w:abstractNumId w:val="13"/>
  </w:num>
  <w:num w:numId="5" w16cid:durableId="1964342490">
    <w:abstractNumId w:val="9"/>
  </w:num>
  <w:num w:numId="6" w16cid:durableId="1327785284">
    <w:abstractNumId w:val="16"/>
  </w:num>
  <w:num w:numId="7" w16cid:durableId="495387754">
    <w:abstractNumId w:val="3"/>
  </w:num>
  <w:num w:numId="8" w16cid:durableId="461308434">
    <w:abstractNumId w:val="15"/>
  </w:num>
  <w:num w:numId="9" w16cid:durableId="942372933">
    <w:abstractNumId w:val="12"/>
  </w:num>
  <w:num w:numId="10" w16cid:durableId="387073856">
    <w:abstractNumId w:val="6"/>
  </w:num>
  <w:num w:numId="11" w16cid:durableId="1327899313">
    <w:abstractNumId w:val="7"/>
  </w:num>
  <w:num w:numId="12" w16cid:durableId="1923634587">
    <w:abstractNumId w:val="10"/>
  </w:num>
  <w:num w:numId="13" w16cid:durableId="154497804">
    <w:abstractNumId w:val="14"/>
  </w:num>
  <w:num w:numId="14" w16cid:durableId="208688849">
    <w:abstractNumId w:val="5"/>
  </w:num>
  <w:num w:numId="15" w16cid:durableId="1532693344">
    <w:abstractNumId w:val="0"/>
  </w:num>
  <w:num w:numId="16" w16cid:durableId="1557425150">
    <w:abstractNumId w:val="8"/>
  </w:num>
  <w:num w:numId="17" w16cid:durableId="31343832">
    <w:abstractNumId w:val="1"/>
  </w:num>
  <w:num w:numId="18" w16cid:durableId="14441552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7"/>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bE0NzM3MzYCMgwMLZR0lIJTi4sz8/NACgxrAcLD9yUsAAAA"/>
  </w:docVars>
  <w:rsids>
    <w:rsidRoot w:val="00FB4521"/>
    <w:rsid w:val="00011666"/>
    <w:rsid w:val="00026B02"/>
    <w:rsid w:val="00044D44"/>
    <w:rsid w:val="000822E5"/>
    <w:rsid w:val="000971FC"/>
    <w:rsid w:val="000A2A3A"/>
    <w:rsid w:val="000A35A2"/>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C5152"/>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B6277"/>
    <w:rsid w:val="002C449B"/>
    <w:rsid w:val="002C6040"/>
    <w:rsid w:val="002D5B3F"/>
    <w:rsid w:val="002E272E"/>
    <w:rsid w:val="002F3DA0"/>
    <w:rsid w:val="002F5778"/>
    <w:rsid w:val="003223E0"/>
    <w:rsid w:val="00352B7B"/>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0926"/>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3307"/>
    <w:rsid w:val="006140BF"/>
    <w:rsid w:val="006161BE"/>
    <w:rsid w:val="00620787"/>
    <w:rsid w:val="00632434"/>
    <w:rsid w:val="0063478F"/>
    <w:rsid w:val="00635191"/>
    <w:rsid w:val="006379DF"/>
    <w:rsid w:val="00644256"/>
    <w:rsid w:val="00661D6F"/>
    <w:rsid w:val="006628E9"/>
    <w:rsid w:val="0066725E"/>
    <w:rsid w:val="006716C7"/>
    <w:rsid w:val="00674A8B"/>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1101"/>
    <w:rsid w:val="007C682C"/>
    <w:rsid w:val="007D2385"/>
    <w:rsid w:val="007E1FD2"/>
    <w:rsid w:val="007F214F"/>
    <w:rsid w:val="007F70FE"/>
    <w:rsid w:val="00800069"/>
    <w:rsid w:val="008042F0"/>
    <w:rsid w:val="008310A0"/>
    <w:rsid w:val="00835D29"/>
    <w:rsid w:val="00842E7F"/>
    <w:rsid w:val="00852933"/>
    <w:rsid w:val="008566E5"/>
    <w:rsid w:val="008566FE"/>
    <w:rsid w:val="0086442E"/>
    <w:rsid w:val="00865B46"/>
    <w:rsid w:val="00866C5D"/>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31C1"/>
    <w:rsid w:val="00995D51"/>
    <w:rsid w:val="009A0631"/>
    <w:rsid w:val="009B10ED"/>
    <w:rsid w:val="009D3EA4"/>
    <w:rsid w:val="009D649C"/>
    <w:rsid w:val="009E4BC1"/>
    <w:rsid w:val="009F5CB2"/>
    <w:rsid w:val="00A03BB8"/>
    <w:rsid w:val="00A16E98"/>
    <w:rsid w:val="00A239C5"/>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355E4"/>
    <w:rsid w:val="00E51AAC"/>
    <w:rsid w:val="00E66CC0"/>
    <w:rsid w:val="00E71BDA"/>
    <w:rsid w:val="00E728A9"/>
    <w:rsid w:val="00E807D9"/>
    <w:rsid w:val="00EA0F4E"/>
    <w:rsid w:val="00EA295B"/>
    <w:rsid w:val="00EA3B9B"/>
    <w:rsid w:val="00EA6801"/>
    <w:rsid w:val="00EB4445"/>
    <w:rsid w:val="00EB4F96"/>
    <w:rsid w:val="00EC37FC"/>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E19D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E71BDA"/>
    <w:rPr>
      <w:lang w:eastAsia="en-GB"/>
    </w:rPr>
  </w:style>
  <w:style w:type="character" w:styleId="CommentReference">
    <w:name w:val="annotation reference"/>
    <w:basedOn w:val="DefaultParagraphFont"/>
    <w:semiHidden/>
    <w:unhideWhenUsed/>
    <w:rsid w:val="00E71BDA"/>
    <w:rPr>
      <w:sz w:val="16"/>
      <w:szCs w:val="16"/>
    </w:rPr>
  </w:style>
  <w:style w:type="paragraph" w:styleId="CommentText">
    <w:name w:val="annotation text"/>
    <w:basedOn w:val="Normal"/>
    <w:link w:val="CommentTextChar"/>
    <w:unhideWhenUsed/>
    <w:rsid w:val="00E71BDA"/>
  </w:style>
  <w:style w:type="character" w:customStyle="1" w:styleId="CommentTextChar">
    <w:name w:val="Comment Text Char"/>
    <w:basedOn w:val="DefaultParagraphFont"/>
    <w:link w:val="CommentText"/>
    <w:rsid w:val="00E71BDA"/>
    <w:rPr>
      <w:lang w:eastAsia="en-GB"/>
    </w:rPr>
  </w:style>
  <w:style w:type="paragraph" w:styleId="CommentSubject">
    <w:name w:val="annotation subject"/>
    <w:basedOn w:val="CommentText"/>
    <w:next w:val="CommentText"/>
    <w:link w:val="CommentSubjectChar"/>
    <w:semiHidden/>
    <w:unhideWhenUsed/>
    <w:rsid w:val="00E71BDA"/>
    <w:rPr>
      <w:b/>
      <w:bCs/>
    </w:rPr>
  </w:style>
  <w:style w:type="character" w:customStyle="1" w:styleId="CommentSubjectChar">
    <w:name w:val="Comment Subject Char"/>
    <w:basedOn w:val="CommentTextChar"/>
    <w:link w:val="CommentSubject"/>
    <w:semiHidden/>
    <w:rsid w:val="00E71BDA"/>
    <w:rPr>
      <w:b/>
      <w:bCs/>
      <w:lang w:eastAsia="en-GB"/>
    </w:rPr>
  </w:style>
  <w:style w:type="character" w:customStyle="1" w:styleId="cf01">
    <w:name w:val="cf01"/>
    <w:basedOn w:val="DefaultParagraphFont"/>
    <w:rsid w:val="00A239C5"/>
    <w:rPr>
      <w:rFonts w:ascii="Segoe UI" w:hAnsi="Segoe UI" w:cs="Segoe UI" w:hint="default"/>
      <w:sz w:val="18"/>
      <w:szCs w:val="18"/>
    </w:rPr>
  </w:style>
  <w:style w:type="paragraph" w:styleId="TOCHeading">
    <w:name w:val="TOC Heading"/>
    <w:basedOn w:val="Heading1"/>
    <w:next w:val="Normal"/>
    <w:uiPriority w:val="39"/>
    <w:unhideWhenUsed/>
    <w:qFormat/>
    <w:rsid w:val="00044D44"/>
    <w:pPr>
      <w:keepLines/>
      <w:pBdr>
        <w:top w:val="none" w:sz="0" w:space="0" w:color="auto"/>
        <w:left w:val="none" w:sz="0" w:space="0" w:color="auto"/>
        <w:bottom w:val="none" w:sz="0" w:space="0" w:color="auto"/>
        <w:right w:val="none" w:sz="0" w:space="0" w:color="auto"/>
      </w:pBdr>
      <w:shd w:val="clear" w:color="auto" w:fill="auto"/>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044D44"/>
    <w:pPr>
      <w:spacing w:before="360" w:after="360"/>
    </w:pPr>
    <w:rPr>
      <w:rFonts w:asciiTheme="minorHAnsi" w:hAnsiTheme="minorHAnsi"/>
      <w:b/>
      <w:bCs/>
      <w:caps/>
      <w:sz w:val="22"/>
      <w:szCs w:val="22"/>
      <w:u w:val="single"/>
    </w:rPr>
  </w:style>
  <w:style w:type="paragraph" w:styleId="TOC2">
    <w:name w:val="toc 2"/>
    <w:basedOn w:val="Normal"/>
    <w:next w:val="Normal"/>
    <w:autoRedefine/>
    <w:semiHidden/>
    <w:unhideWhenUsed/>
    <w:rsid w:val="00044D44"/>
    <w:rPr>
      <w:rFonts w:asciiTheme="minorHAnsi" w:hAnsiTheme="minorHAnsi"/>
      <w:b/>
      <w:bCs/>
      <w:smallCaps/>
      <w:sz w:val="22"/>
      <w:szCs w:val="22"/>
    </w:rPr>
  </w:style>
  <w:style w:type="paragraph" w:styleId="TOC3">
    <w:name w:val="toc 3"/>
    <w:basedOn w:val="Normal"/>
    <w:next w:val="Normal"/>
    <w:autoRedefine/>
    <w:semiHidden/>
    <w:unhideWhenUsed/>
    <w:rsid w:val="00044D44"/>
    <w:rPr>
      <w:rFonts w:asciiTheme="minorHAnsi" w:hAnsiTheme="minorHAnsi"/>
      <w:smallCaps/>
      <w:sz w:val="22"/>
      <w:szCs w:val="22"/>
    </w:rPr>
  </w:style>
  <w:style w:type="paragraph" w:styleId="TOC4">
    <w:name w:val="toc 4"/>
    <w:basedOn w:val="Normal"/>
    <w:next w:val="Normal"/>
    <w:autoRedefine/>
    <w:semiHidden/>
    <w:unhideWhenUsed/>
    <w:rsid w:val="00044D44"/>
    <w:rPr>
      <w:rFonts w:asciiTheme="minorHAnsi" w:hAnsiTheme="minorHAnsi"/>
      <w:sz w:val="22"/>
      <w:szCs w:val="22"/>
    </w:rPr>
  </w:style>
  <w:style w:type="paragraph" w:styleId="TOC5">
    <w:name w:val="toc 5"/>
    <w:basedOn w:val="Normal"/>
    <w:next w:val="Normal"/>
    <w:autoRedefine/>
    <w:semiHidden/>
    <w:unhideWhenUsed/>
    <w:rsid w:val="00044D44"/>
    <w:rPr>
      <w:rFonts w:asciiTheme="minorHAnsi" w:hAnsiTheme="minorHAnsi"/>
      <w:sz w:val="22"/>
      <w:szCs w:val="22"/>
    </w:rPr>
  </w:style>
  <w:style w:type="paragraph" w:styleId="TOC6">
    <w:name w:val="toc 6"/>
    <w:basedOn w:val="Normal"/>
    <w:next w:val="Normal"/>
    <w:autoRedefine/>
    <w:semiHidden/>
    <w:unhideWhenUsed/>
    <w:rsid w:val="00044D44"/>
    <w:rPr>
      <w:rFonts w:asciiTheme="minorHAnsi" w:hAnsiTheme="minorHAnsi"/>
      <w:sz w:val="22"/>
      <w:szCs w:val="22"/>
    </w:rPr>
  </w:style>
  <w:style w:type="paragraph" w:styleId="TOC7">
    <w:name w:val="toc 7"/>
    <w:basedOn w:val="Normal"/>
    <w:next w:val="Normal"/>
    <w:autoRedefine/>
    <w:semiHidden/>
    <w:unhideWhenUsed/>
    <w:rsid w:val="00044D44"/>
    <w:rPr>
      <w:rFonts w:asciiTheme="minorHAnsi" w:hAnsiTheme="minorHAnsi"/>
      <w:sz w:val="22"/>
      <w:szCs w:val="22"/>
    </w:rPr>
  </w:style>
  <w:style w:type="paragraph" w:styleId="TOC8">
    <w:name w:val="toc 8"/>
    <w:basedOn w:val="Normal"/>
    <w:next w:val="Normal"/>
    <w:autoRedefine/>
    <w:semiHidden/>
    <w:unhideWhenUsed/>
    <w:rsid w:val="00044D44"/>
    <w:rPr>
      <w:rFonts w:asciiTheme="minorHAnsi" w:hAnsiTheme="minorHAnsi"/>
      <w:sz w:val="22"/>
      <w:szCs w:val="22"/>
    </w:rPr>
  </w:style>
  <w:style w:type="paragraph" w:styleId="TOC9">
    <w:name w:val="toc 9"/>
    <w:basedOn w:val="Normal"/>
    <w:next w:val="Normal"/>
    <w:autoRedefine/>
    <w:semiHidden/>
    <w:unhideWhenUsed/>
    <w:rsid w:val="00044D44"/>
    <w:rPr>
      <w:rFonts w:asciiTheme="minorHAnsi" w:hAnsiTheme="minorHAnsi"/>
      <w:sz w:val="22"/>
      <w:szCs w:val="22"/>
    </w:rPr>
  </w:style>
  <w:style w:type="character" w:styleId="UnresolvedMention">
    <w:name w:val="Unresolved Mention"/>
    <w:basedOn w:val="DefaultParagraphFont"/>
    <w:uiPriority w:val="99"/>
    <w:semiHidden/>
    <w:unhideWhenUsed/>
    <w:rsid w:val="007B11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860750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rill.com/display/book/edcoll/9789004296961/BP000024.xml" TargetMode="External"/><Relationship Id="rId18" Type="http://schemas.openxmlformats.org/officeDocument/2006/relationships/hyperlink" Target="https://www.taylorfrancis.com/chapters/edit/10.4324/9781315253893-20/speculations-contract-contract-law-stopped-worrying-learned-love-risk-roy-kreitner"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books.google.com/books?hl=en&amp;lr=&amp;id=GbiBEAAAQBAJ&amp;oi=fnd&amp;pg=PA1&amp;dq=modern+law+of+contract&amp;ots=5yR3RsoxlQ&amp;sig=9kA1WA6tTB9E_Oc_UmkM6ek9Fhc" TargetMode="External"/><Relationship Id="rId7" Type="http://schemas.openxmlformats.org/officeDocument/2006/relationships/endnotes" Target="endnotes.xml"/><Relationship Id="rId12" Type="http://schemas.openxmlformats.org/officeDocument/2006/relationships/hyperlink" Target="https://www.cambridge.org/core/journals/international-and-comparative-law-quarterly/article/doctrine-of-consideration-and-the-reform-of-the-law-of-contract/B247C34C84A3DBED86FD57EE6C48EEC6" TargetMode="External"/><Relationship Id="rId17" Type="http://schemas.openxmlformats.org/officeDocument/2006/relationships/hyperlink" Target="https://books.google.com/books?hl=en&amp;lr=&amp;id=QT2qEAAAQBAJ&amp;oi=fnd&amp;pg=PT62&amp;dq=The+Role+of+Consideration+in+Contract+Law&amp;ots=Ye7UfMIvow&amp;sig=B1Ka3e_l9ol2_7uNIC4ztHJXsUg" TargetMode="External"/><Relationship Id="rId25" Type="http://schemas.openxmlformats.org/officeDocument/2006/relationships/hyperlink" Target="https://books.google.com/books?hl=en&amp;lr=&amp;id=ZuK9EAAAQBAJ&amp;oi=fnd&amp;pg=PP1&amp;dq=consideration+in+law+contract&amp;ots=TR4b5K9vPo&amp;sig=stGt8wfLRdun84TF2W4ZLSItsr8" TargetMode="External"/><Relationship Id="rId2" Type="http://schemas.openxmlformats.org/officeDocument/2006/relationships/numbering" Target="numbering.xml"/><Relationship Id="rId16" Type="http://schemas.openxmlformats.org/officeDocument/2006/relationships/hyperlink" Target="https://www.sid.ir/paper/403683/en" TargetMode="External"/><Relationship Id="rId20" Type="http://schemas.openxmlformats.org/officeDocument/2006/relationships/hyperlink" Target="https://www.sciencedirect.com/science/article/pii/S092658052031032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merald.com/insight/content/doi/10.1108/IJOEM-10-2020-1187/full/html" TargetMode="External"/><Relationship Id="rId24" Type="http://schemas.openxmlformats.org/officeDocument/2006/relationships/hyperlink" Target="https://books.google.com/books?hl=en&amp;lr=&amp;id=9-TrEAAAQBAJ&amp;oi=fnd&amp;pg=PR42&amp;dq=consideration+in+law+contract&amp;ots=_T1Rvj8r7u&amp;sig=A_k8JaNrmKhh1xeS-xk9dYFWzbM" TargetMode="External"/><Relationship Id="rId5" Type="http://schemas.openxmlformats.org/officeDocument/2006/relationships/webSettings" Target="webSettings.xml"/><Relationship Id="rId15" Type="http://schemas.openxmlformats.org/officeDocument/2006/relationships/hyperlink" Target="https://heinonline.org/hol-cgi-bin/get_pdf.cgi?handle=hein.journals/gwlr85&amp;section=14" TargetMode="External"/><Relationship Id="rId23" Type="http://schemas.openxmlformats.org/officeDocument/2006/relationships/hyperlink" Target="https://heinonline.org/hol-cgi-bin/get_pdf.cgi?handle=hein.journals/dgtllwj1&amp;section=7" TargetMode="External"/><Relationship Id="rId28" Type="http://schemas.openxmlformats.org/officeDocument/2006/relationships/theme" Target="theme/theme1.xml"/><Relationship Id="rId10" Type="http://schemas.openxmlformats.org/officeDocument/2006/relationships/hyperlink" Target="https://heinonline.org/hol-cgi-bin/get_pdf.cgi?handle=hein.journals/ijlj13&amp;section=31" TargetMode="External"/><Relationship Id="rId19" Type="http://schemas.openxmlformats.org/officeDocument/2006/relationships/hyperlink" Target="https://www.ceeol.com/search/article-detail?id=1221758"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search.informit.org/doi/abs/10.3316/informit.660961721878446" TargetMode="External"/><Relationship Id="rId22" Type="http://schemas.openxmlformats.org/officeDocument/2006/relationships/hyperlink" Target="https://heinonline.org/hol-cgi-bin/get_pdf.cgi?handle=hein.journals/juridtrib13&amp;section=8" TargetMode="External"/><Relationship Id="rId27"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53841E-309F-4E4B-9B2F-BB50293373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4</TotalTime>
  <Pages>11</Pages>
  <Words>3045</Words>
  <Characters>17357</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20362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Sylwia Maciejewska</cp:lastModifiedBy>
  <cp:revision>2</cp:revision>
  <dcterms:created xsi:type="dcterms:W3CDTF">2024-03-15T21:12:00Z</dcterms:created>
  <dcterms:modified xsi:type="dcterms:W3CDTF">2024-03-15T21:12:00Z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c370bdbf16b4b305ddbfb173b9e65f222ec0ae88ff17074f8ea328972e96ea01</vt:lpwstr>
  </property>
</Properties>
</file>