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AA02127" w:rsidR="00986B43" w:rsidRPr="00BE07E7"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BE07E7">
              <w:rPr>
                <w:rFonts w:ascii="Times New Roman" w:hAnsi="Times New Roman" w:cs="Times New Roman"/>
                <w:b/>
                <w:color w:val="auto"/>
                <w:sz w:val="44"/>
                <w:szCs w:val="18"/>
              </w:rPr>
              <w:t>Learner’s name:</w:t>
            </w:r>
            <w:r w:rsidR="00247265" w:rsidRPr="00BE07E7">
              <w:rPr>
                <w:rFonts w:ascii="Times New Roman" w:hAnsi="Times New Roman" w:cs="Times New Roman"/>
                <w:b/>
                <w:color w:val="auto"/>
                <w:sz w:val="44"/>
                <w:szCs w:val="18"/>
              </w:rPr>
              <w:t xml:space="preserve"> </w:t>
            </w:r>
            <w:r w:rsidR="00BD0E8A" w:rsidRPr="00BE07E7">
              <w:rPr>
                <w:rFonts w:ascii="Times New Roman" w:hAnsi="Times New Roman" w:cs="Times New Roman"/>
                <w:b/>
                <w:color w:val="auto"/>
                <w:sz w:val="44"/>
                <w:szCs w:val="18"/>
              </w:rPr>
              <w:t xml:space="preserve">Jodie Comley </w:t>
            </w:r>
          </w:p>
          <w:p w14:paraId="0B6CD0DB" w14:textId="689515B5" w:rsidR="009C337F" w:rsidRPr="00BE07E7"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7A0972E3" w:rsidR="009C337F" w:rsidRPr="00BE07E7"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BE07E7">
              <w:rPr>
                <w:rFonts w:ascii="Times New Roman" w:hAnsi="Times New Roman" w:cs="Times New Roman"/>
                <w:b/>
                <w:color w:val="auto"/>
                <w:sz w:val="44"/>
                <w:szCs w:val="18"/>
              </w:rPr>
              <w:t>Email address:</w:t>
            </w:r>
            <w:r w:rsidR="00BD0E8A" w:rsidRPr="00BE07E7">
              <w:rPr>
                <w:rFonts w:ascii="Times New Roman" w:hAnsi="Times New Roman" w:cs="Times New Roman"/>
                <w:b/>
                <w:color w:val="auto"/>
                <w:sz w:val="44"/>
                <w:szCs w:val="18"/>
              </w:rPr>
              <w:t xml:space="preserve"> </w:t>
            </w:r>
            <w:hyperlink r:id="rId11" w:history="1">
              <w:r w:rsidR="00BD0E8A" w:rsidRPr="00BE07E7">
                <w:rPr>
                  <w:rStyle w:val="Hyperlink"/>
                  <w:rFonts w:ascii="Times New Roman" w:hAnsi="Times New Roman" w:cs="Times New Roman"/>
                  <w:b/>
                  <w:sz w:val="44"/>
                  <w:szCs w:val="18"/>
                </w:rPr>
                <w:t>jodie.comley@swansea.gov.uk</w:t>
              </w:r>
            </w:hyperlink>
            <w:r w:rsidR="00BD0E8A" w:rsidRPr="00BE07E7">
              <w:rPr>
                <w:rFonts w:ascii="Times New Roman" w:hAnsi="Times New Roman" w:cs="Times New Roman"/>
                <w:b/>
                <w:color w:val="auto"/>
                <w:sz w:val="44"/>
                <w:szCs w:val="18"/>
              </w:rPr>
              <w:t xml:space="preserve"> / </w:t>
            </w:r>
            <w:hyperlink r:id="rId12" w:history="1">
              <w:r w:rsidR="00BD0E8A" w:rsidRPr="00BE07E7">
                <w:rPr>
                  <w:rStyle w:val="Hyperlink"/>
                  <w:rFonts w:ascii="Times New Roman" w:hAnsi="Times New Roman" w:cs="Times New Roman"/>
                  <w:b/>
                  <w:sz w:val="44"/>
                  <w:szCs w:val="18"/>
                </w:rPr>
                <w:t>jodieekelsiee@hotmail.co.uk</w:t>
              </w:r>
            </w:hyperlink>
            <w:r w:rsidR="00BD0E8A" w:rsidRPr="00BE07E7">
              <w:rPr>
                <w:rFonts w:ascii="Times New Roman" w:hAnsi="Times New Roman" w:cs="Times New Roman"/>
                <w:b/>
                <w:color w:val="auto"/>
                <w:sz w:val="44"/>
                <w:szCs w:val="18"/>
              </w:rPr>
              <w:t xml:space="preserve"> </w:t>
            </w:r>
          </w:p>
          <w:p w14:paraId="22E38809" w14:textId="77777777" w:rsidR="00986B43" w:rsidRPr="00BE07E7"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3557904B" w:rsidR="00F927A1" w:rsidRPr="00BE07E7"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BE07E7">
              <w:rPr>
                <w:rFonts w:ascii="Times New Roman" w:hAnsi="Times New Roman" w:cs="Times New Roman"/>
                <w:b/>
                <w:color w:val="auto"/>
                <w:sz w:val="44"/>
                <w:szCs w:val="18"/>
              </w:rPr>
              <w:t>Learner’s University Registration</w:t>
            </w:r>
            <w:r w:rsidR="00F927A1" w:rsidRPr="00BE07E7">
              <w:rPr>
                <w:rFonts w:ascii="Times New Roman" w:hAnsi="Times New Roman" w:cs="Times New Roman"/>
                <w:b/>
                <w:color w:val="auto"/>
                <w:sz w:val="44"/>
                <w:szCs w:val="18"/>
              </w:rPr>
              <w:t xml:space="preserve"> Number:</w:t>
            </w:r>
            <w:r w:rsidR="00BD0E8A" w:rsidRPr="00BE07E7">
              <w:rPr>
                <w:rFonts w:ascii="Times New Roman" w:hAnsi="Times New Roman" w:cs="Times New Roman"/>
                <w:b/>
                <w:color w:val="auto"/>
                <w:sz w:val="44"/>
                <w:szCs w:val="18"/>
              </w:rPr>
              <w:t xml:space="preserve"> </w:t>
            </w:r>
            <w:r w:rsidR="00BE07E7" w:rsidRPr="00BE07E7">
              <w:rPr>
                <w:rFonts w:ascii="Times New Roman" w:hAnsi="Times New Roman" w:cs="Times New Roman"/>
                <w:b/>
                <w:color w:val="auto"/>
                <w:sz w:val="44"/>
                <w:szCs w:val="18"/>
              </w:rPr>
              <w:t>2417218</w:t>
            </w:r>
          </w:p>
          <w:p w14:paraId="622FD17A" w14:textId="77777777" w:rsidR="0085230E" w:rsidRPr="00BE07E7"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BE07E7">
              <w:rPr>
                <w:rFonts w:ascii="Times New Roman" w:hAnsi="Times New Roman" w:cs="Times New Roman"/>
                <w:b/>
                <w:color w:val="auto"/>
                <w:sz w:val="44"/>
                <w:szCs w:val="18"/>
              </w:rPr>
              <w:t xml:space="preserve">Cohort: </w:t>
            </w:r>
            <w:r w:rsidR="00512AB1" w:rsidRPr="00BE07E7">
              <w:rPr>
                <w:rFonts w:ascii="Times New Roman" w:hAnsi="Times New Roman" w:cs="Times New Roman"/>
                <w:b/>
                <w:color w:val="auto"/>
                <w:sz w:val="44"/>
                <w:szCs w:val="18"/>
              </w:rPr>
              <w:t>21</w:t>
            </w:r>
            <w:r w:rsidR="00AE6231" w:rsidRPr="00BE07E7">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28B7F7A"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b/>
          <w:bCs/>
          <w:color w:val="auto"/>
          <w:kern w:val="2"/>
          <w:sz w:val="24"/>
          <w:szCs w:val="24"/>
          <w:lang w:eastAsia="en-US"/>
          <w14:ligatures w14:val="standardContextual"/>
        </w:rPr>
      </w:pPr>
      <w:r w:rsidRPr="00A5563F">
        <w:rPr>
          <w:rFonts w:ascii="Aptos" w:eastAsia="Aptos" w:hAnsi="Aptos" w:cs="Times New Roman"/>
          <w:b/>
          <w:bCs/>
          <w:color w:val="auto"/>
          <w:kern w:val="2"/>
          <w:sz w:val="24"/>
          <w:szCs w:val="24"/>
          <w:lang w:eastAsia="en-US"/>
          <w14:ligatures w14:val="standardContextual"/>
        </w:rPr>
        <w:t xml:space="preserve">References Task 1 </w:t>
      </w:r>
    </w:p>
    <w:p w14:paraId="3CA61069"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b/>
          <w:bCs/>
          <w:color w:val="auto"/>
          <w:kern w:val="2"/>
          <w:sz w:val="24"/>
          <w:szCs w:val="24"/>
          <w:lang w:eastAsia="en-US"/>
          <w14:ligatures w14:val="standardContextual"/>
        </w:rPr>
      </w:pPr>
      <w:r w:rsidRPr="00A5563F">
        <w:rPr>
          <w:rFonts w:ascii="Aptos" w:eastAsia="Aptos" w:hAnsi="Aptos" w:cs="Times New Roman"/>
          <w:b/>
          <w:bCs/>
          <w:color w:val="auto"/>
          <w:kern w:val="2"/>
          <w:sz w:val="24"/>
          <w:szCs w:val="24"/>
          <w:lang w:eastAsia="en-US"/>
          <w14:ligatures w14:val="standardContextual"/>
        </w:rPr>
        <w:t xml:space="preserve">A </w:t>
      </w:r>
    </w:p>
    <w:p w14:paraId="49D0629D"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Jasper, M. (2013). </w:t>
      </w:r>
      <w:r w:rsidRPr="00A5563F">
        <w:rPr>
          <w:rFonts w:ascii="Aptos" w:eastAsia="Aptos" w:hAnsi="Aptos" w:cs="Times New Roman"/>
          <w:i/>
          <w:iCs/>
          <w:color w:val="auto"/>
          <w:kern w:val="2"/>
          <w:sz w:val="24"/>
          <w:szCs w:val="24"/>
          <w:lang w:eastAsia="en-US"/>
          <w14:ligatures w14:val="standardContextual"/>
        </w:rPr>
        <w:t>Beginning Reflective Practice</w:t>
      </w:r>
      <w:r w:rsidRPr="00A5563F">
        <w:rPr>
          <w:rFonts w:ascii="Aptos" w:eastAsia="Aptos" w:hAnsi="Aptos" w:cs="Times New Roman"/>
          <w:color w:val="auto"/>
          <w:kern w:val="2"/>
          <w:sz w:val="24"/>
          <w:szCs w:val="24"/>
          <w:lang w:eastAsia="en-US"/>
          <w14:ligatures w14:val="standardContextual"/>
        </w:rPr>
        <w:t xml:space="preserve">. 2nd </w:t>
      </w:r>
      <w:proofErr w:type="spellStart"/>
      <w:r w:rsidRPr="00A5563F">
        <w:rPr>
          <w:rFonts w:ascii="Aptos" w:eastAsia="Aptos" w:hAnsi="Aptos" w:cs="Times New Roman"/>
          <w:color w:val="auto"/>
          <w:kern w:val="2"/>
          <w:sz w:val="24"/>
          <w:szCs w:val="24"/>
          <w:lang w:eastAsia="en-US"/>
          <w14:ligatures w14:val="standardContextual"/>
        </w:rPr>
        <w:t>edn</w:t>
      </w:r>
      <w:proofErr w:type="spellEnd"/>
      <w:r w:rsidRPr="00A5563F">
        <w:rPr>
          <w:rFonts w:ascii="Aptos" w:eastAsia="Aptos" w:hAnsi="Aptos" w:cs="Times New Roman"/>
          <w:color w:val="auto"/>
          <w:kern w:val="2"/>
          <w:sz w:val="24"/>
          <w:szCs w:val="24"/>
          <w:lang w:eastAsia="en-US"/>
          <w14:ligatures w14:val="standardContextual"/>
        </w:rPr>
        <w:t>. Andover: Cengage Learning.</w:t>
      </w:r>
    </w:p>
    <w:p w14:paraId="5A64030A"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Wilkins, D. (2024). </w:t>
      </w:r>
      <w:r w:rsidRPr="00A5563F">
        <w:rPr>
          <w:rFonts w:ascii="Aptos" w:eastAsia="Aptos" w:hAnsi="Aptos" w:cs="Times New Roman"/>
          <w:i/>
          <w:iCs/>
          <w:color w:val="auto"/>
          <w:kern w:val="2"/>
          <w:sz w:val="24"/>
          <w:szCs w:val="24"/>
          <w:lang w:eastAsia="en-US"/>
          <w14:ligatures w14:val="standardContextual"/>
        </w:rPr>
        <w:t>Guide to analysis and decision-making</w:t>
      </w:r>
      <w:r w:rsidRPr="00A5563F">
        <w:rPr>
          <w:rFonts w:ascii="Aptos" w:eastAsia="Aptos" w:hAnsi="Aptos" w:cs="Times New Roman"/>
          <w:color w:val="auto"/>
          <w:kern w:val="2"/>
          <w:sz w:val="24"/>
          <w:szCs w:val="24"/>
          <w:lang w:eastAsia="en-US"/>
          <w14:ligatures w14:val="standardContextual"/>
        </w:rPr>
        <w:t>. Community Care Inform. Available at: </w:t>
      </w:r>
      <w:hyperlink r:id="rId13" w:history="1">
        <w:r w:rsidRPr="00A5563F">
          <w:rPr>
            <w:rFonts w:ascii="Aptos" w:eastAsia="Aptos" w:hAnsi="Aptos" w:cs="Times New Roman"/>
            <w:color w:val="467886"/>
            <w:kern w:val="2"/>
            <w:sz w:val="24"/>
            <w:szCs w:val="24"/>
            <w:u w:val="single"/>
            <w:lang w:eastAsia="en-US"/>
            <w14:ligatures w14:val="standardContextual"/>
          </w:rPr>
          <w:t>https://www.ccinform.co.uk/practice-guidance/guide-to-analysis-and-decision-making/</w:t>
        </w:r>
      </w:hyperlink>
      <w:r w:rsidRPr="00A5563F">
        <w:rPr>
          <w:rFonts w:ascii="Aptos" w:eastAsia="Aptos" w:hAnsi="Aptos" w:cs="Times New Roman"/>
          <w:color w:val="auto"/>
          <w:kern w:val="2"/>
          <w:sz w:val="24"/>
          <w:szCs w:val="24"/>
          <w:lang w:eastAsia="en-US"/>
          <w14:ligatures w14:val="standardContextual"/>
        </w:rPr>
        <w:t xml:space="preserve"> (Accessed: 8 September 2025). </w:t>
      </w:r>
    </w:p>
    <w:p w14:paraId="49D586F3"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British Association of Social Workers (2021). </w:t>
      </w:r>
      <w:r w:rsidRPr="00A5563F">
        <w:rPr>
          <w:rFonts w:ascii="Aptos" w:eastAsia="Aptos" w:hAnsi="Aptos" w:cs="Times New Roman"/>
          <w:i/>
          <w:iCs/>
          <w:color w:val="auto"/>
          <w:kern w:val="2"/>
          <w:sz w:val="24"/>
          <w:szCs w:val="24"/>
          <w:lang w:eastAsia="en-US"/>
          <w14:ligatures w14:val="standardContextual"/>
        </w:rPr>
        <w:t>Code of Ethics for Social Work</w:t>
      </w:r>
      <w:r w:rsidRPr="00A5563F">
        <w:rPr>
          <w:rFonts w:ascii="Aptos" w:eastAsia="Aptos" w:hAnsi="Aptos" w:cs="Times New Roman"/>
          <w:color w:val="auto"/>
          <w:kern w:val="2"/>
          <w:sz w:val="24"/>
          <w:szCs w:val="24"/>
          <w:lang w:eastAsia="en-US"/>
          <w14:ligatures w14:val="standardContextual"/>
        </w:rPr>
        <w:t>. Updated July 2021. Available at: </w:t>
      </w:r>
      <w:hyperlink r:id="rId14" w:history="1">
        <w:r w:rsidRPr="00A5563F">
          <w:rPr>
            <w:rFonts w:ascii="Aptos" w:eastAsia="Aptos" w:hAnsi="Aptos" w:cs="Times New Roman"/>
            <w:color w:val="467886"/>
            <w:kern w:val="2"/>
            <w:sz w:val="24"/>
            <w:szCs w:val="24"/>
            <w:u w:val="single"/>
            <w:lang w:eastAsia="en-US"/>
            <w14:ligatures w14:val="standardContextual"/>
          </w:rPr>
          <w:t>https://basw.co.uk/sites/default/files/resources/basw_73346-6_0.pdf</w:t>
        </w:r>
      </w:hyperlink>
      <w:r w:rsidRPr="00A5563F">
        <w:rPr>
          <w:rFonts w:ascii="Aptos" w:eastAsia="Aptos" w:hAnsi="Aptos" w:cs="Times New Roman"/>
          <w:color w:val="auto"/>
          <w:kern w:val="2"/>
          <w:sz w:val="24"/>
          <w:szCs w:val="24"/>
          <w:lang w:eastAsia="en-US"/>
          <w14:ligatures w14:val="standardContextual"/>
        </w:rPr>
        <w:t xml:space="preserve"> (Accessed: 8 September 2025). </w:t>
      </w:r>
    </w:p>
    <w:p w14:paraId="1FA6FCD5"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Children Act 1989</w:t>
      </w:r>
      <w:r w:rsidRPr="00A5563F">
        <w:rPr>
          <w:rFonts w:ascii="Aptos" w:eastAsia="Aptos" w:hAnsi="Aptos" w:cs="Times New Roman"/>
          <w:color w:val="auto"/>
          <w:kern w:val="2"/>
          <w:sz w:val="24"/>
          <w:szCs w:val="24"/>
          <w:lang w:eastAsia="en-US"/>
          <w14:ligatures w14:val="standardContextual"/>
        </w:rPr>
        <w:t>. (c.41). London: HMSO. Available at: </w:t>
      </w:r>
      <w:hyperlink r:id="rId15" w:history="1">
        <w:r w:rsidRPr="00A5563F">
          <w:rPr>
            <w:rFonts w:ascii="Aptos" w:eastAsia="Aptos" w:hAnsi="Aptos" w:cs="Times New Roman"/>
            <w:color w:val="467886"/>
            <w:kern w:val="2"/>
            <w:sz w:val="24"/>
            <w:szCs w:val="24"/>
            <w:u w:val="single"/>
            <w:lang w:eastAsia="en-US"/>
            <w14:ligatures w14:val="standardContextual"/>
          </w:rPr>
          <w:t>https://www.legislation.gov.uk/ukpga/1989/41/contents</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7C90AB3C" w14:textId="77777777" w:rsidR="00726F3F" w:rsidRPr="00A5563F" w:rsidRDefault="00726F3F" w:rsidP="00726F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Social Services and Well-being (Wales) Act 2014</w:t>
      </w:r>
      <w:r w:rsidRPr="00A5563F">
        <w:rPr>
          <w:rFonts w:ascii="Aptos" w:eastAsia="Aptos" w:hAnsi="Aptos" w:cs="Times New Roman"/>
          <w:color w:val="auto"/>
          <w:kern w:val="2"/>
          <w:sz w:val="24"/>
          <w:szCs w:val="24"/>
          <w:lang w:eastAsia="en-US"/>
          <w14:ligatures w14:val="standardContextual"/>
        </w:rPr>
        <w:t>. Welsh Government, 2014. </w:t>
      </w:r>
      <w:r w:rsidRPr="00A5563F">
        <w:rPr>
          <w:rFonts w:ascii="Aptos" w:eastAsia="Aptos" w:hAnsi="Aptos" w:cs="Times New Roman"/>
          <w:i/>
          <w:iCs/>
          <w:color w:val="auto"/>
          <w:kern w:val="2"/>
          <w:sz w:val="24"/>
          <w:szCs w:val="24"/>
          <w:lang w:eastAsia="en-US"/>
          <w14:ligatures w14:val="standardContextual"/>
        </w:rPr>
        <w:t>Social Services and Well-being (Wales) Act 2014</w:t>
      </w:r>
      <w:r w:rsidRPr="00A5563F">
        <w:rPr>
          <w:rFonts w:ascii="Aptos" w:eastAsia="Aptos" w:hAnsi="Aptos" w:cs="Times New Roman"/>
          <w:color w:val="auto"/>
          <w:kern w:val="2"/>
          <w:sz w:val="24"/>
          <w:szCs w:val="24"/>
          <w:lang w:eastAsia="en-US"/>
          <w14:ligatures w14:val="standardContextual"/>
        </w:rPr>
        <w:t>. [online] Available at: </w:t>
      </w:r>
      <w:hyperlink r:id="rId16" w:history="1">
        <w:r w:rsidRPr="00A5563F">
          <w:rPr>
            <w:rFonts w:ascii="Aptos" w:eastAsia="Aptos" w:hAnsi="Aptos" w:cs="Times New Roman"/>
            <w:color w:val="467886"/>
            <w:kern w:val="2"/>
            <w:sz w:val="24"/>
            <w:szCs w:val="24"/>
            <w:u w:val="single"/>
            <w:lang w:eastAsia="en-US"/>
            <w14:ligatures w14:val="standardContextual"/>
          </w:rPr>
          <w:t>https://www.legislation.gov.uk/anaw/2014/4</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445FF2CB"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b/>
          <w:bCs/>
          <w:color w:val="auto"/>
          <w:kern w:val="2"/>
          <w:sz w:val="24"/>
          <w:szCs w:val="24"/>
          <w:lang w:eastAsia="en-US"/>
          <w14:ligatures w14:val="standardContextual"/>
        </w:rPr>
      </w:pPr>
      <w:r w:rsidRPr="00A5563F">
        <w:rPr>
          <w:rFonts w:ascii="Aptos" w:eastAsia="Aptos" w:hAnsi="Aptos" w:cs="Times New Roman"/>
          <w:b/>
          <w:bCs/>
          <w:color w:val="auto"/>
          <w:kern w:val="2"/>
          <w:sz w:val="24"/>
          <w:szCs w:val="24"/>
          <w:lang w:eastAsia="en-US"/>
          <w14:ligatures w14:val="standardContextual"/>
        </w:rPr>
        <w:t xml:space="preserve">B </w:t>
      </w:r>
    </w:p>
    <w:p w14:paraId="2FF2332F"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Jasper, M. (2013). </w:t>
      </w:r>
      <w:r w:rsidRPr="00A5563F">
        <w:rPr>
          <w:rFonts w:ascii="Aptos" w:eastAsia="Aptos" w:hAnsi="Aptos" w:cs="Times New Roman"/>
          <w:i/>
          <w:iCs/>
          <w:color w:val="auto"/>
          <w:kern w:val="2"/>
          <w:sz w:val="24"/>
          <w:szCs w:val="24"/>
          <w:lang w:eastAsia="en-US"/>
          <w14:ligatures w14:val="standardContextual"/>
        </w:rPr>
        <w:t>Beginning Reflective Practice</w:t>
      </w:r>
      <w:r w:rsidRPr="00A5563F">
        <w:rPr>
          <w:rFonts w:ascii="Aptos" w:eastAsia="Aptos" w:hAnsi="Aptos" w:cs="Times New Roman"/>
          <w:color w:val="auto"/>
          <w:kern w:val="2"/>
          <w:sz w:val="24"/>
          <w:szCs w:val="24"/>
          <w:lang w:eastAsia="en-US"/>
          <w14:ligatures w14:val="standardContextual"/>
        </w:rPr>
        <w:t xml:space="preserve">. 2nd </w:t>
      </w:r>
      <w:proofErr w:type="spellStart"/>
      <w:r w:rsidRPr="00A5563F">
        <w:rPr>
          <w:rFonts w:ascii="Aptos" w:eastAsia="Aptos" w:hAnsi="Aptos" w:cs="Times New Roman"/>
          <w:color w:val="auto"/>
          <w:kern w:val="2"/>
          <w:sz w:val="24"/>
          <w:szCs w:val="24"/>
          <w:lang w:eastAsia="en-US"/>
          <w14:ligatures w14:val="standardContextual"/>
        </w:rPr>
        <w:t>edn</w:t>
      </w:r>
      <w:proofErr w:type="spellEnd"/>
      <w:r w:rsidRPr="00A5563F">
        <w:rPr>
          <w:rFonts w:ascii="Aptos" w:eastAsia="Aptos" w:hAnsi="Aptos" w:cs="Times New Roman"/>
          <w:color w:val="auto"/>
          <w:kern w:val="2"/>
          <w:sz w:val="24"/>
          <w:szCs w:val="24"/>
          <w:lang w:eastAsia="en-US"/>
          <w14:ligatures w14:val="standardContextual"/>
        </w:rPr>
        <w:t>. Andover: Cengage Learning</w:t>
      </w:r>
    </w:p>
    <w:p w14:paraId="79A258F4"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Dyke, C. (2023). </w:t>
      </w:r>
      <w:r w:rsidRPr="00A5563F">
        <w:rPr>
          <w:rFonts w:ascii="Aptos" w:eastAsia="Aptos" w:hAnsi="Aptos" w:cs="Times New Roman"/>
          <w:i/>
          <w:iCs/>
          <w:color w:val="auto"/>
          <w:kern w:val="2"/>
          <w:sz w:val="24"/>
          <w:szCs w:val="24"/>
          <w:lang w:eastAsia="en-US"/>
          <w14:ligatures w14:val="standardContextual"/>
        </w:rPr>
        <w:t>Writing Analytical Assessments in Social Work</w:t>
      </w:r>
      <w:r w:rsidRPr="00A5563F">
        <w:rPr>
          <w:rFonts w:ascii="Aptos" w:eastAsia="Aptos" w:hAnsi="Aptos" w:cs="Times New Roman"/>
          <w:color w:val="auto"/>
          <w:kern w:val="2"/>
          <w:sz w:val="24"/>
          <w:szCs w:val="24"/>
          <w:lang w:eastAsia="en-US"/>
          <w14:ligatures w14:val="standardContextual"/>
        </w:rPr>
        <w:t>. 3rd ed. London: Routledge. Available at: </w:t>
      </w:r>
      <w:hyperlink r:id="rId17" w:history="1">
        <w:r w:rsidRPr="00A5563F">
          <w:rPr>
            <w:rFonts w:ascii="Aptos" w:eastAsia="Aptos" w:hAnsi="Aptos" w:cs="Times New Roman"/>
            <w:color w:val="467886"/>
            <w:kern w:val="2"/>
            <w:sz w:val="24"/>
            <w:szCs w:val="24"/>
            <w:u w:val="single"/>
            <w:lang w:eastAsia="en-US"/>
            <w14:ligatures w14:val="standardContextual"/>
          </w:rPr>
          <w:t>https://www.taylorfrancis.com/books/mono/10.4324/9781041057970/writing-analytical-assessments-social-work-chris-dyke</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643B8266"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proofErr w:type="spellStart"/>
      <w:r w:rsidRPr="00A5563F">
        <w:rPr>
          <w:rFonts w:ascii="Aptos" w:eastAsia="Aptos" w:hAnsi="Aptos" w:cs="Times New Roman"/>
          <w:color w:val="auto"/>
          <w:kern w:val="2"/>
          <w:sz w:val="24"/>
          <w:szCs w:val="24"/>
          <w:lang w:eastAsia="en-US"/>
          <w14:ligatures w14:val="standardContextual"/>
        </w:rPr>
        <w:t>Kourgiantakis</w:t>
      </w:r>
      <w:proofErr w:type="spellEnd"/>
      <w:r w:rsidRPr="00A5563F">
        <w:rPr>
          <w:rFonts w:ascii="Aptos" w:eastAsia="Aptos" w:hAnsi="Aptos" w:cs="Times New Roman"/>
          <w:color w:val="auto"/>
          <w:kern w:val="2"/>
          <w:sz w:val="24"/>
          <w:szCs w:val="24"/>
          <w:lang w:eastAsia="en-US"/>
          <w14:ligatures w14:val="standardContextual"/>
        </w:rPr>
        <w:t>, T., Sewell, K.M. and Bogo, M. (2019). </w:t>
      </w:r>
      <w:r w:rsidRPr="00A5563F">
        <w:rPr>
          <w:rFonts w:ascii="Aptos" w:eastAsia="Aptos" w:hAnsi="Aptos" w:cs="Times New Roman"/>
          <w:i/>
          <w:iCs/>
          <w:color w:val="auto"/>
          <w:kern w:val="2"/>
          <w:sz w:val="24"/>
          <w:szCs w:val="24"/>
          <w:lang w:eastAsia="en-US"/>
          <w14:ligatures w14:val="standardContextual"/>
        </w:rPr>
        <w:t>The importance of feedback in preparing social work students for field education</w:t>
      </w:r>
      <w:r w:rsidRPr="00A5563F">
        <w:rPr>
          <w:rFonts w:ascii="Aptos" w:eastAsia="Aptos" w:hAnsi="Aptos" w:cs="Times New Roman"/>
          <w:color w:val="auto"/>
          <w:kern w:val="2"/>
          <w:sz w:val="24"/>
          <w:szCs w:val="24"/>
          <w:lang w:eastAsia="en-US"/>
          <w14:ligatures w14:val="standardContextual"/>
        </w:rPr>
        <w:t>. Clinical Social Work Journal, 47, pp.124–133. Available at: </w:t>
      </w:r>
      <w:hyperlink r:id="rId18" w:history="1">
        <w:r w:rsidRPr="00A5563F">
          <w:rPr>
            <w:rFonts w:ascii="Aptos" w:eastAsia="Aptos" w:hAnsi="Aptos" w:cs="Times New Roman"/>
            <w:color w:val="467886"/>
            <w:kern w:val="2"/>
            <w:sz w:val="24"/>
            <w:szCs w:val="24"/>
            <w:u w:val="single"/>
            <w:lang w:eastAsia="en-US"/>
            <w14:ligatures w14:val="standardContextual"/>
          </w:rPr>
          <w:t>https://link.springer.com/article/10.1007/s10615-018-0671-8</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5A066356"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Crawford, K. (2011). </w:t>
      </w:r>
      <w:r w:rsidRPr="00A5563F">
        <w:rPr>
          <w:rFonts w:ascii="Aptos" w:eastAsia="Aptos" w:hAnsi="Aptos" w:cs="Times New Roman"/>
          <w:i/>
          <w:iCs/>
          <w:color w:val="auto"/>
          <w:kern w:val="2"/>
          <w:sz w:val="24"/>
          <w:szCs w:val="24"/>
          <w:lang w:eastAsia="en-US"/>
          <w14:ligatures w14:val="standardContextual"/>
        </w:rPr>
        <w:t>Interprofessional Collaboration in Social Work Practice</w:t>
      </w:r>
      <w:r w:rsidRPr="00A5563F">
        <w:rPr>
          <w:rFonts w:ascii="Aptos" w:eastAsia="Aptos" w:hAnsi="Aptos" w:cs="Times New Roman"/>
          <w:color w:val="auto"/>
          <w:kern w:val="2"/>
          <w:sz w:val="24"/>
          <w:szCs w:val="24"/>
          <w:lang w:eastAsia="en-US"/>
          <w14:ligatures w14:val="standardContextual"/>
        </w:rPr>
        <w:t>. London: SAGE Publications Ltd. Available at: </w:t>
      </w:r>
      <w:hyperlink r:id="rId19" w:history="1">
        <w:r w:rsidRPr="00A5563F">
          <w:rPr>
            <w:rFonts w:ascii="Aptos" w:eastAsia="Aptos" w:hAnsi="Aptos" w:cs="Times New Roman"/>
            <w:color w:val="467886"/>
            <w:kern w:val="2"/>
            <w:sz w:val="24"/>
            <w:szCs w:val="24"/>
            <w:u w:val="single"/>
            <w:lang w:eastAsia="en-US"/>
            <w14:ligatures w14:val="standardContextual"/>
          </w:rPr>
          <w:t>https://uk.sagepub.com/en-gb/eur/interprofessional-collaboration-in-social-work-practice/book234375</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421DC3BE"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lastRenderedPageBreak/>
        <w:t>Wallace, C. and Garthwaite, T. (2023). </w:t>
      </w:r>
      <w:r w:rsidRPr="00A5563F">
        <w:rPr>
          <w:rFonts w:ascii="Aptos" w:eastAsia="Aptos" w:hAnsi="Aptos" w:cs="Times New Roman"/>
          <w:i/>
          <w:iCs/>
          <w:color w:val="auto"/>
          <w:kern w:val="2"/>
          <w:sz w:val="24"/>
          <w:szCs w:val="24"/>
          <w:lang w:eastAsia="en-US"/>
          <w14:ligatures w14:val="standardContextual"/>
        </w:rPr>
        <w:t>Multi-agency working: Research to support the Final Report of the Evaluation of the Social Services and Well-being (Wales) Act 2014</w:t>
      </w:r>
      <w:r w:rsidRPr="00A5563F">
        <w:rPr>
          <w:rFonts w:ascii="Aptos" w:eastAsia="Aptos" w:hAnsi="Aptos" w:cs="Times New Roman"/>
          <w:color w:val="auto"/>
          <w:kern w:val="2"/>
          <w:sz w:val="24"/>
          <w:szCs w:val="24"/>
          <w:lang w:eastAsia="en-US"/>
          <w14:ligatures w14:val="standardContextual"/>
        </w:rPr>
        <w:t>. Cardiff: Welsh Government. GSR report number 39/2023. Available at: </w:t>
      </w:r>
      <w:hyperlink r:id="rId20" w:history="1">
        <w:r w:rsidRPr="00A5563F">
          <w:rPr>
            <w:rFonts w:ascii="Aptos" w:eastAsia="Aptos" w:hAnsi="Aptos" w:cs="Times New Roman"/>
            <w:color w:val="467886"/>
            <w:kern w:val="2"/>
            <w:sz w:val="24"/>
            <w:szCs w:val="24"/>
            <w:u w:val="single"/>
            <w:lang w:eastAsia="en-US"/>
            <w14:ligatures w14:val="standardContextual"/>
          </w:rPr>
          <w:t>https://www.gov.wales/sites/default/files/statistics-and-research/2023-03/multi-agency-working-research-to-support-the-final-report-of-the-evaluation-of-the-social-services-and-well-being-wales-act-2014.pdf</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0AEB2046"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Procedures Online (2025). </w:t>
      </w:r>
      <w:r w:rsidRPr="00A5563F">
        <w:rPr>
          <w:rFonts w:ascii="Aptos" w:eastAsia="Aptos" w:hAnsi="Aptos" w:cs="Times New Roman"/>
          <w:i/>
          <w:iCs/>
          <w:color w:val="auto"/>
          <w:kern w:val="2"/>
          <w:sz w:val="24"/>
          <w:szCs w:val="24"/>
          <w:lang w:eastAsia="en-US"/>
          <w14:ligatures w14:val="standardContextual"/>
        </w:rPr>
        <w:t>Practice Guidance: Harm Matrix</w:t>
      </w:r>
      <w:r w:rsidRPr="00A5563F">
        <w:rPr>
          <w:rFonts w:ascii="Aptos" w:eastAsia="Aptos" w:hAnsi="Aptos" w:cs="Times New Roman"/>
          <w:color w:val="auto"/>
          <w:kern w:val="2"/>
          <w:sz w:val="24"/>
          <w:szCs w:val="24"/>
          <w:lang w:eastAsia="en-US"/>
          <w14:ligatures w14:val="standardContextual"/>
        </w:rPr>
        <w:t>. Available at: </w:t>
      </w:r>
      <w:hyperlink r:id="rId21" w:history="1">
        <w:r w:rsidRPr="00A5563F">
          <w:rPr>
            <w:rFonts w:ascii="Aptos" w:eastAsia="Aptos" w:hAnsi="Aptos" w:cs="Times New Roman"/>
            <w:color w:val="467886"/>
            <w:kern w:val="2"/>
            <w:sz w:val="24"/>
            <w:szCs w:val="24"/>
            <w:u w:val="single"/>
            <w:lang w:eastAsia="en-US"/>
            <w14:ligatures w14:val="standardContextual"/>
          </w:rPr>
          <w:t>https://www.proceduresonline.com/trixcms1/media/13708/practice-guidance-harm-matrix.pdf</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7941E582"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Care Wales (2023). </w:t>
      </w:r>
      <w:r w:rsidRPr="00A5563F">
        <w:rPr>
          <w:rFonts w:ascii="Aptos" w:eastAsia="Aptos" w:hAnsi="Aptos" w:cs="Times New Roman"/>
          <w:i/>
          <w:iCs/>
          <w:color w:val="auto"/>
          <w:kern w:val="2"/>
          <w:sz w:val="24"/>
          <w:szCs w:val="24"/>
          <w:lang w:eastAsia="en-US"/>
          <w14:ligatures w14:val="standardContextual"/>
        </w:rPr>
        <w:t>Develop social work practice through supervision and reflection</w:t>
      </w:r>
      <w:r w:rsidRPr="00A5563F">
        <w:rPr>
          <w:rFonts w:ascii="Aptos" w:eastAsia="Aptos" w:hAnsi="Aptos" w:cs="Times New Roman"/>
          <w:color w:val="auto"/>
          <w:kern w:val="2"/>
          <w:sz w:val="24"/>
          <w:szCs w:val="24"/>
          <w:lang w:eastAsia="en-US"/>
          <w14:ligatures w14:val="standardContextual"/>
        </w:rPr>
        <w:t>. Available at: </w:t>
      </w:r>
      <w:hyperlink r:id="rId22" w:history="1">
        <w:r w:rsidRPr="00A5563F">
          <w:rPr>
            <w:rFonts w:ascii="Aptos" w:eastAsia="Aptos" w:hAnsi="Aptos" w:cs="Times New Roman"/>
            <w:color w:val="467886"/>
            <w:kern w:val="2"/>
            <w:sz w:val="24"/>
            <w:szCs w:val="24"/>
            <w:u w:val="single"/>
            <w:lang w:eastAsia="en-US"/>
            <w14:ligatures w14:val="standardContextual"/>
          </w:rPr>
          <w:t>https://socialcare.wales/cms-assets/documents/qualification-unit-documents/SCDSW2-Develop-social-work-practice-through-supervision.pdf</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700EA263"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Care Wales (2017). </w:t>
      </w:r>
      <w:r w:rsidRPr="00A5563F">
        <w:rPr>
          <w:rFonts w:ascii="Aptos" w:eastAsia="Aptos" w:hAnsi="Aptos" w:cs="Times New Roman"/>
          <w:i/>
          <w:iCs/>
          <w:color w:val="auto"/>
          <w:kern w:val="2"/>
          <w:sz w:val="24"/>
          <w:szCs w:val="24"/>
          <w:lang w:eastAsia="en-US"/>
          <w14:ligatures w14:val="standardContextual"/>
        </w:rPr>
        <w:t>Code of Professional Practice for Social Care</w:t>
      </w:r>
      <w:r w:rsidRPr="00A5563F">
        <w:rPr>
          <w:rFonts w:ascii="Aptos" w:eastAsia="Aptos" w:hAnsi="Aptos" w:cs="Times New Roman"/>
          <w:color w:val="auto"/>
          <w:kern w:val="2"/>
          <w:sz w:val="24"/>
          <w:szCs w:val="24"/>
          <w:lang w:eastAsia="en-US"/>
          <w14:ligatures w14:val="standardContextual"/>
        </w:rPr>
        <w:t>. Available at: </w:t>
      </w:r>
      <w:hyperlink r:id="rId23" w:history="1">
        <w:r w:rsidRPr="00A5563F">
          <w:rPr>
            <w:rFonts w:ascii="Aptos" w:eastAsia="Aptos" w:hAnsi="Aptos" w:cs="Times New Roman"/>
            <w:color w:val="467886"/>
            <w:kern w:val="2"/>
            <w:sz w:val="24"/>
            <w:szCs w:val="24"/>
            <w:u w:val="single"/>
            <w:lang w:eastAsia="en-US"/>
            <w14:ligatures w14:val="standardContextual"/>
          </w:rPr>
          <w:t>https://socialcare.wales/cms-assets/documents/Code-of-Professional-Practice-for-Social-Care-web-version.pdf</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7C789B09"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b/>
          <w:bCs/>
          <w:color w:val="auto"/>
          <w:kern w:val="2"/>
          <w:sz w:val="24"/>
          <w:szCs w:val="24"/>
          <w:lang w:eastAsia="en-US"/>
          <w14:ligatures w14:val="standardContextual"/>
        </w:rPr>
      </w:pPr>
      <w:r w:rsidRPr="00A5563F">
        <w:rPr>
          <w:rFonts w:ascii="Aptos" w:eastAsia="Aptos" w:hAnsi="Aptos" w:cs="Times New Roman"/>
          <w:b/>
          <w:bCs/>
          <w:color w:val="auto"/>
          <w:kern w:val="2"/>
          <w:sz w:val="24"/>
          <w:szCs w:val="24"/>
          <w:lang w:eastAsia="en-US"/>
          <w14:ligatures w14:val="standardContextual"/>
        </w:rPr>
        <w:t>References Task 2</w:t>
      </w:r>
    </w:p>
    <w:p w14:paraId="39E097D7"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Care Wales, 2019. </w:t>
      </w:r>
      <w:r w:rsidRPr="00A5563F">
        <w:rPr>
          <w:rFonts w:ascii="Aptos" w:eastAsia="Aptos" w:hAnsi="Aptos" w:cs="Times New Roman"/>
          <w:i/>
          <w:iCs/>
          <w:color w:val="auto"/>
          <w:kern w:val="2"/>
          <w:sz w:val="24"/>
          <w:szCs w:val="24"/>
          <w:lang w:eastAsia="en-US"/>
          <w14:ligatures w14:val="standardContextual"/>
        </w:rPr>
        <w:t>Wales Safeguarding Procedures</w:t>
      </w:r>
      <w:r w:rsidRPr="00A5563F">
        <w:rPr>
          <w:rFonts w:ascii="Aptos" w:eastAsia="Aptos" w:hAnsi="Aptos" w:cs="Times New Roman"/>
          <w:color w:val="auto"/>
          <w:kern w:val="2"/>
          <w:sz w:val="24"/>
          <w:szCs w:val="24"/>
          <w:lang w:eastAsia="en-US"/>
          <w14:ligatures w14:val="standardContextual"/>
        </w:rPr>
        <w:t>. [online] Available at: </w:t>
      </w:r>
      <w:hyperlink r:id="rId24" w:history="1">
        <w:r w:rsidRPr="00A5563F">
          <w:rPr>
            <w:rFonts w:ascii="Aptos" w:eastAsia="Aptos" w:hAnsi="Aptos" w:cs="Times New Roman"/>
            <w:color w:val="467886"/>
            <w:kern w:val="2"/>
            <w:sz w:val="24"/>
            <w:szCs w:val="24"/>
            <w:u w:val="single"/>
            <w:lang w:eastAsia="en-US"/>
            <w14:ligatures w14:val="standardContextual"/>
          </w:rPr>
          <w:t>https://www.safeguarding.wales/en/</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782DD869"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Welsh Government, 2019. </w:t>
      </w:r>
      <w:r w:rsidRPr="00A5563F">
        <w:rPr>
          <w:rFonts w:ascii="Aptos" w:eastAsia="Aptos" w:hAnsi="Aptos" w:cs="Times New Roman"/>
          <w:i/>
          <w:iCs/>
          <w:color w:val="auto"/>
          <w:kern w:val="2"/>
          <w:sz w:val="24"/>
          <w:szCs w:val="24"/>
          <w:lang w:eastAsia="en-US"/>
          <w14:ligatures w14:val="standardContextual"/>
        </w:rPr>
        <w:t>Welsh Index of Multiple Deprivation (WIMD) 2019: Guidance on use</w:t>
      </w:r>
      <w:r w:rsidRPr="00A5563F">
        <w:rPr>
          <w:rFonts w:ascii="Aptos" w:eastAsia="Aptos" w:hAnsi="Aptos" w:cs="Times New Roman"/>
          <w:color w:val="auto"/>
          <w:kern w:val="2"/>
          <w:sz w:val="24"/>
          <w:szCs w:val="24"/>
          <w:lang w:eastAsia="en-US"/>
          <w14:ligatures w14:val="standardContextual"/>
        </w:rPr>
        <w:t>. [online] Available at: </w:t>
      </w:r>
      <w:hyperlink r:id="rId25" w:history="1">
        <w:r w:rsidRPr="00A5563F">
          <w:rPr>
            <w:rFonts w:ascii="Aptos" w:eastAsia="Aptos" w:hAnsi="Aptos" w:cs="Times New Roman"/>
            <w:color w:val="467886"/>
            <w:kern w:val="2"/>
            <w:sz w:val="24"/>
            <w:szCs w:val="24"/>
            <w:u w:val="single"/>
            <w:lang w:eastAsia="en-US"/>
            <w14:ligatures w14:val="standardContextual"/>
          </w:rPr>
          <w:t>https://www.gov.wales/welsh-index-multiple-deprivation</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11D43506"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Welsh Language Act 1993</w:t>
      </w:r>
      <w:r w:rsidRPr="00A5563F">
        <w:rPr>
          <w:rFonts w:ascii="Aptos" w:eastAsia="Aptos" w:hAnsi="Aptos" w:cs="Times New Roman"/>
          <w:color w:val="auto"/>
          <w:kern w:val="2"/>
          <w:sz w:val="24"/>
          <w:szCs w:val="24"/>
          <w:lang w:eastAsia="en-US"/>
          <w14:ligatures w14:val="standardContextual"/>
        </w:rPr>
        <w:t>. Welsh Government, 1993. </w:t>
      </w:r>
      <w:r w:rsidRPr="00A5563F">
        <w:rPr>
          <w:rFonts w:ascii="Aptos" w:eastAsia="Aptos" w:hAnsi="Aptos" w:cs="Times New Roman"/>
          <w:i/>
          <w:iCs/>
          <w:color w:val="auto"/>
          <w:kern w:val="2"/>
          <w:sz w:val="24"/>
          <w:szCs w:val="24"/>
          <w:lang w:eastAsia="en-US"/>
          <w14:ligatures w14:val="standardContextual"/>
        </w:rPr>
        <w:t>Welsh Language Act 1993</w:t>
      </w:r>
      <w:r w:rsidRPr="00A5563F">
        <w:rPr>
          <w:rFonts w:ascii="Aptos" w:eastAsia="Aptos" w:hAnsi="Aptos" w:cs="Times New Roman"/>
          <w:color w:val="auto"/>
          <w:kern w:val="2"/>
          <w:sz w:val="24"/>
          <w:szCs w:val="24"/>
          <w:lang w:eastAsia="en-US"/>
          <w14:ligatures w14:val="standardContextual"/>
        </w:rPr>
        <w:t>. [online] Available at: </w:t>
      </w:r>
      <w:hyperlink r:id="rId26" w:history="1">
        <w:r w:rsidRPr="00A5563F">
          <w:rPr>
            <w:rFonts w:ascii="Aptos" w:eastAsia="Aptos" w:hAnsi="Aptos" w:cs="Times New Roman"/>
            <w:color w:val="467886"/>
            <w:kern w:val="2"/>
            <w:sz w:val="24"/>
            <w:szCs w:val="24"/>
            <w:u w:val="single"/>
            <w:lang w:eastAsia="en-US"/>
            <w14:ligatures w14:val="standardContextual"/>
          </w:rPr>
          <w:t>https://www.legislation.gov.uk/ukpga/1993/38/contents</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5C9A3003" w14:textId="64E00DE5" w:rsidR="00726F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Social Services and Well-being (Wales) Act 2014</w:t>
      </w:r>
      <w:r w:rsidRPr="00A5563F">
        <w:rPr>
          <w:rFonts w:ascii="Aptos" w:eastAsia="Aptos" w:hAnsi="Aptos" w:cs="Times New Roman"/>
          <w:color w:val="auto"/>
          <w:kern w:val="2"/>
          <w:sz w:val="24"/>
          <w:szCs w:val="24"/>
          <w:lang w:eastAsia="en-US"/>
          <w14:ligatures w14:val="standardContextual"/>
        </w:rPr>
        <w:t>. Welsh Government, 2014. </w:t>
      </w:r>
      <w:r w:rsidRPr="00A5563F">
        <w:rPr>
          <w:rFonts w:ascii="Aptos" w:eastAsia="Aptos" w:hAnsi="Aptos" w:cs="Times New Roman"/>
          <w:i/>
          <w:iCs/>
          <w:color w:val="auto"/>
          <w:kern w:val="2"/>
          <w:sz w:val="24"/>
          <w:szCs w:val="24"/>
          <w:lang w:eastAsia="en-US"/>
          <w14:ligatures w14:val="standardContextual"/>
        </w:rPr>
        <w:t>Social Services and Well-being (Wales) Act 2014</w:t>
      </w:r>
      <w:r w:rsidRPr="00A5563F">
        <w:rPr>
          <w:rFonts w:ascii="Aptos" w:eastAsia="Aptos" w:hAnsi="Aptos" w:cs="Times New Roman"/>
          <w:color w:val="auto"/>
          <w:kern w:val="2"/>
          <w:sz w:val="24"/>
          <w:szCs w:val="24"/>
          <w:lang w:eastAsia="en-US"/>
          <w14:ligatures w14:val="standardContextual"/>
        </w:rPr>
        <w:t>. [online] Available at: </w:t>
      </w:r>
      <w:hyperlink r:id="rId27" w:history="1">
        <w:r w:rsidRPr="00A5563F">
          <w:rPr>
            <w:rFonts w:ascii="Aptos" w:eastAsia="Aptos" w:hAnsi="Aptos" w:cs="Times New Roman"/>
            <w:color w:val="467886"/>
            <w:kern w:val="2"/>
            <w:sz w:val="24"/>
            <w:szCs w:val="24"/>
            <w:u w:val="single"/>
            <w:lang w:eastAsia="en-US"/>
            <w14:ligatures w14:val="standardContextual"/>
          </w:rPr>
          <w:t>https://www.legislation.gov.uk/anaw/2014/4</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2BF814C5"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Welsh Government, 2022. </w:t>
      </w:r>
      <w:r w:rsidRPr="00A5563F">
        <w:rPr>
          <w:rFonts w:ascii="Aptos" w:eastAsia="Aptos" w:hAnsi="Aptos" w:cs="Times New Roman"/>
          <w:i/>
          <w:iCs/>
          <w:color w:val="auto"/>
          <w:kern w:val="2"/>
          <w:sz w:val="24"/>
          <w:szCs w:val="24"/>
          <w:lang w:eastAsia="en-US"/>
          <w14:ligatures w14:val="standardContextual"/>
        </w:rPr>
        <w:t>More than just words: Welsh language plan in health and social care 2022–2027</w:t>
      </w:r>
      <w:r w:rsidRPr="00A5563F">
        <w:rPr>
          <w:rFonts w:ascii="Aptos" w:eastAsia="Aptos" w:hAnsi="Aptos" w:cs="Times New Roman"/>
          <w:color w:val="auto"/>
          <w:kern w:val="2"/>
          <w:sz w:val="24"/>
          <w:szCs w:val="24"/>
          <w:lang w:eastAsia="en-US"/>
          <w14:ligatures w14:val="standardContextual"/>
        </w:rPr>
        <w:t>. [online] Available at: </w:t>
      </w:r>
      <w:hyperlink r:id="rId28" w:history="1">
        <w:r w:rsidRPr="00A5563F">
          <w:rPr>
            <w:rFonts w:ascii="Aptos" w:eastAsia="Aptos" w:hAnsi="Aptos" w:cs="Times New Roman"/>
            <w:color w:val="467886"/>
            <w:kern w:val="2"/>
            <w:sz w:val="24"/>
            <w:szCs w:val="24"/>
            <w:u w:val="single"/>
            <w:lang w:eastAsia="en-US"/>
            <w14:ligatures w14:val="standardContextual"/>
          </w:rPr>
          <w:t>https://www.gov.wales/sites/default/files/publications/2022-07/more-than-just-words-action-plan-2022-2027.pdf</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67419B29"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Pomeroy, E.C. and Nonaka, A. (2013). </w:t>
      </w:r>
      <w:r w:rsidRPr="00A5563F">
        <w:rPr>
          <w:rFonts w:ascii="Aptos" w:eastAsia="Aptos" w:hAnsi="Aptos" w:cs="Times New Roman"/>
          <w:i/>
          <w:iCs/>
          <w:color w:val="auto"/>
          <w:kern w:val="2"/>
          <w:sz w:val="24"/>
          <w:szCs w:val="24"/>
          <w:lang w:eastAsia="en-US"/>
          <w14:ligatures w14:val="standardContextual"/>
        </w:rPr>
        <w:t>Language and social work: Are we really communicating effectively?</w:t>
      </w:r>
      <w:r w:rsidRPr="00A5563F">
        <w:rPr>
          <w:rFonts w:ascii="Aptos" w:eastAsia="Aptos" w:hAnsi="Aptos" w:cs="Times New Roman"/>
          <w:color w:val="auto"/>
          <w:kern w:val="2"/>
          <w:sz w:val="24"/>
          <w:szCs w:val="24"/>
          <w:lang w:eastAsia="en-US"/>
          <w14:ligatures w14:val="standardContextual"/>
        </w:rPr>
        <w:t> Social Work, 58(2), pp.101–104. Available at: </w:t>
      </w:r>
      <w:hyperlink r:id="rId29" w:history="1">
        <w:r w:rsidRPr="00A5563F">
          <w:rPr>
            <w:rFonts w:ascii="Aptos" w:eastAsia="Aptos" w:hAnsi="Aptos" w:cs="Times New Roman"/>
            <w:color w:val="467886"/>
            <w:kern w:val="2"/>
            <w:sz w:val="24"/>
            <w:szCs w:val="24"/>
            <w:u w:val="single"/>
            <w:lang w:eastAsia="en-US"/>
            <w14:ligatures w14:val="standardContextual"/>
          </w:rPr>
          <w:t>https://doi.org/10.1093/sw/swt008</w:t>
        </w:r>
      </w:hyperlink>
      <w:r w:rsidRPr="00A5563F">
        <w:rPr>
          <w:rFonts w:ascii="Aptos" w:eastAsia="Aptos" w:hAnsi="Aptos" w:cs="Times New Roman"/>
          <w:color w:val="auto"/>
          <w:kern w:val="2"/>
          <w:sz w:val="24"/>
          <w:szCs w:val="24"/>
          <w:lang w:eastAsia="en-US"/>
          <w14:ligatures w14:val="standardContextual"/>
        </w:rPr>
        <w:t xml:space="preserve"> (Accessed: 9 September 2025). </w:t>
      </w:r>
    </w:p>
    <w:p w14:paraId="5AEA6CAD"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lastRenderedPageBreak/>
        <w:t>Social Care Wales, 2017. </w:t>
      </w:r>
      <w:r w:rsidRPr="00A5563F">
        <w:rPr>
          <w:rFonts w:ascii="Aptos" w:eastAsia="Aptos" w:hAnsi="Aptos" w:cs="Times New Roman"/>
          <w:i/>
          <w:iCs/>
          <w:color w:val="auto"/>
          <w:kern w:val="2"/>
          <w:sz w:val="24"/>
          <w:szCs w:val="24"/>
          <w:lang w:eastAsia="en-US"/>
          <w14:ligatures w14:val="standardContextual"/>
        </w:rPr>
        <w:t>Code of Professional Practice for Social Care</w:t>
      </w:r>
      <w:r w:rsidRPr="00A5563F">
        <w:rPr>
          <w:rFonts w:ascii="Aptos" w:eastAsia="Aptos" w:hAnsi="Aptos" w:cs="Times New Roman"/>
          <w:color w:val="auto"/>
          <w:kern w:val="2"/>
          <w:sz w:val="24"/>
          <w:szCs w:val="24"/>
          <w:lang w:eastAsia="en-US"/>
          <w14:ligatures w14:val="standardContextual"/>
        </w:rPr>
        <w:t>. [online] Available at: </w:t>
      </w:r>
      <w:hyperlink r:id="rId30" w:history="1">
        <w:r w:rsidRPr="00A5563F">
          <w:rPr>
            <w:rFonts w:ascii="Aptos" w:eastAsia="Aptos" w:hAnsi="Aptos" w:cs="Times New Roman"/>
            <w:color w:val="467886"/>
            <w:kern w:val="2"/>
            <w:sz w:val="24"/>
            <w:szCs w:val="24"/>
            <w:u w:val="single"/>
            <w:lang w:eastAsia="en-US"/>
            <w14:ligatures w14:val="standardContextual"/>
          </w:rPr>
          <w:t>https://socialcare.wales/cms_assets/file-uploads/Code-of-Professional-Practice-for-Social-Care.pdf</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6E58218E"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Signs of Safety, n.d. </w:t>
      </w:r>
      <w:r w:rsidRPr="00A5563F">
        <w:rPr>
          <w:rFonts w:ascii="Aptos" w:eastAsia="Aptos" w:hAnsi="Aptos" w:cs="Times New Roman"/>
          <w:i/>
          <w:iCs/>
          <w:color w:val="auto"/>
          <w:kern w:val="2"/>
          <w:sz w:val="24"/>
          <w:szCs w:val="24"/>
          <w:lang w:eastAsia="en-US"/>
          <w14:ligatures w14:val="standardContextual"/>
        </w:rPr>
        <w:t>What is Signs of Safety?</w:t>
      </w:r>
      <w:r w:rsidRPr="00A5563F">
        <w:rPr>
          <w:rFonts w:ascii="Aptos" w:eastAsia="Aptos" w:hAnsi="Aptos" w:cs="Times New Roman"/>
          <w:color w:val="auto"/>
          <w:kern w:val="2"/>
          <w:sz w:val="24"/>
          <w:szCs w:val="24"/>
          <w:lang w:eastAsia="en-US"/>
          <w14:ligatures w14:val="standardContextual"/>
        </w:rPr>
        <w:t> [online] Available at: </w:t>
      </w:r>
      <w:hyperlink r:id="rId31" w:history="1">
        <w:r w:rsidRPr="00A5563F">
          <w:rPr>
            <w:rFonts w:ascii="Aptos" w:eastAsia="Aptos" w:hAnsi="Aptos" w:cs="Times New Roman"/>
            <w:color w:val="467886"/>
            <w:kern w:val="2"/>
            <w:sz w:val="24"/>
            <w:szCs w:val="24"/>
            <w:u w:val="single"/>
            <w:lang w:eastAsia="en-US"/>
            <w14:ligatures w14:val="standardContextual"/>
          </w:rPr>
          <w:t>https://www.signsofsafety.net/what-is-sofs/</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460C3654"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Weger, H., Bell, G.C., </w:t>
      </w:r>
      <w:proofErr w:type="spellStart"/>
      <w:r w:rsidRPr="00A5563F">
        <w:rPr>
          <w:rFonts w:ascii="Aptos" w:eastAsia="Aptos" w:hAnsi="Aptos" w:cs="Times New Roman"/>
          <w:color w:val="auto"/>
          <w:kern w:val="2"/>
          <w:sz w:val="24"/>
          <w:szCs w:val="24"/>
          <w:lang w:eastAsia="en-US"/>
          <w14:ligatures w14:val="standardContextual"/>
        </w:rPr>
        <w:t>Minei</w:t>
      </w:r>
      <w:proofErr w:type="spellEnd"/>
      <w:r w:rsidRPr="00A5563F">
        <w:rPr>
          <w:rFonts w:ascii="Aptos" w:eastAsia="Aptos" w:hAnsi="Aptos" w:cs="Times New Roman"/>
          <w:color w:val="auto"/>
          <w:kern w:val="2"/>
          <w:sz w:val="24"/>
          <w:szCs w:val="24"/>
          <w:lang w:eastAsia="en-US"/>
          <w14:ligatures w14:val="standardContextual"/>
        </w:rPr>
        <w:t>, E.M. and Robinson, M.C., 2014. The relative effectiveness of active listening in initial interactions. </w:t>
      </w:r>
      <w:r w:rsidRPr="00A5563F">
        <w:rPr>
          <w:rFonts w:ascii="Aptos" w:eastAsia="Aptos" w:hAnsi="Aptos" w:cs="Times New Roman"/>
          <w:i/>
          <w:iCs/>
          <w:color w:val="auto"/>
          <w:kern w:val="2"/>
          <w:sz w:val="24"/>
          <w:szCs w:val="24"/>
          <w:lang w:eastAsia="en-US"/>
          <w14:ligatures w14:val="standardContextual"/>
        </w:rPr>
        <w:t>International Journal of Listening</w:t>
      </w:r>
      <w:r w:rsidRPr="00A5563F">
        <w:rPr>
          <w:rFonts w:ascii="Aptos" w:eastAsia="Aptos" w:hAnsi="Aptos" w:cs="Times New Roman"/>
          <w:color w:val="auto"/>
          <w:kern w:val="2"/>
          <w:sz w:val="24"/>
          <w:szCs w:val="24"/>
          <w:lang w:eastAsia="en-US"/>
          <w14:ligatures w14:val="standardContextual"/>
        </w:rPr>
        <w:t>, 28(1), pp.13–31. </w:t>
      </w:r>
      <w:hyperlink r:id="rId32" w:history="1">
        <w:r w:rsidRPr="00A5563F">
          <w:rPr>
            <w:rFonts w:ascii="Aptos" w:eastAsia="Aptos" w:hAnsi="Aptos" w:cs="Times New Roman"/>
            <w:color w:val="467886"/>
            <w:kern w:val="2"/>
            <w:sz w:val="24"/>
            <w:szCs w:val="24"/>
            <w:u w:val="single"/>
            <w:lang w:eastAsia="en-US"/>
            <w14:ligatures w14:val="standardContextual"/>
          </w:rPr>
          <w:t>https://doi.org/10.1080/10904018.2013.813234[1](https://reachfamilies.umn.edu/sites/default/files/prtw/2021-09/Weger_2014__2021091010606.pdf)</w:t>
        </w:r>
      </w:hyperlink>
      <w:r w:rsidRPr="00A5563F">
        <w:rPr>
          <w:rFonts w:ascii="Aptos" w:eastAsia="Aptos" w:hAnsi="Aptos" w:cs="Times New Roman"/>
          <w:color w:val="auto"/>
          <w:kern w:val="2"/>
          <w:sz w:val="24"/>
          <w:szCs w:val="24"/>
          <w:lang w:eastAsia="en-US"/>
          <w14:ligatures w14:val="standardContextual"/>
        </w:rPr>
        <w:t xml:space="preserve"> (Accessed: 10 Sep 2025). </w:t>
      </w:r>
    </w:p>
    <w:p w14:paraId="5D8D042A"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Fenech, A., Ferguson, L. and </w:t>
      </w:r>
      <w:proofErr w:type="spellStart"/>
      <w:r w:rsidRPr="00A5563F">
        <w:rPr>
          <w:rFonts w:ascii="Aptos" w:eastAsia="Aptos" w:hAnsi="Aptos" w:cs="Times New Roman"/>
          <w:color w:val="auto"/>
          <w:kern w:val="2"/>
          <w:sz w:val="24"/>
          <w:szCs w:val="24"/>
          <w:lang w:eastAsia="en-US"/>
          <w14:ligatures w14:val="standardContextual"/>
        </w:rPr>
        <w:t>Asiegbunam</w:t>
      </w:r>
      <w:proofErr w:type="spellEnd"/>
      <w:r w:rsidRPr="00A5563F">
        <w:rPr>
          <w:rFonts w:ascii="Aptos" w:eastAsia="Aptos" w:hAnsi="Aptos" w:cs="Times New Roman"/>
          <w:color w:val="auto"/>
          <w:kern w:val="2"/>
          <w:sz w:val="24"/>
          <w:szCs w:val="24"/>
          <w:lang w:eastAsia="en-US"/>
          <w14:ligatures w14:val="standardContextual"/>
        </w:rPr>
        <w:t>, N., 2025. Improving communication in child protection. </w:t>
      </w:r>
      <w:r w:rsidRPr="00A5563F">
        <w:rPr>
          <w:rFonts w:ascii="Aptos" w:eastAsia="Aptos" w:hAnsi="Aptos" w:cs="Times New Roman"/>
          <w:i/>
          <w:iCs/>
          <w:color w:val="auto"/>
          <w:kern w:val="2"/>
          <w:sz w:val="24"/>
          <w:szCs w:val="24"/>
          <w:lang w:eastAsia="en-US"/>
          <w14:ligatures w14:val="standardContextual"/>
        </w:rPr>
        <w:t>Archives of Disease in Childhood – Education &amp; Practice Edition</w:t>
      </w:r>
      <w:r w:rsidRPr="00A5563F">
        <w:rPr>
          <w:rFonts w:ascii="Aptos" w:eastAsia="Aptos" w:hAnsi="Aptos" w:cs="Times New Roman"/>
          <w:color w:val="auto"/>
          <w:kern w:val="2"/>
          <w:sz w:val="24"/>
          <w:szCs w:val="24"/>
          <w:lang w:eastAsia="en-US"/>
          <w14:ligatures w14:val="standardContextual"/>
        </w:rPr>
        <w:t>. [online] Available at: </w:t>
      </w:r>
      <w:hyperlink r:id="rId33" w:history="1">
        <w:r w:rsidRPr="00A5563F">
          <w:rPr>
            <w:rFonts w:ascii="Aptos" w:eastAsia="Aptos" w:hAnsi="Aptos" w:cs="Times New Roman"/>
            <w:color w:val="467886"/>
            <w:kern w:val="2"/>
            <w:sz w:val="24"/>
            <w:szCs w:val="24"/>
            <w:u w:val="single"/>
            <w:lang w:eastAsia="en-US"/>
            <w14:ligatures w14:val="standardContextual"/>
          </w:rPr>
          <w:t>https://ep.bmj.com/content/early/2025/02/24/archdischild-2024-327841</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05E59C53"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Jasper, M. (2013). </w:t>
      </w:r>
      <w:r w:rsidRPr="00A5563F">
        <w:rPr>
          <w:rFonts w:ascii="Aptos" w:eastAsia="Aptos" w:hAnsi="Aptos" w:cs="Times New Roman"/>
          <w:i/>
          <w:iCs/>
          <w:color w:val="auto"/>
          <w:kern w:val="2"/>
          <w:sz w:val="24"/>
          <w:szCs w:val="24"/>
          <w:lang w:eastAsia="en-US"/>
          <w14:ligatures w14:val="standardContextual"/>
        </w:rPr>
        <w:t>Beginning Reflective Practice</w:t>
      </w:r>
      <w:r w:rsidRPr="00A5563F">
        <w:rPr>
          <w:rFonts w:ascii="Aptos" w:eastAsia="Aptos" w:hAnsi="Aptos" w:cs="Times New Roman"/>
          <w:color w:val="auto"/>
          <w:kern w:val="2"/>
          <w:sz w:val="24"/>
          <w:szCs w:val="24"/>
          <w:lang w:eastAsia="en-US"/>
          <w14:ligatures w14:val="standardContextual"/>
        </w:rPr>
        <w:t xml:space="preserve">. 2nd </w:t>
      </w:r>
      <w:proofErr w:type="spellStart"/>
      <w:r w:rsidRPr="00A5563F">
        <w:rPr>
          <w:rFonts w:ascii="Aptos" w:eastAsia="Aptos" w:hAnsi="Aptos" w:cs="Times New Roman"/>
          <w:color w:val="auto"/>
          <w:kern w:val="2"/>
          <w:sz w:val="24"/>
          <w:szCs w:val="24"/>
          <w:lang w:eastAsia="en-US"/>
          <w14:ligatures w14:val="standardContextual"/>
        </w:rPr>
        <w:t>edn</w:t>
      </w:r>
      <w:proofErr w:type="spellEnd"/>
      <w:r w:rsidRPr="00A5563F">
        <w:rPr>
          <w:rFonts w:ascii="Aptos" w:eastAsia="Aptos" w:hAnsi="Aptos" w:cs="Times New Roman"/>
          <w:color w:val="auto"/>
          <w:kern w:val="2"/>
          <w:sz w:val="24"/>
          <w:szCs w:val="24"/>
          <w:lang w:eastAsia="en-US"/>
          <w14:ligatures w14:val="standardContextual"/>
        </w:rPr>
        <w:t>. Andover: Cengage Learning.</w:t>
      </w:r>
    </w:p>
    <w:p w14:paraId="54AAC031"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Lillis, T., Leedham, M. and Twiner, A., 2020. Time, the written record, and professional practice: The case of contemporary social work. </w:t>
      </w:r>
      <w:r w:rsidRPr="00A5563F">
        <w:rPr>
          <w:rFonts w:ascii="Aptos" w:eastAsia="Aptos" w:hAnsi="Aptos" w:cs="Times New Roman"/>
          <w:i/>
          <w:iCs/>
          <w:color w:val="auto"/>
          <w:kern w:val="2"/>
          <w:sz w:val="24"/>
          <w:szCs w:val="24"/>
          <w:lang w:eastAsia="en-US"/>
          <w14:ligatures w14:val="standardContextual"/>
        </w:rPr>
        <w:t>Written Communication</w:t>
      </w:r>
      <w:r w:rsidRPr="00A5563F">
        <w:rPr>
          <w:rFonts w:ascii="Aptos" w:eastAsia="Aptos" w:hAnsi="Aptos" w:cs="Times New Roman"/>
          <w:color w:val="auto"/>
          <w:kern w:val="2"/>
          <w:sz w:val="24"/>
          <w:szCs w:val="24"/>
          <w:lang w:eastAsia="en-US"/>
          <w14:ligatures w14:val="standardContextual"/>
        </w:rPr>
        <w:t>, 37(4), pp.431–486. Available at: </w:t>
      </w:r>
      <w:hyperlink r:id="rId34" w:history="1">
        <w:r w:rsidRPr="00A5563F">
          <w:rPr>
            <w:rFonts w:ascii="Aptos" w:eastAsia="Aptos" w:hAnsi="Aptos" w:cs="Times New Roman"/>
            <w:color w:val="467886"/>
            <w:kern w:val="2"/>
            <w:sz w:val="24"/>
            <w:szCs w:val="24"/>
            <w:u w:val="single"/>
            <w:lang w:eastAsia="en-US"/>
            <w14:ligatures w14:val="standardContextual"/>
          </w:rPr>
          <w:t>https://journals.sagepub.com/doi/pdf/10.1177/0741088320938804</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359BFFCD"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b/>
          <w:bCs/>
          <w:color w:val="auto"/>
          <w:kern w:val="2"/>
          <w:sz w:val="24"/>
          <w:szCs w:val="24"/>
          <w:lang w:eastAsia="en-US"/>
          <w14:ligatures w14:val="standardContextual"/>
        </w:rPr>
      </w:pPr>
      <w:r w:rsidRPr="00A5563F">
        <w:rPr>
          <w:rFonts w:ascii="Aptos" w:eastAsia="Aptos" w:hAnsi="Aptos" w:cs="Times New Roman"/>
          <w:b/>
          <w:bCs/>
          <w:color w:val="auto"/>
          <w:kern w:val="2"/>
          <w:sz w:val="24"/>
          <w:szCs w:val="24"/>
          <w:lang w:eastAsia="en-US"/>
          <w14:ligatures w14:val="standardContextual"/>
        </w:rPr>
        <w:t xml:space="preserve">References Task 3 </w:t>
      </w:r>
    </w:p>
    <w:p w14:paraId="3CB139CF"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Jasper, M. (2013). </w:t>
      </w:r>
      <w:r w:rsidRPr="00A5563F">
        <w:rPr>
          <w:rFonts w:ascii="Aptos" w:eastAsia="Aptos" w:hAnsi="Aptos" w:cs="Times New Roman"/>
          <w:i/>
          <w:iCs/>
          <w:color w:val="auto"/>
          <w:kern w:val="2"/>
          <w:sz w:val="24"/>
          <w:szCs w:val="24"/>
          <w:lang w:eastAsia="en-US"/>
          <w14:ligatures w14:val="standardContextual"/>
        </w:rPr>
        <w:t>Beginning Reflective Practice</w:t>
      </w:r>
      <w:r w:rsidRPr="00A5563F">
        <w:rPr>
          <w:rFonts w:ascii="Aptos" w:eastAsia="Aptos" w:hAnsi="Aptos" w:cs="Times New Roman"/>
          <w:color w:val="auto"/>
          <w:kern w:val="2"/>
          <w:sz w:val="24"/>
          <w:szCs w:val="24"/>
          <w:lang w:eastAsia="en-US"/>
          <w14:ligatures w14:val="standardContextual"/>
        </w:rPr>
        <w:t xml:space="preserve">. 2nd </w:t>
      </w:r>
      <w:proofErr w:type="spellStart"/>
      <w:r w:rsidRPr="00A5563F">
        <w:rPr>
          <w:rFonts w:ascii="Aptos" w:eastAsia="Aptos" w:hAnsi="Aptos" w:cs="Times New Roman"/>
          <w:color w:val="auto"/>
          <w:kern w:val="2"/>
          <w:sz w:val="24"/>
          <w:szCs w:val="24"/>
          <w:lang w:eastAsia="en-US"/>
          <w14:ligatures w14:val="standardContextual"/>
        </w:rPr>
        <w:t>edn</w:t>
      </w:r>
      <w:proofErr w:type="spellEnd"/>
      <w:r w:rsidRPr="00A5563F">
        <w:rPr>
          <w:rFonts w:ascii="Aptos" w:eastAsia="Aptos" w:hAnsi="Aptos" w:cs="Times New Roman"/>
          <w:color w:val="auto"/>
          <w:kern w:val="2"/>
          <w:sz w:val="24"/>
          <w:szCs w:val="24"/>
          <w:lang w:eastAsia="en-US"/>
          <w14:ligatures w14:val="standardContextual"/>
        </w:rPr>
        <w:t>. Andover: Cengage Learning</w:t>
      </w:r>
    </w:p>
    <w:p w14:paraId="760387F9"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 xml:space="preserve">Social Services and Well-being (Wales) Act 2014 </w:t>
      </w:r>
      <w:r w:rsidRPr="00A5563F">
        <w:rPr>
          <w:rFonts w:ascii="Aptos" w:eastAsia="Aptos" w:hAnsi="Aptos" w:cs="Times New Roman"/>
          <w:color w:val="auto"/>
          <w:kern w:val="2"/>
          <w:sz w:val="24"/>
          <w:szCs w:val="24"/>
          <w:lang w:eastAsia="en-US"/>
          <w14:ligatures w14:val="standardContextual"/>
        </w:rPr>
        <w:t xml:space="preserve">Available at:  </w:t>
      </w:r>
      <w:hyperlink r:id="rId35" w:history="1">
        <w:r w:rsidRPr="00A5563F">
          <w:rPr>
            <w:rFonts w:ascii="Aptos" w:eastAsia="Aptos" w:hAnsi="Aptos" w:cs="Times New Roman"/>
            <w:color w:val="467886"/>
            <w:kern w:val="2"/>
            <w:sz w:val="24"/>
            <w:szCs w:val="24"/>
            <w:u w:val="single"/>
            <w:lang w:eastAsia="en-US"/>
            <w14:ligatures w14:val="standardContextual"/>
          </w:rPr>
          <w:t>Social Services and Well-being (Wales) Act 2014</w:t>
        </w:r>
      </w:hyperlink>
      <w:r w:rsidRPr="00A5563F">
        <w:rPr>
          <w:rFonts w:ascii="Aptos" w:eastAsia="Aptos" w:hAnsi="Aptos" w:cs="Times New Roman"/>
          <w:color w:val="auto"/>
          <w:kern w:val="2"/>
          <w:sz w:val="24"/>
          <w:szCs w:val="24"/>
          <w:lang w:eastAsia="en-US"/>
          <w14:ligatures w14:val="standardContextual"/>
        </w:rPr>
        <w:t xml:space="preserve">  (Accessed:1 October 2025).  </w:t>
      </w:r>
    </w:p>
    <w:p w14:paraId="00844A21"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The Welsh Language Act 1993</w:t>
      </w:r>
      <w:r w:rsidRPr="00A5563F">
        <w:rPr>
          <w:rFonts w:ascii="Aptos" w:eastAsia="Aptos" w:hAnsi="Aptos" w:cs="Times New Roman"/>
          <w:color w:val="auto"/>
          <w:kern w:val="2"/>
          <w:sz w:val="24"/>
          <w:szCs w:val="24"/>
          <w:lang w:eastAsia="en-US"/>
          <w14:ligatures w14:val="standardContextual"/>
        </w:rPr>
        <w:t xml:space="preserve"> Available at: </w:t>
      </w:r>
      <w:hyperlink r:id="rId36" w:history="1">
        <w:r w:rsidRPr="00A5563F">
          <w:rPr>
            <w:rFonts w:ascii="Aptos" w:eastAsia="Aptos" w:hAnsi="Aptos" w:cs="Times New Roman"/>
            <w:color w:val="467886"/>
            <w:kern w:val="2"/>
            <w:sz w:val="24"/>
            <w:szCs w:val="24"/>
            <w:u w:val="single"/>
            <w:lang w:eastAsia="en-US"/>
            <w14:ligatures w14:val="standardContextual"/>
          </w:rPr>
          <w:t>Welsh Language Act 1993</w:t>
        </w:r>
      </w:hyperlink>
      <w:r w:rsidRPr="00A5563F">
        <w:rPr>
          <w:rFonts w:ascii="Aptos" w:eastAsia="Aptos" w:hAnsi="Aptos" w:cs="Times New Roman"/>
          <w:color w:val="auto"/>
          <w:kern w:val="2"/>
          <w:sz w:val="24"/>
          <w:szCs w:val="24"/>
          <w:lang w:eastAsia="en-US"/>
          <w14:ligatures w14:val="standardContextual"/>
        </w:rPr>
        <w:t xml:space="preserve"> (Accessed: 2 October 2025). </w:t>
      </w:r>
    </w:p>
    <w:p w14:paraId="6E1C9267"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Care Wales, 2019. </w:t>
      </w:r>
      <w:r w:rsidRPr="00A5563F">
        <w:rPr>
          <w:rFonts w:ascii="Aptos" w:eastAsia="Aptos" w:hAnsi="Aptos" w:cs="Times New Roman"/>
          <w:i/>
          <w:iCs/>
          <w:color w:val="auto"/>
          <w:kern w:val="2"/>
          <w:sz w:val="24"/>
          <w:szCs w:val="24"/>
          <w:lang w:eastAsia="en-US"/>
          <w14:ligatures w14:val="standardContextual"/>
        </w:rPr>
        <w:t>Wales Safeguarding Procedures</w:t>
      </w:r>
      <w:r w:rsidRPr="00A5563F">
        <w:rPr>
          <w:rFonts w:ascii="Aptos" w:eastAsia="Aptos" w:hAnsi="Aptos" w:cs="Times New Roman"/>
          <w:color w:val="auto"/>
          <w:kern w:val="2"/>
          <w:sz w:val="24"/>
          <w:szCs w:val="24"/>
          <w:lang w:eastAsia="en-US"/>
          <w14:ligatures w14:val="standardContextual"/>
        </w:rPr>
        <w:t>. [online] Available at: </w:t>
      </w:r>
      <w:hyperlink r:id="rId37" w:history="1">
        <w:r w:rsidRPr="00A5563F">
          <w:rPr>
            <w:rFonts w:ascii="Aptos" w:eastAsia="Aptos" w:hAnsi="Aptos" w:cs="Times New Roman"/>
            <w:color w:val="467886"/>
            <w:kern w:val="2"/>
            <w:sz w:val="24"/>
            <w:szCs w:val="24"/>
            <w:u w:val="single"/>
            <w:lang w:eastAsia="en-US"/>
            <w14:ligatures w14:val="standardContextual"/>
          </w:rPr>
          <w:t>https://www.safeguarding.wales/en/</w:t>
        </w:r>
      </w:hyperlink>
      <w:r w:rsidRPr="00A5563F">
        <w:rPr>
          <w:rFonts w:ascii="Aptos" w:eastAsia="Aptos" w:hAnsi="Aptos" w:cs="Times New Roman"/>
          <w:color w:val="auto"/>
          <w:kern w:val="2"/>
          <w:sz w:val="24"/>
          <w:szCs w:val="24"/>
          <w:lang w:eastAsia="en-US"/>
          <w14:ligatures w14:val="standardContextual"/>
        </w:rPr>
        <w:t xml:space="preserve">  (Accessed: 2</w:t>
      </w:r>
      <w:r w:rsidRPr="00A5563F">
        <w:rPr>
          <w:rFonts w:ascii="Aptos" w:eastAsia="Aptos" w:hAnsi="Aptos" w:cs="Times New Roman"/>
          <w:color w:val="auto"/>
          <w:kern w:val="2"/>
          <w:sz w:val="24"/>
          <w:szCs w:val="24"/>
          <w:vertAlign w:val="superscript"/>
          <w:lang w:eastAsia="en-US"/>
          <w14:ligatures w14:val="standardContextual"/>
        </w:rPr>
        <w:t xml:space="preserve"> </w:t>
      </w:r>
      <w:r w:rsidRPr="00A5563F">
        <w:rPr>
          <w:rFonts w:ascii="Aptos" w:eastAsia="Aptos" w:hAnsi="Aptos" w:cs="Times New Roman"/>
          <w:color w:val="auto"/>
          <w:kern w:val="2"/>
          <w:sz w:val="24"/>
          <w:szCs w:val="24"/>
          <w:lang w:eastAsia="en-US"/>
          <w14:ligatures w14:val="standardContextual"/>
        </w:rPr>
        <w:t>October 2025).</w:t>
      </w:r>
    </w:p>
    <w:p w14:paraId="59295F05"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Care Inspectorate Wales (n.d.) </w:t>
      </w:r>
      <w:r w:rsidRPr="00A5563F">
        <w:rPr>
          <w:rFonts w:ascii="Aptos" w:eastAsia="Aptos" w:hAnsi="Aptos" w:cs="Times New Roman"/>
          <w:i/>
          <w:iCs/>
          <w:color w:val="auto"/>
          <w:kern w:val="2"/>
          <w:sz w:val="24"/>
          <w:szCs w:val="24"/>
          <w:lang w:eastAsia="en-US"/>
          <w14:ligatures w14:val="standardContextual"/>
        </w:rPr>
        <w:t>More than just words</w:t>
      </w:r>
      <w:r w:rsidRPr="00A5563F">
        <w:rPr>
          <w:rFonts w:ascii="Aptos" w:eastAsia="Aptos" w:hAnsi="Aptos" w:cs="Times New Roman"/>
          <w:color w:val="auto"/>
          <w:kern w:val="2"/>
          <w:sz w:val="24"/>
          <w:szCs w:val="24"/>
          <w:lang w:eastAsia="en-US"/>
          <w14:ligatures w14:val="standardContextual"/>
        </w:rPr>
        <w:t xml:space="preserve">. Available at: </w:t>
      </w:r>
      <w:hyperlink r:id="rId38" w:tgtFrame="_blank" w:history="1">
        <w:r w:rsidRPr="00A5563F">
          <w:rPr>
            <w:rFonts w:ascii="Aptos" w:eastAsia="Aptos" w:hAnsi="Aptos" w:cs="Times New Roman"/>
            <w:color w:val="467886"/>
            <w:kern w:val="2"/>
            <w:sz w:val="24"/>
            <w:szCs w:val="24"/>
            <w:u w:val="single"/>
            <w:lang w:eastAsia="en-US"/>
            <w14:ligatures w14:val="standardContextual"/>
          </w:rPr>
          <w:t>https://www.careinspectorate.wales/more-just-words</w:t>
        </w:r>
      </w:hyperlink>
      <w:r w:rsidRPr="00A5563F">
        <w:rPr>
          <w:rFonts w:ascii="Aptos" w:eastAsia="Aptos" w:hAnsi="Aptos" w:cs="Times New Roman"/>
          <w:color w:val="auto"/>
          <w:kern w:val="2"/>
          <w:sz w:val="24"/>
          <w:szCs w:val="24"/>
          <w:lang w:eastAsia="en-US"/>
          <w14:ligatures w14:val="standardContextual"/>
        </w:rPr>
        <w:t xml:space="preserve"> (Accessed: 2 October 2025).</w:t>
      </w:r>
    </w:p>
    <w:p w14:paraId="232F33E3"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lastRenderedPageBreak/>
        <w:t>Social Care Wales, 2017. </w:t>
      </w:r>
      <w:r w:rsidRPr="00A5563F">
        <w:rPr>
          <w:rFonts w:ascii="Aptos" w:eastAsia="Aptos" w:hAnsi="Aptos" w:cs="Times New Roman"/>
          <w:i/>
          <w:iCs/>
          <w:color w:val="auto"/>
          <w:kern w:val="2"/>
          <w:sz w:val="24"/>
          <w:szCs w:val="24"/>
          <w:lang w:eastAsia="en-US"/>
          <w14:ligatures w14:val="standardContextual"/>
        </w:rPr>
        <w:t>Code of Professional Practice for Social Care</w:t>
      </w:r>
      <w:r w:rsidRPr="00A5563F">
        <w:rPr>
          <w:rFonts w:ascii="Aptos" w:eastAsia="Aptos" w:hAnsi="Aptos" w:cs="Times New Roman"/>
          <w:color w:val="auto"/>
          <w:kern w:val="2"/>
          <w:sz w:val="24"/>
          <w:szCs w:val="24"/>
          <w:lang w:eastAsia="en-US"/>
          <w14:ligatures w14:val="standardContextual"/>
        </w:rPr>
        <w:t>. [online] Available at: </w:t>
      </w:r>
      <w:hyperlink r:id="rId39" w:history="1">
        <w:r w:rsidRPr="00A5563F">
          <w:rPr>
            <w:rFonts w:ascii="Aptos" w:eastAsia="Aptos" w:hAnsi="Aptos" w:cs="Times New Roman"/>
            <w:color w:val="467886"/>
            <w:kern w:val="2"/>
            <w:sz w:val="24"/>
            <w:szCs w:val="24"/>
            <w:u w:val="single"/>
            <w:lang w:eastAsia="en-US"/>
            <w14:ligatures w14:val="standardContextual"/>
          </w:rPr>
          <w:t>https://socialcare.wales/cms_assets/file-uploads/Code-of-Professional-Practice-for-Social-Care.pdf</w:t>
        </w:r>
      </w:hyperlink>
      <w:r w:rsidRPr="00A5563F">
        <w:rPr>
          <w:rFonts w:ascii="Aptos" w:eastAsia="Aptos" w:hAnsi="Aptos" w:cs="Times New Roman"/>
          <w:color w:val="auto"/>
          <w:kern w:val="2"/>
          <w:sz w:val="24"/>
          <w:szCs w:val="24"/>
          <w:lang w:eastAsia="en-US"/>
          <w14:ligatures w14:val="standardContextual"/>
        </w:rPr>
        <w:t xml:space="preserve">  (Accessed 2 October 2025).</w:t>
      </w:r>
    </w:p>
    <w:p w14:paraId="64E6429C"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Welsh Government, 2022. </w:t>
      </w:r>
      <w:r w:rsidRPr="00A5563F">
        <w:rPr>
          <w:rFonts w:ascii="Aptos" w:eastAsia="Aptos" w:hAnsi="Aptos" w:cs="Times New Roman"/>
          <w:i/>
          <w:iCs/>
          <w:color w:val="auto"/>
          <w:kern w:val="2"/>
          <w:sz w:val="24"/>
          <w:szCs w:val="24"/>
          <w:lang w:eastAsia="en-US"/>
          <w14:ligatures w14:val="standardContextual"/>
        </w:rPr>
        <w:t>Working Together to Safeguard People: Code of Safeguarding Practice</w:t>
      </w:r>
      <w:r w:rsidRPr="00A5563F">
        <w:rPr>
          <w:rFonts w:ascii="Aptos" w:eastAsia="Aptos" w:hAnsi="Aptos" w:cs="Times New Roman"/>
          <w:color w:val="auto"/>
          <w:kern w:val="2"/>
          <w:sz w:val="24"/>
          <w:szCs w:val="24"/>
          <w:lang w:eastAsia="en-US"/>
          <w14:ligatures w14:val="standardContextual"/>
        </w:rPr>
        <w:t>. Available at: </w:t>
      </w:r>
      <w:hyperlink r:id="rId40" w:history="1">
        <w:r w:rsidRPr="00A5563F">
          <w:rPr>
            <w:rFonts w:ascii="Aptos" w:eastAsia="Aptos" w:hAnsi="Aptos" w:cs="Times New Roman"/>
            <w:color w:val="467886"/>
            <w:kern w:val="2"/>
            <w:sz w:val="24"/>
            <w:szCs w:val="24"/>
            <w:u w:val="single"/>
            <w:lang w:eastAsia="en-US"/>
            <w14:ligatures w14:val="standardContextual"/>
          </w:rPr>
          <w:t>https://www.gov.wales/sites/default/files/publications/2022-01/working-together-to-safeguard-people--code-of-safeguarding-practice_0.pdf</w:t>
        </w:r>
      </w:hyperlink>
      <w:r w:rsidRPr="00A5563F">
        <w:rPr>
          <w:rFonts w:ascii="Aptos" w:eastAsia="Aptos" w:hAnsi="Aptos" w:cs="Times New Roman"/>
          <w:color w:val="auto"/>
          <w:kern w:val="2"/>
          <w:sz w:val="24"/>
          <w:szCs w:val="24"/>
          <w:lang w:eastAsia="en-US"/>
          <w14:ligatures w14:val="standardContextual"/>
        </w:rPr>
        <w:t xml:space="preserve">  (Accessed: 1 October 2025).</w:t>
      </w:r>
    </w:p>
    <w:p w14:paraId="70964EE2"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 xml:space="preserve">Children Act 1989 </w:t>
      </w:r>
      <w:r w:rsidRPr="00A5563F">
        <w:rPr>
          <w:rFonts w:ascii="Aptos" w:eastAsia="Aptos" w:hAnsi="Aptos" w:cs="Times New Roman"/>
          <w:color w:val="auto"/>
          <w:kern w:val="2"/>
          <w:sz w:val="24"/>
          <w:szCs w:val="24"/>
          <w:lang w:eastAsia="en-US"/>
          <w14:ligatures w14:val="standardContextual"/>
        </w:rPr>
        <w:t xml:space="preserve">Available at: </w:t>
      </w:r>
      <w:hyperlink r:id="rId41" w:history="1">
        <w:r w:rsidRPr="00A5563F">
          <w:rPr>
            <w:rFonts w:ascii="Aptos" w:eastAsia="Aptos" w:hAnsi="Aptos" w:cs="Times New Roman"/>
            <w:color w:val="467886"/>
            <w:kern w:val="2"/>
            <w:sz w:val="24"/>
            <w:szCs w:val="24"/>
            <w:u w:val="single"/>
            <w:lang w:eastAsia="en-US"/>
            <w14:ligatures w14:val="standardContextual"/>
          </w:rPr>
          <w:t>Children Act 1989</w:t>
        </w:r>
      </w:hyperlink>
      <w:r w:rsidRPr="00A5563F">
        <w:rPr>
          <w:rFonts w:ascii="Aptos" w:eastAsia="Aptos" w:hAnsi="Aptos" w:cs="Times New Roman"/>
          <w:color w:val="auto"/>
          <w:kern w:val="2"/>
          <w:sz w:val="24"/>
          <w:szCs w:val="24"/>
          <w:lang w:eastAsia="en-US"/>
          <w14:ligatures w14:val="standardContextual"/>
        </w:rPr>
        <w:t xml:space="preserve"> (Accessed: 1 October 2025). </w:t>
      </w:r>
    </w:p>
    <w:p w14:paraId="515D29BD"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Care Inspectorate Wales, 2023. </w:t>
      </w:r>
      <w:r w:rsidRPr="00A5563F">
        <w:rPr>
          <w:rFonts w:ascii="Aptos" w:eastAsia="Aptos" w:hAnsi="Aptos" w:cs="Times New Roman"/>
          <w:i/>
          <w:iCs/>
          <w:color w:val="auto"/>
          <w:kern w:val="2"/>
          <w:sz w:val="24"/>
          <w:szCs w:val="24"/>
          <w:lang w:eastAsia="en-US"/>
          <w14:ligatures w14:val="standardContextual"/>
        </w:rPr>
        <w:t>Rapid Review of Child Protection Arrangements</w:t>
      </w:r>
      <w:r w:rsidRPr="00A5563F">
        <w:rPr>
          <w:rFonts w:ascii="Aptos" w:eastAsia="Aptos" w:hAnsi="Aptos" w:cs="Times New Roman"/>
          <w:color w:val="auto"/>
          <w:kern w:val="2"/>
          <w:sz w:val="24"/>
          <w:szCs w:val="24"/>
          <w:lang w:eastAsia="en-US"/>
          <w14:ligatures w14:val="standardContextual"/>
        </w:rPr>
        <w:t>. Available at: </w:t>
      </w:r>
      <w:hyperlink r:id="rId42" w:history="1">
        <w:r w:rsidRPr="00A5563F">
          <w:rPr>
            <w:rFonts w:ascii="Aptos" w:eastAsia="Aptos" w:hAnsi="Aptos" w:cs="Times New Roman"/>
            <w:color w:val="467886"/>
            <w:kern w:val="2"/>
            <w:sz w:val="24"/>
            <w:szCs w:val="24"/>
            <w:u w:val="single"/>
            <w:lang w:eastAsia="en-US"/>
            <w14:ligatures w14:val="standardContextual"/>
          </w:rPr>
          <w:t>https://www.careinspectorate.wales/rapid-review-child-protection-arrangements</w:t>
        </w:r>
      </w:hyperlink>
      <w:r w:rsidRPr="00A5563F">
        <w:rPr>
          <w:rFonts w:ascii="Aptos" w:eastAsia="Aptos" w:hAnsi="Aptos" w:cs="Times New Roman"/>
          <w:color w:val="auto"/>
          <w:kern w:val="2"/>
          <w:sz w:val="24"/>
          <w:szCs w:val="24"/>
          <w:lang w:eastAsia="en-US"/>
          <w14:ligatures w14:val="standardContextual"/>
        </w:rPr>
        <w:t xml:space="preserve">  (Accessed: 1 October 2025). </w:t>
      </w:r>
    </w:p>
    <w:p w14:paraId="7E171864"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United Nations Convention on the Rights of the Child (1989) (UNCRC) </w:t>
      </w:r>
      <w:r w:rsidRPr="00A5563F">
        <w:rPr>
          <w:rFonts w:ascii="Aptos" w:eastAsia="Aptos" w:hAnsi="Aptos" w:cs="Times New Roman"/>
          <w:i/>
          <w:iCs/>
          <w:color w:val="auto"/>
          <w:kern w:val="2"/>
          <w:sz w:val="24"/>
          <w:szCs w:val="24"/>
          <w:lang w:eastAsia="en-US"/>
          <w14:ligatures w14:val="standardContextual"/>
        </w:rPr>
        <w:t xml:space="preserve">The UN Convention on the Rights of the Child: study of legal implementation in 12 countries. </w:t>
      </w:r>
      <w:r w:rsidRPr="00A5563F">
        <w:rPr>
          <w:rFonts w:ascii="Aptos" w:eastAsia="Aptos" w:hAnsi="Aptos" w:cs="Times New Roman"/>
          <w:color w:val="auto"/>
          <w:kern w:val="2"/>
          <w:sz w:val="24"/>
          <w:szCs w:val="24"/>
          <w:lang w:eastAsia="en-US"/>
          <w14:ligatures w14:val="standardContextual"/>
        </w:rPr>
        <w:t xml:space="preserve">Available at: </w:t>
      </w:r>
      <w:hyperlink r:id="rId43" w:history="1">
        <w:r w:rsidRPr="00A5563F">
          <w:rPr>
            <w:rFonts w:ascii="Aptos" w:eastAsia="Aptos" w:hAnsi="Aptos" w:cs="Times New Roman"/>
            <w:color w:val="467886"/>
            <w:kern w:val="2"/>
            <w:sz w:val="24"/>
            <w:szCs w:val="24"/>
            <w:u w:val="single"/>
            <w:lang w:eastAsia="en-US"/>
            <w14:ligatures w14:val="standardContextual"/>
          </w:rPr>
          <w:t>The UN Convention on the Rights of the Child: a study of legal implementation in 12 countries</w:t>
        </w:r>
      </w:hyperlink>
      <w:r w:rsidRPr="00A5563F">
        <w:rPr>
          <w:rFonts w:ascii="Aptos" w:eastAsia="Aptos" w:hAnsi="Aptos" w:cs="Times New Roman"/>
          <w:color w:val="auto"/>
          <w:kern w:val="2"/>
          <w:sz w:val="24"/>
          <w:szCs w:val="24"/>
          <w:lang w:eastAsia="en-US"/>
          <w14:ligatures w14:val="standardContextual"/>
        </w:rPr>
        <w:t xml:space="preserve"> (Accessed: 1 October 2025). </w:t>
      </w:r>
    </w:p>
    <w:p w14:paraId="570FA146"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Data Protection Act (2018) </w:t>
      </w:r>
      <w:r w:rsidRPr="00A5563F">
        <w:rPr>
          <w:rFonts w:ascii="Aptos" w:eastAsia="Aptos" w:hAnsi="Aptos" w:cs="Times New Roman"/>
          <w:i/>
          <w:iCs/>
          <w:color w:val="auto"/>
          <w:kern w:val="2"/>
          <w:sz w:val="24"/>
          <w:szCs w:val="24"/>
          <w:lang w:eastAsia="en-US"/>
          <w14:ligatures w14:val="standardContextual"/>
        </w:rPr>
        <w:t>Data Protection Act 2018</w:t>
      </w:r>
      <w:r w:rsidRPr="00A5563F">
        <w:rPr>
          <w:rFonts w:ascii="Aptos" w:eastAsia="Aptos" w:hAnsi="Aptos" w:cs="Times New Roman"/>
          <w:color w:val="auto"/>
          <w:kern w:val="2"/>
          <w:sz w:val="24"/>
          <w:szCs w:val="24"/>
          <w:lang w:eastAsia="en-US"/>
          <w14:ligatures w14:val="standardContextual"/>
        </w:rPr>
        <w:t xml:space="preserve">. Available at: </w:t>
      </w:r>
      <w:hyperlink r:id="rId44" w:history="1">
        <w:r w:rsidRPr="00A5563F">
          <w:rPr>
            <w:rFonts w:ascii="Aptos" w:eastAsia="Aptos" w:hAnsi="Aptos" w:cs="Times New Roman"/>
            <w:color w:val="467886"/>
            <w:kern w:val="2"/>
            <w:sz w:val="24"/>
            <w:szCs w:val="24"/>
            <w:u w:val="single"/>
            <w:lang w:eastAsia="en-US"/>
            <w14:ligatures w14:val="standardContextual"/>
          </w:rPr>
          <w:t>https://www.legislation.gov.uk/ukpga/2018/12/contents/enacted</w:t>
        </w:r>
      </w:hyperlink>
      <w:r w:rsidRPr="00A5563F">
        <w:rPr>
          <w:rFonts w:ascii="Aptos" w:eastAsia="Aptos" w:hAnsi="Aptos" w:cs="Times New Roman"/>
          <w:color w:val="auto"/>
          <w:kern w:val="2"/>
          <w:sz w:val="24"/>
          <w:szCs w:val="24"/>
          <w:lang w:eastAsia="en-US"/>
          <w14:ligatures w14:val="standardContextual"/>
        </w:rPr>
        <w:t xml:space="preserve">  (Accessed: 2 October 2025).</w:t>
      </w:r>
    </w:p>
    <w:p w14:paraId="0DAAD878"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UK GDPR (2016) </w:t>
      </w:r>
      <w:r w:rsidRPr="00A5563F">
        <w:rPr>
          <w:rFonts w:ascii="Aptos" w:eastAsia="Aptos" w:hAnsi="Aptos" w:cs="Times New Roman"/>
          <w:i/>
          <w:iCs/>
          <w:color w:val="auto"/>
          <w:kern w:val="2"/>
          <w:sz w:val="24"/>
          <w:szCs w:val="24"/>
          <w:lang w:eastAsia="en-US"/>
          <w14:ligatures w14:val="standardContextual"/>
        </w:rPr>
        <w:t>Regulation (EU) 2016/679 of the European Parliament and of the Council of 27 April 2016 on the protection of natural persons with regard to the processing of personal data and on the free movement of such data (General Data Protection Regulation)</w:t>
      </w:r>
      <w:r w:rsidRPr="00A5563F">
        <w:rPr>
          <w:rFonts w:ascii="Aptos" w:eastAsia="Aptos" w:hAnsi="Aptos" w:cs="Times New Roman"/>
          <w:color w:val="auto"/>
          <w:kern w:val="2"/>
          <w:sz w:val="24"/>
          <w:szCs w:val="24"/>
          <w:lang w:eastAsia="en-US"/>
          <w14:ligatures w14:val="standardContextual"/>
        </w:rPr>
        <w:t xml:space="preserve">. Available at: </w:t>
      </w:r>
      <w:hyperlink r:id="rId45" w:history="1">
        <w:r w:rsidRPr="00A5563F">
          <w:rPr>
            <w:rFonts w:ascii="Aptos" w:eastAsia="Aptos" w:hAnsi="Aptos" w:cs="Times New Roman"/>
            <w:color w:val="467886"/>
            <w:kern w:val="2"/>
            <w:sz w:val="24"/>
            <w:szCs w:val="24"/>
            <w:u w:val="single"/>
            <w:lang w:eastAsia="en-US"/>
            <w14:ligatures w14:val="standardContextual"/>
          </w:rPr>
          <w:t>https://www.legislation.gov.uk/eur/2016/679</w:t>
        </w:r>
      </w:hyperlink>
      <w:r w:rsidRPr="00A5563F">
        <w:rPr>
          <w:rFonts w:ascii="Aptos" w:eastAsia="Aptos" w:hAnsi="Aptos" w:cs="Times New Roman"/>
          <w:color w:val="auto"/>
          <w:kern w:val="2"/>
          <w:sz w:val="24"/>
          <w:szCs w:val="24"/>
          <w:lang w:eastAsia="en-US"/>
          <w14:ligatures w14:val="standardContextual"/>
        </w:rPr>
        <w:t xml:space="preserve">  (Accessed: 2 October 2025).</w:t>
      </w:r>
    </w:p>
    <w:p w14:paraId="6E3F257E"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Wallace, C. and Garthwaite, T. (2023) </w:t>
      </w:r>
      <w:r w:rsidRPr="00A5563F">
        <w:rPr>
          <w:rFonts w:ascii="Aptos" w:eastAsia="Aptos" w:hAnsi="Aptos" w:cs="Times New Roman"/>
          <w:i/>
          <w:iCs/>
          <w:color w:val="auto"/>
          <w:kern w:val="2"/>
          <w:sz w:val="24"/>
          <w:szCs w:val="24"/>
          <w:lang w:eastAsia="en-US"/>
          <w14:ligatures w14:val="standardContextual"/>
        </w:rPr>
        <w:t>Multi-agency working: Research to support the Final Report of the Evaluation of the Social Services and Well-being (Wales) Act 2014</w:t>
      </w:r>
      <w:r w:rsidRPr="00A5563F">
        <w:rPr>
          <w:rFonts w:ascii="Aptos" w:eastAsia="Aptos" w:hAnsi="Aptos" w:cs="Times New Roman"/>
          <w:color w:val="auto"/>
          <w:kern w:val="2"/>
          <w:sz w:val="24"/>
          <w:szCs w:val="24"/>
          <w:lang w:eastAsia="en-US"/>
          <w14:ligatures w14:val="standardContextual"/>
        </w:rPr>
        <w:t>. Cardiff: Welsh Government. GSR report number 39/2023. Available at: </w:t>
      </w:r>
      <w:hyperlink r:id="rId46" w:history="1">
        <w:r w:rsidRPr="00A5563F">
          <w:rPr>
            <w:rFonts w:ascii="Aptos" w:eastAsia="Aptos" w:hAnsi="Aptos" w:cs="Times New Roman"/>
            <w:color w:val="467886"/>
            <w:kern w:val="2"/>
            <w:sz w:val="24"/>
            <w:szCs w:val="24"/>
            <w:u w:val="single"/>
            <w:lang w:eastAsia="en-US"/>
            <w14:ligatures w14:val="standardContextual"/>
          </w:rPr>
          <w:t>https://www.gov.wales/multi-agency-working-research-support-final-report-evaluation-social-services-and-well-being-wales-act-2014</w:t>
        </w:r>
      </w:hyperlink>
      <w:r w:rsidRPr="00A5563F">
        <w:rPr>
          <w:rFonts w:ascii="Aptos" w:eastAsia="Aptos" w:hAnsi="Aptos" w:cs="Times New Roman"/>
          <w:color w:val="auto"/>
          <w:kern w:val="2"/>
          <w:sz w:val="24"/>
          <w:szCs w:val="24"/>
          <w:lang w:eastAsia="en-US"/>
          <w14:ligatures w14:val="standardContextual"/>
        </w:rPr>
        <w:t xml:space="preserve">  (Accessed: 1 October 2025)</w:t>
      </w:r>
    </w:p>
    <w:p w14:paraId="078E51EE"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proofErr w:type="spellStart"/>
      <w:r w:rsidRPr="00A5563F">
        <w:rPr>
          <w:rFonts w:ascii="Aptos" w:eastAsia="Aptos" w:hAnsi="Aptos" w:cs="Times New Roman"/>
          <w:color w:val="auto"/>
          <w:kern w:val="2"/>
          <w:sz w:val="24"/>
          <w:szCs w:val="24"/>
          <w:lang w:eastAsia="en-US"/>
          <w14:ligatures w14:val="standardContextual"/>
        </w:rPr>
        <w:t>Wolfsfeld</w:t>
      </w:r>
      <w:proofErr w:type="spellEnd"/>
      <w:r w:rsidRPr="00A5563F">
        <w:rPr>
          <w:rFonts w:ascii="Aptos" w:eastAsia="Aptos" w:hAnsi="Aptos" w:cs="Times New Roman"/>
          <w:color w:val="auto"/>
          <w:kern w:val="2"/>
          <w:sz w:val="24"/>
          <w:szCs w:val="24"/>
          <w:lang w:eastAsia="en-US"/>
          <w14:ligatures w14:val="standardContextual"/>
        </w:rPr>
        <w:t>, L. and Haj-Yahia, M.M. (2010) ‘Learning and supervisory styles in the training of social workers’, </w:t>
      </w:r>
      <w:r w:rsidRPr="00A5563F">
        <w:rPr>
          <w:rFonts w:ascii="Aptos" w:eastAsia="Aptos" w:hAnsi="Aptos" w:cs="Times New Roman"/>
          <w:i/>
          <w:iCs/>
          <w:color w:val="auto"/>
          <w:kern w:val="2"/>
          <w:sz w:val="24"/>
          <w:szCs w:val="24"/>
          <w:lang w:eastAsia="en-US"/>
          <w14:ligatures w14:val="standardContextual"/>
        </w:rPr>
        <w:t>Journal of Social Work Education</w:t>
      </w:r>
      <w:r w:rsidRPr="00A5563F">
        <w:rPr>
          <w:rFonts w:ascii="Aptos" w:eastAsia="Aptos" w:hAnsi="Aptos" w:cs="Times New Roman"/>
          <w:color w:val="auto"/>
          <w:kern w:val="2"/>
          <w:sz w:val="24"/>
          <w:szCs w:val="24"/>
          <w:lang w:eastAsia="en-US"/>
          <w14:ligatures w14:val="standardContextual"/>
        </w:rPr>
        <w:t>, 46(2), pp. 175–193. Available at: </w:t>
      </w:r>
      <w:hyperlink r:id="rId47" w:history="1">
        <w:r w:rsidRPr="00A5563F">
          <w:rPr>
            <w:rFonts w:ascii="Aptos" w:eastAsia="Aptos" w:hAnsi="Aptos" w:cs="Times New Roman"/>
            <w:color w:val="467886"/>
            <w:kern w:val="2"/>
            <w:sz w:val="24"/>
            <w:szCs w:val="24"/>
            <w:u w:val="single"/>
            <w:lang w:eastAsia="en-US"/>
            <w14:ligatures w14:val="standardContextual"/>
          </w:rPr>
          <w:t>https://www.tandfonline.com/doi/pdf/10.1080/07325221003742066</w:t>
        </w:r>
      </w:hyperlink>
      <w:r w:rsidRPr="00A5563F">
        <w:rPr>
          <w:rFonts w:ascii="Aptos" w:eastAsia="Aptos" w:hAnsi="Aptos" w:cs="Times New Roman"/>
          <w:color w:val="auto"/>
          <w:kern w:val="2"/>
          <w:sz w:val="24"/>
          <w:szCs w:val="24"/>
          <w:lang w:eastAsia="en-US"/>
          <w14:ligatures w14:val="standardContextual"/>
        </w:rPr>
        <w:t xml:space="preserve"> (Accessed: 1 October 2025). </w:t>
      </w:r>
    </w:p>
    <w:p w14:paraId="79E9D460"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lastRenderedPageBreak/>
        <w:t xml:space="preserve">Herland, M.D. (2022) ‘Emotional intelligence as a part of critical reflection in social work practice and research’, </w:t>
      </w:r>
      <w:r w:rsidRPr="00A5563F">
        <w:rPr>
          <w:rFonts w:ascii="Aptos" w:eastAsia="Aptos" w:hAnsi="Aptos" w:cs="Times New Roman"/>
          <w:i/>
          <w:iCs/>
          <w:color w:val="auto"/>
          <w:kern w:val="2"/>
          <w:sz w:val="24"/>
          <w:szCs w:val="24"/>
          <w:lang w:eastAsia="en-US"/>
          <w14:ligatures w14:val="standardContextual"/>
        </w:rPr>
        <w:t>Qualitative Social Work</w:t>
      </w:r>
      <w:r w:rsidRPr="00A5563F">
        <w:rPr>
          <w:rFonts w:ascii="Aptos" w:eastAsia="Aptos" w:hAnsi="Aptos" w:cs="Times New Roman"/>
          <w:color w:val="auto"/>
          <w:kern w:val="2"/>
          <w:sz w:val="24"/>
          <w:szCs w:val="24"/>
          <w:lang w:eastAsia="en-US"/>
          <w14:ligatures w14:val="standardContextual"/>
        </w:rPr>
        <w:t xml:space="preserve">, 21(4), pp. 662–678. Available at: </w:t>
      </w:r>
      <w:hyperlink r:id="rId48" w:tgtFrame="_blank" w:history="1">
        <w:r w:rsidRPr="00A5563F">
          <w:rPr>
            <w:rFonts w:ascii="Aptos" w:eastAsia="Aptos" w:hAnsi="Aptos" w:cs="Times New Roman"/>
            <w:color w:val="467886"/>
            <w:kern w:val="2"/>
            <w:sz w:val="24"/>
            <w:szCs w:val="24"/>
            <w:u w:val="single"/>
            <w:lang w:eastAsia="en-US"/>
            <w14:ligatures w14:val="standardContextual"/>
          </w:rPr>
          <w:t>https://journals.sagepub.com/doi/pdf/10.1177/14733250211024734</w:t>
        </w:r>
      </w:hyperlink>
      <w:r w:rsidRPr="00A5563F">
        <w:rPr>
          <w:rFonts w:ascii="Aptos" w:eastAsia="Aptos" w:hAnsi="Aptos" w:cs="Times New Roman"/>
          <w:color w:val="auto"/>
          <w:kern w:val="2"/>
          <w:sz w:val="24"/>
          <w:szCs w:val="24"/>
          <w:lang w:eastAsia="en-US"/>
          <w14:ligatures w14:val="standardContextual"/>
        </w:rPr>
        <w:t xml:space="preserve"> (Accessed: 2 October 2025).</w:t>
      </w:r>
    </w:p>
    <w:p w14:paraId="1A855A91"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British Association of Social Workers (2014) </w:t>
      </w:r>
      <w:r w:rsidRPr="00A5563F">
        <w:rPr>
          <w:rFonts w:ascii="Aptos" w:eastAsia="Aptos" w:hAnsi="Aptos" w:cs="Times New Roman"/>
          <w:i/>
          <w:iCs/>
          <w:color w:val="auto"/>
          <w:kern w:val="2"/>
          <w:sz w:val="24"/>
          <w:szCs w:val="24"/>
          <w:lang w:eastAsia="en-US"/>
          <w14:ligatures w14:val="standardContextual"/>
        </w:rPr>
        <w:t>The Code of Ethics for Social Work</w:t>
      </w:r>
      <w:r w:rsidRPr="00A5563F">
        <w:rPr>
          <w:rFonts w:ascii="Aptos" w:eastAsia="Aptos" w:hAnsi="Aptos" w:cs="Times New Roman"/>
          <w:color w:val="auto"/>
          <w:kern w:val="2"/>
          <w:sz w:val="24"/>
          <w:szCs w:val="24"/>
          <w:lang w:eastAsia="en-US"/>
          <w14:ligatures w14:val="standardContextual"/>
        </w:rPr>
        <w:t xml:space="preserve">. Available at: </w:t>
      </w:r>
      <w:hyperlink r:id="rId49" w:history="1">
        <w:r w:rsidRPr="00A5563F">
          <w:rPr>
            <w:rFonts w:ascii="Aptos" w:eastAsia="Aptos" w:hAnsi="Aptos" w:cs="Times New Roman"/>
            <w:color w:val="467886"/>
            <w:kern w:val="2"/>
            <w:sz w:val="24"/>
            <w:szCs w:val="24"/>
            <w:u w:val="single"/>
            <w:lang w:eastAsia="en-US"/>
            <w14:ligatures w14:val="standardContextual"/>
          </w:rPr>
          <w:t>https://www.basw.co.uk/resources/code-ethics-social-work</w:t>
        </w:r>
      </w:hyperlink>
      <w:r w:rsidRPr="00A5563F">
        <w:rPr>
          <w:rFonts w:ascii="Aptos" w:eastAsia="Aptos" w:hAnsi="Aptos" w:cs="Times New Roman"/>
          <w:color w:val="auto"/>
          <w:kern w:val="2"/>
          <w:sz w:val="24"/>
          <w:szCs w:val="24"/>
          <w:lang w:eastAsia="en-US"/>
          <w14:ligatures w14:val="standardContextual"/>
        </w:rPr>
        <w:t xml:space="preserve"> (Accessed 3 October 2025).</w:t>
      </w:r>
    </w:p>
    <w:p w14:paraId="08F0318A"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National Association of Social Workers (NASW) (2013) </w:t>
      </w:r>
      <w:r w:rsidRPr="00A5563F">
        <w:rPr>
          <w:rFonts w:ascii="Aptos" w:eastAsia="Aptos" w:hAnsi="Aptos" w:cs="Times New Roman"/>
          <w:i/>
          <w:iCs/>
          <w:color w:val="auto"/>
          <w:kern w:val="2"/>
          <w:sz w:val="24"/>
          <w:szCs w:val="24"/>
          <w:lang w:eastAsia="en-US"/>
          <w14:ligatures w14:val="standardContextual"/>
        </w:rPr>
        <w:t>NASW Standards for Social Work Practice in Child Welfare</w:t>
      </w:r>
      <w:r w:rsidRPr="00A5563F">
        <w:rPr>
          <w:rFonts w:ascii="Aptos" w:eastAsia="Aptos" w:hAnsi="Aptos" w:cs="Times New Roman"/>
          <w:color w:val="auto"/>
          <w:kern w:val="2"/>
          <w:sz w:val="24"/>
          <w:szCs w:val="24"/>
          <w:lang w:eastAsia="en-US"/>
          <w14:ligatures w14:val="standardContextual"/>
        </w:rPr>
        <w:t xml:space="preserve">. Available at: </w:t>
      </w:r>
      <w:hyperlink r:id="rId50" w:tgtFrame="_blank" w:history="1">
        <w:r w:rsidRPr="00A5563F">
          <w:rPr>
            <w:rFonts w:ascii="Aptos" w:eastAsia="Aptos" w:hAnsi="Aptos" w:cs="Times New Roman"/>
            <w:color w:val="467886"/>
            <w:kern w:val="2"/>
            <w:sz w:val="24"/>
            <w:szCs w:val="24"/>
            <w:u w:val="single"/>
            <w:lang w:eastAsia="en-US"/>
            <w14:ligatures w14:val="standardContextual"/>
          </w:rPr>
          <w:t>https://www.socialworkers.org/Practice/NASW-Practice-Standards-Guidelines/NASW-Standards-for-Social-Work-Practice-in-Child-Welfare</w:t>
        </w:r>
      </w:hyperlink>
      <w:r w:rsidRPr="00A5563F">
        <w:rPr>
          <w:rFonts w:ascii="Aptos" w:eastAsia="Aptos" w:hAnsi="Aptos" w:cs="Times New Roman"/>
          <w:color w:val="auto"/>
          <w:kern w:val="2"/>
          <w:sz w:val="24"/>
          <w:szCs w:val="24"/>
          <w:lang w:eastAsia="en-US"/>
          <w14:ligatures w14:val="standardContextual"/>
        </w:rPr>
        <w:t xml:space="preserve"> (Accessed: 3 October 2025). </w:t>
      </w:r>
    </w:p>
    <w:p w14:paraId="01A92BD7"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Wilkins, D. (2013) ‘Balancing risk and protective factors: How do social workers and social work managers analyse referrals that may indicate children are at risk of significant harm’, </w:t>
      </w:r>
      <w:r w:rsidRPr="00A5563F">
        <w:rPr>
          <w:rFonts w:ascii="Aptos" w:eastAsia="Aptos" w:hAnsi="Aptos" w:cs="Times New Roman"/>
          <w:i/>
          <w:iCs/>
          <w:color w:val="auto"/>
          <w:kern w:val="2"/>
          <w:sz w:val="24"/>
          <w:szCs w:val="24"/>
          <w:lang w:eastAsia="en-US"/>
          <w14:ligatures w14:val="standardContextual"/>
        </w:rPr>
        <w:t>British Journal of Social Work</w:t>
      </w:r>
      <w:r w:rsidRPr="00A5563F">
        <w:rPr>
          <w:rFonts w:ascii="Aptos" w:eastAsia="Aptos" w:hAnsi="Aptos" w:cs="Times New Roman"/>
          <w:color w:val="auto"/>
          <w:kern w:val="2"/>
          <w:sz w:val="24"/>
          <w:szCs w:val="24"/>
          <w:lang w:eastAsia="en-US"/>
          <w14:ligatures w14:val="standardContextual"/>
        </w:rPr>
        <w:t xml:space="preserve">. Available at: </w:t>
      </w:r>
      <w:hyperlink r:id="rId51" w:history="1">
        <w:r w:rsidRPr="00A5563F">
          <w:rPr>
            <w:rFonts w:ascii="Aptos" w:eastAsia="Aptos" w:hAnsi="Aptos" w:cs="Times New Roman"/>
            <w:color w:val="467886"/>
            <w:kern w:val="2"/>
            <w:sz w:val="24"/>
            <w:szCs w:val="24"/>
            <w:u w:val="single"/>
            <w:lang w:eastAsia="en-US"/>
            <w14:ligatures w14:val="standardContextual"/>
          </w:rPr>
          <w:t>https://www.researchgate.net/publication/275158525</w:t>
        </w:r>
      </w:hyperlink>
      <w:r w:rsidRPr="00A5563F">
        <w:rPr>
          <w:rFonts w:ascii="Aptos" w:eastAsia="Aptos" w:hAnsi="Aptos" w:cs="Times New Roman"/>
          <w:color w:val="auto"/>
          <w:kern w:val="2"/>
          <w:sz w:val="24"/>
          <w:szCs w:val="24"/>
          <w:lang w:eastAsia="en-US"/>
          <w14:ligatures w14:val="standardContextual"/>
        </w:rPr>
        <w:t xml:space="preserve">  (Accessed: 3 October 2025).</w:t>
      </w:r>
    </w:p>
    <w:p w14:paraId="52038D21"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Wales Safeguarding Procedures (2019) Social Care Wales. (2019) </w:t>
      </w:r>
      <w:r w:rsidRPr="00A5563F">
        <w:rPr>
          <w:rFonts w:ascii="Aptos" w:eastAsia="Aptos" w:hAnsi="Aptos" w:cs="Times New Roman"/>
          <w:i/>
          <w:iCs/>
          <w:color w:val="auto"/>
          <w:kern w:val="2"/>
          <w:sz w:val="24"/>
          <w:szCs w:val="24"/>
          <w:lang w:eastAsia="en-US"/>
          <w14:ligatures w14:val="standardContextual"/>
        </w:rPr>
        <w:t>Wales Safeguarding Procedures</w:t>
      </w:r>
      <w:r w:rsidRPr="00A5563F">
        <w:rPr>
          <w:rFonts w:ascii="Aptos" w:eastAsia="Aptos" w:hAnsi="Aptos" w:cs="Times New Roman"/>
          <w:color w:val="auto"/>
          <w:kern w:val="2"/>
          <w:sz w:val="24"/>
          <w:szCs w:val="24"/>
          <w:lang w:eastAsia="en-US"/>
          <w14:ligatures w14:val="standardContextual"/>
        </w:rPr>
        <w:t>. Available at: </w:t>
      </w:r>
      <w:hyperlink r:id="rId52" w:tgtFrame="_blank" w:history="1">
        <w:r w:rsidRPr="00A5563F">
          <w:rPr>
            <w:rFonts w:ascii="Aptos" w:eastAsia="Aptos" w:hAnsi="Aptos" w:cs="Times New Roman"/>
            <w:color w:val="467886"/>
            <w:kern w:val="2"/>
            <w:sz w:val="24"/>
            <w:szCs w:val="24"/>
            <w:u w:val="single"/>
            <w:lang w:eastAsia="en-US"/>
            <w14:ligatures w14:val="standardContextual"/>
          </w:rPr>
          <w:t>https://safeguarding.wales</w:t>
        </w:r>
      </w:hyperlink>
      <w:r w:rsidRPr="00A5563F">
        <w:rPr>
          <w:rFonts w:ascii="Aptos" w:eastAsia="Aptos" w:hAnsi="Aptos" w:cs="Times New Roman"/>
          <w:color w:val="auto"/>
          <w:kern w:val="2"/>
          <w:sz w:val="24"/>
          <w:szCs w:val="24"/>
          <w:lang w:eastAsia="en-US"/>
          <w14:ligatures w14:val="standardContextual"/>
        </w:rPr>
        <w:t> (Accessed: 2 October 2025).</w:t>
      </w:r>
    </w:p>
    <w:p w14:paraId="6D4A0367"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British Association of Social Workers, 2017. </w:t>
      </w:r>
      <w:r w:rsidRPr="00A5563F">
        <w:rPr>
          <w:rFonts w:ascii="Aptos" w:eastAsia="Aptos" w:hAnsi="Aptos" w:cs="Times New Roman"/>
          <w:i/>
          <w:iCs/>
          <w:color w:val="auto"/>
          <w:kern w:val="2"/>
          <w:sz w:val="24"/>
          <w:szCs w:val="24"/>
          <w:lang w:eastAsia="en-US"/>
          <w14:ligatures w14:val="standardContextual"/>
        </w:rPr>
        <w:t>Empathy, tenacity and compassion: An evaluation of relationship-based practice in Brighton &amp; Hove</w:t>
      </w:r>
      <w:r w:rsidRPr="00A5563F">
        <w:rPr>
          <w:rFonts w:ascii="Aptos" w:eastAsia="Aptos" w:hAnsi="Aptos" w:cs="Times New Roman"/>
          <w:color w:val="auto"/>
          <w:kern w:val="2"/>
          <w:sz w:val="24"/>
          <w:szCs w:val="24"/>
          <w:lang w:eastAsia="en-US"/>
          <w14:ligatures w14:val="standardContextual"/>
        </w:rPr>
        <w:t>. [pdf] BASW. Available at: </w:t>
      </w:r>
      <w:hyperlink r:id="rId53" w:history="1">
        <w:r w:rsidRPr="00A5563F">
          <w:rPr>
            <w:rFonts w:ascii="Aptos" w:eastAsia="Aptos" w:hAnsi="Aptos" w:cs="Times New Roman"/>
            <w:color w:val="467886"/>
            <w:kern w:val="2"/>
            <w:sz w:val="24"/>
            <w:szCs w:val="24"/>
            <w:u w:val="single"/>
            <w:lang w:eastAsia="en-US"/>
            <w14:ligatures w14:val="standardContextual"/>
          </w:rPr>
          <w:t>https://new.basw.co.uk/sites/default/files/resources/basw_75613-2_0.pdf</w:t>
        </w:r>
      </w:hyperlink>
      <w:r w:rsidRPr="00A5563F">
        <w:rPr>
          <w:rFonts w:ascii="Aptos" w:eastAsia="Aptos" w:hAnsi="Aptos" w:cs="Times New Roman"/>
          <w:color w:val="auto"/>
          <w:kern w:val="2"/>
          <w:sz w:val="24"/>
          <w:szCs w:val="24"/>
          <w:lang w:eastAsia="en-US"/>
          <w14:ligatures w14:val="standardContextual"/>
        </w:rPr>
        <w:t xml:space="preserve"> (Accessed 3 October).</w:t>
      </w:r>
    </w:p>
    <w:p w14:paraId="4B71789C"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Kennan, D., Brady, B. and Forkan, C. (2018) ‘Supporting children’s participation in decision making: A systematic literature review exploring the effectiveness of participatory processes’, </w:t>
      </w:r>
      <w:r w:rsidRPr="00A5563F">
        <w:rPr>
          <w:rFonts w:ascii="Aptos" w:eastAsia="Aptos" w:hAnsi="Aptos" w:cs="Times New Roman"/>
          <w:i/>
          <w:iCs/>
          <w:color w:val="auto"/>
          <w:kern w:val="2"/>
          <w:sz w:val="24"/>
          <w:szCs w:val="24"/>
          <w:lang w:eastAsia="en-US"/>
          <w14:ligatures w14:val="standardContextual"/>
        </w:rPr>
        <w:t>British Journal of Social Work</w:t>
      </w:r>
      <w:r w:rsidRPr="00A5563F">
        <w:rPr>
          <w:rFonts w:ascii="Aptos" w:eastAsia="Aptos" w:hAnsi="Aptos" w:cs="Times New Roman"/>
          <w:color w:val="auto"/>
          <w:kern w:val="2"/>
          <w:sz w:val="24"/>
          <w:szCs w:val="24"/>
          <w:lang w:eastAsia="en-US"/>
          <w14:ligatures w14:val="standardContextual"/>
        </w:rPr>
        <w:t xml:space="preserve">, 48(7), pp. 1985–2002. Available at: </w:t>
      </w:r>
      <w:hyperlink r:id="rId54" w:history="1">
        <w:r w:rsidRPr="00A5563F">
          <w:rPr>
            <w:rFonts w:ascii="Aptos" w:eastAsia="Aptos" w:hAnsi="Aptos" w:cs="Times New Roman"/>
            <w:color w:val="467886"/>
            <w:kern w:val="2"/>
            <w:sz w:val="24"/>
            <w:szCs w:val="24"/>
            <w:u w:val="single"/>
            <w:lang w:eastAsia="en-US"/>
            <w14:ligatures w14:val="standardContextual"/>
          </w:rPr>
          <w:t>https://doi.org/10.1093/bjsw/bcx142</w:t>
        </w:r>
      </w:hyperlink>
      <w:r w:rsidRPr="00A5563F">
        <w:rPr>
          <w:rFonts w:ascii="Aptos" w:eastAsia="Aptos" w:hAnsi="Aptos" w:cs="Times New Roman"/>
          <w:color w:val="auto"/>
          <w:kern w:val="2"/>
          <w:sz w:val="24"/>
          <w:szCs w:val="24"/>
          <w:lang w:eastAsia="en-US"/>
          <w14:ligatures w14:val="standardContextual"/>
        </w:rPr>
        <w:t xml:space="preserve"> (Accessed: 3 October 2025)</w:t>
      </w:r>
    </w:p>
    <w:p w14:paraId="5B2CCB9E"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Anka, A., Thacker, H., Penhale, B., Lloyd-Smith, W. and Booth, B. (2025) </w:t>
      </w:r>
      <w:r w:rsidRPr="00A5563F">
        <w:rPr>
          <w:rFonts w:ascii="Aptos" w:eastAsia="Aptos" w:hAnsi="Aptos" w:cs="Times New Roman"/>
          <w:i/>
          <w:iCs/>
          <w:color w:val="auto"/>
          <w:kern w:val="2"/>
          <w:sz w:val="24"/>
          <w:szCs w:val="24"/>
          <w:lang w:eastAsia="en-US"/>
          <w14:ligatures w14:val="standardContextual"/>
        </w:rPr>
        <w:t>Professional Curiosity in Safeguarding Adults</w:t>
      </w:r>
      <w:r w:rsidRPr="00A5563F">
        <w:rPr>
          <w:rFonts w:ascii="Aptos" w:eastAsia="Aptos" w:hAnsi="Aptos" w:cs="Times New Roman"/>
          <w:color w:val="auto"/>
          <w:kern w:val="2"/>
          <w:sz w:val="24"/>
          <w:szCs w:val="24"/>
          <w:lang w:eastAsia="en-US"/>
          <w14:ligatures w14:val="standardContextual"/>
        </w:rPr>
        <w:t xml:space="preserve">. 1st </w:t>
      </w:r>
      <w:proofErr w:type="spellStart"/>
      <w:r w:rsidRPr="00A5563F">
        <w:rPr>
          <w:rFonts w:ascii="Aptos" w:eastAsia="Aptos" w:hAnsi="Aptos" w:cs="Times New Roman"/>
          <w:color w:val="auto"/>
          <w:kern w:val="2"/>
          <w:sz w:val="24"/>
          <w:szCs w:val="24"/>
          <w:lang w:eastAsia="en-US"/>
          <w14:ligatures w14:val="standardContextual"/>
        </w:rPr>
        <w:t>edn</w:t>
      </w:r>
      <w:proofErr w:type="spellEnd"/>
      <w:r w:rsidRPr="00A5563F">
        <w:rPr>
          <w:rFonts w:ascii="Aptos" w:eastAsia="Aptos" w:hAnsi="Aptos" w:cs="Times New Roman"/>
          <w:color w:val="auto"/>
          <w:kern w:val="2"/>
          <w:sz w:val="24"/>
          <w:szCs w:val="24"/>
          <w:lang w:eastAsia="en-US"/>
          <w14:ligatures w14:val="standardContextual"/>
        </w:rPr>
        <w:t xml:space="preserve">. London: Routledge. Available at: </w:t>
      </w:r>
      <w:hyperlink r:id="rId55" w:history="1">
        <w:r w:rsidRPr="00A5563F">
          <w:rPr>
            <w:rFonts w:ascii="Aptos" w:eastAsia="Aptos" w:hAnsi="Aptos" w:cs="Times New Roman"/>
            <w:color w:val="467886"/>
            <w:kern w:val="2"/>
            <w:sz w:val="24"/>
            <w:szCs w:val="24"/>
            <w:u w:val="single"/>
            <w:lang w:eastAsia="en-US"/>
            <w14:ligatures w14:val="standardContextual"/>
          </w:rPr>
          <w:t>https://doi.org/10.4324/9781041056591</w:t>
        </w:r>
      </w:hyperlink>
      <w:r w:rsidRPr="00A5563F">
        <w:rPr>
          <w:rFonts w:ascii="Aptos" w:eastAsia="Aptos" w:hAnsi="Aptos" w:cs="Times New Roman"/>
          <w:color w:val="auto"/>
          <w:kern w:val="2"/>
          <w:sz w:val="24"/>
          <w:szCs w:val="24"/>
          <w:lang w:eastAsia="en-US"/>
          <w14:ligatures w14:val="standardContextual"/>
        </w:rPr>
        <w:t xml:space="preserve"> (Accessed: 3 October 2025). </w:t>
      </w:r>
    </w:p>
    <w:p w14:paraId="608C4928"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Friedman, B.D. and Allen, K.N. (2014) </w:t>
      </w:r>
      <w:r w:rsidRPr="00A5563F">
        <w:rPr>
          <w:rFonts w:ascii="Aptos" w:eastAsia="Aptos" w:hAnsi="Aptos" w:cs="Times New Roman"/>
          <w:i/>
          <w:iCs/>
          <w:color w:val="auto"/>
          <w:kern w:val="2"/>
          <w:sz w:val="24"/>
          <w:szCs w:val="24"/>
          <w:lang w:eastAsia="en-US"/>
          <w14:ligatures w14:val="standardContextual"/>
        </w:rPr>
        <w:t>Systems theory</w:t>
      </w:r>
      <w:r w:rsidRPr="00A5563F">
        <w:rPr>
          <w:rFonts w:ascii="Aptos" w:eastAsia="Aptos" w:hAnsi="Aptos" w:cs="Times New Roman"/>
          <w:color w:val="auto"/>
          <w:kern w:val="2"/>
          <w:sz w:val="24"/>
          <w:szCs w:val="24"/>
          <w:lang w:eastAsia="en-US"/>
          <w14:ligatures w14:val="standardContextual"/>
        </w:rPr>
        <w:t xml:space="preserve">. In: R. L. Levitt (ed.) </w:t>
      </w:r>
      <w:r w:rsidRPr="00A5563F">
        <w:rPr>
          <w:rFonts w:ascii="Aptos" w:eastAsia="Aptos" w:hAnsi="Aptos" w:cs="Times New Roman"/>
          <w:i/>
          <w:iCs/>
          <w:color w:val="auto"/>
          <w:kern w:val="2"/>
          <w:sz w:val="24"/>
          <w:szCs w:val="24"/>
          <w:lang w:eastAsia="en-US"/>
          <w14:ligatures w14:val="standardContextual"/>
        </w:rPr>
        <w:t>Social Work Practice</w:t>
      </w:r>
      <w:r w:rsidRPr="00A5563F">
        <w:rPr>
          <w:rFonts w:ascii="Aptos" w:eastAsia="Aptos" w:hAnsi="Aptos" w:cs="Times New Roman"/>
          <w:color w:val="auto"/>
          <w:kern w:val="2"/>
          <w:sz w:val="24"/>
          <w:szCs w:val="24"/>
          <w:lang w:eastAsia="en-US"/>
          <w14:ligatures w14:val="standardContextual"/>
        </w:rPr>
        <w:t xml:space="preserve">. Thousand Oaks, CA: SAGE Publications. Available at: </w:t>
      </w:r>
      <w:hyperlink r:id="rId56" w:tgtFrame="_blank" w:history="1">
        <w:r w:rsidRPr="00A5563F">
          <w:rPr>
            <w:rFonts w:ascii="Aptos" w:eastAsia="Aptos" w:hAnsi="Aptos" w:cs="Times New Roman"/>
            <w:color w:val="467886"/>
            <w:kern w:val="2"/>
            <w:sz w:val="24"/>
            <w:szCs w:val="24"/>
            <w:u w:val="single"/>
            <w:lang w:eastAsia="en-US"/>
            <w14:ligatures w14:val="standardContextual"/>
          </w:rPr>
          <w:t>https://us.sagepub.com/sites/default/files/upm-binaries/32947_Chapter1.pdf</w:t>
        </w:r>
      </w:hyperlink>
      <w:r w:rsidRPr="00A5563F">
        <w:rPr>
          <w:rFonts w:ascii="Aptos" w:eastAsia="Aptos" w:hAnsi="Aptos" w:cs="Times New Roman"/>
          <w:color w:val="auto"/>
          <w:kern w:val="2"/>
          <w:sz w:val="24"/>
          <w:szCs w:val="24"/>
          <w:lang w:eastAsia="en-US"/>
          <w14:ligatures w14:val="standardContextual"/>
        </w:rPr>
        <w:t xml:space="preserve"> (Accessed: 3 October 2025).</w:t>
      </w:r>
    </w:p>
    <w:p w14:paraId="03BD0C65" w14:textId="7F3EAF96"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lastRenderedPageBreak/>
        <w:t xml:space="preserve">McLeod, S. (2025) </w:t>
      </w:r>
      <w:r w:rsidRPr="00A5563F">
        <w:rPr>
          <w:rFonts w:ascii="Aptos" w:eastAsia="Aptos" w:hAnsi="Aptos" w:cs="Times New Roman"/>
          <w:i/>
          <w:iCs/>
          <w:color w:val="auto"/>
          <w:kern w:val="2"/>
          <w:sz w:val="24"/>
          <w:szCs w:val="24"/>
          <w:lang w:eastAsia="en-US"/>
          <w14:ligatures w14:val="standardContextual"/>
        </w:rPr>
        <w:t>John Bowlby’s Attachment Theory</w:t>
      </w:r>
      <w:r w:rsidRPr="00A5563F">
        <w:rPr>
          <w:rFonts w:ascii="Aptos" w:eastAsia="Aptos" w:hAnsi="Aptos" w:cs="Times New Roman"/>
          <w:color w:val="auto"/>
          <w:kern w:val="2"/>
          <w:sz w:val="24"/>
          <w:szCs w:val="24"/>
          <w:lang w:eastAsia="en-US"/>
          <w14:ligatures w14:val="standardContextual"/>
        </w:rPr>
        <w:t xml:space="preserve">. Simply Psychology. Available at: </w:t>
      </w:r>
      <w:hyperlink r:id="rId57" w:tgtFrame="_blank" w:history="1">
        <w:r w:rsidRPr="00A5563F">
          <w:rPr>
            <w:rFonts w:ascii="Aptos" w:eastAsia="Aptos" w:hAnsi="Aptos" w:cs="Times New Roman"/>
            <w:color w:val="467886"/>
            <w:kern w:val="2"/>
            <w:sz w:val="24"/>
            <w:szCs w:val="24"/>
            <w:u w:val="single"/>
            <w:lang w:eastAsia="en-US"/>
            <w14:ligatures w14:val="standardContextual"/>
          </w:rPr>
          <w:t>https://www.simplypsychology.org/bowlby.html</w:t>
        </w:r>
      </w:hyperlink>
      <w:r w:rsidRPr="00A5563F">
        <w:rPr>
          <w:rFonts w:ascii="Aptos" w:eastAsia="Aptos" w:hAnsi="Aptos" w:cs="Times New Roman"/>
          <w:color w:val="auto"/>
          <w:kern w:val="2"/>
          <w:sz w:val="24"/>
          <w:szCs w:val="24"/>
          <w:lang w:eastAsia="en-US"/>
          <w14:ligatures w14:val="standardContextual"/>
        </w:rPr>
        <w:t xml:space="preserve"> (Accessed: 3 October 2025). </w:t>
      </w:r>
    </w:p>
    <w:p w14:paraId="069134FB"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b/>
          <w:bCs/>
          <w:color w:val="auto"/>
          <w:kern w:val="2"/>
          <w:sz w:val="24"/>
          <w:szCs w:val="24"/>
          <w:lang w:eastAsia="en-US"/>
          <w14:ligatures w14:val="standardContextual"/>
        </w:rPr>
      </w:pPr>
      <w:r w:rsidRPr="00A5563F">
        <w:rPr>
          <w:rFonts w:ascii="Aptos" w:eastAsia="Aptos" w:hAnsi="Aptos" w:cs="Times New Roman"/>
          <w:b/>
          <w:bCs/>
          <w:color w:val="auto"/>
          <w:kern w:val="2"/>
          <w:sz w:val="24"/>
          <w:szCs w:val="24"/>
          <w:lang w:eastAsia="en-US"/>
          <w14:ligatures w14:val="standardContextual"/>
        </w:rPr>
        <w:t xml:space="preserve">References Task 4 </w:t>
      </w:r>
    </w:p>
    <w:p w14:paraId="0BAA3872"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b/>
          <w:bCs/>
          <w:color w:val="auto"/>
          <w:kern w:val="2"/>
          <w:sz w:val="24"/>
          <w:szCs w:val="24"/>
          <w:lang w:eastAsia="en-US"/>
          <w14:ligatures w14:val="standardContextual"/>
        </w:rPr>
      </w:pPr>
      <w:r w:rsidRPr="00A5563F">
        <w:rPr>
          <w:rFonts w:ascii="Aptos" w:eastAsia="Aptos" w:hAnsi="Aptos" w:cs="Times New Roman"/>
          <w:b/>
          <w:bCs/>
          <w:color w:val="auto"/>
          <w:kern w:val="2"/>
          <w:sz w:val="24"/>
          <w:szCs w:val="24"/>
          <w:lang w:eastAsia="en-US"/>
          <w14:ligatures w14:val="standardContextual"/>
        </w:rPr>
        <w:t xml:space="preserve">A </w:t>
      </w:r>
    </w:p>
    <w:p w14:paraId="1C44328A"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Welsh Government (2014) </w:t>
      </w:r>
      <w:r w:rsidRPr="00A5563F">
        <w:rPr>
          <w:rFonts w:ascii="Aptos" w:eastAsia="Aptos" w:hAnsi="Aptos" w:cs="Times New Roman"/>
          <w:i/>
          <w:iCs/>
          <w:color w:val="auto"/>
          <w:kern w:val="2"/>
          <w:sz w:val="24"/>
          <w:szCs w:val="24"/>
          <w:lang w:eastAsia="en-US"/>
          <w14:ligatures w14:val="standardContextual"/>
        </w:rPr>
        <w:t>Social Services and Well-being (Wales) Act 2014, Part 7: Safeguarding</w:t>
      </w:r>
      <w:r w:rsidRPr="00A5563F">
        <w:rPr>
          <w:rFonts w:ascii="Aptos" w:eastAsia="Aptos" w:hAnsi="Aptos" w:cs="Times New Roman"/>
          <w:color w:val="auto"/>
          <w:kern w:val="2"/>
          <w:sz w:val="24"/>
          <w:szCs w:val="24"/>
          <w:lang w:eastAsia="en-US"/>
          <w14:ligatures w14:val="standardContextual"/>
        </w:rPr>
        <w:t>. [online] Available at: </w:t>
      </w:r>
      <w:hyperlink r:id="rId58" w:history="1">
        <w:r w:rsidRPr="00A5563F">
          <w:rPr>
            <w:rFonts w:ascii="Aptos" w:eastAsia="Aptos" w:hAnsi="Aptos" w:cs="Times New Roman"/>
            <w:color w:val="467886"/>
            <w:kern w:val="2"/>
            <w:sz w:val="24"/>
            <w:szCs w:val="24"/>
            <w:u w:val="single"/>
            <w:lang w:eastAsia="en-US"/>
            <w14:ligatures w14:val="standardContextual"/>
          </w:rPr>
          <w:t>https://www.legislation.gov.uk/anaw/2014/4/part/7</w:t>
        </w:r>
      </w:hyperlink>
      <w:r w:rsidRPr="00A5563F">
        <w:rPr>
          <w:rFonts w:ascii="Aptos" w:eastAsia="Aptos" w:hAnsi="Aptos" w:cs="Times New Roman"/>
          <w:color w:val="auto"/>
          <w:kern w:val="2"/>
          <w:sz w:val="24"/>
          <w:szCs w:val="24"/>
          <w:lang w:eastAsia="en-US"/>
          <w14:ligatures w14:val="standardContextual"/>
        </w:rPr>
        <w:t xml:space="preserve"> (Accessed: 9 September 2025).</w:t>
      </w:r>
    </w:p>
    <w:p w14:paraId="7F538E0A"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Amnesty International UK (n.d.). </w:t>
      </w:r>
      <w:r w:rsidRPr="00A5563F">
        <w:rPr>
          <w:rFonts w:ascii="Aptos" w:eastAsia="Aptos" w:hAnsi="Aptos" w:cs="Times New Roman"/>
          <w:i/>
          <w:iCs/>
          <w:color w:val="auto"/>
          <w:kern w:val="2"/>
          <w:sz w:val="24"/>
          <w:szCs w:val="24"/>
          <w:lang w:eastAsia="en-US"/>
          <w14:ligatures w14:val="standardContextual"/>
        </w:rPr>
        <w:t>What is the European Convention on Human Rights?</w:t>
      </w:r>
      <w:r w:rsidRPr="00A5563F">
        <w:rPr>
          <w:rFonts w:ascii="Aptos" w:eastAsia="Aptos" w:hAnsi="Aptos" w:cs="Times New Roman"/>
          <w:color w:val="auto"/>
          <w:kern w:val="2"/>
          <w:sz w:val="24"/>
          <w:szCs w:val="24"/>
          <w:lang w:eastAsia="en-US"/>
          <w14:ligatures w14:val="standardContextual"/>
        </w:rPr>
        <w:t> Available at: </w:t>
      </w:r>
      <w:hyperlink r:id="rId59" w:history="1">
        <w:r w:rsidRPr="00A5563F">
          <w:rPr>
            <w:rFonts w:ascii="Aptos" w:eastAsia="Aptos" w:hAnsi="Aptos" w:cs="Times New Roman"/>
            <w:color w:val="467886"/>
            <w:kern w:val="2"/>
            <w:sz w:val="24"/>
            <w:szCs w:val="24"/>
            <w:u w:val="single"/>
            <w:lang w:eastAsia="en-US"/>
            <w14:ligatures w14:val="standardContextual"/>
          </w:rPr>
          <w:t>https://www.amnesty.org.uk/blogs/campaigns-blog/what-european-convention-human-rights</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437D1D24"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Welsh Government (2019) </w:t>
      </w:r>
      <w:r w:rsidRPr="00A5563F">
        <w:rPr>
          <w:rFonts w:ascii="Aptos" w:eastAsia="Aptos" w:hAnsi="Aptos" w:cs="Times New Roman"/>
          <w:i/>
          <w:iCs/>
          <w:color w:val="auto"/>
          <w:kern w:val="2"/>
          <w:sz w:val="24"/>
          <w:szCs w:val="24"/>
          <w:lang w:eastAsia="en-US"/>
          <w14:ligatures w14:val="standardContextual"/>
        </w:rPr>
        <w:t>Working Together to Safeguard People: Volume 6 – Handling Individual Cases to Protect Adults at Risk</w:t>
      </w:r>
      <w:r w:rsidRPr="00A5563F">
        <w:rPr>
          <w:rFonts w:ascii="Aptos" w:eastAsia="Aptos" w:hAnsi="Aptos" w:cs="Times New Roman"/>
          <w:color w:val="auto"/>
          <w:kern w:val="2"/>
          <w:sz w:val="24"/>
          <w:szCs w:val="24"/>
          <w:lang w:eastAsia="en-US"/>
          <w14:ligatures w14:val="standardContextual"/>
        </w:rPr>
        <w:t>. [pdf] Welsh Government. Available at: </w:t>
      </w:r>
      <w:hyperlink r:id="rId60" w:history="1">
        <w:r w:rsidRPr="00A5563F">
          <w:rPr>
            <w:rFonts w:ascii="Aptos" w:eastAsia="Aptos" w:hAnsi="Aptos" w:cs="Times New Roman"/>
            <w:color w:val="467886"/>
            <w:kern w:val="2"/>
            <w:sz w:val="24"/>
            <w:szCs w:val="24"/>
            <w:u w:val="single"/>
            <w:lang w:eastAsia="en-US"/>
            <w14:ligatures w14:val="standardContextual"/>
          </w:rPr>
          <w:t>https://www.gov.wales/sites/default/files/publications/2019-06/volume-6-handling-individual-cases-to-protect-adults-at-risk.pdf</w:t>
        </w:r>
      </w:hyperlink>
      <w:r w:rsidRPr="00A5563F">
        <w:rPr>
          <w:rFonts w:ascii="Aptos" w:eastAsia="Aptos" w:hAnsi="Aptos" w:cs="Times New Roman"/>
          <w:color w:val="auto"/>
          <w:kern w:val="2"/>
          <w:sz w:val="24"/>
          <w:szCs w:val="24"/>
          <w:lang w:eastAsia="en-US"/>
          <w14:ligatures w14:val="standardContextual"/>
        </w:rPr>
        <w:t xml:space="preserve"> (Accessed: 9 September 2025).</w:t>
      </w:r>
    </w:p>
    <w:p w14:paraId="31D3C7EB"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Care Wales (2019) </w:t>
      </w:r>
      <w:r w:rsidRPr="00A5563F">
        <w:rPr>
          <w:rFonts w:ascii="Aptos" w:eastAsia="Aptos" w:hAnsi="Aptos" w:cs="Times New Roman"/>
          <w:i/>
          <w:iCs/>
          <w:color w:val="auto"/>
          <w:kern w:val="2"/>
          <w:sz w:val="24"/>
          <w:szCs w:val="24"/>
          <w:lang w:eastAsia="en-US"/>
          <w14:ligatures w14:val="standardContextual"/>
        </w:rPr>
        <w:t>Wales Safeguarding Procedures</w:t>
      </w:r>
      <w:r w:rsidRPr="00A5563F">
        <w:rPr>
          <w:rFonts w:ascii="Aptos" w:eastAsia="Aptos" w:hAnsi="Aptos" w:cs="Times New Roman"/>
          <w:color w:val="auto"/>
          <w:kern w:val="2"/>
          <w:sz w:val="24"/>
          <w:szCs w:val="24"/>
          <w:lang w:eastAsia="en-US"/>
          <w14:ligatures w14:val="standardContextual"/>
        </w:rPr>
        <w:t>. [online] Available at: </w:t>
      </w:r>
      <w:hyperlink r:id="rId61" w:history="1">
        <w:r w:rsidRPr="00A5563F">
          <w:rPr>
            <w:rFonts w:ascii="Aptos" w:eastAsia="Aptos" w:hAnsi="Aptos" w:cs="Times New Roman"/>
            <w:color w:val="467886"/>
            <w:kern w:val="2"/>
            <w:sz w:val="24"/>
            <w:szCs w:val="24"/>
            <w:u w:val="single"/>
            <w:lang w:eastAsia="en-US"/>
            <w14:ligatures w14:val="standardContextual"/>
          </w:rPr>
          <w:t>https://www.safeguarding.wales/en/</w:t>
        </w:r>
      </w:hyperlink>
      <w:r w:rsidRPr="00A5563F">
        <w:rPr>
          <w:rFonts w:ascii="Aptos" w:eastAsia="Aptos" w:hAnsi="Aptos" w:cs="Times New Roman"/>
          <w:color w:val="auto"/>
          <w:kern w:val="2"/>
          <w:sz w:val="24"/>
          <w:szCs w:val="24"/>
          <w:lang w:eastAsia="en-US"/>
          <w14:ligatures w14:val="standardContextual"/>
        </w:rPr>
        <w:t xml:space="preserve"> (Accessed: 9 September 25). </w:t>
      </w:r>
    </w:p>
    <w:p w14:paraId="24A9540C"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 xml:space="preserve">Social Care Institute for Excellence (2022) Mental Capacity Act 2005 at a glance. [online] Available at: </w:t>
      </w:r>
      <w:hyperlink r:id="rId62" w:history="1">
        <w:r w:rsidRPr="00A5563F">
          <w:rPr>
            <w:rFonts w:ascii="Aptos" w:eastAsia="Aptos" w:hAnsi="Aptos" w:cs="Times New Roman"/>
            <w:color w:val="467886"/>
            <w:kern w:val="2"/>
            <w:sz w:val="24"/>
            <w:szCs w:val="24"/>
            <w:u w:val="single"/>
            <w:lang w:eastAsia="en-US"/>
            <w14:ligatures w14:val="standardContextual"/>
          </w:rPr>
          <w:t>https://www.scie.org.uk/mca/introduction/mental-capacity-act-2005-at-a-glance/</w:t>
        </w:r>
      </w:hyperlink>
      <w:r w:rsidRPr="00A5563F">
        <w:rPr>
          <w:rFonts w:ascii="Aptos" w:eastAsia="Aptos" w:hAnsi="Aptos" w:cs="Times New Roman"/>
          <w:color w:val="auto"/>
          <w:kern w:val="2"/>
          <w:sz w:val="24"/>
          <w:szCs w:val="24"/>
          <w:lang w:eastAsia="en-US"/>
          <w14:ligatures w14:val="standardContextual"/>
        </w:rPr>
        <w:t xml:space="preserve"> (Accessed: 9 September 2025).</w:t>
      </w:r>
    </w:p>
    <w:p w14:paraId="0F0A0364"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Mental Capacity Act 2005</w:t>
      </w:r>
      <w:r w:rsidRPr="00A5563F">
        <w:rPr>
          <w:rFonts w:ascii="Aptos" w:eastAsia="Aptos" w:hAnsi="Aptos" w:cs="Times New Roman"/>
          <w:color w:val="auto"/>
          <w:kern w:val="2"/>
          <w:sz w:val="24"/>
          <w:szCs w:val="24"/>
          <w:lang w:eastAsia="en-US"/>
          <w14:ligatures w14:val="standardContextual"/>
        </w:rPr>
        <w:t>, c.9. Available at: </w:t>
      </w:r>
      <w:hyperlink r:id="rId63" w:tgtFrame="_blank" w:history="1">
        <w:r w:rsidRPr="00A5563F">
          <w:rPr>
            <w:rFonts w:ascii="Aptos" w:eastAsia="Aptos" w:hAnsi="Aptos" w:cs="Times New Roman"/>
            <w:color w:val="467886"/>
            <w:kern w:val="2"/>
            <w:sz w:val="24"/>
            <w:szCs w:val="24"/>
            <w:u w:val="single"/>
            <w:lang w:eastAsia="en-US"/>
            <w14:ligatures w14:val="standardContextual"/>
          </w:rPr>
          <w:t>https://www.legislation.gov.uk/ukpga/2005/9/contents</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0E30BB31"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b/>
          <w:bCs/>
          <w:color w:val="auto"/>
          <w:kern w:val="2"/>
          <w:sz w:val="24"/>
          <w:szCs w:val="24"/>
          <w:lang w:eastAsia="en-US"/>
          <w14:ligatures w14:val="standardContextual"/>
        </w:rPr>
      </w:pPr>
      <w:r w:rsidRPr="00A5563F">
        <w:rPr>
          <w:rFonts w:ascii="Aptos" w:eastAsia="Aptos" w:hAnsi="Aptos" w:cs="Times New Roman"/>
          <w:b/>
          <w:bCs/>
          <w:color w:val="auto"/>
          <w:kern w:val="2"/>
          <w:sz w:val="24"/>
          <w:szCs w:val="24"/>
          <w:lang w:eastAsia="en-US"/>
          <w14:ligatures w14:val="standardContextual"/>
        </w:rPr>
        <w:t>B</w:t>
      </w:r>
    </w:p>
    <w:p w14:paraId="7E8A128D"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Services and Well-being (Wales) Act 2014. Welsh Government, 2014. </w:t>
      </w:r>
      <w:r w:rsidRPr="00A5563F">
        <w:rPr>
          <w:rFonts w:ascii="Aptos" w:eastAsia="Aptos" w:hAnsi="Aptos" w:cs="Times New Roman"/>
          <w:i/>
          <w:iCs/>
          <w:color w:val="auto"/>
          <w:kern w:val="2"/>
          <w:sz w:val="24"/>
          <w:szCs w:val="24"/>
          <w:lang w:eastAsia="en-US"/>
          <w14:ligatures w14:val="standardContextual"/>
        </w:rPr>
        <w:t>Social Services and Well-being (Wales) Act 2014</w:t>
      </w:r>
      <w:r w:rsidRPr="00A5563F">
        <w:rPr>
          <w:rFonts w:ascii="Aptos" w:eastAsia="Aptos" w:hAnsi="Aptos" w:cs="Times New Roman"/>
          <w:color w:val="auto"/>
          <w:kern w:val="2"/>
          <w:sz w:val="24"/>
          <w:szCs w:val="24"/>
          <w:lang w:eastAsia="en-US"/>
          <w14:ligatures w14:val="standardContextual"/>
        </w:rPr>
        <w:t>. [online] Available at: </w:t>
      </w:r>
      <w:hyperlink r:id="rId64" w:history="1">
        <w:r w:rsidRPr="00A5563F">
          <w:rPr>
            <w:rFonts w:ascii="Aptos" w:eastAsia="Aptos" w:hAnsi="Aptos" w:cs="Times New Roman"/>
            <w:color w:val="467886"/>
            <w:kern w:val="2"/>
            <w:sz w:val="24"/>
            <w:szCs w:val="24"/>
            <w:u w:val="single"/>
            <w:lang w:eastAsia="en-US"/>
            <w14:ligatures w14:val="standardContextual"/>
          </w:rPr>
          <w:t>https://www.legislation.gov.uk/anaw/2014/4</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11F69D91"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Welsh Government (2014) </w:t>
      </w:r>
      <w:r w:rsidRPr="00A5563F">
        <w:rPr>
          <w:rFonts w:ascii="Aptos" w:eastAsia="Aptos" w:hAnsi="Aptos" w:cs="Times New Roman"/>
          <w:i/>
          <w:iCs/>
          <w:color w:val="auto"/>
          <w:kern w:val="2"/>
          <w:sz w:val="24"/>
          <w:szCs w:val="24"/>
          <w:lang w:eastAsia="en-US"/>
          <w14:ligatures w14:val="standardContextual"/>
        </w:rPr>
        <w:t>Social Services and Well-being (Wales) Act 2014, Part 7: Safeguarding</w:t>
      </w:r>
      <w:r w:rsidRPr="00A5563F">
        <w:rPr>
          <w:rFonts w:ascii="Aptos" w:eastAsia="Aptos" w:hAnsi="Aptos" w:cs="Times New Roman"/>
          <w:color w:val="auto"/>
          <w:kern w:val="2"/>
          <w:sz w:val="24"/>
          <w:szCs w:val="24"/>
          <w:lang w:eastAsia="en-US"/>
          <w14:ligatures w14:val="standardContextual"/>
        </w:rPr>
        <w:t>. [online] Available at: </w:t>
      </w:r>
      <w:hyperlink r:id="rId65" w:history="1">
        <w:r w:rsidRPr="00A5563F">
          <w:rPr>
            <w:rFonts w:ascii="Aptos" w:eastAsia="Aptos" w:hAnsi="Aptos" w:cs="Times New Roman"/>
            <w:color w:val="467886"/>
            <w:kern w:val="2"/>
            <w:sz w:val="24"/>
            <w:szCs w:val="24"/>
            <w:u w:val="single"/>
            <w:lang w:eastAsia="en-US"/>
            <w14:ligatures w14:val="standardContextual"/>
          </w:rPr>
          <w:t>https://www.legislation.gov.uk/anaw/2014/4/part/7</w:t>
        </w:r>
      </w:hyperlink>
      <w:r w:rsidRPr="00A5563F">
        <w:rPr>
          <w:rFonts w:ascii="Aptos" w:eastAsia="Aptos" w:hAnsi="Aptos" w:cs="Times New Roman"/>
          <w:color w:val="auto"/>
          <w:kern w:val="2"/>
          <w:sz w:val="24"/>
          <w:szCs w:val="24"/>
          <w:lang w:eastAsia="en-US"/>
          <w14:ligatures w14:val="standardContextual"/>
        </w:rPr>
        <w:t xml:space="preserve"> (Accessed: 9 September 2025).</w:t>
      </w:r>
    </w:p>
    <w:p w14:paraId="3D077E58"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Care Wales, 2017. </w:t>
      </w:r>
      <w:r w:rsidRPr="00A5563F">
        <w:rPr>
          <w:rFonts w:ascii="Aptos" w:eastAsia="Aptos" w:hAnsi="Aptos" w:cs="Times New Roman"/>
          <w:i/>
          <w:iCs/>
          <w:color w:val="auto"/>
          <w:kern w:val="2"/>
          <w:sz w:val="24"/>
          <w:szCs w:val="24"/>
          <w:lang w:eastAsia="en-US"/>
          <w14:ligatures w14:val="standardContextual"/>
        </w:rPr>
        <w:t>Code of Professional Practice for Social Care</w:t>
      </w:r>
      <w:r w:rsidRPr="00A5563F">
        <w:rPr>
          <w:rFonts w:ascii="Aptos" w:eastAsia="Aptos" w:hAnsi="Aptos" w:cs="Times New Roman"/>
          <w:color w:val="auto"/>
          <w:kern w:val="2"/>
          <w:sz w:val="24"/>
          <w:szCs w:val="24"/>
          <w:lang w:eastAsia="en-US"/>
          <w14:ligatures w14:val="standardContextual"/>
        </w:rPr>
        <w:t>. [online] Available at: </w:t>
      </w:r>
      <w:hyperlink r:id="rId66" w:history="1">
        <w:r w:rsidRPr="00A5563F">
          <w:rPr>
            <w:rFonts w:ascii="Aptos" w:eastAsia="Aptos" w:hAnsi="Aptos" w:cs="Times New Roman"/>
            <w:color w:val="467886"/>
            <w:kern w:val="2"/>
            <w:sz w:val="24"/>
            <w:szCs w:val="24"/>
            <w:u w:val="single"/>
            <w:lang w:eastAsia="en-US"/>
            <w14:ligatures w14:val="standardContextual"/>
          </w:rPr>
          <w:t>https://socialcare.wales/cms_assets/file-uploads/Code-of-Professional-Practice-for-Social-Care.pdf</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6386D86C" w14:textId="77777777" w:rsidR="00A5563F" w:rsidRPr="00A5563F" w:rsidRDefault="00A5563F" w:rsidP="00A5563F">
      <w:pPr>
        <w:overflowPunct/>
        <w:autoSpaceDE/>
        <w:autoSpaceDN/>
        <w:adjustRightInd/>
        <w:spacing w:after="160" w:line="360" w:lineRule="auto"/>
        <w:jc w:val="both"/>
        <w:textAlignment w:val="auto"/>
        <w:rPr>
          <w:rFonts w:ascii="Aptos" w:eastAsia="Aptos" w:hAnsi="Aptos" w:cs="Times New Roman"/>
          <w:color w:val="auto"/>
          <w:kern w:val="2"/>
          <w:sz w:val="24"/>
          <w:szCs w:val="24"/>
          <w:lang w:eastAsia="en-US"/>
          <w14:ligatures w14:val="standardContextual"/>
        </w:rPr>
      </w:pPr>
    </w:p>
    <w:p w14:paraId="47299B00" w14:textId="77777777" w:rsidR="00A5563F" w:rsidRPr="00A5563F" w:rsidRDefault="00A5563F" w:rsidP="00A5563F">
      <w:pPr>
        <w:overflowPunct/>
        <w:autoSpaceDE/>
        <w:autoSpaceDN/>
        <w:adjustRightInd/>
        <w:spacing w:after="160" w:line="360" w:lineRule="auto"/>
        <w:jc w:val="both"/>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lastRenderedPageBreak/>
        <w:t>Hardy, R. (2017) </w:t>
      </w:r>
      <w:r w:rsidRPr="00A5563F">
        <w:rPr>
          <w:rFonts w:ascii="Aptos" w:eastAsia="Aptos" w:hAnsi="Aptos" w:cs="Times New Roman"/>
          <w:i/>
          <w:iCs/>
          <w:color w:val="auto"/>
          <w:kern w:val="2"/>
          <w:sz w:val="24"/>
          <w:szCs w:val="24"/>
          <w:lang w:eastAsia="en-US"/>
          <w14:ligatures w14:val="standardContextual"/>
        </w:rPr>
        <w:t>Safeguarding adults who have mental capacity: key principles</w:t>
      </w:r>
      <w:r w:rsidRPr="00A5563F">
        <w:rPr>
          <w:rFonts w:ascii="Aptos" w:eastAsia="Aptos" w:hAnsi="Aptos" w:cs="Times New Roman"/>
          <w:color w:val="auto"/>
          <w:kern w:val="2"/>
          <w:sz w:val="24"/>
          <w:szCs w:val="24"/>
          <w:lang w:eastAsia="en-US"/>
          <w14:ligatures w14:val="standardContextual"/>
        </w:rPr>
        <w:t>. Community Care. Available at: </w:t>
      </w:r>
      <w:hyperlink r:id="rId67" w:history="1">
        <w:r w:rsidRPr="00A5563F">
          <w:rPr>
            <w:rFonts w:ascii="Aptos" w:eastAsia="Aptos" w:hAnsi="Aptos" w:cs="Times New Roman"/>
            <w:color w:val="467886"/>
            <w:kern w:val="2"/>
            <w:sz w:val="24"/>
            <w:szCs w:val="24"/>
            <w:u w:val="single"/>
            <w:lang w:eastAsia="en-US"/>
            <w14:ligatures w14:val="standardContextual"/>
          </w:rPr>
          <w:t>https://www.communitycare.co.uk/2017/12/04/safeguarding-adults-mental-capacity-key-principles/</w:t>
        </w:r>
      </w:hyperlink>
      <w:r w:rsidRPr="00A5563F">
        <w:rPr>
          <w:rFonts w:ascii="Aptos" w:eastAsia="Aptos" w:hAnsi="Aptos" w:cs="Times New Roman"/>
          <w:color w:val="auto"/>
          <w:kern w:val="2"/>
          <w:sz w:val="24"/>
          <w:szCs w:val="24"/>
          <w:lang w:eastAsia="en-US"/>
          <w14:ligatures w14:val="standardContextual"/>
        </w:rPr>
        <w:t xml:space="preserve"> (Accessed: 9 September 2025).</w:t>
      </w:r>
    </w:p>
    <w:p w14:paraId="222C1AD4" w14:textId="77777777" w:rsidR="00A5563F" w:rsidRPr="00A5563F" w:rsidRDefault="00A5563F" w:rsidP="00A5563F">
      <w:pPr>
        <w:overflowPunct/>
        <w:autoSpaceDE/>
        <w:autoSpaceDN/>
        <w:adjustRightInd/>
        <w:spacing w:after="160" w:line="360" w:lineRule="auto"/>
        <w:jc w:val="both"/>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Safeguarding Wales (n.d.) </w:t>
      </w:r>
      <w:r w:rsidRPr="00A5563F">
        <w:rPr>
          <w:rFonts w:ascii="Aptos" w:eastAsia="Aptos" w:hAnsi="Aptos" w:cs="Times New Roman"/>
          <w:i/>
          <w:iCs/>
          <w:color w:val="auto"/>
          <w:kern w:val="2"/>
          <w:sz w:val="24"/>
          <w:szCs w:val="24"/>
          <w:lang w:eastAsia="en-US"/>
          <w14:ligatures w14:val="standardContextual"/>
        </w:rPr>
        <w:t>Managing difficulties in gaining access – Adults at risk</w:t>
      </w:r>
      <w:r w:rsidRPr="00A5563F">
        <w:rPr>
          <w:rFonts w:ascii="Aptos" w:eastAsia="Aptos" w:hAnsi="Aptos" w:cs="Times New Roman"/>
          <w:color w:val="auto"/>
          <w:kern w:val="2"/>
          <w:sz w:val="24"/>
          <w:szCs w:val="24"/>
          <w:lang w:eastAsia="en-US"/>
          <w14:ligatures w14:val="standardContextual"/>
        </w:rPr>
        <w:t>. Available at: </w:t>
      </w:r>
      <w:hyperlink r:id="rId68" w:history="1">
        <w:r w:rsidRPr="00A5563F">
          <w:rPr>
            <w:rFonts w:ascii="Aptos" w:eastAsia="Aptos" w:hAnsi="Aptos" w:cs="Times New Roman"/>
            <w:color w:val="467886"/>
            <w:kern w:val="2"/>
            <w:sz w:val="24"/>
            <w:szCs w:val="24"/>
            <w:u w:val="single"/>
            <w:lang w:eastAsia="en-US"/>
            <w14:ligatures w14:val="standardContextual"/>
          </w:rPr>
          <w:t>https://safeguarding.wales/en/adu-i/adu-i-a3pt1/a3pt1-p18/</w:t>
        </w:r>
      </w:hyperlink>
      <w:r w:rsidRPr="00A5563F">
        <w:rPr>
          <w:rFonts w:ascii="Aptos" w:eastAsia="Aptos" w:hAnsi="Aptos" w:cs="Times New Roman"/>
          <w:color w:val="auto"/>
          <w:kern w:val="2"/>
          <w:sz w:val="24"/>
          <w:szCs w:val="24"/>
          <w:lang w:eastAsia="en-US"/>
          <w14:ligatures w14:val="standardContextual"/>
        </w:rPr>
        <w:t xml:space="preserve"> (Accessed: 9 September 2025) </w:t>
      </w:r>
    </w:p>
    <w:p w14:paraId="110E09F7"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i/>
          <w:iCs/>
          <w:color w:val="auto"/>
          <w:kern w:val="2"/>
          <w:sz w:val="24"/>
          <w:szCs w:val="24"/>
          <w:lang w:eastAsia="en-US"/>
          <w14:ligatures w14:val="standardContextual"/>
        </w:rPr>
        <w:t>Children Act 1989</w:t>
      </w:r>
      <w:r w:rsidRPr="00A5563F">
        <w:rPr>
          <w:rFonts w:ascii="Aptos" w:eastAsia="Aptos" w:hAnsi="Aptos" w:cs="Times New Roman"/>
          <w:color w:val="auto"/>
          <w:kern w:val="2"/>
          <w:sz w:val="24"/>
          <w:szCs w:val="24"/>
          <w:lang w:eastAsia="en-US"/>
          <w14:ligatures w14:val="standardContextual"/>
        </w:rPr>
        <w:t>. (c.41). London: HMSO. Available at: </w:t>
      </w:r>
      <w:hyperlink r:id="rId69" w:history="1">
        <w:r w:rsidRPr="00A5563F">
          <w:rPr>
            <w:rFonts w:ascii="Aptos" w:eastAsia="Aptos" w:hAnsi="Aptos" w:cs="Times New Roman"/>
            <w:color w:val="467886"/>
            <w:kern w:val="2"/>
            <w:sz w:val="24"/>
            <w:szCs w:val="24"/>
            <w:u w:val="single"/>
            <w:lang w:eastAsia="en-US"/>
            <w14:ligatures w14:val="standardContextual"/>
          </w:rPr>
          <w:t>https://www.legislation.gov.uk/ukpga/1989/41/contents</w:t>
        </w:r>
      </w:hyperlink>
      <w:r w:rsidRPr="00A5563F">
        <w:rPr>
          <w:rFonts w:ascii="Aptos" w:eastAsia="Aptos" w:hAnsi="Aptos" w:cs="Times New Roman"/>
          <w:color w:val="auto"/>
          <w:kern w:val="2"/>
          <w:sz w:val="24"/>
          <w:szCs w:val="24"/>
          <w:lang w:eastAsia="en-US"/>
          <w14:ligatures w14:val="standardContextual"/>
        </w:rPr>
        <w:t xml:space="preserve"> (Accessed: 10 September 2025).</w:t>
      </w:r>
    </w:p>
    <w:p w14:paraId="62A0FF20"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Services and Well-being (Wales) Act 2014. (Available at: </w:t>
      </w:r>
      <w:hyperlink r:id="rId70" w:history="1">
        <w:r w:rsidRPr="00A5563F">
          <w:rPr>
            <w:rFonts w:ascii="Aptos" w:eastAsia="Aptos" w:hAnsi="Aptos" w:cs="Times New Roman"/>
            <w:color w:val="467886"/>
            <w:kern w:val="2"/>
            <w:sz w:val="24"/>
            <w:szCs w:val="24"/>
            <w:u w:val="single"/>
            <w:lang w:eastAsia="en-US"/>
            <w14:ligatures w14:val="standardContextual"/>
          </w:rPr>
          <w:t>https://www.legislation.gov.uk/anaw/2014/4/contents</w:t>
        </w:r>
      </w:hyperlink>
      <w:r w:rsidRPr="00A5563F">
        <w:rPr>
          <w:rFonts w:ascii="Aptos" w:eastAsia="Aptos" w:hAnsi="Aptos" w:cs="Times New Roman"/>
          <w:color w:val="auto"/>
          <w:kern w:val="2"/>
          <w:sz w:val="24"/>
          <w:szCs w:val="24"/>
          <w:lang w:eastAsia="en-US"/>
          <w14:ligatures w14:val="standardContextual"/>
        </w:rPr>
        <w:t xml:space="preserve"> (Accessed 10 September 2025). </w:t>
      </w:r>
    </w:p>
    <w:p w14:paraId="556869E2"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r w:rsidRPr="00A5563F">
        <w:rPr>
          <w:rFonts w:ascii="Aptos" w:eastAsia="Aptos" w:hAnsi="Aptos" w:cs="Times New Roman"/>
          <w:color w:val="auto"/>
          <w:kern w:val="2"/>
          <w:sz w:val="24"/>
          <w:szCs w:val="24"/>
          <w:lang w:eastAsia="en-US"/>
          <w14:ligatures w14:val="standardContextual"/>
        </w:rPr>
        <w:t>Social Care Wales (2019) </w:t>
      </w:r>
      <w:r w:rsidRPr="00A5563F">
        <w:rPr>
          <w:rFonts w:ascii="Aptos" w:eastAsia="Aptos" w:hAnsi="Aptos" w:cs="Times New Roman"/>
          <w:i/>
          <w:iCs/>
          <w:color w:val="auto"/>
          <w:kern w:val="2"/>
          <w:sz w:val="24"/>
          <w:szCs w:val="24"/>
          <w:lang w:eastAsia="en-US"/>
          <w14:ligatures w14:val="standardContextual"/>
        </w:rPr>
        <w:t>Wales Safeguarding Procedures</w:t>
      </w:r>
      <w:r w:rsidRPr="00A5563F">
        <w:rPr>
          <w:rFonts w:ascii="Aptos" w:eastAsia="Aptos" w:hAnsi="Aptos" w:cs="Times New Roman"/>
          <w:color w:val="auto"/>
          <w:kern w:val="2"/>
          <w:sz w:val="24"/>
          <w:szCs w:val="24"/>
          <w:lang w:eastAsia="en-US"/>
          <w14:ligatures w14:val="standardContextual"/>
        </w:rPr>
        <w:t>. [online] Available at: </w:t>
      </w:r>
      <w:hyperlink r:id="rId71" w:history="1">
        <w:r w:rsidRPr="00A5563F">
          <w:rPr>
            <w:rFonts w:ascii="Aptos" w:eastAsia="Aptos" w:hAnsi="Aptos" w:cs="Times New Roman"/>
            <w:color w:val="467886"/>
            <w:kern w:val="2"/>
            <w:sz w:val="24"/>
            <w:szCs w:val="24"/>
            <w:u w:val="single"/>
            <w:lang w:eastAsia="en-US"/>
            <w14:ligatures w14:val="standardContextual"/>
          </w:rPr>
          <w:t>https://www.safeguarding.wales/en/</w:t>
        </w:r>
      </w:hyperlink>
      <w:r w:rsidRPr="00A5563F">
        <w:rPr>
          <w:rFonts w:ascii="Aptos" w:eastAsia="Aptos" w:hAnsi="Aptos" w:cs="Times New Roman"/>
          <w:color w:val="auto"/>
          <w:kern w:val="2"/>
          <w:sz w:val="24"/>
          <w:szCs w:val="24"/>
          <w:lang w:eastAsia="en-US"/>
          <w14:ligatures w14:val="standardContextual"/>
        </w:rPr>
        <w:t xml:space="preserve"> (Accessed 9 September 2025). </w:t>
      </w:r>
    </w:p>
    <w:p w14:paraId="21B2D53A"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p>
    <w:p w14:paraId="64AAC88B" w14:textId="77777777" w:rsidR="00A5563F" w:rsidRPr="00A5563F" w:rsidRDefault="00A5563F" w:rsidP="00A5563F">
      <w:pPr>
        <w:overflowPunct/>
        <w:autoSpaceDE/>
        <w:autoSpaceDN/>
        <w:adjustRightInd/>
        <w:spacing w:after="160" w:line="360" w:lineRule="auto"/>
        <w:jc w:val="both"/>
        <w:textAlignment w:val="auto"/>
        <w:rPr>
          <w:rFonts w:ascii="Aptos" w:eastAsia="Aptos" w:hAnsi="Aptos" w:cs="Times New Roman"/>
          <w:color w:val="auto"/>
          <w:kern w:val="2"/>
          <w:sz w:val="24"/>
          <w:szCs w:val="24"/>
          <w:lang w:eastAsia="en-US"/>
          <w14:ligatures w14:val="standardContextual"/>
        </w:rPr>
      </w:pPr>
    </w:p>
    <w:p w14:paraId="06DC585D" w14:textId="77777777" w:rsidR="00A5563F" w:rsidRPr="00A5563F" w:rsidRDefault="00A5563F" w:rsidP="00A5563F">
      <w:pPr>
        <w:overflowPunct/>
        <w:autoSpaceDE/>
        <w:autoSpaceDN/>
        <w:adjustRightInd/>
        <w:spacing w:after="160" w:line="360" w:lineRule="auto"/>
        <w:jc w:val="both"/>
        <w:textAlignment w:val="auto"/>
        <w:rPr>
          <w:rFonts w:ascii="Aptos" w:eastAsia="Aptos" w:hAnsi="Aptos" w:cs="Times New Roman"/>
          <w:color w:val="auto"/>
          <w:kern w:val="2"/>
          <w:sz w:val="24"/>
          <w:szCs w:val="24"/>
          <w:lang w:eastAsia="en-US"/>
          <w14:ligatures w14:val="standardContextual"/>
        </w:rPr>
      </w:pPr>
    </w:p>
    <w:p w14:paraId="4E368F6C"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color w:val="auto"/>
          <w:kern w:val="2"/>
          <w:sz w:val="24"/>
          <w:szCs w:val="24"/>
          <w:lang w:eastAsia="en-US"/>
          <w14:ligatures w14:val="standardContextual"/>
        </w:rPr>
      </w:pPr>
    </w:p>
    <w:p w14:paraId="1E28FF73"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p>
    <w:p w14:paraId="25DC90C2"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b/>
          <w:bCs/>
          <w:color w:val="auto"/>
          <w:kern w:val="2"/>
          <w:sz w:val="24"/>
          <w:szCs w:val="24"/>
          <w:lang w:eastAsia="en-US"/>
          <w14:ligatures w14:val="standardContextual"/>
        </w:rPr>
      </w:pPr>
    </w:p>
    <w:p w14:paraId="19AA1BE0"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p>
    <w:p w14:paraId="2DFC1919" w14:textId="77777777" w:rsidR="00A5563F" w:rsidRPr="00A5563F" w:rsidRDefault="00A5563F" w:rsidP="00A5563F">
      <w:pPr>
        <w:overflowPunct/>
        <w:autoSpaceDE/>
        <w:autoSpaceDN/>
        <w:adjustRightInd/>
        <w:spacing w:after="160" w:line="360" w:lineRule="auto"/>
        <w:textAlignment w:val="auto"/>
        <w:rPr>
          <w:rFonts w:ascii="Aptos" w:eastAsia="Aptos" w:hAnsi="Aptos" w:cs="Times New Roman"/>
          <w:b/>
          <w:bCs/>
          <w:color w:val="auto"/>
          <w:kern w:val="2"/>
          <w:sz w:val="24"/>
          <w:szCs w:val="24"/>
          <w:lang w:eastAsia="en-US"/>
          <w14:ligatures w14:val="standardContextual"/>
        </w:rPr>
      </w:pPr>
    </w:p>
    <w:p w14:paraId="3B5B9AD1" w14:textId="77777777" w:rsidR="00A5563F" w:rsidRPr="00A5563F" w:rsidRDefault="00A5563F" w:rsidP="00A5563F">
      <w:pPr>
        <w:overflowPunct/>
        <w:autoSpaceDE/>
        <w:autoSpaceDN/>
        <w:adjustRightInd/>
        <w:spacing w:after="160" w:line="259" w:lineRule="auto"/>
        <w:textAlignment w:val="auto"/>
        <w:rPr>
          <w:rFonts w:ascii="Aptos" w:eastAsia="Aptos" w:hAnsi="Aptos" w:cs="Times New Roman"/>
          <w:color w:val="auto"/>
          <w:kern w:val="2"/>
          <w:sz w:val="24"/>
          <w:szCs w:val="24"/>
          <w:lang w:eastAsia="en-US"/>
          <w14:ligatures w14:val="standardContextual"/>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D22DF4E" w:rsidR="00E559CE" w:rsidRPr="00B17FA0" w:rsidRDefault="00C850CC" w:rsidP="00B94443">
            <w:pPr>
              <w:jc w:val="both"/>
              <w:rPr>
                <w:sz w:val="24"/>
                <w:szCs w:val="24"/>
              </w:rPr>
            </w:pPr>
            <w:r>
              <w:rPr>
                <w:sz w:val="24"/>
                <w:szCs w:val="24"/>
              </w:rPr>
              <w:t>20</w:t>
            </w:r>
            <w:r w:rsidRPr="00C850CC">
              <w:rPr>
                <w:sz w:val="24"/>
                <w:szCs w:val="24"/>
                <w:vertAlign w:val="superscript"/>
              </w:rPr>
              <w:t>th</w:t>
            </w:r>
            <w:r>
              <w:rPr>
                <w:sz w:val="24"/>
                <w:szCs w:val="24"/>
              </w:rPr>
              <w:t xml:space="preserve"> November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FEA5929" w:rsidR="00E559CE" w:rsidRPr="00B17FA0" w:rsidRDefault="005C3BBB" w:rsidP="00B94443">
            <w:pPr>
              <w:jc w:val="both"/>
              <w:rPr>
                <w:sz w:val="24"/>
                <w:szCs w:val="24"/>
              </w:rPr>
            </w:pPr>
            <w:r>
              <w:rPr>
                <w:sz w:val="24"/>
                <w:szCs w:val="24"/>
              </w:rPr>
              <w:t>11</w:t>
            </w:r>
            <w:r w:rsidRPr="005C3BBB">
              <w:rPr>
                <w:sz w:val="24"/>
                <w:szCs w:val="24"/>
                <w:vertAlign w:val="superscript"/>
              </w:rPr>
              <w:t>th</w:t>
            </w:r>
            <w:r>
              <w:rPr>
                <w:sz w:val="24"/>
                <w:szCs w:val="24"/>
              </w:rPr>
              <w:t xml:space="preserve"> February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ACC89F0" w:rsidR="00E559CE" w:rsidRPr="00B17FA0" w:rsidRDefault="00E379E8" w:rsidP="00B94443">
            <w:pPr>
              <w:jc w:val="both"/>
              <w:rPr>
                <w:sz w:val="24"/>
                <w:szCs w:val="24"/>
              </w:rPr>
            </w:pPr>
            <w:r>
              <w:rPr>
                <w:sz w:val="24"/>
                <w:szCs w:val="24"/>
              </w:rPr>
              <w:t>8</w:t>
            </w:r>
            <w:r w:rsidRPr="00E379E8">
              <w:rPr>
                <w:sz w:val="24"/>
                <w:szCs w:val="24"/>
                <w:vertAlign w:val="superscript"/>
              </w:rPr>
              <w:t>th</w:t>
            </w:r>
            <w:r>
              <w:rPr>
                <w:sz w:val="24"/>
                <w:szCs w:val="24"/>
              </w:rPr>
              <w:t xml:space="preserve"> April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A97F2D7" w:rsidR="00E559CE" w:rsidRPr="00B17FA0" w:rsidRDefault="009C11E0" w:rsidP="00B94443">
            <w:pPr>
              <w:jc w:val="both"/>
              <w:rPr>
                <w:sz w:val="24"/>
                <w:szCs w:val="24"/>
              </w:rPr>
            </w:pPr>
            <w:r>
              <w:rPr>
                <w:sz w:val="24"/>
                <w:szCs w:val="24"/>
              </w:rPr>
              <w:t>8</w:t>
            </w:r>
            <w:r w:rsidRPr="009C11E0">
              <w:rPr>
                <w:sz w:val="24"/>
                <w:szCs w:val="24"/>
                <w:vertAlign w:val="superscript"/>
              </w:rPr>
              <w:t>th</w:t>
            </w:r>
            <w:r>
              <w:rPr>
                <w:sz w:val="24"/>
                <w:szCs w:val="24"/>
              </w:rPr>
              <w:t xml:space="preserve"> July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3916AEE3" w14:textId="77777777" w:rsidR="007B168C" w:rsidRPr="007B168C" w:rsidRDefault="007B168C" w:rsidP="007B168C">
            <w:pPr>
              <w:jc w:val="both"/>
              <w:rPr>
                <w:color w:val="auto"/>
                <w:sz w:val="24"/>
                <w:szCs w:val="24"/>
              </w:rPr>
            </w:pPr>
          </w:p>
          <w:p w14:paraId="364016C7" w14:textId="77777777" w:rsidR="007B168C" w:rsidRPr="007B168C" w:rsidRDefault="007B168C" w:rsidP="007B168C">
            <w:pPr>
              <w:jc w:val="both"/>
              <w:rPr>
                <w:color w:val="auto"/>
                <w:sz w:val="24"/>
                <w:szCs w:val="24"/>
              </w:rPr>
            </w:pPr>
          </w:p>
          <w:p w14:paraId="53B6A1BD" w14:textId="77777777" w:rsidR="007B168C" w:rsidRPr="007B168C" w:rsidRDefault="007B168C" w:rsidP="007B168C">
            <w:pPr>
              <w:jc w:val="both"/>
              <w:rPr>
                <w:color w:val="auto"/>
                <w:sz w:val="24"/>
                <w:szCs w:val="24"/>
              </w:rPr>
            </w:pPr>
            <w:r w:rsidRPr="007B168C">
              <w:rPr>
                <w:color w:val="auto"/>
                <w:sz w:val="24"/>
                <w:szCs w:val="24"/>
              </w:rPr>
              <w:t>Over the course of the CPEL programme, Jodie has demonstrated growth and development across all three of the identified learning outcomes. Jodie’s development reflects an increasing understanding of the principles of social work practice, increased confidence in practice, and a growing ability to navigate complex situations.</w:t>
            </w:r>
          </w:p>
          <w:p w14:paraId="2067BA83" w14:textId="77777777" w:rsidR="007B168C" w:rsidRPr="007B168C" w:rsidRDefault="007B168C" w:rsidP="007B168C">
            <w:pPr>
              <w:jc w:val="both"/>
              <w:rPr>
                <w:color w:val="auto"/>
                <w:sz w:val="24"/>
                <w:szCs w:val="24"/>
              </w:rPr>
            </w:pPr>
          </w:p>
          <w:p w14:paraId="466AE7D1" w14:textId="77777777" w:rsidR="007B168C" w:rsidRPr="007B168C" w:rsidRDefault="007B168C" w:rsidP="007B168C">
            <w:pPr>
              <w:jc w:val="both"/>
              <w:rPr>
                <w:color w:val="auto"/>
                <w:sz w:val="24"/>
                <w:szCs w:val="24"/>
              </w:rPr>
            </w:pPr>
            <w:r w:rsidRPr="007B168C">
              <w:rPr>
                <w:color w:val="auto"/>
                <w:sz w:val="24"/>
                <w:szCs w:val="24"/>
              </w:rPr>
              <w:t xml:space="preserve">At the outset of the programme, Jodie had already expressed an understanding of assessment frameworks and acknowledged the importance of analytical thinking. However, her confidence in applying these frameworks to case work was still in it’s infancy. By the end of the programme, Jodie skills have progressed with her using critical analysis more consistently to inform her assessments and interventions with families. They demonstrated an ability to draw on multiple sources of information, including historical context, risk factors, and strengths-based approaches. Jodie has also utilised models and theory in her day to day practice when considering risk, safety and issues such as past harm when considering the likelihood of future harm. Jodie has also reflected on the impact of her own values and assumptions in her work and how this impacts on her own decision making. </w:t>
            </w:r>
          </w:p>
          <w:p w14:paraId="0E4C078F" w14:textId="77777777" w:rsidR="007B168C" w:rsidRPr="007B168C" w:rsidRDefault="007B168C" w:rsidP="007B168C">
            <w:pPr>
              <w:jc w:val="both"/>
              <w:rPr>
                <w:color w:val="auto"/>
                <w:sz w:val="24"/>
                <w:szCs w:val="24"/>
              </w:rPr>
            </w:pPr>
          </w:p>
          <w:p w14:paraId="15CAA922" w14:textId="77777777" w:rsidR="007B168C" w:rsidRPr="007B168C" w:rsidRDefault="007B168C" w:rsidP="007B168C">
            <w:pPr>
              <w:jc w:val="both"/>
              <w:rPr>
                <w:color w:val="auto"/>
                <w:sz w:val="24"/>
                <w:szCs w:val="24"/>
              </w:rPr>
            </w:pPr>
            <w:r w:rsidRPr="007B168C">
              <w:rPr>
                <w:color w:val="auto"/>
                <w:sz w:val="24"/>
                <w:szCs w:val="24"/>
              </w:rPr>
              <w:t xml:space="preserve">Initially, Jodie recognised the importance of partnership working but was still developing the confidence to assert her own professional voice in meetings with families and professionals. Throughout the year, Jodie has become more confident in this area and I have been able to </w:t>
            </w:r>
            <w:r w:rsidRPr="007B168C">
              <w:rPr>
                <w:color w:val="auto"/>
                <w:sz w:val="24"/>
                <w:szCs w:val="24"/>
              </w:rPr>
              <w:lastRenderedPageBreak/>
              <w:t>observe her having good knowledge, understanding, empathy when sharing sensitive relevant information. Throughout her practice to date, I’ve had the opportunity to observe Jodie build positive professional relationships with families, colleagues across health, education, and voluntary agencies. Jodie has also demonstrated sound understanding of her roles and responsibilities and advocating effectively for children that she has worked with to date.</w:t>
            </w:r>
          </w:p>
          <w:p w14:paraId="1AC728F6" w14:textId="77777777" w:rsidR="007B168C" w:rsidRPr="007B168C" w:rsidRDefault="007B168C" w:rsidP="007B168C">
            <w:pPr>
              <w:jc w:val="both"/>
              <w:rPr>
                <w:color w:val="auto"/>
                <w:sz w:val="24"/>
                <w:szCs w:val="24"/>
              </w:rPr>
            </w:pPr>
          </w:p>
          <w:p w14:paraId="657B3444" w14:textId="77777777" w:rsidR="007B168C" w:rsidRPr="007B168C" w:rsidRDefault="007B168C" w:rsidP="007B168C">
            <w:pPr>
              <w:jc w:val="both"/>
              <w:rPr>
                <w:color w:val="auto"/>
                <w:sz w:val="24"/>
                <w:szCs w:val="24"/>
              </w:rPr>
            </w:pPr>
            <w:r w:rsidRPr="007B168C">
              <w:rPr>
                <w:color w:val="auto"/>
                <w:sz w:val="24"/>
                <w:szCs w:val="24"/>
              </w:rPr>
              <w:t xml:space="preserve">Jodie has been able to evidence an ability to make professional judgment in circumstances such as meetings, conferences and in her written work, providing detailed assessments and recommendations for families, panels and in pre court and court proceedings. This is an area of practice that is still developing and Jodie has been able to vocalise in supervision, times when she has not felt as confident in her decision making and also required </w:t>
            </w:r>
            <w:proofErr w:type="spellStart"/>
            <w:r w:rsidRPr="007B168C">
              <w:rPr>
                <w:color w:val="auto"/>
                <w:sz w:val="24"/>
                <w:szCs w:val="24"/>
              </w:rPr>
              <w:t>advise</w:t>
            </w:r>
            <w:proofErr w:type="spellEnd"/>
            <w:r w:rsidRPr="007B168C">
              <w:rPr>
                <w:color w:val="auto"/>
                <w:sz w:val="24"/>
                <w:szCs w:val="24"/>
              </w:rPr>
              <w:t xml:space="preserve"> and guidance to justify and rationalise recommendations. </w:t>
            </w:r>
          </w:p>
          <w:p w14:paraId="4290F8CF" w14:textId="77777777" w:rsidR="007B168C" w:rsidRPr="007B168C" w:rsidRDefault="007B168C" w:rsidP="007B168C">
            <w:pPr>
              <w:jc w:val="both"/>
              <w:rPr>
                <w:color w:val="auto"/>
                <w:sz w:val="24"/>
                <w:szCs w:val="24"/>
              </w:rPr>
            </w:pPr>
          </w:p>
          <w:p w14:paraId="4EA5EA73" w14:textId="77777777" w:rsidR="007B168C" w:rsidRPr="007B168C" w:rsidRDefault="007B168C" w:rsidP="007B168C">
            <w:pPr>
              <w:jc w:val="both"/>
              <w:rPr>
                <w:color w:val="auto"/>
                <w:sz w:val="24"/>
                <w:szCs w:val="24"/>
              </w:rPr>
            </w:pPr>
            <w:r w:rsidRPr="007B168C">
              <w:rPr>
                <w:color w:val="auto"/>
                <w:sz w:val="24"/>
                <w:szCs w:val="24"/>
              </w:rPr>
              <w:t xml:space="preserve">In terms of Jodie’s ongoing development, she is well-positioned to continue her development in her practice, with us looking at training opportunities of career progression in social work in the future. Jodie would benefit from gaining a greater and deeper understanding of legal frameworks, processes and their application. In terms of resilience, it is fundamental that Jodie utilises opportunities such as formal, informal and peer supervision and training to ensure that she remains inquisitive in practice and that she is able to build on her resilience skills. I am confident in sharing that Jodie is a competent social worker that with the correct support and guidance will continue to excel in her chosen career. </w:t>
            </w:r>
          </w:p>
          <w:p w14:paraId="4E202208" w14:textId="77777777" w:rsidR="007B168C" w:rsidRPr="007B168C" w:rsidRDefault="007B168C" w:rsidP="007B168C">
            <w:pPr>
              <w:jc w:val="both"/>
              <w:rPr>
                <w:color w:val="auto"/>
                <w:sz w:val="24"/>
                <w:szCs w:val="24"/>
              </w:rPr>
            </w:pPr>
          </w:p>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0A981D9B" w14:textId="77777777" w:rsidR="00733426" w:rsidRDefault="00733426" w:rsidP="005D4F72">
            <w:pPr>
              <w:jc w:val="both"/>
              <w:rPr>
                <w:color w:val="auto"/>
                <w:sz w:val="24"/>
                <w:szCs w:val="24"/>
              </w:rPr>
            </w:pPr>
          </w:p>
          <w:p w14:paraId="10575683" w14:textId="77777777" w:rsidR="00733426" w:rsidRDefault="00733426" w:rsidP="005D4F72">
            <w:pPr>
              <w:jc w:val="both"/>
              <w:rPr>
                <w:color w:val="auto"/>
                <w:sz w:val="24"/>
                <w:szCs w:val="24"/>
              </w:rPr>
            </w:pPr>
          </w:p>
          <w:p w14:paraId="3AEA2B72" w14:textId="77777777" w:rsidR="00733426" w:rsidRDefault="00733426" w:rsidP="005D4F72">
            <w:pPr>
              <w:jc w:val="both"/>
              <w:rPr>
                <w:color w:val="auto"/>
                <w:sz w:val="24"/>
                <w:szCs w:val="24"/>
              </w:rPr>
            </w:pPr>
          </w:p>
          <w:p w14:paraId="1BFA740F" w14:textId="77777777" w:rsidR="00733426" w:rsidRDefault="00733426" w:rsidP="005D4F72">
            <w:pPr>
              <w:jc w:val="both"/>
              <w:rPr>
                <w:color w:val="auto"/>
                <w:sz w:val="24"/>
                <w:szCs w:val="24"/>
              </w:rPr>
            </w:pPr>
          </w:p>
          <w:p w14:paraId="136E8CCA" w14:textId="77777777" w:rsidR="00733426" w:rsidRDefault="00733426" w:rsidP="005D4F72">
            <w:pPr>
              <w:jc w:val="both"/>
              <w:rPr>
                <w:color w:val="auto"/>
                <w:sz w:val="24"/>
                <w:szCs w:val="24"/>
              </w:rPr>
            </w:pPr>
          </w:p>
          <w:p w14:paraId="2ED5C12E" w14:textId="77777777" w:rsidR="00733426" w:rsidRDefault="00733426" w:rsidP="005D4F72">
            <w:pPr>
              <w:jc w:val="both"/>
              <w:rPr>
                <w:color w:val="auto"/>
                <w:sz w:val="24"/>
                <w:szCs w:val="24"/>
              </w:rPr>
            </w:pPr>
          </w:p>
          <w:p w14:paraId="71F6575C" w14:textId="77777777" w:rsidR="00733426" w:rsidRDefault="00733426" w:rsidP="005D4F72">
            <w:pPr>
              <w:jc w:val="both"/>
              <w:rPr>
                <w:color w:val="auto"/>
                <w:sz w:val="24"/>
                <w:szCs w:val="24"/>
              </w:rPr>
            </w:pPr>
          </w:p>
          <w:p w14:paraId="2E52ABC5" w14:textId="77777777" w:rsidR="00733426" w:rsidRDefault="00733426"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56EF2D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C11E0">
        <w:rPr>
          <w:b/>
          <w:sz w:val="24"/>
          <w:szCs w:val="24"/>
        </w:rPr>
        <w:t xml:space="preserve">Jodie Comley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FFDE37B"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C11E0">
        <w:rPr>
          <w:b/>
          <w:sz w:val="24"/>
          <w:szCs w:val="24"/>
        </w:rPr>
        <w:t xml:space="preserve"> 2417218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F2B410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C11E0">
        <w:rPr>
          <w:b/>
          <w:sz w:val="24"/>
          <w:szCs w:val="24"/>
        </w:rPr>
        <w:t xml:space="preserve"> 4A Colonel Road, </w:t>
      </w:r>
      <w:proofErr w:type="spellStart"/>
      <w:r w:rsidR="009C11E0">
        <w:rPr>
          <w:b/>
          <w:sz w:val="24"/>
          <w:szCs w:val="24"/>
        </w:rPr>
        <w:t>Betws</w:t>
      </w:r>
      <w:proofErr w:type="spellEnd"/>
      <w:r w:rsidR="009C11E0">
        <w:rPr>
          <w:b/>
          <w:sz w:val="24"/>
          <w:szCs w:val="24"/>
        </w:rPr>
        <w:t>, Ammanford, SA18 2HB</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B33EC8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C11E0">
        <w:rPr>
          <w:b/>
          <w:sz w:val="24"/>
          <w:szCs w:val="24"/>
        </w:rPr>
        <w:t xml:space="preserve"> 07462562109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1D5EC4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C11E0">
        <w:rPr>
          <w:b/>
          <w:sz w:val="24"/>
          <w:szCs w:val="24"/>
        </w:rPr>
        <w:t xml:space="preserve"> </w:t>
      </w:r>
      <w:hyperlink r:id="rId72" w:history="1">
        <w:r w:rsidR="009C11E0" w:rsidRPr="008F1A82">
          <w:rPr>
            <w:rStyle w:val="Hyperlink"/>
            <w:b/>
            <w:sz w:val="24"/>
            <w:szCs w:val="24"/>
          </w:rPr>
          <w:t>jodieekelsiee@hotmail.co.uk</w:t>
        </w:r>
      </w:hyperlink>
      <w:r w:rsidR="009C11E0">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22024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0520B">
        <w:rPr>
          <w:b/>
          <w:sz w:val="24"/>
          <w:szCs w:val="24"/>
        </w:rPr>
        <w:t>31</w:t>
      </w:r>
      <w:r w:rsidR="002C7F84">
        <w:rPr>
          <w:b/>
          <w:sz w:val="24"/>
          <w:szCs w:val="24"/>
        </w:rPr>
        <w:t>/10/2022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90E146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97D14">
        <w:rPr>
          <w:b/>
          <w:sz w:val="24"/>
          <w:szCs w:val="24"/>
        </w:rPr>
        <w:t xml:space="preserve"> </w:t>
      </w:r>
      <w:r w:rsidR="00A97D14" w:rsidRPr="00A97D14">
        <w:rPr>
          <w:b/>
          <w:sz w:val="24"/>
          <w:szCs w:val="24"/>
        </w:rPr>
        <w:t>17/11/2022</w:t>
      </w:r>
      <w:r w:rsidR="00A97D14">
        <w:rPr>
          <w:b/>
          <w:sz w:val="24"/>
          <w:szCs w:val="24"/>
        </w:rPr>
        <w:t xml:space="preserve">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8BB62D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B5029">
        <w:rPr>
          <w:b/>
          <w:sz w:val="24"/>
          <w:szCs w:val="24"/>
        </w:rPr>
        <w:t xml:space="preserve"> 01792 </w:t>
      </w:r>
      <w:r w:rsidR="001314CB">
        <w:rPr>
          <w:b/>
          <w:sz w:val="24"/>
          <w:szCs w:val="24"/>
        </w:rPr>
        <w:t>636000</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A99BD7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70587">
        <w:rPr>
          <w:b/>
          <w:sz w:val="24"/>
          <w:szCs w:val="24"/>
        </w:rPr>
        <w:t xml:space="preserve"> Swansea Council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991618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70587">
        <w:rPr>
          <w:b/>
          <w:sz w:val="24"/>
          <w:szCs w:val="24"/>
        </w:rPr>
        <w:t xml:space="preserve"> Child and Family Services, </w:t>
      </w:r>
      <w:proofErr w:type="spellStart"/>
      <w:r w:rsidR="00470587">
        <w:rPr>
          <w:b/>
          <w:sz w:val="24"/>
          <w:szCs w:val="24"/>
        </w:rPr>
        <w:t>Guidhall</w:t>
      </w:r>
      <w:proofErr w:type="spellEnd"/>
      <w:r w:rsidR="00470587">
        <w:rPr>
          <w:b/>
          <w:sz w:val="24"/>
          <w:szCs w:val="24"/>
        </w:rPr>
        <w:t>, Swansea,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57BF59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70587">
        <w:rPr>
          <w:b/>
          <w:sz w:val="24"/>
          <w:szCs w:val="24"/>
        </w:rPr>
        <w:t xml:space="preserve"> 01</w:t>
      </w:r>
      <w:r w:rsidR="000C58FC">
        <w:rPr>
          <w:b/>
          <w:sz w:val="24"/>
          <w:szCs w:val="24"/>
        </w:rPr>
        <w:t>792 63</w:t>
      </w:r>
      <w:r w:rsidR="00257233">
        <w:rPr>
          <w:b/>
          <w:sz w:val="24"/>
          <w:szCs w:val="24"/>
        </w:rPr>
        <w:t>6000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84962D8"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73" w:history="1">
        <w:r w:rsidR="00257233" w:rsidRPr="00151CA8">
          <w:rPr>
            <w:rStyle w:val="Hyperlink"/>
            <w:b/>
            <w:sz w:val="24"/>
            <w:szCs w:val="24"/>
          </w:rPr>
          <w:t>contact@swansea.gov.uk</w:t>
        </w:r>
      </w:hyperlink>
      <w:r w:rsidR="00257233">
        <w:rPr>
          <w:b/>
          <w:sz w:val="24"/>
          <w:szCs w:val="24"/>
        </w:rPr>
        <w:t xml:space="preserve"> </w:t>
      </w:r>
      <w:r w:rsidR="000C58FC">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7BB1C5D"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0C58FC">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4809A6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C58FC">
        <w:rPr>
          <w:b/>
          <w:sz w:val="24"/>
          <w:szCs w:val="24"/>
        </w:rPr>
        <w:t xml:space="preserve"> Sian Walkley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9DE0019" w14:textId="77777777" w:rsidR="000C58FC" w:rsidRDefault="004923DA" w:rsidP="000C58F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C58FC">
        <w:t xml:space="preserve"> </w:t>
      </w:r>
      <w:r w:rsidR="000C58FC">
        <w:rPr>
          <w:b/>
          <w:sz w:val="24"/>
          <w:szCs w:val="24"/>
        </w:rPr>
        <w:t xml:space="preserve">Child and Family Services, </w:t>
      </w:r>
      <w:proofErr w:type="spellStart"/>
      <w:r w:rsidR="000C58FC">
        <w:rPr>
          <w:b/>
          <w:sz w:val="24"/>
          <w:szCs w:val="24"/>
        </w:rPr>
        <w:t>Guidhall</w:t>
      </w:r>
      <w:proofErr w:type="spellEnd"/>
      <w:r w:rsidR="000C58FC">
        <w:rPr>
          <w:b/>
          <w:sz w:val="24"/>
          <w:szCs w:val="24"/>
        </w:rPr>
        <w:t>, Swansea, SA1 4PE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0296E3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C58FC">
        <w:rPr>
          <w:b/>
          <w:sz w:val="24"/>
          <w:szCs w:val="24"/>
        </w:rPr>
        <w:t xml:space="preserve"> 01792 635180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3E57B4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C58FC">
        <w:rPr>
          <w:b/>
          <w:sz w:val="24"/>
          <w:szCs w:val="24"/>
        </w:rPr>
        <w:t xml:space="preserve"> </w:t>
      </w:r>
      <w:hyperlink r:id="rId74" w:history="1">
        <w:r w:rsidR="000C58FC" w:rsidRPr="008F1A82">
          <w:rPr>
            <w:rStyle w:val="Hyperlink"/>
            <w:b/>
            <w:sz w:val="24"/>
            <w:szCs w:val="24"/>
          </w:rPr>
          <w:t>sian.walkley@Swansea.gov.uk</w:t>
        </w:r>
      </w:hyperlink>
      <w:r w:rsidR="000C58FC">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47710BE" w:rsidR="004923DA" w:rsidRDefault="004923DA" w:rsidP="00FF7EBB">
            <w:pPr>
              <w:jc w:val="both"/>
              <w:rPr>
                <w:b/>
                <w:sz w:val="24"/>
                <w:szCs w:val="24"/>
              </w:rPr>
            </w:pPr>
            <w:r w:rsidRPr="008B28E7">
              <w:rPr>
                <w:b/>
                <w:sz w:val="24"/>
                <w:szCs w:val="24"/>
              </w:rPr>
              <w:t>Name:</w:t>
            </w:r>
            <w:r w:rsidR="00E7378D">
              <w:rPr>
                <w:b/>
                <w:sz w:val="24"/>
                <w:szCs w:val="24"/>
              </w:rPr>
              <w:t xml:space="preserve"> </w:t>
            </w:r>
            <w:r w:rsidR="00733426">
              <w:rPr>
                <w:b/>
                <w:sz w:val="24"/>
                <w:szCs w:val="24"/>
              </w:rPr>
              <w:t xml:space="preserve">Rachel Shepard </w:t>
            </w:r>
            <w:r w:rsidR="00E7378D">
              <w:rPr>
                <w:b/>
                <w:sz w:val="24"/>
                <w:szCs w:val="24"/>
              </w:rPr>
              <w:t xml:space="preserve"> </w:t>
            </w:r>
          </w:p>
          <w:p w14:paraId="4EF4A770" w14:textId="77777777" w:rsidR="004923DA" w:rsidRPr="008B28E7" w:rsidRDefault="004923DA" w:rsidP="00FF7EBB">
            <w:pPr>
              <w:jc w:val="both"/>
              <w:rPr>
                <w:b/>
                <w:sz w:val="24"/>
                <w:szCs w:val="24"/>
              </w:rPr>
            </w:pPr>
          </w:p>
          <w:p w14:paraId="269B4DF8" w14:textId="77777777" w:rsidR="00E7378D" w:rsidRDefault="004923DA" w:rsidP="00E7378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Work Address: </w:t>
            </w:r>
            <w:r w:rsidR="00E7378D">
              <w:rPr>
                <w:b/>
                <w:sz w:val="24"/>
                <w:szCs w:val="24"/>
              </w:rPr>
              <w:t xml:space="preserve">Child and Family Services, </w:t>
            </w:r>
            <w:proofErr w:type="spellStart"/>
            <w:r w:rsidR="00E7378D">
              <w:rPr>
                <w:b/>
                <w:sz w:val="24"/>
                <w:szCs w:val="24"/>
              </w:rPr>
              <w:t>Guidhall</w:t>
            </w:r>
            <w:proofErr w:type="spellEnd"/>
            <w:r w:rsidR="00E7378D">
              <w:rPr>
                <w:b/>
                <w:sz w:val="24"/>
                <w:szCs w:val="24"/>
              </w:rPr>
              <w:t>, Swansea, SA1 4PE</w:t>
            </w:r>
          </w:p>
          <w:p w14:paraId="2F0AFD02" w14:textId="77777777" w:rsidR="00E7378D" w:rsidRDefault="00E7378D" w:rsidP="00E7378D">
            <w:pPr>
              <w:pBdr>
                <w:top w:val="single" w:sz="6" w:space="1" w:color="auto"/>
                <w:left w:val="single" w:sz="6" w:space="1" w:color="auto"/>
                <w:bottom w:val="single" w:sz="6" w:space="1" w:color="auto"/>
                <w:right w:val="single" w:sz="6" w:space="1" w:color="auto"/>
              </w:pBdr>
              <w:jc w:val="both"/>
              <w:rPr>
                <w:b/>
                <w:sz w:val="24"/>
                <w:szCs w:val="24"/>
              </w:rPr>
            </w:pPr>
          </w:p>
          <w:p w14:paraId="12053DB3" w14:textId="77777777" w:rsidR="004923DA" w:rsidRPr="008B28E7" w:rsidRDefault="004923DA" w:rsidP="00FF7EBB">
            <w:pPr>
              <w:jc w:val="both"/>
              <w:rPr>
                <w:b/>
                <w:sz w:val="24"/>
                <w:szCs w:val="24"/>
              </w:rPr>
            </w:pPr>
          </w:p>
          <w:p w14:paraId="6E1CBC17" w14:textId="5CF27C62" w:rsidR="004923DA" w:rsidRPr="008B28E7" w:rsidRDefault="004923DA" w:rsidP="00FF7EBB">
            <w:pPr>
              <w:jc w:val="both"/>
              <w:rPr>
                <w:b/>
                <w:sz w:val="24"/>
                <w:szCs w:val="24"/>
              </w:rPr>
            </w:pPr>
            <w:r w:rsidRPr="008B28E7">
              <w:rPr>
                <w:b/>
                <w:sz w:val="24"/>
                <w:szCs w:val="24"/>
              </w:rPr>
              <w:t>Professional Qualification and date of qualification:</w:t>
            </w:r>
            <w:r w:rsidR="00E7378D">
              <w:rPr>
                <w:b/>
                <w:sz w:val="24"/>
                <w:szCs w:val="24"/>
              </w:rPr>
              <w:t xml:space="preserve"> </w:t>
            </w:r>
            <w:r w:rsidR="003C4F59">
              <w:rPr>
                <w:b/>
                <w:sz w:val="24"/>
                <w:szCs w:val="24"/>
              </w:rPr>
              <w:t xml:space="preserve">July 2017 </w:t>
            </w:r>
            <w:r w:rsidR="009E022D">
              <w:rPr>
                <w:b/>
                <w:sz w:val="24"/>
                <w:szCs w:val="24"/>
              </w:rPr>
              <w:t xml:space="preserve">Specialist </w:t>
            </w:r>
            <w:r w:rsidR="00E7378D">
              <w:rPr>
                <w:b/>
                <w:sz w:val="24"/>
                <w:szCs w:val="24"/>
              </w:rPr>
              <w:t xml:space="preserve">Social Worker </w:t>
            </w:r>
          </w:p>
          <w:p w14:paraId="5F68A3CF" w14:textId="77777777" w:rsidR="004923DA" w:rsidRDefault="004923DA" w:rsidP="00FF7EBB">
            <w:pPr>
              <w:jc w:val="both"/>
              <w:rPr>
                <w:b/>
                <w:sz w:val="24"/>
                <w:szCs w:val="24"/>
              </w:rPr>
            </w:pPr>
          </w:p>
          <w:p w14:paraId="4C6113F1" w14:textId="1A5EA432" w:rsidR="004923DA" w:rsidRDefault="009D59C2" w:rsidP="00FF7EBB">
            <w:pPr>
              <w:jc w:val="both"/>
              <w:rPr>
                <w:b/>
                <w:sz w:val="24"/>
                <w:szCs w:val="24"/>
              </w:rPr>
            </w:pPr>
            <w:r>
              <w:rPr>
                <w:b/>
                <w:sz w:val="24"/>
                <w:szCs w:val="24"/>
              </w:rPr>
              <w:t>T</w:t>
            </w:r>
            <w:r w:rsidR="004923DA" w:rsidRPr="008B28E7">
              <w:rPr>
                <w:b/>
                <w:sz w:val="24"/>
                <w:szCs w:val="24"/>
              </w:rPr>
              <w:t>elephone number:</w:t>
            </w:r>
            <w:r w:rsidR="00E7378D">
              <w:rPr>
                <w:b/>
                <w:sz w:val="24"/>
                <w:szCs w:val="24"/>
              </w:rPr>
              <w:t xml:space="preserve"> 01792 635180 </w:t>
            </w:r>
          </w:p>
          <w:p w14:paraId="0BB87919" w14:textId="548A11EF" w:rsidR="009D59C2" w:rsidRDefault="009D59C2" w:rsidP="00FF7EBB">
            <w:pPr>
              <w:jc w:val="both"/>
              <w:rPr>
                <w:b/>
                <w:sz w:val="24"/>
                <w:szCs w:val="24"/>
              </w:rPr>
            </w:pPr>
          </w:p>
          <w:p w14:paraId="4FDEE73F" w14:textId="1E558A03" w:rsidR="009D59C2" w:rsidRPr="008B28E7" w:rsidRDefault="009D59C2" w:rsidP="00FF7EBB">
            <w:pPr>
              <w:jc w:val="both"/>
              <w:rPr>
                <w:b/>
                <w:sz w:val="24"/>
                <w:szCs w:val="24"/>
              </w:rPr>
            </w:pPr>
            <w:r>
              <w:rPr>
                <w:b/>
                <w:sz w:val="24"/>
                <w:szCs w:val="24"/>
              </w:rPr>
              <w:t>Email address:</w:t>
            </w:r>
            <w:r w:rsidR="00E7378D">
              <w:rPr>
                <w:b/>
                <w:sz w:val="24"/>
                <w:szCs w:val="24"/>
              </w:rPr>
              <w:t xml:space="preserve"> </w:t>
            </w:r>
            <w:hyperlink r:id="rId75" w:history="1">
              <w:r w:rsidR="009E022D" w:rsidRPr="00373827">
                <w:rPr>
                  <w:rStyle w:val="Hyperlink"/>
                  <w:b/>
                  <w:sz w:val="24"/>
                  <w:szCs w:val="24"/>
                </w:rPr>
                <w:t>Rachel.Shepherd@swansea.gov.uk</w:t>
              </w:r>
            </w:hyperlink>
            <w:r w:rsidR="009E022D">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Default="00830DD1" w:rsidP="00830DD1"/>
    <w:p w14:paraId="6EBCE8F3" w14:textId="77777777" w:rsidR="00DC16BE" w:rsidRDefault="00DC16BE" w:rsidP="00830DD1"/>
    <w:p w14:paraId="5074EC5E" w14:textId="77777777" w:rsidR="00DC16BE" w:rsidRDefault="00DC16BE" w:rsidP="00830DD1"/>
    <w:p w14:paraId="06E06AAE" w14:textId="77777777" w:rsidR="00DC16BE" w:rsidRDefault="00DC16BE" w:rsidP="00830DD1"/>
    <w:p w14:paraId="62CBC87B" w14:textId="77777777" w:rsidR="00DC16BE" w:rsidRPr="00830DD1" w:rsidRDefault="00DC16BE"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E465284" w:rsidR="00BC5725" w:rsidRPr="008B28E7" w:rsidRDefault="00777DE6" w:rsidP="00FF7EBB">
      <w:pPr>
        <w:pBdr>
          <w:top w:val="single" w:sz="6" w:space="1" w:color="auto"/>
          <w:left w:val="single" w:sz="6" w:space="1" w:color="auto"/>
          <w:bottom w:val="single" w:sz="6" w:space="1" w:color="auto"/>
          <w:right w:val="single" w:sz="6" w:space="1" w:color="auto"/>
        </w:pBdr>
        <w:jc w:val="both"/>
        <w:rPr>
          <w:sz w:val="24"/>
          <w:szCs w:val="24"/>
        </w:rPr>
      </w:pPr>
      <w:r>
        <w:rPr>
          <w:noProof/>
          <w14:ligatures w14:val="standardContextual"/>
        </w:rPr>
        <w:drawing>
          <wp:anchor distT="0" distB="0" distL="114300" distR="114300" simplePos="0" relativeHeight="251662336" behindDoc="0" locked="0" layoutInCell="1" allowOverlap="1" wp14:anchorId="4F53ED6C" wp14:editId="2E265FC2">
            <wp:simplePos x="0" y="0"/>
            <wp:positionH relativeFrom="column">
              <wp:posOffset>803563</wp:posOffset>
            </wp:positionH>
            <wp:positionV relativeFrom="paragraph">
              <wp:posOffset>105583</wp:posOffset>
            </wp:positionV>
            <wp:extent cx="1051560" cy="460375"/>
            <wp:effectExtent l="0" t="0" r="0" b="0"/>
            <wp:wrapSquare wrapText="bothSides"/>
            <wp:docPr id="1488719188"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689545" name="Picture 1" descr="A close up of a signature&#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051560" cy="460375"/>
                    </a:xfrm>
                    <a:prstGeom prst="rect">
                      <a:avLst/>
                    </a:prstGeom>
                  </pic:spPr>
                </pic:pic>
              </a:graphicData>
            </a:graphic>
          </wp:anchor>
        </w:drawing>
      </w:r>
    </w:p>
    <w:p w14:paraId="7A6B46C8" w14:textId="0585EF9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22D1" w:rsidRPr="009D22D1">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FB88D2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D22D1">
        <w:rPr>
          <w:sz w:val="24"/>
          <w:szCs w:val="24"/>
        </w:rPr>
        <w:t>05/10/2025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804C17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7949ED">
        <w:rPr>
          <w:sz w:val="24"/>
          <w:szCs w:val="24"/>
        </w:rPr>
        <w:t xml:space="preserve">: </w:t>
      </w:r>
      <w:r w:rsidR="00F80C28" w:rsidRPr="00F80C28">
        <w:rPr>
          <w:noProof/>
          <w:sz w:val="24"/>
          <w:szCs w:val="24"/>
        </w:rPr>
        <w:drawing>
          <wp:inline distT="0" distB="0" distL="0" distR="0" wp14:anchorId="397DD63B" wp14:editId="6533FE4F">
            <wp:extent cx="1653540" cy="770339"/>
            <wp:effectExtent l="0" t="0" r="3810" b="0"/>
            <wp:docPr id="374738590" name="Picture 1"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38590" name="Picture 1" descr="A close up of a name&#10;&#10;AI-generated content may be incorrect."/>
                    <pic:cNvPicPr/>
                  </pic:nvPicPr>
                  <pic:blipFill>
                    <a:blip r:embed="rId77"/>
                    <a:stretch>
                      <a:fillRect/>
                    </a:stretch>
                  </pic:blipFill>
                  <pic:spPr>
                    <a:xfrm>
                      <a:off x="0" y="0"/>
                      <a:ext cx="1691844" cy="788184"/>
                    </a:xfrm>
                    <a:prstGeom prst="rect">
                      <a:avLst/>
                    </a:prstGeom>
                  </pic:spPr>
                </pic:pic>
              </a:graphicData>
            </a:graphic>
          </wp:inline>
        </w:drawing>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85E955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F80C28">
        <w:rPr>
          <w:sz w:val="24"/>
          <w:szCs w:val="24"/>
        </w:rPr>
        <w:t>07/10/2025</w:t>
      </w:r>
    </w:p>
    <w:p w14:paraId="647A1357" w14:textId="77777777" w:rsidR="009D22D1" w:rsidRDefault="009D22D1" w:rsidP="00FF7EBB">
      <w:pPr>
        <w:pBdr>
          <w:top w:val="single" w:sz="6" w:space="1" w:color="auto"/>
          <w:left w:val="single" w:sz="6" w:space="1" w:color="auto"/>
          <w:bottom w:val="single" w:sz="6" w:space="1" w:color="auto"/>
          <w:right w:val="single" w:sz="6" w:space="1" w:color="auto"/>
        </w:pBdr>
        <w:jc w:val="both"/>
        <w:rPr>
          <w:sz w:val="24"/>
          <w:szCs w:val="24"/>
        </w:rPr>
      </w:pPr>
    </w:p>
    <w:p w14:paraId="7FF9DC56" w14:textId="4C9C0733" w:rsidR="009D22D1" w:rsidRDefault="009D22D1"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Feedback was not </w:t>
      </w:r>
      <w:r w:rsidR="00497878">
        <w:rPr>
          <w:sz w:val="24"/>
          <w:szCs w:val="24"/>
        </w:rPr>
        <w:t>provided as following the observation, child woke up</w:t>
      </w:r>
      <w:r w:rsidR="00707585">
        <w:rPr>
          <w:sz w:val="24"/>
          <w:szCs w:val="24"/>
        </w:rPr>
        <w:t xml:space="preserve"> following a nap and 1 needing to </w:t>
      </w:r>
      <w:r w:rsidR="00082F25">
        <w:rPr>
          <w:sz w:val="24"/>
          <w:szCs w:val="24"/>
        </w:rPr>
        <w:t>nurse the baby</w:t>
      </w:r>
      <w:r w:rsidR="00497878">
        <w:rPr>
          <w:sz w:val="24"/>
          <w:szCs w:val="24"/>
        </w:rPr>
        <w:t xml:space="preserve">. </w:t>
      </w:r>
    </w:p>
    <w:p w14:paraId="7886E0F3" w14:textId="5D98457B" w:rsidR="00B53F52" w:rsidRPr="008B28E7" w:rsidRDefault="00260D56"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2E80CD58" w14:textId="77777777" w:rsidR="00AF1522" w:rsidRDefault="00AF1522" w:rsidP="00335C41">
            <w:pPr>
              <w:ind w:right="180"/>
              <w:jc w:val="both"/>
              <w:rPr>
                <w:b/>
                <w:sz w:val="24"/>
                <w:szCs w:val="24"/>
              </w:rPr>
            </w:pPr>
          </w:p>
          <w:p w14:paraId="5C1E0BA4" w14:textId="77777777" w:rsidR="00AF1522" w:rsidRDefault="00AF1522" w:rsidP="00335C41">
            <w:pPr>
              <w:ind w:right="180"/>
              <w:jc w:val="both"/>
              <w:rPr>
                <w:b/>
                <w:sz w:val="24"/>
                <w:szCs w:val="24"/>
              </w:rPr>
            </w:pPr>
          </w:p>
          <w:p w14:paraId="3DE3A7AC" w14:textId="77777777" w:rsidR="00AF1522" w:rsidRDefault="00AF1522" w:rsidP="00335C41">
            <w:pPr>
              <w:ind w:right="180"/>
              <w:jc w:val="both"/>
              <w:rPr>
                <w:b/>
                <w:sz w:val="24"/>
                <w:szCs w:val="24"/>
              </w:rPr>
            </w:pPr>
          </w:p>
          <w:p w14:paraId="74D0F901" w14:textId="77777777" w:rsidR="00AF1522" w:rsidRDefault="00AF1522" w:rsidP="00335C41">
            <w:pPr>
              <w:ind w:right="180"/>
              <w:jc w:val="both"/>
              <w:rPr>
                <w:b/>
                <w:sz w:val="24"/>
                <w:szCs w:val="24"/>
              </w:rPr>
            </w:pPr>
          </w:p>
          <w:p w14:paraId="29E5F675" w14:textId="77777777" w:rsidR="00AF1522" w:rsidRDefault="00AF1522" w:rsidP="00335C41">
            <w:pPr>
              <w:ind w:right="180"/>
              <w:jc w:val="both"/>
              <w:rPr>
                <w:b/>
                <w:sz w:val="24"/>
                <w:szCs w:val="24"/>
              </w:rPr>
            </w:pPr>
          </w:p>
          <w:p w14:paraId="290A9920" w14:textId="77777777" w:rsidR="00AF1522" w:rsidRDefault="00AF1522" w:rsidP="00335C41">
            <w:pPr>
              <w:ind w:right="180"/>
              <w:jc w:val="both"/>
              <w:rPr>
                <w:b/>
                <w:sz w:val="24"/>
                <w:szCs w:val="24"/>
              </w:rPr>
            </w:pPr>
          </w:p>
          <w:p w14:paraId="7D0D0FBD" w14:textId="762CA032"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AB2B08E" w:rsidR="00335C41" w:rsidRPr="00D3203C" w:rsidRDefault="00335C41" w:rsidP="00335C41">
            <w:pPr>
              <w:ind w:right="180"/>
              <w:jc w:val="both"/>
              <w:rPr>
                <w:sz w:val="24"/>
                <w:szCs w:val="24"/>
              </w:rPr>
            </w:pPr>
            <w:r w:rsidRPr="00D3203C">
              <w:rPr>
                <w:sz w:val="24"/>
                <w:szCs w:val="24"/>
              </w:rPr>
              <w:t>Signed</w:t>
            </w:r>
            <w:r w:rsidR="00AF1522">
              <w:rPr>
                <w:sz w:val="24"/>
                <w:szCs w:val="24"/>
              </w:rPr>
              <w:t xml:space="preserve"> </w:t>
            </w:r>
            <w:r w:rsidR="006F68C0" w:rsidRPr="006F68C0">
              <w:rPr>
                <w:sz w:val="24"/>
                <w:szCs w:val="24"/>
              </w:rPr>
              <w:drawing>
                <wp:inline distT="0" distB="0" distL="0" distR="0" wp14:anchorId="042BF75B" wp14:editId="25BD0147">
                  <wp:extent cx="1844200" cy="609653"/>
                  <wp:effectExtent l="0" t="0" r="3810" b="0"/>
                  <wp:docPr id="994913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13713" name=""/>
                          <pic:cNvPicPr/>
                        </pic:nvPicPr>
                        <pic:blipFill>
                          <a:blip r:embed="rId78"/>
                          <a:stretch>
                            <a:fillRect/>
                          </a:stretch>
                        </pic:blipFill>
                        <pic:spPr>
                          <a:xfrm>
                            <a:off x="0" y="0"/>
                            <a:ext cx="1844200" cy="609653"/>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1826C0A0" w:rsidR="00335C41" w:rsidRPr="00D3203C" w:rsidRDefault="00335C41" w:rsidP="00335C41">
            <w:pPr>
              <w:ind w:right="180"/>
              <w:jc w:val="both"/>
              <w:rPr>
                <w:sz w:val="24"/>
                <w:szCs w:val="24"/>
              </w:rPr>
            </w:pPr>
            <w:r w:rsidRPr="00D3203C">
              <w:rPr>
                <w:sz w:val="24"/>
                <w:szCs w:val="24"/>
              </w:rPr>
              <w:t xml:space="preserve">Date </w:t>
            </w:r>
            <w:r w:rsidR="00AF1522">
              <w:rPr>
                <w:sz w:val="24"/>
                <w:szCs w:val="24"/>
              </w:rPr>
              <w:t xml:space="preserve">07/10/2025 </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7E2FBE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E11CCD">
        <w:rPr>
          <w:caps/>
          <w:sz w:val="24"/>
          <w:szCs w:val="24"/>
        </w:rPr>
        <w:t>Carol jones</w:t>
      </w:r>
    </w:p>
    <w:p w14:paraId="7C11F360" w14:textId="5EE6C28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
    <w:p w14:paraId="57B2A00A" w14:textId="55C0B42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3135A8D" w:rsidR="00D05A5D" w:rsidRPr="00DA5682" w:rsidRDefault="0025274B" w:rsidP="00CC14B6">
            <w:pPr>
              <w:rPr>
                <w:sz w:val="24"/>
                <w:szCs w:val="24"/>
              </w:rPr>
            </w:pPr>
            <w:r>
              <w:rPr>
                <w:sz w:val="24"/>
                <w:szCs w:val="24"/>
              </w:rPr>
              <w:t xml:space="preserve">Jodie Comley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39ECBF3" w:rsidR="00D05A5D" w:rsidRPr="00DA5682" w:rsidRDefault="0025274B" w:rsidP="00CC14B6">
            <w:pPr>
              <w:rPr>
                <w:sz w:val="24"/>
                <w:szCs w:val="24"/>
              </w:rPr>
            </w:pPr>
            <w:r>
              <w:rPr>
                <w:sz w:val="24"/>
                <w:szCs w:val="24"/>
              </w:rPr>
              <w:t xml:space="preserve">Swansea Council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1A6EDCC4" w:rsidR="00D05A5D" w:rsidRPr="00DA5682" w:rsidRDefault="0025274B" w:rsidP="00CC14B6">
            <w:pPr>
              <w:rPr>
                <w:sz w:val="24"/>
                <w:szCs w:val="24"/>
              </w:rPr>
            </w:pPr>
            <w:r>
              <w:rPr>
                <w:sz w:val="24"/>
                <w:szCs w:val="24"/>
              </w:rPr>
              <w:t xml:space="preserve">Sian Walkley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4EA8F50" w:rsidR="00D05A5D" w:rsidRPr="00DA5682" w:rsidRDefault="00777DE6" w:rsidP="00CC14B6">
            <w:pPr>
              <w:rPr>
                <w:sz w:val="24"/>
                <w:szCs w:val="24"/>
              </w:rPr>
            </w:pPr>
            <w:r>
              <w:rPr>
                <w:sz w:val="24"/>
                <w:szCs w:val="24"/>
              </w:rPr>
              <w:t xml:space="preserve">Carol Jones </w:t>
            </w:r>
            <w:r w:rsidR="0025274B">
              <w:rPr>
                <w:sz w:val="24"/>
                <w:szCs w:val="24"/>
              </w:rPr>
              <w:t xml:space="preserve"> </w:t>
            </w:r>
            <w:r w:rsidR="007E0BA2">
              <w:rPr>
                <w:sz w:val="24"/>
                <w:szCs w:val="24"/>
              </w:rPr>
              <w:t xml:space="preserve">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4E24F1D3" w14:textId="77777777" w:rsidR="007432B0" w:rsidRPr="00DA5682" w:rsidRDefault="007432B0" w:rsidP="007432B0">
      <w:pPr>
        <w:rPr>
          <w:sz w:val="24"/>
          <w:szCs w:val="24"/>
        </w:rPr>
      </w:pPr>
      <w:r w:rsidRPr="00DA5682">
        <w:rPr>
          <w:sz w:val="24"/>
          <w:szCs w:val="24"/>
        </w:rPr>
        <w:t>I understand and accept the terms and conditions of this learning agreement as stated above.</w:t>
      </w:r>
    </w:p>
    <w:p w14:paraId="7A5E1765" w14:textId="77777777" w:rsidR="007432B0" w:rsidRPr="00DA5682" w:rsidRDefault="007432B0" w:rsidP="007432B0">
      <w:pPr>
        <w:rPr>
          <w:sz w:val="24"/>
          <w:szCs w:val="24"/>
        </w:rPr>
      </w:pPr>
    </w:p>
    <w:p w14:paraId="06B4858A" w14:textId="77777777" w:rsidR="007432B0" w:rsidRPr="00DA5682" w:rsidRDefault="007432B0" w:rsidP="007432B0">
      <w:pPr>
        <w:rPr>
          <w:sz w:val="24"/>
          <w:szCs w:val="24"/>
        </w:rPr>
      </w:pPr>
      <w:r>
        <w:rPr>
          <w:noProof/>
          <w14:ligatures w14:val="standardContextual"/>
        </w:rPr>
        <w:drawing>
          <wp:anchor distT="0" distB="0" distL="114300" distR="114300" simplePos="0" relativeHeight="251659264" behindDoc="0" locked="0" layoutInCell="1" allowOverlap="1" wp14:anchorId="643FD72F" wp14:editId="002F1486">
            <wp:simplePos x="0" y="0"/>
            <wp:positionH relativeFrom="column">
              <wp:posOffset>800100</wp:posOffset>
            </wp:positionH>
            <wp:positionV relativeFrom="paragraph">
              <wp:posOffset>6985</wp:posOffset>
            </wp:positionV>
            <wp:extent cx="1051560" cy="460375"/>
            <wp:effectExtent l="0" t="0" r="0" b="0"/>
            <wp:wrapSquare wrapText="bothSides"/>
            <wp:docPr id="1241689545"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689545" name="Picture 1" descr="A close up of a signature&#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051560" cy="460375"/>
                    </a:xfrm>
                    <a:prstGeom prst="rect">
                      <a:avLst/>
                    </a:prstGeom>
                  </pic:spPr>
                </pic:pic>
              </a:graphicData>
            </a:graphic>
          </wp:anchor>
        </w:drawing>
      </w:r>
      <w:r w:rsidRPr="00DA5682">
        <w:rPr>
          <w:sz w:val="24"/>
          <w:szCs w:val="24"/>
        </w:rPr>
        <w:t>Signed:…</w:t>
      </w:r>
      <w:r w:rsidRPr="003E26D6">
        <w:rPr>
          <w:noProof/>
          <w14:ligatures w14:val="standardContextual"/>
        </w:rPr>
        <w:t xml:space="preserve"> </w:t>
      </w:r>
      <w:r w:rsidRPr="00DA5682">
        <w:rPr>
          <w:sz w:val="24"/>
          <w:szCs w:val="24"/>
        </w:rPr>
        <w:t xml:space="preserve"> Print Nam</w:t>
      </w:r>
      <w:r>
        <w:rPr>
          <w:sz w:val="24"/>
          <w:szCs w:val="24"/>
        </w:rPr>
        <w:t>e: Jodie Comley</w:t>
      </w:r>
      <w:r>
        <w:rPr>
          <w:sz w:val="24"/>
          <w:szCs w:val="24"/>
        </w:rPr>
        <w:tab/>
        <w:t xml:space="preserve">    </w:t>
      </w:r>
      <w:r w:rsidRPr="00DA5682">
        <w:rPr>
          <w:sz w:val="24"/>
          <w:szCs w:val="24"/>
        </w:rPr>
        <w:t xml:space="preserve"> Dat</w:t>
      </w:r>
      <w:r>
        <w:rPr>
          <w:sz w:val="24"/>
          <w:szCs w:val="24"/>
        </w:rPr>
        <w:t>e: 01/11/2024</w:t>
      </w:r>
    </w:p>
    <w:p w14:paraId="5673BEBF" w14:textId="6C9FDA00" w:rsidR="007432B0" w:rsidRPr="00DA5682" w:rsidRDefault="007432B0" w:rsidP="007432B0">
      <w:pPr>
        <w:rPr>
          <w:sz w:val="24"/>
          <w:szCs w:val="24"/>
        </w:rPr>
      </w:pPr>
      <w:r w:rsidRPr="00DA5682">
        <w:rPr>
          <w:sz w:val="24"/>
          <w:szCs w:val="24"/>
        </w:rPr>
        <w:t>(Learner)</w:t>
      </w:r>
      <w:r w:rsidRPr="003E26D6">
        <w:rPr>
          <w:noProof/>
          <w14:ligatures w14:val="standardContextual"/>
        </w:rPr>
        <w:t xml:space="preserve"> </w:t>
      </w:r>
    </w:p>
    <w:p w14:paraId="31698765" w14:textId="4B7B1C19" w:rsidR="007432B0" w:rsidRPr="00DA5682" w:rsidRDefault="00777DE6" w:rsidP="007432B0">
      <w:pPr>
        <w:rPr>
          <w:sz w:val="24"/>
          <w:szCs w:val="24"/>
        </w:rPr>
      </w:pPr>
      <w:r>
        <w:rPr>
          <w:noProof/>
          <w:sz w:val="24"/>
        </w:rPr>
        <w:drawing>
          <wp:anchor distT="0" distB="0" distL="114300" distR="114300" simplePos="0" relativeHeight="251660288" behindDoc="0" locked="0" layoutInCell="1" allowOverlap="1" wp14:anchorId="2933021E" wp14:editId="18858C35">
            <wp:simplePos x="0" y="0"/>
            <wp:positionH relativeFrom="margin">
              <wp:posOffset>777586</wp:posOffset>
            </wp:positionH>
            <wp:positionV relativeFrom="margin">
              <wp:posOffset>5786582</wp:posOffset>
            </wp:positionV>
            <wp:extent cx="860425" cy="457835"/>
            <wp:effectExtent l="0" t="0" r="0" b="0"/>
            <wp:wrapSquare wrapText="bothSides"/>
            <wp:docPr id="2" name="Picture 2"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word&#10;&#10;AI-generated content may be incorrec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60425" cy="457835"/>
                    </a:xfrm>
                    <a:prstGeom prst="rect">
                      <a:avLst/>
                    </a:prstGeom>
                    <a:noFill/>
                  </pic:spPr>
                </pic:pic>
              </a:graphicData>
            </a:graphic>
            <wp14:sizeRelH relativeFrom="page">
              <wp14:pctWidth>0</wp14:pctWidth>
            </wp14:sizeRelH>
            <wp14:sizeRelV relativeFrom="page">
              <wp14:pctHeight>0</wp14:pctHeight>
            </wp14:sizeRelV>
          </wp:anchor>
        </w:drawing>
      </w:r>
    </w:p>
    <w:p w14:paraId="387BF7A5" w14:textId="77777777" w:rsidR="007432B0" w:rsidRPr="00DA5682" w:rsidRDefault="007432B0" w:rsidP="007432B0">
      <w:pPr>
        <w:rPr>
          <w:sz w:val="24"/>
          <w:szCs w:val="24"/>
        </w:rPr>
      </w:pPr>
      <w:r w:rsidRPr="00DA5682">
        <w:rPr>
          <w:sz w:val="24"/>
          <w:szCs w:val="24"/>
        </w:rPr>
        <w:t>Signed:</w:t>
      </w:r>
      <w:r>
        <w:rPr>
          <w:sz w:val="24"/>
          <w:szCs w:val="24"/>
        </w:rPr>
        <w:t xml:space="preserve">           </w:t>
      </w:r>
      <w:r w:rsidRPr="00DA5682">
        <w:rPr>
          <w:sz w:val="24"/>
          <w:szCs w:val="24"/>
        </w:rPr>
        <w:t>Print Name:</w:t>
      </w:r>
      <w:r>
        <w:rPr>
          <w:sz w:val="24"/>
          <w:szCs w:val="24"/>
        </w:rPr>
        <w:t xml:space="preserve"> Carol Jones </w:t>
      </w:r>
      <w:r>
        <w:rPr>
          <w:sz w:val="24"/>
          <w:szCs w:val="24"/>
        </w:rPr>
        <w:tab/>
      </w:r>
      <w:r>
        <w:rPr>
          <w:sz w:val="24"/>
          <w:szCs w:val="24"/>
        </w:rPr>
        <w:tab/>
      </w:r>
      <w:r>
        <w:rPr>
          <w:sz w:val="24"/>
          <w:szCs w:val="24"/>
        </w:rPr>
        <w:tab/>
      </w:r>
      <w:r w:rsidRPr="00DA5682">
        <w:rPr>
          <w:sz w:val="24"/>
          <w:szCs w:val="24"/>
        </w:rPr>
        <w:t>Date:</w:t>
      </w:r>
      <w:r>
        <w:rPr>
          <w:sz w:val="24"/>
          <w:szCs w:val="24"/>
        </w:rPr>
        <w:t xml:space="preserve"> 01/11/24</w:t>
      </w:r>
      <w:r w:rsidRPr="00DA5682">
        <w:rPr>
          <w:sz w:val="24"/>
          <w:szCs w:val="24"/>
        </w:rPr>
        <w:t xml:space="preserve"> </w:t>
      </w:r>
    </w:p>
    <w:p w14:paraId="06D85980" w14:textId="77777777" w:rsidR="007432B0" w:rsidRDefault="007432B0" w:rsidP="007432B0">
      <w:pPr>
        <w:rPr>
          <w:sz w:val="24"/>
          <w:szCs w:val="24"/>
        </w:rPr>
      </w:pPr>
    </w:p>
    <w:p w14:paraId="34EE2DD6" w14:textId="77777777" w:rsidR="007432B0" w:rsidRPr="00DA5682" w:rsidRDefault="007432B0" w:rsidP="007432B0">
      <w:pPr>
        <w:rPr>
          <w:sz w:val="24"/>
          <w:szCs w:val="24"/>
        </w:rPr>
      </w:pPr>
      <w:r w:rsidRPr="00DA5682">
        <w:rPr>
          <w:sz w:val="24"/>
          <w:szCs w:val="24"/>
        </w:rPr>
        <w:t>(Lin</w:t>
      </w:r>
      <w:r>
        <w:rPr>
          <w:sz w:val="24"/>
          <w:szCs w:val="24"/>
        </w:rPr>
        <w:t xml:space="preserve">e </w:t>
      </w:r>
      <w:r w:rsidRPr="00DA5682">
        <w:rPr>
          <w:sz w:val="24"/>
          <w:szCs w:val="24"/>
        </w:rPr>
        <w:t>Manager)</w:t>
      </w:r>
    </w:p>
    <w:p w14:paraId="30613645" w14:textId="77777777" w:rsidR="007432B0" w:rsidRPr="00DA5682" w:rsidRDefault="007432B0" w:rsidP="007432B0">
      <w:pPr>
        <w:rPr>
          <w:sz w:val="24"/>
          <w:szCs w:val="24"/>
        </w:rPr>
      </w:pPr>
    </w:p>
    <w:p w14:paraId="1C6BD281" w14:textId="77777777" w:rsidR="007432B0" w:rsidRPr="00DA5682" w:rsidRDefault="007432B0" w:rsidP="007432B0">
      <w:pPr>
        <w:rPr>
          <w:sz w:val="24"/>
          <w:szCs w:val="24"/>
        </w:rPr>
      </w:pPr>
      <w:r w:rsidRPr="00DA5682">
        <w:rPr>
          <w:sz w:val="24"/>
          <w:szCs w:val="24"/>
        </w:rPr>
        <w:t>Signed:……</w:t>
      </w:r>
      <w:r>
        <w:rPr>
          <w:noProof/>
          <w:sz w:val="24"/>
          <w:szCs w:val="24"/>
          <w14:ligatures w14:val="standardContextual"/>
        </w:rPr>
        <w:drawing>
          <wp:inline distT="0" distB="0" distL="0" distR="0" wp14:anchorId="7FDF4150" wp14:editId="32D9A462">
            <wp:extent cx="702858" cy="279400"/>
            <wp:effectExtent l="0" t="0" r="2540" b="6350"/>
            <wp:docPr id="1687246710" name="Picture 1" descr="A close 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246710" name="Picture 1" descr="A close up of a note&#10;&#10;Description automatically generated"/>
                    <pic:cNvPicPr/>
                  </pic:nvPicPr>
                  <pic:blipFill>
                    <a:blip r:embed="rId80" cstate="print">
                      <a:alphaModFix amt="50000"/>
                      <a:extLst>
                        <a:ext uri="{BEBA8EAE-BF5A-486C-A8C5-ECC9F3942E4B}">
                          <a14:imgProps xmlns:a14="http://schemas.microsoft.com/office/drawing/2010/main">
                            <a14:imgLayer r:embed="rId81">
                              <a14:imgEffect>
                                <a14:colorTemperature colorTemp="5300"/>
                              </a14:imgEffect>
                            </a14:imgLayer>
                          </a14:imgProps>
                        </a:ext>
                        <a:ext uri="{28A0092B-C50C-407E-A947-70E740481C1C}">
                          <a14:useLocalDpi xmlns:a14="http://schemas.microsoft.com/office/drawing/2010/main" val="0"/>
                        </a:ext>
                      </a:extLst>
                    </a:blip>
                    <a:stretch>
                      <a:fillRect/>
                    </a:stretch>
                  </pic:blipFill>
                  <pic:spPr>
                    <a:xfrm>
                      <a:off x="0" y="0"/>
                      <a:ext cx="715895" cy="284583"/>
                    </a:xfrm>
                    <a:prstGeom prst="rect">
                      <a:avLst/>
                    </a:prstGeom>
                  </pic:spPr>
                </pic:pic>
              </a:graphicData>
            </a:graphic>
          </wp:inline>
        </w:drawing>
      </w:r>
      <w:r w:rsidRPr="00DA5682">
        <w:rPr>
          <w:sz w:val="24"/>
          <w:szCs w:val="24"/>
        </w:rPr>
        <w:t>………Print Name:</w:t>
      </w:r>
      <w:r>
        <w:rPr>
          <w:sz w:val="24"/>
          <w:szCs w:val="24"/>
        </w:rPr>
        <w:t xml:space="preserve"> Sian Walkley</w:t>
      </w:r>
      <w:r w:rsidRPr="00DA5682">
        <w:rPr>
          <w:sz w:val="24"/>
          <w:szCs w:val="24"/>
        </w:rPr>
        <w:t>……….Date:……</w:t>
      </w:r>
      <w:r>
        <w:rPr>
          <w:sz w:val="24"/>
          <w:szCs w:val="24"/>
        </w:rPr>
        <w:t>01/11/2024</w:t>
      </w:r>
    </w:p>
    <w:p w14:paraId="6F7765BE" w14:textId="77777777" w:rsidR="007432B0" w:rsidRPr="00DA5682" w:rsidRDefault="007432B0" w:rsidP="007432B0">
      <w:pPr>
        <w:rPr>
          <w:sz w:val="24"/>
          <w:szCs w:val="24"/>
        </w:rPr>
      </w:pPr>
      <w:r w:rsidRPr="00DA5682">
        <w:rPr>
          <w:sz w:val="24"/>
          <w:szCs w:val="24"/>
        </w:rPr>
        <w:t>(Mentor, if different to above)</w:t>
      </w:r>
    </w:p>
    <w:p w14:paraId="528723C8" w14:textId="77777777" w:rsidR="007432B0" w:rsidRPr="00DA5682" w:rsidRDefault="007432B0" w:rsidP="007432B0">
      <w:pPr>
        <w:rPr>
          <w:sz w:val="24"/>
          <w:szCs w:val="24"/>
        </w:rPr>
      </w:pPr>
    </w:p>
    <w:p w14:paraId="25748FF1" w14:textId="77777777" w:rsidR="007432B0" w:rsidRPr="00DA5682" w:rsidRDefault="007432B0" w:rsidP="007432B0">
      <w:pPr>
        <w:rPr>
          <w:sz w:val="24"/>
          <w:szCs w:val="24"/>
        </w:rPr>
      </w:pPr>
    </w:p>
    <w:p w14:paraId="03C2D3B1" w14:textId="77777777" w:rsidR="007432B0" w:rsidRPr="00C368FA" w:rsidRDefault="007432B0" w:rsidP="007432B0">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82"/>
      <w:footerReference w:type="default" r:id="rId8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31B87" w14:textId="77777777" w:rsidR="007B7D01" w:rsidRDefault="007B7D01">
      <w:r>
        <w:separator/>
      </w:r>
    </w:p>
  </w:endnote>
  <w:endnote w:type="continuationSeparator" w:id="0">
    <w:p w14:paraId="33093A52" w14:textId="77777777" w:rsidR="007B7D01" w:rsidRDefault="007B7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8296E" w14:textId="77777777" w:rsidR="007B7D01" w:rsidRDefault="007B7D01">
      <w:r>
        <w:separator/>
      </w:r>
    </w:p>
  </w:footnote>
  <w:footnote w:type="continuationSeparator" w:id="0">
    <w:p w14:paraId="73BB90C3" w14:textId="77777777" w:rsidR="007B7D01" w:rsidRDefault="007B7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5AE0"/>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2F25"/>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58FC"/>
    <w:rsid w:val="000C6892"/>
    <w:rsid w:val="000C6FFE"/>
    <w:rsid w:val="000D0BB6"/>
    <w:rsid w:val="000D2ED2"/>
    <w:rsid w:val="000D6653"/>
    <w:rsid w:val="000E0D51"/>
    <w:rsid w:val="000E26B0"/>
    <w:rsid w:val="000E37C2"/>
    <w:rsid w:val="000E38C3"/>
    <w:rsid w:val="000F1599"/>
    <w:rsid w:val="000F1769"/>
    <w:rsid w:val="000F1A97"/>
    <w:rsid w:val="000F42AE"/>
    <w:rsid w:val="000F4EAD"/>
    <w:rsid w:val="000F6196"/>
    <w:rsid w:val="000F6BC3"/>
    <w:rsid w:val="0010312C"/>
    <w:rsid w:val="00105026"/>
    <w:rsid w:val="0010662B"/>
    <w:rsid w:val="00106DC7"/>
    <w:rsid w:val="00112391"/>
    <w:rsid w:val="00114F52"/>
    <w:rsid w:val="00130119"/>
    <w:rsid w:val="001314CB"/>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520B"/>
    <w:rsid w:val="00211F65"/>
    <w:rsid w:val="00213CE9"/>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274B"/>
    <w:rsid w:val="00257233"/>
    <w:rsid w:val="00260663"/>
    <w:rsid w:val="00260D56"/>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029"/>
    <w:rsid w:val="002B5B35"/>
    <w:rsid w:val="002B7AEE"/>
    <w:rsid w:val="002C2536"/>
    <w:rsid w:val="002C256A"/>
    <w:rsid w:val="002C3031"/>
    <w:rsid w:val="002C4233"/>
    <w:rsid w:val="002C496D"/>
    <w:rsid w:val="002C7F84"/>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697"/>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4F59"/>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587"/>
    <w:rsid w:val="00470BB1"/>
    <w:rsid w:val="00472EB6"/>
    <w:rsid w:val="00473153"/>
    <w:rsid w:val="0047350F"/>
    <w:rsid w:val="004743AF"/>
    <w:rsid w:val="00482C17"/>
    <w:rsid w:val="00484CE3"/>
    <w:rsid w:val="004911B4"/>
    <w:rsid w:val="0049196A"/>
    <w:rsid w:val="004923DA"/>
    <w:rsid w:val="00492EEB"/>
    <w:rsid w:val="00493434"/>
    <w:rsid w:val="004968E2"/>
    <w:rsid w:val="00497878"/>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3BBB"/>
    <w:rsid w:val="005C6CE5"/>
    <w:rsid w:val="005D3F07"/>
    <w:rsid w:val="005D4A1E"/>
    <w:rsid w:val="005D4F72"/>
    <w:rsid w:val="005E13EA"/>
    <w:rsid w:val="005E17F1"/>
    <w:rsid w:val="005F64AA"/>
    <w:rsid w:val="005F7851"/>
    <w:rsid w:val="00606E27"/>
    <w:rsid w:val="006108C9"/>
    <w:rsid w:val="006146B7"/>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0EE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6F68C0"/>
    <w:rsid w:val="00700249"/>
    <w:rsid w:val="007069CD"/>
    <w:rsid w:val="00706BB5"/>
    <w:rsid w:val="00707585"/>
    <w:rsid w:val="0071231A"/>
    <w:rsid w:val="00712E90"/>
    <w:rsid w:val="00713B7E"/>
    <w:rsid w:val="0072678F"/>
    <w:rsid w:val="00726F3F"/>
    <w:rsid w:val="007276E5"/>
    <w:rsid w:val="00727C4C"/>
    <w:rsid w:val="00733426"/>
    <w:rsid w:val="00734809"/>
    <w:rsid w:val="0073714E"/>
    <w:rsid w:val="007374EF"/>
    <w:rsid w:val="007406E1"/>
    <w:rsid w:val="007432B0"/>
    <w:rsid w:val="00743E40"/>
    <w:rsid w:val="00745016"/>
    <w:rsid w:val="0075031F"/>
    <w:rsid w:val="00751263"/>
    <w:rsid w:val="007544FC"/>
    <w:rsid w:val="00755427"/>
    <w:rsid w:val="00756548"/>
    <w:rsid w:val="0075673A"/>
    <w:rsid w:val="0075704F"/>
    <w:rsid w:val="00763B2D"/>
    <w:rsid w:val="00764C84"/>
    <w:rsid w:val="007710AD"/>
    <w:rsid w:val="00772924"/>
    <w:rsid w:val="00777DE6"/>
    <w:rsid w:val="0078112D"/>
    <w:rsid w:val="007872F2"/>
    <w:rsid w:val="007873F9"/>
    <w:rsid w:val="007908E0"/>
    <w:rsid w:val="00793EB3"/>
    <w:rsid w:val="00794205"/>
    <w:rsid w:val="0079422A"/>
    <w:rsid w:val="007949ED"/>
    <w:rsid w:val="007A1F6A"/>
    <w:rsid w:val="007A628F"/>
    <w:rsid w:val="007B0DE3"/>
    <w:rsid w:val="007B168C"/>
    <w:rsid w:val="007B1BFD"/>
    <w:rsid w:val="007B7191"/>
    <w:rsid w:val="007B7D01"/>
    <w:rsid w:val="007C1D94"/>
    <w:rsid w:val="007C556F"/>
    <w:rsid w:val="007C5ABE"/>
    <w:rsid w:val="007C6A87"/>
    <w:rsid w:val="007D0A07"/>
    <w:rsid w:val="007D0F11"/>
    <w:rsid w:val="007D133D"/>
    <w:rsid w:val="007D30E7"/>
    <w:rsid w:val="007D3EB4"/>
    <w:rsid w:val="007D3F16"/>
    <w:rsid w:val="007E0BA2"/>
    <w:rsid w:val="007F10BD"/>
    <w:rsid w:val="007F312E"/>
    <w:rsid w:val="007F3F7E"/>
    <w:rsid w:val="007F4BA4"/>
    <w:rsid w:val="0081070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BEF"/>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11E0"/>
    <w:rsid w:val="009C337F"/>
    <w:rsid w:val="009C53E7"/>
    <w:rsid w:val="009C6092"/>
    <w:rsid w:val="009C7342"/>
    <w:rsid w:val="009D22D1"/>
    <w:rsid w:val="009D4365"/>
    <w:rsid w:val="009D477B"/>
    <w:rsid w:val="009D4E3B"/>
    <w:rsid w:val="009D59C2"/>
    <w:rsid w:val="009D7BC9"/>
    <w:rsid w:val="009E022D"/>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5C78"/>
    <w:rsid w:val="00A37416"/>
    <w:rsid w:val="00A40ED6"/>
    <w:rsid w:val="00A47621"/>
    <w:rsid w:val="00A479CD"/>
    <w:rsid w:val="00A50CFC"/>
    <w:rsid w:val="00A54D67"/>
    <w:rsid w:val="00A5563F"/>
    <w:rsid w:val="00A55A3F"/>
    <w:rsid w:val="00A5656A"/>
    <w:rsid w:val="00A60103"/>
    <w:rsid w:val="00A652F6"/>
    <w:rsid w:val="00A65861"/>
    <w:rsid w:val="00A70E1A"/>
    <w:rsid w:val="00A732EA"/>
    <w:rsid w:val="00A7489E"/>
    <w:rsid w:val="00A8015F"/>
    <w:rsid w:val="00A85039"/>
    <w:rsid w:val="00A906AA"/>
    <w:rsid w:val="00A94C5E"/>
    <w:rsid w:val="00A97D14"/>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1522"/>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3F52"/>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1820"/>
    <w:rsid w:val="00BB261F"/>
    <w:rsid w:val="00BB2887"/>
    <w:rsid w:val="00BB3B56"/>
    <w:rsid w:val="00BB5EAA"/>
    <w:rsid w:val="00BB5F11"/>
    <w:rsid w:val="00BB6638"/>
    <w:rsid w:val="00BB7FD2"/>
    <w:rsid w:val="00BC04FA"/>
    <w:rsid w:val="00BC1C22"/>
    <w:rsid w:val="00BC460B"/>
    <w:rsid w:val="00BC4ED3"/>
    <w:rsid w:val="00BC5725"/>
    <w:rsid w:val="00BD0E8A"/>
    <w:rsid w:val="00BD30B1"/>
    <w:rsid w:val="00BE07E7"/>
    <w:rsid w:val="00BE0F7B"/>
    <w:rsid w:val="00BE10C2"/>
    <w:rsid w:val="00BF0D6C"/>
    <w:rsid w:val="00C01D14"/>
    <w:rsid w:val="00C01D97"/>
    <w:rsid w:val="00C025B4"/>
    <w:rsid w:val="00C029EC"/>
    <w:rsid w:val="00C0562C"/>
    <w:rsid w:val="00C0751E"/>
    <w:rsid w:val="00C161FD"/>
    <w:rsid w:val="00C17C9F"/>
    <w:rsid w:val="00C23F17"/>
    <w:rsid w:val="00C246F2"/>
    <w:rsid w:val="00C26D0D"/>
    <w:rsid w:val="00C277F1"/>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0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6BE"/>
    <w:rsid w:val="00DC1B10"/>
    <w:rsid w:val="00DC2924"/>
    <w:rsid w:val="00DC4729"/>
    <w:rsid w:val="00DD31C5"/>
    <w:rsid w:val="00DD5020"/>
    <w:rsid w:val="00DD63BE"/>
    <w:rsid w:val="00DE4296"/>
    <w:rsid w:val="00DF2469"/>
    <w:rsid w:val="00DF7899"/>
    <w:rsid w:val="00E0524C"/>
    <w:rsid w:val="00E11CCD"/>
    <w:rsid w:val="00E15751"/>
    <w:rsid w:val="00E17160"/>
    <w:rsid w:val="00E17D41"/>
    <w:rsid w:val="00E231D1"/>
    <w:rsid w:val="00E3288D"/>
    <w:rsid w:val="00E35112"/>
    <w:rsid w:val="00E35BEC"/>
    <w:rsid w:val="00E379E8"/>
    <w:rsid w:val="00E41A6A"/>
    <w:rsid w:val="00E50821"/>
    <w:rsid w:val="00E51F91"/>
    <w:rsid w:val="00E5498A"/>
    <w:rsid w:val="00E559CE"/>
    <w:rsid w:val="00E60F42"/>
    <w:rsid w:val="00E6746C"/>
    <w:rsid w:val="00E7086E"/>
    <w:rsid w:val="00E71248"/>
    <w:rsid w:val="00E7378D"/>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0C28"/>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BD0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3/38/contents" TargetMode="External"/><Relationship Id="rId21" Type="http://schemas.openxmlformats.org/officeDocument/2006/relationships/hyperlink" Target="https://www.proceduresonline.com/trixcms1/media/13708/practice-guidance-harm-matrix.pdf" TargetMode="External"/><Relationship Id="rId42" Type="http://schemas.openxmlformats.org/officeDocument/2006/relationships/hyperlink" Target="https://www.careinspectorate.wales/rapid-review-child-protection-arrangements" TargetMode="External"/><Relationship Id="rId47" Type="http://schemas.openxmlformats.org/officeDocument/2006/relationships/hyperlink" Target="https://www.tandfonline.com/doi/pdf/10.1080/07325221003742066" TargetMode="External"/><Relationship Id="rId63" Type="http://schemas.openxmlformats.org/officeDocument/2006/relationships/hyperlink" Target="https://www.legislation.gov.uk/ukpga/2005/9" TargetMode="External"/><Relationship Id="rId68" Type="http://schemas.openxmlformats.org/officeDocument/2006/relationships/hyperlink" Target="https://safeguarding.wales/en/adu-i/adu-i-a3pt1/a3pt1-p18/" TargetMode="External"/><Relationship Id="rId84" Type="http://schemas.openxmlformats.org/officeDocument/2006/relationships/fontTable" Target="fontTable.xml"/><Relationship Id="rId16" Type="http://schemas.openxmlformats.org/officeDocument/2006/relationships/hyperlink" Target="https://www.legislation.gov.uk/anaw/2014/4" TargetMode="External"/><Relationship Id="rId11" Type="http://schemas.openxmlformats.org/officeDocument/2006/relationships/hyperlink" Target="mailto:jodie.comley@swansea.gov.uk" TargetMode="External"/><Relationship Id="rId32" Type="http://schemas.openxmlformats.org/officeDocument/2006/relationships/hyperlink" Target="https://doi.org/10.1080/10904018.2013.813234%5b1%5d(https://reachfamilies.umn.edu/sites/default/files/prtw/2021-09/Weger_2014__2021091010606.pdf)" TargetMode="External"/><Relationship Id="rId37" Type="http://schemas.openxmlformats.org/officeDocument/2006/relationships/hyperlink" Target="https://www.safeguarding.wales/en/" TargetMode="External"/><Relationship Id="rId53" Type="http://schemas.openxmlformats.org/officeDocument/2006/relationships/hyperlink" Target="https://new.basw.co.uk/sites/default/files/resources/basw_75613-2_0.pdf" TargetMode="External"/><Relationship Id="rId58" Type="http://schemas.openxmlformats.org/officeDocument/2006/relationships/hyperlink" Target="https://www.legislation.gov.uk/anaw/2014/4/part/7" TargetMode="External"/><Relationship Id="rId74" Type="http://schemas.openxmlformats.org/officeDocument/2006/relationships/hyperlink" Target="mailto:sian.walkley@Swansea.gov.uk" TargetMode="External"/><Relationship Id="rId79" Type="http://schemas.openxmlformats.org/officeDocument/2006/relationships/image" Target="media/image5.png"/><Relationship Id="rId5" Type="http://schemas.openxmlformats.org/officeDocument/2006/relationships/styles" Target="styles.xml"/><Relationship Id="rId19" Type="http://schemas.openxmlformats.org/officeDocument/2006/relationships/hyperlink" Target="https://uk.sagepub.com/en-gb/eur/interprofessional-collaboration-in-social-work-practice/book234375" TargetMode="External"/><Relationship Id="rId14" Type="http://schemas.openxmlformats.org/officeDocument/2006/relationships/hyperlink" Target="https://basw.co.uk/sites/default/files/resources/basw_73346-6_0.pdf" TargetMode="External"/><Relationship Id="rId22" Type="http://schemas.openxmlformats.org/officeDocument/2006/relationships/hyperlink" Target="https://socialcare.wales/cms-assets/documents/qualification-unit-documents/SCDSW2-Develop-social-work-practice-through-supervision.pdf" TargetMode="External"/><Relationship Id="rId27" Type="http://schemas.openxmlformats.org/officeDocument/2006/relationships/hyperlink" Target="https://www.legislation.gov.uk/anaw/2014/4" TargetMode="External"/><Relationship Id="rId30" Type="http://schemas.openxmlformats.org/officeDocument/2006/relationships/hyperlink" Target="https://socialcare.wales/cms_assets/file-uploads/Code-of-Professional-Practice-for-Social-Care.pdf" TargetMode="External"/><Relationship Id="rId35" Type="http://schemas.openxmlformats.org/officeDocument/2006/relationships/hyperlink" Target="https://www.legislation.gov.uk/anaw/2014/4/contents" TargetMode="External"/><Relationship Id="rId43" Type="http://schemas.openxmlformats.org/officeDocument/2006/relationships/hyperlink" Target="https://www.unicef.org.uk/wp-content/uploads/2012/11/UNICEFUK_2012CRCimplementationreport-FINAL-PDF-version.pdf" TargetMode="External"/><Relationship Id="rId48" Type="http://schemas.openxmlformats.org/officeDocument/2006/relationships/hyperlink" Target="https://journals.sagepub.com/doi/pdf/10.1177/14733250211024734" TargetMode="External"/><Relationship Id="rId56" Type="http://schemas.openxmlformats.org/officeDocument/2006/relationships/hyperlink" Target="https://us.sagepub.com/sites/default/files/upm-binaries/32947_Chapter1.pdf" TargetMode="External"/><Relationship Id="rId64" Type="http://schemas.openxmlformats.org/officeDocument/2006/relationships/hyperlink" Target="https://www.legislation.gov.uk/anaw/2014/4" TargetMode="External"/><Relationship Id="rId69" Type="http://schemas.openxmlformats.org/officeDocument/2006/relationships/hyperlink" Target="https://www.legislation.gov.uk/ukpga/1989/41/contents" TargetMode="External"/><Relationship Id="rId77" Type="http://schemas.openxmlformats.org/officeDocument/2006/relationships/image" Target="media/image3.png"/><Relationship Id="rId8" Type="http://schemas.openxmlformats.org/officeDocument/2006/relationships/footnotes" Target="footnotes.xml"/><Relationship Id="rId51" Type="http://schemas.openxmlformats.org/officeDocument/2006/relationships/hyperlink" Target="https://www.researchgate.net/publication/275158525" TargetMode="External"/><Relationship Id="rId72" Type="http://schemas.openxmlformats.org/officeDocument/2006/relationships/hyperlink" Target="mailto:jodieekelsiee@hotmail.co.uk" TargetMode="External"/><Relationship Id="rId80" Type="http://schemas.openxmlformats.org/officeDocument/2006/relationships/image" Target="media/image6.png"/><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jodieekelsiee@hotmail.co.uk" TargetMode="External"/><Relationship Id="rId17" Type="http://schemas.openxmlformats.org/officeDocument/2006/relationships/hyperlink" Target="https://www.taylorfrancis.com/books/mono/10.4324/9781041057970/writing-analytical-assessments-social-work-chris-dyke" TargetMode="External"/><Relationship Id="rId25" Type="http://schemas.openxmlformats.org/officeDocument/2006/relationships/hyperlink" Target="https://www.gov.wales/welsh-index-multiple-deprivation" TargetMode="External"/><Relationship Id="rId33" Type="http://schemas.openxmlformats.org/officeDocument/2006/relationships/hyperlink" Target="https://ep.bmj.com/content/early/2025/02/24/archdischild-2024-327841" TargetMode="External"/><Relationship Id="rId38" Type="http://schemas.openxmlformats.org/officeDocument/2006/relationships/hyperlink" Target="https://www.careinspectorate.wales/more-just-words" TargetMode="External"/><Relationship Id="rId46" Type="http://schemas.openxmlformats.org/officeDocument/2006/relationships/hyperlink" Target="https://www.gov.wales/multi-agency-working-research-support-final-report-evaluation-social-services-and-well-being-wales-act-2014" TargetMode="External"/><Relationship Id="rId59" Type="http://schemas.openxmlformats.org/officeDocument/2006/relationships/hyperlink" Target="https://www.amnesty.org.uk/blogs/campaigns-blog/what-european-convention-human-rights" TargetMode="External"/><Relationship Id="rId67" Type="http://schemas.openxmlformats.org/officeDocument/2006/relationships/hyperlink" Target="https://www.communitycare.co.uk/2017/12/04/safeguarding-adults-mental-capacity-key-principles/" TargetMode="External"/><Relationship Id="rId20" Type="http://schemas.openxmlformats.org/officeDocument/2006/relationships/hyperlink" Target="https://www.gov.wales/sites/default/files/statistics-and-research/2023-03/multi-agency-working-research-to-support-the-final-report-of-the-evaluation-of-the-social-services-and-well-being-wales-act-2014.pdf" TargetMode="External"/><Relationship Id="rId41" Type="http://schemas.openxmlformats.org/officeDocument/2006/relationships/hyperlink" Target="https://www.legislation.gov.uk/ukpga/1989/41/contents" TargetMode="External"/><Relationship Id="rId54" Type="http://schemas.openxmlformats.org/officeDocument/2006/relationships/hyperlink" Target="https://doi.org/10.1093/bjsw/bcx142" TargetMode="External"/><Relationship Id="rId62" Type="http://schemas.openxmlformats.org/officeDocument/2006/relationships/hyperlink" Target="https://www.scie.org.uk/mca/introduction/mental-capacity-act-2005-at-a-glance/" TargetMode="External"/><Relationship Id="rId70" Type="http://schemas.openxmlformats.org/officeDocument/2006/relationships/hyperlink" Target="https://www.legislation.gov.uk/anaw/2014/4/contents" TargetMode="External"/><Relationship Id="rId75" Type="http://schemas.openxmlformats.org/officeDocument/2006/relationships/hyperlink" Target="mailto:Rachel.Shepherd@swansea.gov.uk"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egislation.gov.uk/ukpga/1989/41/contents" TargetMode="External"/><Relationship Id="rId23" Type="http://schemas.openxmlformats.org/officeDocument/2006/relationships/hyperlink" Target="https://socialcare.wales/cms-assets/documents/Code-of-Professional-Practice-for-Social-Care-web-version.pdf" TargetMode="External"/><Relationship Id="rId28" Type="http://schemas.openxmlformats.org/officeDocument/2006/relationships/hyperlink" Target="https://www.gov.wales/sites/default/files/publications/2022-07/more-than-just-words-action-plan-2022-2027.pdf" TargetMode="External"/><Relationship Id="rId36" Type="http://schemas.openxmlformats.org/officeDocument/2006/relationships/hyperlink" Target="https://www.legislation.gov.uk/ukpga/1993/38/contents" TargetMode="External"/><Relationship Id="rId49" Type="http://schemas.openxmlformats.org/officeDocument/2006/relationships/hyperlink" Target="https://www.basw.co.uk/resources/code-ethics-social-work" TargetMode="External"/><Relationship Id="rId57" Type="http://schemas.openxmlformats.org/officeDocument/2006/relationships/hyperlink" Target="https://www.simplypsychology.org/bowlby.html" TargetMode="External"/><Relationship Id="rId10" Type="http://schemas.openxmlformats.org/officeDocument/2006/relationships/image" Target="media/image1.png"/><Relationship Id="rId31" Type="http://schemas.openxmlformats.org/officeDocument/2006/relationships/hyperlink" Target="https://www.signsofsafety.net/what-is-sofs/" TargetMode="External"/><Relationship Id="rId44" Type="http://schemas.openxmlformats.org/officeDocument/2006/relationships/hyperlink" Target="https://www.legislation.gov.uk/ukpga/2018/12/contents/enacted" TargetMode="External"/><Relationship Id="rId52" Type="http://schemas.openxmlformats.org/officeDocument/2006/relationships/hyperlink" Target="https://safeguarding.wales/" TargetMode="External"/><Relationship Id="rId60" Type="http://schemas.openxmlformats.org/officeDocument/2006/relationships/hyperlink" Target="https://www.gov.wales/sites/default/files/publications/2019-06/volume-6-handling-individual-cases-to-protect-adults-at-risk.pdf" TargetMode="External"/><Relationship Id="rId65" Type="http://schemas.openxmlformats.org/officeDocument/2006/relationships/hyperlink" Target="https://www.legislation.gov.uk/anaw/2014/4/part/7" TargetMode="External"/><Relationship Id="rId73" Type="http://schemas.openxmlformats.org/officeDocument/2006/relationships/hyperlink" Target="mailto:contact@swansea.gov.uk" TargetMode="External"/><Relationship Id="rId78" Type="http://schemas.openxmlformats.org/officeDocument/2006/relationships/image" Target="media/image4.png"/><Relationship Id="rId81" Type="http://schemas.microsoft.com/office/2007/relationships/hdphoto" Target="media/hdphoto1.wdp"/><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ccinform.co.uk/practice-guidance/guide-to-analysis-and-decision-making/" TargetMode="External"/><Relationship Id="rId18" Type="http://schemas.openxmlformats.org/officeDocument/2006/relationships/hyperlink" Target="https://link.springer.com/article/10.1007/s10615-018-0671-8" TargetMode="External"/><Relationship Id="rId39" Type="http://schemas.openxmlformats.org/officeDocument/2006/relationships/hyperlink" Target="https://socialcare.wales/cms_assets/file-uploads/Code-of-Professional-Practice-for-Social-Care.pdf" TargetMode="External"/><Relationship Id="rId34" Type="http://schemas.openxmlformats.org/officeDocument/2006/relationships/hyperlink" Target="https://journals.sagepub.com/doi/pdf/10.1177/0741088320938804" TargetMode="External"/><Relationship Id="rId50" Type="http://schemas.openxmlformats.org/officeDocument/2006/relationships/hyperlink" Target="https://www.socialworkers.org/Practice/NASW-Practice-Standards-Guidelines/NASW-Standards-for-Social-Work-Practice-in-Child-Welfare" TargetMode="External"/><Relationship Id="rId55" Type="http://schemas.openxmlformats.org/officeDocument/2006/relationships/hyperlink" Target="https://doi.org/10.4324/9781041056591" TargetMode="External"/><Relationship Id="rId76" Type="http://schemas.openxmlformats.org/officeDocument/2006/relationships/image" Target="media/image2.jpeg"/><Relationship Id="rId7" Type="http://schemas.openxmlformats.org/officeDocument/2006/relationships/webSettings" Target="webSettings.xml"/><Relationship Id="rId71" Type="http://schemas.openxmlformats.org/officeDocument/2006/relationships/hyperlink" Target="https://www.safeguarding.wales/en/" TargetMode="External"/><Relationship Id="rId2" Type="http://schemas.openxmlformats.org/officeDocument/2006/relationships/customXml" Target="../customXml/item2.xml"/><Relationship Id="rId29" Type="http://schemas.openxmlformats.org/officeDocument/2006/relationships/hyperlink" Target="https://doi.org/10.1093/sw/swt008" TargetMode="External"/><Relationship Id="rId24" Type="http://schemas.openxmlformats.org/officeDocument/2006/relationships/hyperlink" Target="https://www.safeguarding.wales/en/" TargetMode="External"/><Relationship Id="rId40" Type="http://schemas.openxmlformats.org/officeDocument/2006/relationships/hyperlink" Target="https://www.gov.wales/sites/default/files/publications/2022-01/working-together-to-safeguard-people--code-of-safeguarding-practice_0.pdf" TargetMode="External"/><Relationship Id="rId45" Type="http://schemas.openxmlformats.org/officeDocument/2006/relationships/hyperlink" Target="https://www.legislation.gov.uk/eur/2016/679" TargetMode="External"/><Relationship Id="rId66" Type="http://schemas.openxmlformats.org/officeDocument/2006/relationships/hyperlink" Target="https://socialcare.wales/cms_assets/file-uploads/Code-of-Professional-Practice-for-Social-Care.pdf" TargetMode="External"/><Relationship Id="rId61" Type="http://schemas.openxmlformats.org/officeDocument/2006/relationships/hyperlink" Target="https://www.safeguarding.wales/en/" TargetMode="External"/><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59</TotalTime>
  <Pages>19</Pages>
  <Words>4350</Words>
  <Characters>34177</Characters>
  <Application>Microsoft Office Word</Application>
  <DocSecurity>0</DocSecurity>
  <Lines>876</Lines>
  <Paragraphs>326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Jodie Comley</cp:lastModifiedBy>
  <cp:revision>48</cp:revision>
  <cp:lastPrinted>2020-02-11T19:20:00Z</cp:lastPrinted>
  <dcterms:created xsi:type="dcterms:W3CDTF">2025-09-10T15:57:00Z</dcterms:created>
  <dcterms:modified xsi:type="dcterms:W3CDTF">2025-10-08T06:30:00Z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