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B90CD" w14:textId="77777777" w:rsidR="00EA2890" w:rsidRPr="00EA2890" w:rsidRDefault="00EA2890" w:rsidP="00EA2890">
      <w:pPr>
        <w:spacing w:line="360" w:lineRule="auto"/>
        <w:rPr>
          <w:lang w:val="en-US"/>
        </w:rPr>
      </w:pPr>
      <w:r w:rsidRPr="00EA2890">
        <w:rPr>
          <w:lang w:val="en-US"/>
        </w:rPr>
        <w:t xml:space="preserve">This paper will support the presentation delivered on the twins, </w:t>
      </w:r>
      <w:proofErr w:type="gramStart"/>
      <w:r w:rsidRPr="00EA2890">
        <w:rPr>
          <w:lang w:val="en-US"/>
        </w:rPr>
        <w:t>Ronald</w:t>
      </w:r>
      <w:proofErr w:type="gramEnd"/>
      <w:r w:rsidRPr="00EA2890">
        <w:rPr>
          <w:lang w:val="en-US"/>
        </w:rPr>
        <w:t xml:space="preserve"> and Reginald Kray. It shall discuss theories that have attempted to explain crime and evaluate their relevance in a modern-day context. Crime was initially perceived as a rational choice, where an individual would act on hedonistic impulses. The pain and pleasure principal introduced by Bentham determined that crime would be committed based on the rewards they would attain by committing the offence (Driver, 2022). However, developments within society resulted in different presumptions of crime. Today, multiple factors are considered to provide an adequate explanation for crime including the sociological, biological, and psychological elements (Weatherburn, 2001). </w:t>
      </w:r>
    </w:p>
    <w:p w14:paraId="5FDF0261" w14:textId="77777777" w:rsidR="00EA2890" w:rsidRPr="00EA2890" w:rsidRDefault="00EA2890" w:rsidP="00EA2890">
      <w:pPr>
        <w:spacing w:line="360" w:lineRule="auto"/>
        <w:rPr>
          <w:lang w:val="en-US"/>
        </w:rPr>
      </w:pPr>
    </w:p>
    <w:p w14:paraId="096B3163" w14:textId="2A308209" w:rsidR="00EA2890" w:rsidRPr="00EA2890" w:rsidRDefault="00EA2890" w:rsidP="00EA2890">
      <w:pPr>
        <w:spacing w:line="360" w:lineRule="auto"/>
        <w:rPr>
          <w:lang w:val="en-US"/>
        </w:rPr>
      </w:pPr>
      <w:r w:rsidRPr="00EA2890">
        <w:rPr>
          <w:lang w:val="en-US"/>
        </w:rPr>
        <w:t>To illustrate the relevance of certain theories that explain the criminality of the twins, a brief overview of them shall be provided. Ronald and Reginald Kray were notorious for their connection with crime across London during the mid-twentieth century. The pair were leaders of a gang called “The Firm” and were associated with crimes such as murder, protection rackets, and robbery (Rennie, 2023). This article expands on the involvement of the twins with crime, reflecting on their conviction of grievous bodily harm at age sixteen. Their success in criminality enabled them to establish several enterprises across London including nightclubs where criminals, businessmen, and celebrities would gather. Although criminals, they were well-respected within the community and often donated to charity to maintain this (Campbell, 2015). However, this was short-lived as they were both sentenced to life imprisonment in 1969. Today, they remain renowned for their criminal lifestyle with it being heavily glorified through the media</w:t>
      </w:r>
      <w:r w:rsidR="00DB7E90">
        <w:rPr>
          <w:lang w:val="en-US"/>
        </w:rPr>
        <w:t>.</w:t>
      </w:r>
      <w:r w:rsidRPr="00EA2890">
        <w:rPr>
          <w:lang w:val="en-US"/>
        </w:rPr>
        <w:t xml:space="preserve"> </w:t>
      </w:r>
    </w:p>
    <w:p w14:paraId="705256E3" w14:textId="77777777" w:rsidR="00EA2890" w:rsidRPr="00EA2890" w:rsidRDefault="00EA2890" w:rsidP="00EA2890">
      <w:pPr>
        <w:spacing w:line="360" w:lineRule="auto"/>
        <w:rPr>
          <w:lang w:val="en-US"/>
        </w:rPr>
      </w:pPr>
    </w:p>
    <w:p w14:paraId="21DC3DF3" w14:textId="77777777" w:rsidR="00EA2890" w:rsidRPr="00EA2890" w:rsidRDefault="00EA2890" w:rsidP="00EA2890">
      <w:pPr>
        <w:spacing w:line="360" w:lineRule="auto"/>
        <w:rPr>
          <w:lang w:val="en-US"/>
        </w:rPr>
      </w:pPr>
      <w:r w:rsidRPr="00EA2890">
        <w:rPr>
          <w:lang w:val="en-US"/>
        </w:rPr>
        <w:t xml:space="preserve">Biological factors may have influenced the criminality of the Kray twins. There have been multiple studies that have attempted to demonstrate that crime is hereditary. For example, the study of 30 criminal twins completed by Lange (1930). The study consisted of 13 pairs of monozygotic twins and 17 pairs of dizygotic twins. Of the 13 identical twins, 10 pairs demonstrated criminal tendencies. Whereas only two pairs of the fraternal twins presented as criminal. The correlation between identical twins and criminality can be supported by </w:t>
      </w:r>
      <w:proofErr w:type="spellStart"/>
      <w:r w:rsidRPr="00EA2890">
        <w:rPr>
          <w:lang w:val="en-US"/>
        </w:rPr>
        <w:t>Legras</w:t>
      </w:r>
      <w:proofErr w:type="spellEnd"/>
      <w:r w:rsidRPr="00EA2890">
        <w:rPr>
          <w:lang w:val="en-US"/>
        </w:rPr>
        <w:t xml:space="preserve"> (1934) whose research concluded that monozygotic twins were more likely to be criminals. However, a limitation associated with this is its failure to acknowledge other contributing factors when researching criminality in twins (</w:t>
      </w:r>
      <w:proofErr w:type="spellStart"/>
      <w:r w:rsidRPr="00EA2890">
        <w:rPr>
          <w:lang w:val="en-US"/>
        </w:rPr>
        <w:t>Rosanoff</w:t>
      </w:r>
      <w:proofErr w:type="spellEnd"/>
      <w:r w:rsidRPr="00EA2890">
        <w:rPr>
          <w:lang w:val="en-US"/>
        </w:rPr>
        <w:t xml:space="preserve"> et al, 1934). Neoclassical </w:t>
      </w:r>
      <w:r w:rsidRPr="00EA2890">
        <w:rPr>
          <w:lang w:val="en-US"/>
        </w:rPr>
        <w:lastRenderedPageBreak/>
        <w:t>theorists such as Pitts would argue that crime is a result of poverty, ill mental health, and enfeeblement (Joyce, 2013). Therefore, it demonstrates that different influencing factors should be considered equally. Expanding on this, the research fails to provide a supporting argument regarding the statement that not all monozygotic twins resort to criminality.</w:t>
      </w:r>
    </w:p>
    <w:p w14:paraId="194153F1" w14:textId="77777777" w:rsidR="00EA2890" w:rsidRPr="00EA2890" w:rsidRDefault="00EA2890" w:rsidP="00EA2890">
      <w:pPr>
        <w:spacing w:line="360" w:lineRule="auto"/>
        <w:rPr>
          <w:lang w:val="en-US"/>
        </w:rPr>
      </w:pPr>
    </w:p>
    <w:p w14:paraId="7A3E1505" w14:textId="354143CC" w:rsidR="00EA2890" w:rsidRPr="00EA2890" w:rsidRDefault="00EA2890" w:rsidP="00EA2890">
      <w:pPr>
        <w:spacing w:line="360" w:lineRule="auto"/>
        <w:rPr>
          <w:lang w:val="en-US"/>
        </w:rPr>
      </w:pPr>
      <w:r w:rsidRPr="00EA2890">
        <w:rPr>
          <w:lang w:val="en-US"/>
        </w:rPr>
        <w:t>Another factor that may have influenced the criminality of the Kray twins is the correlation between absent fathers and crime. It became evident upon research, that the Kray twins did not have a close relationship with their father (</w:t>
      </w:r>
      <w:proofErr w:type="spellStart"/>
      <w:r w:rsidRPr="00EA2890">
        <w:rPr>
          <w:lang w:val="en-US"/>
        </w:rPr>
        <w:t>Nuttman</w:t>
      </w:r>
      <w:proofErr w:type="spellEnd"/>
      <w:r w:rsidRPr="00EA2890">
        <w:rPr>
          <w:lang w:val="en-US"/>
        </w:rPr>
        <w:t>, 2022). Instead of raising his children, Charlie Kray trave</w:t>
      </w:r>
      <w:r w:rsidR="00170EFE">
        <w:rPr>
          <w:lang w:val="en-US"/>
        </w:rPr>
        <w:t>l</w:t>
      </w:r>
      <w:r w:rsidRPr="00EA2890">
        <w:rPr>
          <w:lang w:val="en-US"/>
        </w:rPr>
        <w:t xml:space="preserve">led the country escaping being called for National Service by selling clothing and jewelry. Their mother, Violet Kray was abandoned </w:t>
      </w:r>
      <w:r w:rsidR="00853582">
        <w:rPr>
          <w:lang w:val="en-US"/>
        </w:rPr>
        <w:t xml:space="preserve">and had to </w:t>
      </w:r>
      <w:r w:rsidRPr="00EA2890">
        <w:rPr>
          <w:lang w:val="en-US"/>
        </w:rPr>
        <w:t xml:space="preserve">raise her family alone. Through the research of Davidson (1990), it has been proven that individuals without a father are more likely to commit serious offences. In addition to this, the research of Wright and Wright (1993), discovered that crime was typically 10 to 15% higher amongst single-parent families. This can be further supported by Hall (2001) who discusses a study of delinquent boys, the research concluded that 45% of those studied </w:t>
      </w:r>
      <w:r w:rsidR="00E91E30">
        <w:rPr>
          <w:lang w:val="en-US"/>
        </w:rPr>
        <w:t>had</w:t>
      </w:r>
      <w:r w:rsidRPr="00EA2890">
        <w:rPr>
          <w:lang w:val="en-US"/>
        </w:rPr>
        <w:t xml:space="preserve"> an absent father figure. Again, this assumption does not acknowledge that there are other contributing factors to crime. It is important to acknowledge that the assumption that single mothers are more likely to raise criminal individuals is outdated as women now have a higher status within a community and are more reputable. In addition to this, a graph demonstrates that crime committed by youths raised by single mothers began to decrease during the nineties (Laden, 2022). </w:t>
      </w:r>
    </w:p>
    <w:p w14:paraId="3AB9642B" w14:textId="77777777" w:rsidR="00EA2890" w:rsidRPr="00EA2890" w:rsidRDefault="00EA2890" w:rsidP="00EA2890">
      <w:pPr>
        <w:spacing w:line="360" w:lineRule="auto"/>
        <w:rPr>
          <w:lang w:val="en-US"/>
        </w:rPr>
      </w:pPr>
    </w:p>
    <w:p w14:paraId="75448921" w14:textId="1ABF8E2E" w:rsidR="00EA2890" w:rsidRPr="00EA2890" w:rsidRDefault="004E1B70" w:rsidP="00EA2890">
      <w:pPr>
        <w:spacing w:line="360" w:lineRule="auto"/>
        <w:rPr>
          <w:lang w:val="en-US"/>
        </w:rPr>
      </w:pPr>
      <w:r>
        <w:rPr>
          <w:lang w:val="en-US"/>
        </w:rPr>
        <w:t xml:space="preserve">There is </w:t>
      </w:r>
      <w:r w:rsidR="00436D66">
        <w:rPr>
          <w:lang w:val="en-US"/>
        </w:rPr>
        <w:t>a</w:t>
      </w:r>
      <w:r>
        <w:rPr>
          <w:lang w:val="en-US"/>
        </w:rPr>
        <w:t xml:space="preserve"> definite </w:t>
      </w:r>
      <w:r w:rsidR="00EA2890" w:rsidRPr="00EA2890">
        <w:rPr>
          <w:lang w:val="en-US"/>
        </w:rPr>
        <w:t>correlation between Merton’s strain theory and the Kray twins. This theory proposes that individuals will resort to criminality when they are unable to attain these goals legitimately (Murphy and Robinson, 2008). Therefore, this theory can be associated with the Kray twins. The area where the twins were raised has the highest poverty rates in the U</w:t>
      </w:r>
      <w:r w:rsidR="00761FD3">
        <w:rPr>
          <w:lang w:val="en-US"/>
        </w:rPr>
        <w:t xml:space="preserve">nited Kingdom </w:t>
      </w:r>
      <w:r w:rsidR="00EA2890" w:rsidRPr="00EA2890">
        <w:rPr>
          <w:lang w:val="en-US"/>
        </w:rPr>
        <w:t xml:space="preserve">and those who reside there have limited opportunities available to them (Ali, 2023). As a result of cultural and material deprivation, individuals would resort to criminality to achieve their idea of a better life. Albert Cohen expanded on this theory, claiming working-class boys will participate in gang activities to attain a higher status (Cavender, 2010). Again, this can be demonstrated by the criminal lifestyle of the Kray Twins and other gangs such as the Teddy Boys. It is evident that this theory is applicable to </w:t>
      </w:r>
      <w:r w:rsidR="00EA2890" w:rsidRPr="00EA2890">
        <w:rPr>
          <w:lang w:val="en-US"/>
        </w:rPr>
        <w:lastRenderedPageBreak/>
        <w:t xml:space="preserve">the working class only and does not provide an adequate explanation for crimes committed by those who are deemed successful or capable (Carey, 2016). Moreover, theorists like Marxists believed that crime </w:t>
      </w:r>
      <w:r w:rsidR="006033EF">
        <w:rPr>
          <w:lang w:val="en-US"/>
        </w:rPr>
        <w:t>is a</w:t>
      </w:r>
      <w:r w:rsidR="00EA2890" w:rsidRPr="00EA2890">
        <w:rPr>
          <w:lang w:val="en-US"/>
        </w:rPr>
        <w:t xml:space="preserve"> direct result of wealth inequalities and if societal goals were not enforced there would be less crime (Joyce, 2013). </w:t>
      </w:r>
    </w:p>
    <w:p w14:paraId="614DAA14" w14:textId="77777777" w:rsidR="00EA2890" w:rsidRPr="00EA2890" w:rsidRDefault="00EA2890" w:rsidP="00EA2890">
      <w:pPr>
        <w:spacing w:line="360" w:lineRule="auto"/>
        <w:rPr>
          <w:lang w:val="en-US"/>
        </w:rPr>
      </w:pPr>
    </w:p>
    <w:p w14:paraId="57F36F91" w14:textId="7B829B1A" w:rsidR="005229F7" w:rsidRDefault="00EA2890" w:rsidP="00EA2890">
      <w:pPr>
        <w:spacing w:line="360" w:lineRule="auto"/>
        <w:rPr>
          <w:lang w:val="en-US"/>
        </w:rPr>
      </w:pPr>
      <w:r w:rsidRPr="00EA2890">
        <w:rPr>
          <w:lang w:val="en-US"/>
        </w:rPr>
        <w:t>To conclude, the criminality of the twins can be established by both biological and social factors. However, it is difficult to determine which element is the dominant factor that influences the criminality of the Kray twins because of its complex nature. Analysing the three factors discussed in the presentation on the Kray twins have suggested crime is certainly more than impulsive acts and that the explanation of crime today is more accurate. It is important to consider each factor that may impact criminality equally to establish effective deterrence methods and to increase the efficiency of rehabilitation (Wu, 2022).</w:t>
      </w:r>
    </w:p>
    <w:p w14:paraId="727CB3B6" w14:textId="77777777" w:rsidR="001C16F0" w:rsidRPr="00C2295A" w:rsidRDefault="001C16F0">
      <w:pPr>
        <w:rPr>
          <w:lang w:val="en-US"/>
        </w:rPr>
      </w:pPr>
    </w:p>
    <w:p w14:paraId="2291DAAB" w14:textId="77777777" w:rsidR="001F2B6B" w:rsidRDefault="001F2B6B" w:rsidP="00BE6A6F">
      <w:pPr>
        <w:pStyle w:val="NormalWeb"/>
        <w:rPr>
          <w:rFonts w:ascii="Times" w:hAnsi="Times"/>
          <w:b/>
          <w:bCs/>
          <w:sz w:val="18"/>
          <w:szCs w:val="18"/>
        </w:rPr>
      </w:pPr>
    </w:p>
    <w:p w14:paraId="21CF4522" w14:textId="7DA5CAD7" w:rsidR="001F2B6B" w:rsidRDefault="001F2B6B" w:rsidP="00BE6A6F">
      <w:pPr>
        <w:pStyle w:val="NormalWeb"/>
        <w:rPr>
          <w:rFonts w:asciiTheme="minorHAnsi" w:hAnsiTheme="minorHAnsi" w:cstheme="minorHAnsi"/>
        </w:rPr>
      </w:pPr>
    </w:p>
    <w:p w14:paraId="0370E8AC" w14:textId="77777777" w:rsidR="00C74A50" w:rsidRDefault="00C74A50" w:rsidP="00BE6A6F">
      <w:pPr>
        <w:pStyle w:val="NormalWeb"/>
        <w:rPr>
          <w:rFonts w:asciiTheme="minorHAnsi" w:hAnsiTheme="minorHAnsi" w:cstheme="minorHAnsi"/>
        </w:rPr>
      </w:pPr>
    </w:p>
    <w:p w14:paraId="53831DE3" w14:textId="77777777" w:rsidR="00C74A50" w:rsidRDefault="00C74A50" w:rsidP="00BE6A6F">
      <w:pPr>
        <w:pStyle w:val="NormalWeb"/>
        <w:rPr>
          <w:rFonts w:asciiTheme="minorHAnsi" w:hAnsiTheme="minorHAnsi" w:cstheme="minorHAnsi"/>
        </w:rPr>
      </w:pPr>
    </w:p>
    <w:p w14:paraId="7059F96C" w14:textId="77777777" w:rsidR="00C74A50" w:rsidRDefault="00C74A50" w:rsidP="00BE6A6F">
      <w:pPr>
        <w:pStyle w:val="NormalWeb"/>
        <w:rPr>
          <w:rFonts w:asciiTheme="minorHAnsi" w:hAnsiTheme="minorHAnsi" w:cstheme="minorHAnsi"/>
        </w:rPr>
      </w:pPr>
    </w:p>
    <w:p w14:paraId="30261CBC" w14:textId="77777777" w:rsidR="00C74A50" w:rsidRDefault="00C74A50" w:rsidP="00BE6A6F">
      <w:pPr>
        <w:pStyle w:val="NormalWeb"/>
        <w:rPr>
          <w:rFonts w:asciiTheme="minorHAnsi" w:hAnsiTheme="minorHAnsi" w:cstheme="minorHAnsi"/>
        </w:rPr>
      </w:pPr>
    </w:p>
    <w:p w14:paraId="62503316" w14:textId="77777777" w:rsidR="00C74A50" w:rsidRDefault="00C74A50" w:rsidP="00BE6A6F">
      <w:pPr>
        <w:pStyle w:val="NormalWeb"/>
        <w:rPr>
          <w:rFonts w:asciiTheme="minorHAnsi" w:hAnsiTheme="minorHAnsi" w:cstheme="minorHAnsi"/>
        </w:rPr>
      </w:pPr>
    </w:p>
    <w:p w14:paraId="4C0FB78E" w14:textId="77777777" w:rsidR="00C74A50" w:rsidRDefault="00C74A50" w:rsidP="00BE6A6F">
      <w:pPr>
        <w:pStyle w:val="NormalWeb"/>
        <w:rPr>
          <w:rFonts w:asciiTheme="minorHAnsi" w:hAnsiTheme="minorHAnsi" w:cstheme="minorHAnsi"/>
        </w:rPr>
      </w:pPr>
    </w:p>
    <w:p w14:paraId="63CF2846" w14:textId="77777777" w:rsidR="00C74A50" w:rsidRDefault="00C74A50" w:rsidP="00BE6A6F">
      <w:pPr>
        <w:pStyle w:val="NormalWeb"/>
        <w:rPr>
          <w:rFonts w:asciiTheme="minorHAnsi" w:hAnsiTheme="minorHAnsi" w:cstheme="minorHAnsi"/>
        </w:rPr>
      </w:pPr>
    </w:p>
    <w:p w14:paraId="149812F8" w14:textId="77777777" w:rsidR="00C74A50" w:rsidRDefault="00C74A50" w:rsidP="00BE6A6F">
      <w:pPr>
        <w:pStyle w:val="NormalWeb"/>
        <w:rPr>
          <w:rFonts w:asciiTheme="minorHAnsi" w:hAnsiTheme="minorHAnsi" w:cstheme="minorHAnsi"/>
        </w:rPr>
      </w:pPr>
    </w:p>
    <w:p w14:paraId="40C408F6" w14:textId="77777777" w:rsidR="00C74A50" w:rsidRDefault="00C74A50" w:rsidP="00BE6A6F">
      <w:pPr>
        <w:pStyle w:val="NormalWeb"/>
        <w:rPr>
          <w:rFonts w:asciiTheme="minorHAnsi" w:hAnsiTheme="minorHAnsi" w:cstheme="minorHAnsi"/>
        </w:rPr>
      </w:pPr>
    </w:p>
    <w:p w14:paraId="6B0C0FCF" w14:textId="77777777" w:rsidR="00C74A50" w:rsidRDefault="00C74A50" w:rsidP="00BE6A6F">
      <w:pPr>
        <w:pStyle w:val="NormalWeb"/>
        <w:rPr>
          <w:rFonts w:asciiTheme="minorHAnsi" w:hAnsiTheme="minorHAnsi" w:cstheme="minorHAnsi"/>
        </w:rPr>
      </w:pPr>
    </w:p>
    <w:p w14:paraId="2532524F" w14:textId="77777777" w:rsidR="00C74A50" w:rsidRDefault="00C74A50" w:rsidP="00BE6A6F">
      <w:pPr>
        <w:pStyle w:val="NormalWeb"/>
        <w:rPr>
          <w:rFonts w:asciiTheme="minorHAnsi" w:hAnsiTheme="minorHAnsi" w:cstheme="minorHAnsi"/>
        </w:rPr>
      </w:pPr>
    </w:p>
    <w:p w14:paraId="25E6F613" w14:textId="77777777" w:rsidR="00C74A50" w:rsidRDefault="00C74A50" w:rsidP="00BE6A6F">
      <w:pPr>
        <w:pStyle w:val="NormalWeb"/>
        <w:rPr>
          <w:rFonts w:asciiTheme="minorHAnsi" w:hAnsiTheme="minorHAnsi" w:cstheme="minorHAnsi"/>
        </w:rPr>
      </w:pPr>
    </w:p>
    <w:p w14:paraId="118F199B" w14:textId="303CE205" w:rsidR="00C74A50" w:rsidRDefault="00C74A50" w:rsidP="00C74A50">
      <w:pPr>
        <w:pStyle w:val="Heading1"/>
      </w:pPr>
      <w:r w:rsidRPr="00C74A50">
        <w:lastRenderedPageBreak/>
        <w:t>References:</w:t>
      </w:r>
    </w:p>
    <w:p w14:paraId="74B74992" w14:textId="77777777" w:rsidR="00C74A50" w:rsidRPr="00C74A50" w:rsidRDefault="00C74A50" w:rsidP="00C74A50"/>
    <w:p w14:paraId="56AE60BC" w14:textId="77777777" w:rsidR="00C74A50" w:rsidRDefault="00C74A50" w:rsidP="00C74A50">
      <w:pPr>
        <w:spacing w:line="360" w:lineRule="auto"/>
        <w:rPr>
          <w:rFonts w:cstheme="minorHAnsi"/>
        </w:rPr>
      </w:pPr>
      <w:r>
        <w:rPr>
          <w:rFonts w:cstheme="minorHAnsi"/>
        </w:rPr>
        <w:t xml:space="preserve">Ali, R. (2023) ‘Broken Britain: Benthal Green and Bow – the constituency where child poverty is becoming the norm’, </w:t>
      </w:r>
      <w:r>
        <w:rPr>
          <w:rFonts w:cstheme="minorHAnsi"/>
          <w:i/>
          <w:iCs/>
        </w:rPr>
        <w:t xml:space="preserve">Politics Home, </w:t>
      </w:r>
      <w:r w:rsidRPr="00FA4E5D">
        <w:rPr>
          <w:rFonts w:cstheme="minorHAnsi"/>
        </w:rPr>
        <w:t xml:space="preserve">31 January. </w:t>
      </w:r>
      <w:r>
        <w:rPr>
          <w:rFonts w:cstheme="minorHAnsi"/>
        </w:rPr>
        <w:t xml:space="preserve">Available at: </w:t>
      </w:r>
      <w:hyperlink r:id="rId5" w:anchor=":~:text=In%20my%20constituency%2C%20Bethnal%20Green,huge%20disparities%20across%20the%20city" w:history="1">
        <w:r w:rsidRPr="00C84D98">
          <w:rPr>
            <w:rStyle w:val="Hyperlink"/>
            <w:rFonts w:cstheme="minorHAnsi"/>
          </w:rPr>
          <w:t>https://www.politicshome.com/thehouse/article/bethnal-green-and-bow-the-constituency-where-child-poverty-is-becoming-the-norm#:~:text=In%20my%20constituency%2C%20Bethnal%20Green,huge%20disparities%20across%20the%20city</w:t>
        </w:r>
      </w:hyperlink>
      <w:r w:rsidRPr="00FA4E5D">
        <w:rPr>
          <w:rFonts w:cstheme="minorHAnsi"/>
        </w:rPr>
        <w:t>.</w:t>
      </w:r>
      <w:r>
        <w:rPr>
          <w:rFonts w:cstheme="minorHAnsi"/>
        </w:rPr>
        <w:t xml:space="preserve"> (Accessed: 12 March 2024). </w:t>
      </w:r>
    </w:p>
    <w:p w14:paraId="7DF60147" w14:textId="77777777" w:rsidR="00C74A50" w:rsidRDefault="00C74A50" w:rsidP="00C74A50">
      <w:pPr>
        <w:spacing w:line="360" w:lineRule="auto"/>
        <w:rPr>
          <w:rFonts w:cstheme="minorHAnsi"/>
        </w:rPr>
      </w:pPr>
    </w:p>
    <w:p w14:paraId="7AC1F93D" w14:textId="77777777" w:rsidR="00C74A50" w:rsidRDefault="00C74A50" w:rsidP="00C74A50">
      <w:pPr>
        <w:spacing w:line="360" w:lineRule="auto"/>
        <w:rPr>
          <w:rFonts w:cstheme="minorHAnsi"/>
          <w:lang w:val="en-US"/>
        </w:rPr>
      </w:pPr>
      <w:r>
        <w:rPr>
          <w:rFonts w:cstheme="minorHAnsi"/>
          <w:lang w:val="en-US"/>
        </w:rPr>
        <w:t xml:space="preserve">Campbell, D. (2015) ‘The Selling of the Krays: How Two Mediocre Criminals Created Their Own Legend’, </w:t>
      </w:r>
      <w:r w:rsidRPr="009D3C32">
        <w:rPr>
          <w:rFonts w:cstheme="minorHAnsi"/>
          <w:i/>
          <w:iCs/>
          <w:lang w:val="en-US"/>
        </w:rPr>
        <w:t>The Guardian</w:t>
      </w:r>
      <w:r>
        <w:rPr>
          <w:rFonts w:cstheme="minorHAnsi"/>
          <w:lang w:val="en-US"/>
        </w:rPr>
        <w:t xml:space="preserve">, 3 September. Available at: </w:t>
      </w:r>
      <w:hyperlink r:id="rId6" w:history="1">
        <w:r w:rsidRPr="00EB4342">
          <w:rPr>
            <w:rStyle w:val="Hyperlink"/>
            <w:rFonts w:cstheme="minorHAnsi"/>
            <w:lang w:val="en-US"/>
          </w:rPr>
          <w:t>https://www.theguardian.com/uk-news/2015/sep/03/the-selling-of-the-krays-how-two-mediocre-criminals-created-their-own-legendlegends</w:t>
        </w:r>
      </w:hyperlink>
      <w:r>
        <w:rPr>
          <w:rFonts w:cstheme="minorHAnsi"/>
          <w:lang w:val="en-US"/>
        </w:rPr>
        <w:t xml:space="preserve"> (Accessed: 12 March 2024). </w:t>
      </w:r>
    </w:p>
    <w:p w14:paraId="6B5D28FD" w14:textId="77777777" w:rsidR="00C74A50" w:rsidRDefault="00C74A50" w:rsidP="00C74A50">
      <w:pPr>
        <w:spacing w:line="360" w:lineRule="auto"/>
        <w:rPr>
          <w:rFonts w:cstheme="minorHAnsi"/>
          <w:lang w:val="en-US"/>
        </w:rPr>
      </w:pPr>
    </w:p>
    <w:p w14:paraId="7E839D68" w14:textId="77777777" w:rsidR="00C74A50" w:rsidRDefault="00C74A50" w:rsidP="00C74A50">
      <w:pPr>
        <w:spacing w:line="360" w:lineRule="auto"/>
        <w:rPr>
          <w:rFonts w:cstheme="minorHAnsi"/>
          <w:lang w:val="en-US"/>
        </w:rPr>
      </w:pPr>
      <w:r>
        <w:rPr>
          <w:rFonts w:cstheme="minorHAnsi"/>
          <w:lang w:val="en-US"/>
        </w:rPr>
        <w:t xml:space="preserve">Carey, B. (2016) ‘Agnew’s General Strain Theory: Context, Synopsis and Application’. University of Illinois Springfield. Unpublished. </w:t>
      </w:r>
    </w:p>
    <w:p w14:paraId="75A537F4" w14:textId="77777777" w:rsidR="00C74A50" w:rsidRPr="00613AF7" w:rsidRDefault="00C74A50" w:rsidP="00C74A50">
      <w:pPr>
        <w:spacing w:line="360" w:lineRule="auto"/>
        <w:rPr>
          <w:rFonts w:cstheme="minorHAnsi"/>
        </w:rPr>
      </w:pPr>
    </w:p>
    <w:p w14:paraId="1A3A8F8D" w14:textId="77777777" w:rsidR="00C74A50" w:rsidRDefault="00C74A50" w:rsidP="00C74A50">
      <w:pPr>
        <w:spacing w:line="360" w:lineRule="auto"/>
        <w:rPr>
          <w:rFonts w:cstheme="minorHAnsi"/>
          <w:lang w:val="en-US"/>
        </w:rPr>
      </w:pPr>
      <w:r w:rsidRPr="00613AF7">
        <w:rPr>
          <w:rFonts w:cstheme="minorHAnsi"/>
          <w:lang w:val="en-US"/>
        </w:rPr>
        <w:t xml:space="preserve">Cavender, G. (2010) ‘Cohen, Albert, K.: Delinquent Boys’, in F.T.C, and P.W (ed.) </w:t>
      </w:r>
      <w:r w:rsidRPr="00613AF7">
        <w:rPr>
          <w:rFonts w:cstheme="minorHAnsi"/>
          <w:i/>
          <w:iCs/>
          <w:lang w:val="en-US"/>
        </w:rPr>
        <w:t xml:space="preserve">Encyclopedia of Criminological Theory. </w:t>
      </w:r>
      <w:r w:rsidRPr="00613AF7">
        <w:rPr>
          <w:rFonts w:cstheme="minorHAnsi"/>
          <w:lang w:val="en-US"/>
        </w:rPr>
        <w:t xml:space="preserve">Available at: </w:t>
      </w:r>
      <w:hyperlink r:id="rId7" w:history="1">
        <w:r w:rsidRPr="00613AF7">
          <w:rPr>
            <w:rStyle w:val="Hyperlink"/>
            <w:rFonts w:cstheme="minorHAnsi"/>
            <w:lang w:val="en-US"/>
          </w:rPr>
          <w:t>https://study.sagepub.com/system/files/Cohen%2C_Albert_K._-_Delinquent_Boys.pdf</w:t>
        </w:r>
      </w:hyperlink>
      <w:r w:rsidRPr="00613AF7">
        <w:rPr>
          <w:rFonts w:cstheme="minorHAnsi"/>
          <w:lang w:val="en-US"/>
        </w:rPr>
        <w:t xml:space="preserve"> (Accessed: 1</w:t>
      </w:r>
      <w:r>
        <w:rPr>
          <w:rFonts w:cstheme="minorHAnsi"/>
          <w:lang w:val="en-US"/>
        </w:rPr>
        <w:t xml:space="preserve">3 </w:t>
      </w:r>
      <w:r w:rsidRPr="00613AF7">
        <w:rPr>
          <w:rFonts w:cstheme="minorHAnsi"/>
          <w:lang w:val="en-US"/>
        </w:rPr>
        <w:t xml:space="preserve">March 2024). </w:t>
      </w:r>
    </w:p>
    <w:p w14:paraId="397CE83C" w14:textId="77777777" w:rsidR="00C74A50" w:rsidRDefault="00C74A50" w:rsidP="00C74A50">
      <w:pPr>
        <w:spacing w:line="360" w:lineRule="auto"/>
        <w:rPr>
          <w:rFonts w:cstheme="minorHAnsi"/>
          <w:lang w:val="en-US"/>
        </w:rPr>
      </w:pPr>
    </w:p>
    <w:p w14:paraId="53A1D5EF" w14:textId="77777777" w:rsidR="00C74A50" w:rsidRDefault="00C74A50" w:rsidP="00C74A50">
      <w:pPr>
        <w:spacing w:line="360" w:lineRule="auto"/>
        <w:rPr>
          <w:rFonts w:cstheme="minorHAnsi"/>
          <w:lang w:val="en-US"/>
        </w:rPr>
      </w:pPr>
      <w:r w:rsidRPr="00CD3D64">
        <w:rPr>
          <w:rFonts w:cstheme="minorHAnsi"/>
          <w:lang w:val="en-US"/>
        </w:rPr>
        <w:t xml:space="preserve">Davidson, N. (1990) “Life Without Father,” </w:t>
      </w:r>
      <w:r w:rsidRPr="00CD3D64">
        <w:rPr>
          <w:rFonts w:cstheme="minorHAnsi"/>
          <w:i/>
          <w:iCs/>
          <w:lang w:val="en-US"/>
        </w:rPr>
        <w:t xml:space="preserve">Policy review (Washington, D.C.), </w:t>
      </w:r>
      <w:r w:rsidRPr="00CD3D64">
        <w:rPr>
          <w:rFonts w:cstheme="minorHAnsi"/>
          <w:lang w:val="en-US"/>
        </w:rPr>
        <w:t xml:space="preserve">(51), pp. 40–40. Available at: </w:t>
      </w:r>
      <w:hyperlink r:id="rId8" w:history="1">
        <w:r w:rsidRPr="00CD3D64">
          <w:rPr>
            <w:rStyle w:val="Hyperlink"/>
            <w:rFonts w:cstheme="minorHAnsi"/>
            <w:lang w:val="en-US"/>
          </w:rPr>
          <w:t>https://web-p-ebscohost-com.ezproxy.uwtsd.ac.uk/ehost/detail/detail?vid=0&amp;sid=d65afb1b-3ad9-4344-8848-a7f032d2c56f%40redis&amp;bdata=JnNpdGU9ZWhvc3QtbGl2ZQ%3d%3d#AN=9608132512&amp;db=rlh</w:t>
        </w:r>
      </w:hyperlink>
      <w:r w:rsidRPr="00CD3D64">
        <w:rPr>
          <w:rFonts w:cstheme="minorHAnsi"/>
          <w:lang w:val="en-US"/>
        </w:rPr>
        <w:t xml:space="preserve"> (Accessed: </w:t>
      </w:r>
      <w:r>
        <w:rPr>
          <w:rFonts w:cstheme="minorHAnsi"/>
          <w:lang w:val="en-US"/>
        </w:rPr>
        <w:t xml:space="preserve">13 March </w:t>
      </w:r>
      <w:r w:rsidRPr="00CD3D64">
        <w:rPr>
          <w:rFonts w:cstheme="minorHAnsi"/>
          <w:lang w:val="en-US"/>
        </w:rPr>
        <w:t xml:space="preserve">2024). </w:t>
      </w:r>
    </w:p>
    <w:p w14:paraId="1EB80BA9" w14:textId="77777777" w:rsidR="00C74A50" w:rsidRPr="00CD3D64" w:rsidRDefault="00C74A50" w:rsidP="00C74A50">
      <w:pPr>
        <w:spacing w:line="360" w:lineRule="auto"/>
        <w:rPr>
          <w:rFonts w:cstheme="minorHAnsi"/>
        </w:rPr>
      </w:pPr>
    </w:p>
    <w:p w14:paraId="02991722" w14:textId="77777777" w:rsidR="00C74A50" w:rsidRPr="00AC3488" w:rsidRDefault="00C74A50" w:rsidP="00C74A50">
      <w:pPr>
        <w:spacing w:line="360" w:lineRule="auto"/>
        <w:rPr>
          <w:rFonts w:cstheme="minorHAnsi"/>
          <w:color w:val="1A1A1A"/>
        </w:rPr>
      </w:pPr>
      <w:r w:rsidRPr="00AC3488">
        <w:rPr>
          <w:rFonts w:cstheme="minorHAnsi"/>
        </w:rPr>
        <w:t xml:space="preserve">Driver, J. (2022) ‘The History of Unitarianism’ in Zalta, E.N., and Nodelman, U. (ed.) </w:t>
      </w:r>
      <w:r w:rsidRPr="00AC3488">
        <w:rPr>
          <w:rFonts w:cstheme="minorHAnsi"/>
          <w:i/>
          <w:iCs/>
        </w:rPr>
        <w:t xml:space="preserve">The Stanford Encyclopedia of Philosophy. </w:t>
      </w:r>
      <w:r w:rsidRPr="00AC3488">
        <w:rPr>
          <w:rFonts w:cstheme="minorHAnsi"/>
        </w:rPr>
        <w:t xml:space="preserve">Available at: </w:t>
      </w:r>
      <w:hyperlink r:id="rId9" w:history="1">
        <w:r w:rsidRPr="00AC3488">
          <w:rPr>
            <w:rStyle w:val="Hyperlink"/>
            <w:rFonts w:cstheme="minorHAnsi"/>
          </w:rPr>
          <w:t>https://plato.stanford.edu/archives/win2022/entries/utilitarianism-history/</w:t>
        </w:r>
      </w:hyperlink>
      <w:r w:rsidRPr="00AC3488">
        <w:rPr>
          <w:rFonts w:cstheme="minorHAnsi"/>
          <w:color w:val="1A1A1A"/>
        </w:rPr>
        <w:t xml:space="preserve"> (Accessed: 12 March 2024). </w:t>
      </w:r>
    </w:p>
    <w:p w14:paraId="461916A5" w14:textId="5473004A" w:rsidR="00C74A50" w:rsidRDefault="00C74A50" w:rsidP="00C74A50">
      <w:pPr>
        <w:spacing w:line="360" w:lineRule="auto"/>
        <w:rPr>
          <w:rFonts w:cstheme="minorHAnsi"/>
          <w:lang w:val="en-US"/>
        </w:rPr>
      </w:pPr>
      <w:r w:rsidRPr="005C77EC">
        <w:rPr>
          <w:rFonts w:cstheme="minorHAnsi"/>
          <w:lang w:val="en-US"/>
        </w:rPr>
        <w:lastRenderedPageBreak/>
        <w:t xml:space="preserve">Hall, S. (2001) ‘Crime Linked to Absent Fathers’, </w:t>
      </w:r>
      <w:r w:rsidRPr="005C77EC">
        <w:rPr>
          <w:rFonts w:cstheme="minorHAnsi"/>
          <w:i/>
          <w:iCs/>
          <w:lang w:val="en-US"/>
        </w:rPr>
        <w:t xml:space="preserve">The Guardian, </w:t>
      </w:r>
      <w:r w:rsidRPr="005C77EC">
        <w:rPr>
          <w:rFonts w:cstheme="minorHAnsi"/>
          <w:lang w:val="en-US"/>
        </w:rPr>
        <w:t xml:space="preserve">5 April. Available at: </w:t>
      </w:r>
      <w:hyperlink r:id="rId10" w:history="1">
        <w:r w:rsidRPr="005C77EC">
          <w:rPr>
            <w:rStyle w:val="Hyperlink"/>
            <w:rFonts w:cstheme="minorHAnsi"/>
            <w:lang w:val="en-US"/>
          </w:rPr>
          <w:t>https://www.theguardian.com/society/2001/apr/05/crime.penal</w:t>
        </w:r>
      </w:hyperlink>
      <w:r w:rsidRPr="005C77EC">
        <w:rPr>
          <w:rFonts w:cstheme="minorHAnsi"/>
          <w:lang w:val="en-US"/>
        </w:rPr>
        <w:t xml:space="preserve"> (Accessed: </w:t>
      </w:r>
      <w:r>
        <w:rPr>
          <w:rFonts w:cstheme="minorHAnsi"/>
          <w:lang w:val="en-US"/>
        </w:rPr>
        <w:t xml:space="preserve">13 March </w:t>
      </w:r>
      <w:r w:rsidRPr="005C77EC">
        <w:rPr>
          <w:rFonts w:cstheme="minorHAnsi"/>
          <w:lang w:val="en-US"/>
        </w:rPr>
        <w:t xml:space="preserve">2024). </w:t>
      </w:r>
    </w:p>
    <w:p w14:paraId="37668821" w14:textId="77777777" w:rsidR="00C74A50" w:rsidRPr="005C77EC" w:rsidRDefault="00C74A50" w:rsidP="00C74A50">
      <w:pPr>
        <w:spacing w:line="360" w:lineRule="auto"/>
        <w:rPr>
          <w:rFonts w:cstheme="minorHAnsi"/>
        </w:rPr>
      </w:pPr>
    </w:p>
    <w:p w14:paraId="4B8680A0" w14:textId="77777777" w:rsidR="00C74A50" w:rsidRDefault="00C74A50" w:rsidP="00C74A50">
      <w:pPr>
        <w:spacing w:line="360" w:lineRule="auto"/>
        <w:rPr>
          <w:rFonts w:cstheme="minorHAnsi"/>
          <w:lang w:val="en-US"/>
        </w:rPr>
      </w:pPr>
      <w:r>
        <w:rPr>
          <w:rFonts w:cstheme="minorHAnsi"/>
          <w:lang w:val="en-US"/>
        </w:rPr>
        <w:t xml:space="preserve">Joyce, P. (2013) </w:t>
      </w:r>
      <w:r>
        <w:rPr>
          <w:rFonts w:cstheme="minorHAnsi"/>
          <w:i/>
          <w:iCs/>
          <w:lang w:val="en-US"/>
        </w:rPr>
        <w:t xml:space="preserve">Criminal Justice: An Introduction. </w:t>
      </w:r>
      <w:r>
        <w:rPr>
          <w:rFonts w:cstheme="minorHAnsi"/>
          <w:lang w:val="en-US"/>
        </w:rPr>
        <w:t>2</w:t>
      </w:r>
      <w:r w:rsidRPr="00820361">
        <w:rPr>
          <w:rFonts w:cstheme="minorHAnsi"/>
          <w:vertAlign w:val="superscript"/>
          <w:lang w:val="en-US"/>
        </w:rPr>
        <w:t>nd</w:t>
      </w:r>
      <w:r>
        <w:rPr>
          <w:rFonts w:cstheme="minorHAnsi"/>
          <w:lang w:val="en-US"/>
        </w:rPr>
        <w:t xml:space="preserve"> edn. [Online]. London: Routledge. Available at: </w:t>
      </w:r>
      <w:hyperlink r:id="rId11" w:history="1">
        <w:r w:rsidRPr="00F91122">
          <w:rPr>
            <w:rStyle w:val="Hyperlink"/>
            <w:rFonts w:cstheme="minorHAnsi"/>
            <w:lang w:val="en-US"/>
          </w:rPr>
          <w:t>http://exampapers.nust.na:8080/greenstone3/sites/localsite/collect/textbook/index/assoc/HASH0182.dir/Criminal_Justice_An_Introduction_chapter_1_The_causes_of_crime_and_deviancy.pdf</w:t>
        </w:r>
      </w:hyperlink>
      <w:r>
        <w:rPr>
          <w:rFonts w:cstheme="minorHAnsi"/>
          <w:lang w:val="en-US"/>
        </w:rPr>
        <w:t xml:space="preserve"> (Accessed: 13 March 2024). </w:t>
      </w:r>
    </w:p>
    <w:p w14:paraId="3B4CE49D" w14:textId="77777777" w:rsidR="00C74A50" w:rsidRPr="00E85903" w:rsidRDefault="00C74A50" w:rsidP="00C74A50">
      <w:pPr>
        <w:spacing w:line="360" w:lineRule="auto"/>
        <w:rPr>
          <w:rFonts w:cstheme="minorHAnsi"/>
        </w:rPr>
      </w:pPr>
    </w:p>
    <w:p w14:paraId="02014BF3" w14:textId="77777777" w:rsidR="00C74A50" w:rsidRDefault="00C74A50" w:rsidP="00C74A50">
      <w:pPr>
        <w:spacing w:line="360" w:lineRule="auto"/>
        <w:rPr>
          <w:rFonts w:cstheme="minorHAnsi"/>
          <w:lang w:val="en-US"/>
        </w:rPr>
      </w:pPr>
      <w:r>
        <w:rPr>
          <w:rFonts w:cstheme="minorHAnsi"/>
          <w:lang w:val="en-US"/>
        </w:rPr>
        <w:t xml:space="preserve">Laden, G. (2022) ‘Correlation and Causation: Single Mothers and Violent Crime’, </w:t>
      </w:r>
      <w:r>
        <w:rPr>
          <w:rFonts w:cstheme="minorHAnsi"/>
          <w:i/>
          <w:iCs/>
          <w:lang w:val="en-US"/>
        </w:rPr>
        <w:t xml:space="preserve">Greg Laden’s Blog, </w:t>
      </w:r>
      <w:r>
        <w:rPr>
          <w:rFonts w:cstheme="minorHAnsi"/>
          <w:lang w:val="en-US"/>
        </w:rPr>
        <w:t xml:space="preserve">7 April. Available at: </w:t>
      </w:r>
      <w:hyperlink r:id="rId12" w:history="1">
        <w:r w:rsidRPr="00C84D98">
          <w:rPr>
            <w:rStyle w:val="Hyperlink"/>
            <w:rFonts w:cstheme="minorHAnsi"/>
            <w:lang w:val="en-US"/>
          </w:rPr>
          <w:t>https://www.google.com/url?sa=t&amp;rct=j&amp;q=&amp;esrc=s&amp;source=web&amp;cd=&amp;ved=2ahUKEwiK9oS4vO-EAxVHXUEAHbfXBn4QFnoECCwQAQ&amp;url=https%3A%2F%2Fgregladen.com%2Fblog%2F2022%2F04%2F07%2Fcorrelation-and-causation-single-mothers-and-violent-crime%2F&amp;usg=AOvVaw2YucqPbzUl_F4B9ydWNvI9&amp;opi=89978449</w:t>
        </w:r>
      </w:hyperlink>
      <w:r>
        <w:rPr>
          <w:rFonts w:cstheme="minorHAnsi"/>
          <w:lang w:val="en-US"/>
        </w:rPr>
        <w:t xml:space="preserve"> (Accessed: 12 March 2024). </w:t>
      </w:r>
    </w:p>
    <w:p w14:paraId="4F357194" w14:textId="77777777" w:rsidR="00C74A50" w:rsidRPr="00574F25" w:rsidRDefault="00C74A50" w:rsidP="00C74A50">
      <w:pPr>
        <w:spacing w:line="360" w:lineRule="auto"/>
        <w:rPr>
          <w:rFonts w:cstheme="minorHAnsi"/>
        </w:rPr>
      </w:pPr>
    </w:p>
    <w:p w14:paraId="06CB6A3E" w14:textId="77777777" w:rsidR="00C74A50" w:rsidRDefault="00C74A50" w:rsidP="00C74A50">
      <w:pPr>
        <w:spacing w:line="360" w:lineRule="auto"/>
        <w:rPr>
          <w:rFonts w:cstheme="minorHAnsi"/>
          <w:lang w:val="en-US"/>
        </w:rPr>
      </w:pPr>
      <w:r w:rsidRPr="00574F25">
        <w:rPr>
          <w:rFonts w:cstheme="minorHAnsi"/>
          <w:lang w:val="en-US"/>
        </w:rPr>
        <w:t xml:space="preserve">Lange, J. (1930) </w:t>
      </w:r>
      <w:r w:rsidRPr="00574F25">
        <w:rPr>
          <w:rFonts w:cstheme="minorHAnsi"/>
          <w:i/>
          <w:iCs/>
          <w:lang w:val="en-US"/>
        </w:rPr>
        <w:t xml:space="preserve">Crime and Destiny. </w:t>
      </w:r>
      <w:r w:rsidRPr="00574F25">
        <w:rPr>
          <w:rFonts w:cstheme="minorHAnsi"/>
          <w:lang w:val="en-US"/>
        </w:rPr>
        <w:t xml:space="preserve">Translated from German by C. Haldane. New York: Charles </w:t>
      </w:r>
      <w:proofErr w:type="spellStart"/>
      <w:r w:rsidRPr="00574F25">
        <w:rPr>
          <w:rFonts w:cstheme="minorHAnsi"/>
          <w:lang w:val="en-US"/>
        </w:rPr>
        <w:t>Boni</w:t>
      </w:r>
      <w:proofErr w:type="spellEnd"/>
      <w:r w:rsidRPr="00574F25">
        <w:rPr>
          <w:rFonts w:cstheme="minorHAnsi"/>
          <w:lang w:val="en-US"/>
        </w:rPr>
        <w:t xml:space="preserve"> Paper Books. </w:t>
      </w:r>
    </w:p>
    <w:p w14:paraId="1F3045A3" w14:textId="77777777" w:rsidR="00C74A50" w:rsidRDefault="00C74A50" w:rsidP="00C74A50">
      <w:pPr>
        <w:spacing w:line="360" w:lineRule="auto"/>
        <w:rPr>
          <w:rFonts w:cstheme="minorHAnsi"/>
          <w:lang w:val="en-US"/>
        </w:rPr>
      </w:pPr>
    </w:p>
    <w:p w14:paraId="44B79282" w14:textId="03B9406D" w:rsidR="00C74A50" w:rsidRDefault="00C74A50" w:rsidP="00C74A50">
      <w:pPr>
        <w:spacing w:line="360" w:lineRule="auto"/>
        <w:rPr>
          <w:rFonts w:cstheme="minorHAnsi"/>
          <w:lang w:val="en-US"/>
        </w:rPr>
      </w:pPr>
      <w:proofErr w:type="spellStart"/>
      <w:r w:rsidRPr="00A36BC1">
        <w:rPr>
          <w:rFonts w:cstheme="minorHAnsi"/>
          <w:lang w:val="en-US"/>
        </w:rPr>
        <w:t>Legras</w:t>
      </w:r>
      <w:proofErr w:type="spellEnd"/>
      <w:r w:rsidRPr="00A36BC1">
        <w:rPr>
          <w:rFonts w:cstheme="minorHAnsi"/>
          <w:lang w:val="en-US"/>
        </w:rPr>
        <w:t>, A.M. (1934) “</w:t>
      </w:r>
      <w:proofErr w:type="spellStart"/>
      <w:r w:rsidRPr="00A36BC1">
        <w:rPr>
          <w:rFonts w:cstheme="minorHAnsi"/>
          <w:lang w:val="en-US"/>
        </w:rPr>
        <w:t>Psychose</w:t>
      </w:r>
      <w:proofErr w:type="spellEnd"/>
      <w:r w:rsidRPr="00A36BC1">
        <w:rPr>
          <w:rFonts w:cstheme="minorHAnsi"/>
          <w:lang w:val="en-US"/>
        </w:rPr>
        <w:t xml:space="preserve"> </w:t>
      </w:r>
      <w:proofErr w:type="spellStart"/>
      <w:r w:rsidRPr="00A36BC1">
        <w:rPr>
          <w:rFonts w:cstheme="minorHAnsi"/>
          <w:lang w:val="en-US"/>
        </w:rPr>
        <w:t>en</w:t>
      </w:r>
      <w:proofErr w:type="spellEnd"/>
      <w:r w:rsidRPr="00A36BC1">
        <w:rPr>
          <w:rFonts w:cstheme="minorHAnsi"/>
          <w:lang w:val="en-US"/>
        </w:rPr>
        <w:t xml:space="preserve"> </w:t>
      </w:r>
      <w:proofErr w:type="spellStart"/>
      <w:r w:rsidRPr="00A36BC1">
        <w:rPr>
          <w:rFonts w:cstheme="minorHAnsi"/>
          <w:lang w:val="en-US"/>
        </w:rPr>
        <w:t>Criminaliteit</w:t>
      </w:r>
      <w:proofErr w:type="spellEnd"/>
      <w:r w:rsidRPr="00A36BC1">
        <w:rPr>
          <w:rFonts w:cstheme="minorHAnsi"/>
          <w:lang w:val="en-US"/>
        </w:rPr>
        <w:t xml:space="preserve"> </w:t>
      </w:r>
      <w:proofErr w:type="spellStart"/>
      <w:r w:rsidRPr="00A36BC1">
        <w:rPr>
          <w:rFonts w:cstheme="minorHAnsi"/>
          <w:lang w:val="en-US"/>
        </w:rPr>
        <w:t>bij</w:t>
      </w:r>
      <w:proofErr w:type="spellEnd"/>
      <w:r w:rsidRPr="00A36BC1">
        <w:rPr>
          <w:rFonts w:cstheme="minorHAnsi"/>
          <w:lang w:val="en-US"/>
        </w:rPr>
        <w:t xml:space="preserve"> </w:t>
      </w:r>
      <w:proofErr w:type="spellStart"/>
      <w:r w:rsidRPr="00A36BC1">
        <w:rPr>
          <w:rFonts w:cstheme="minorHAnsi"/>
          <w:lang w:val="en-US"/>
        </w:rPr>
        <w:t>Tweelingen</w:t>
      </w:r>
      <w:proofErr w:type="spellEnd"/>
      <w:r w:rsidRPr="00A36BC1">
        <w:rPr>
          <w:rFonts w:cstheme="minorHAnsi"/>
          <w:lang w:val="en-US"/>
        </w:rPr>
        <w:t xml:space="preserve"> (Psychosis and Criminality in Twins),”</w:t>
      </w:r>
      <w:r w:rsidRPr="00A36BC1">
        <w:rPr>
          <w:rFonts w:cstheme="minorHAnsi"/>
          <w:i/>
          <w:iCs/>
          <w:lang w:val="en-US"/>
        </w:rPr>
        <w:t xml:space="preserve"> Journal of Criminal Law and Criminology (1931-1951), </w:t>
      </w:r>
      <w:r w:rsidRPr="00A36BC1">
        <w:rPr>
          <w:rFonts w:cstheme="minorHAnsi"/>
          <w:lang w:val="en-US"/>
        </w:rPr>
        <w:t xml:space="preserve">24(6), pp. 1139–1139. </w:t>
      </w:r>
      <w:r w:rsidR="000305C3">
        <w:rPr>
          <w:rFonts w:cstheme="minorHAnsi"/>
          <w:lang w:val="en-US"/>
        </w:rPr>
        <w:t xml:space="preserve">Chicago: </w:t>
      </w:r>
      <w:r w:rsidR="00DE6D22">
        <w:rPr>
          <w:rFonts w:cstheme="minorHAnsi"/>
          <w:lang w:val="en-US"/>
        </w:rPr>
        <w:t>Northwestern University Pritzker School of Law</w:t>
      </w:r>
      <w:r w:rsidR="002B4874">
        <w:rPr>
          <w:rFonts w:cstheme="minorHAnsi"/>
          <w:lang w:val="en-US"/>
        </w:rPr>
        <w:t xml:space="preserve">. </w:t>
      </w:r>
    </w:p>
    <w:p w14:paraId="177FCADA" w14:textId="77777777" w:rsidR="00C74A50" w:rsidRDefault="00C74A50" w:rsidP="00C74A50">
      <w:pPr>
        <w:spacing w:line="360" w:lineRule="auto"/>
        <w:rPr>
          <w:rFonts w:cstheme="minorHAnsi"/>
          <w:lang w:val="en-US"/>
        </w:rPr>
      </w:pPr>
    </w:p>
    <w:p w14:paraId="517C68B9" w14:textId="77777777" w:rsidR="00C74A50" w:rsidRDefault="00C74A50" w:rsidP="00C74A50">
      <w:pPr>
        <w:spacing w:line="360" w:lineRule="auto"/>
        <w:rPr>
          <w:rFonts w:cstheme="minorHAnsi"/>
          <w:lang w:val="en-US"/>
        </w:rPr>
      </w:pPr>
      <w:r w:rsidRPr="00E85903">
        <w:rPr>
          <w:rFonts w:cstheme="minorHAnsi"/>
          <w:lang w:val="en-US"/>
        </w:rPr>
        <w:t xml:space="preserve">Murphy, D.S and Robinson, M.B (2008) ‘The Maximizer: Clarifying Merton’s theories of anomie and strain’, </w:t>
      </w:r>
      <w:r w:rsidRPr="00E85903">
        <w:rPr>
          <w:rFonts w:cstheme="minorHAnsi"/>
          <w:i/>
          <w:iCs/>
          <w:lang w:val="en-US"/>
        </w:rPr>
        <w:t xml:space="preserve">Theoretical Criminology, </w:t>
      </w:r>
      <w:r w:rsidRPr="00E85903">
        <w:rPr>
          <w:rFonts w:cstheme="minorHAnsi"/>
          <w:lang w:val="en-US"/>
        </w:rPr>
        <w:t xml:space="preserve">12(4), pp. 501-521. Available at: </w:t>
      </w:r>
      <w:hyperlink r:id="rId13" w:history="1">
        <w:r w:rsidRPr="00E85903">
          <w:rPr>
            <w:rStyle w:val="Hyperlink"/>
            <w:rFonts w:cstheme="minorHAnsi"/>
            <w:lang w:val="en-US"/>
          </w:rPr>
          <w:t>http://libres.uncg.edu/ir/asu/f/Murphy_Robinson_2008_The_Maximizer.pdf</w:t>
        </w:r>
      </w:hyperlink>
      <w:r w:rsidRPr="00E85903">
        <w:rPr>
          <w:rFonts w:cstheme="minorHAnsi"/>
          <w:lang w:val="en-US"/>
        </w:rPr>
        <w:t xml:space="preserve"> (Accessed: </w:t>
      </w:r>
      <w:r>
        <w:rPr>
          <w:rFonts w:cstheme="minorHAnsi"/>
          <w:lang w:val="en-US"/>
        </w:rPr>
        <w:t>13 March</w:t>
      </w:r>
      <w:r w:rsidRPr="00E85903">
        <w:rPr>
          <w:rFonts w:cstheme="minorHAnsi"/>
          <w:lang w:val="en-US"/>
        </w:rPr>
        <w:t xml:space="preserve"> 2024).          </w:t>
      </w:r>
    </w:p>
    <w:p w14:paraId="2CCA5427" w14:textId="77777777" w:rsidR="00C74A50" w:rsidRDefault="00C74A50" w:rsidP="00C74A50">
      <w:pPr>
        <w:spacing w:line="360" w:lineRule="auto"/>
        <w:rPr>
          <w:rFonts w:cstheme="minorHAnsi"/>
          <w:lang w:val="en-US"/>
        </w:rPr>
      </w:pPr>
      <w:proofErr w:type="spellStart"/>
      <w:r>
        <w:rPr>
          <w:rFonts w:cstheme="minorHAnsi"/>
          <w:lang w:val="en-US"/>
        </w:rPr>
        <w:lastRenderedPageBreak/>
        <w:t>Nuttman</w:t>
      </w:r>
      <w:proofErr w:type="spellEnd"/>
      <w:r>
        <w:rPr>
          <w:rFonts w:cstheme="minorHAnsi"/>
          <w:lang w:val="en-US"/>
        </w:rPr>
        <w:t>, D. (2022) ‘</w:t>
      </w:r>
      <w:r w:rsidRPr="00DF6428">
        <w:rPr>
          <w:rFonts w:cstheme="minorHAnsi"/>
          <w:lang w:val="en-US"/>
        </w:rPr>
        <w:t>Father of Crime</w:t>
      </w:r>
      <w:r>
        <w:rPr>
          <w:rFonts w:cstheme="minorHAnsi"/>
          <w:lang w:val="en-US"/>
        </w:rPr>
        <w:t xml:space="preserve"> Who was Charles Kray?’ </w:t>
      </w:r>
      <w:r>
        <w:rPr>
          <w:rFonts w:cstheme="minorHAnsi"/>
          <w:i/>
          <w:iCs/>
          <w:lang w:val="en-US"/>
        </w:rPr>
        <w:t xml:space="preserve">The Sun, </w:t>
      </w:r>
      <w:r>
        <w:rPr>
          <w:rFonts w:cstheme="minorHAnsi"/>
          <w:lang w:val="en-US"/>
        </w:rPr>
        <w:t xml:space="preserve">30 November. Available at: </w:t>
      </w:r>
      <w:hyperlink r:id="rId14" w:history="1">
        <w:r w:rsidRPr="00C84D98">
          <w:rPr>
            <w:rStyle w:val="Hyperlink"/>
            <w:rFonts w:cstheme="minorHAnsi"/>
            <w:lang w:val="en-US"/>
          </w:rPr>
          <w:t>https://www.thesun.co.uk/news/20600297/who-was-charles-kray/</w:t>
        </w:r>
      </w:hyperlink>
      <w:r>
        <w:rPr>
          <w:rFonts w:cstheme="minorHAnsi"/>
          <w:lang w:val="en-US"/>
        </w:rPr>
        <w:t xml:space="preserve"> (Accessed: 12 March 2024). </w:t>
      </w:r>
    </w:p>
    <w:p w14:paraId="39B6C504" w14:textId="77777777" w:rsidR="00C74A50" w:rsidRDefault="00C74A50" w:rsidP="00C74A50">
      <w:pPr>
        <w:spacing w:line="360" w:lineRule="auto"/>
        <w:rPr>
          <w:rFonts w:cstheme="minorHAnsi"/>
          <w:lang w:val="en-US"/>
        </w:rPr>
      </w:pPr>
    </w:p>
    <w:p w14:paraId="690B38ED" w14:textId="77777777" w:rsidR="00C74A50" w:rsidRDefault="00C74A50" w:rsidP="00C74A50">
      <w:pPr>
        <w:spacing w:line="360" w:lineRule="auto"/>
        <w:rPr>
          <w:rFonts w:cstheme="minorHAnsi"/>
          <w:lang w:val="en-US"/>
        </w:rPr>
      </w:pPr>
      <w:r w:rsidRPr="0079738A">
        <w:rPr>
          <w:rFonts w:cstheme="minorHAnsi"/>
          <w:lang w:val="en-US"/>
        </w:rPr>
        <w:t xml:space="preserve">Rennie, D. (2023) ‘How the Kray Twins Ruled </w:t>
      </w:r>
      <w:r>
        <w:rPr>
          <w:rFonts w:cstheme="minorHAnsi"/>
          <w:lang w:val="en-US"/>
        </w:rPr>
        <w:t>t</w:t>
      </w:r>
      <w:r w:rsidRPr="0079738A">
        <w:rPr>
          <w:rFonts w:cstheme="minorHAnsi"/>
          <w:lang w:val="en-US"/>
        </w:rPr>
        <w:t xml:space="preserve">he Underworld of Swinging Sixties London in Style’, </w:t>
      </w:r>
      <w:r w:rsidRPr="0079738A">
        <w:rPr>
          <w:rFonts w:cstheme="minorHAnsi"/>
          <w:i/>
          <w:iCs/>
          <w:lang w:val="en-US"/>
        </w:rPr>
        <w:t xml:space="preserve">All That’s Interesting, </w:t>
      </w:r>
      <w:r w:rsidRPr="0079738A">
        <w:rPr>
          <w:rFonts w:cstheme="minorHAnsi"/>
          <w:lang w:val="en-US"/>
        </w:rPr>
        <w:t xml:space="preserve">23 July. Available at: </w:t>
      </w:r>
      <w:hyperlink r:id="rId15" w:history="1">
        <w:r w:rsidRPr="0079738A">
          <w:rPr>
            <w:rStyle w:val="Hyperlink"/>
            <w:rFonts w:cstheme="minorHAnsi"/>
            <w:lang w:val="en-US"/>
          </w:rPr>
          <w:t>https://allthatsinteresting.com/kray-twins</w:t>
        </w:r>
      </w:hyperlink>
      <w:r w:rsidRPr="0079738A">
        <w:rPr>
          <w:rFonts w:cstheme="minorHAnsi"/>
          <w:lang w:val="en-US"/>
        </w:rPr>
        <w:t xml:space="preserve"> (Accessed: </w:t>
      </w:r>
      <w:r>
        <w:rPr>
          <w:rFonts w:cstheme="minorHAnsi"/>
          <w:lang w:val="en-US"/>
        </w:rPr>
        <w:t xml:space="preserve">12 March </w:t>
      </w:r>
      <w:r w:rsidRPr="0079738A">
        <w:rPr>
          <w:rFonts w:cstheme="minorHAnsi"/>
          <w:lang w:val="en-US"/>
        </w:rPr>
        <w:t>2024).</w:t>
      </w:r>
    </w:p>
    <w:p w14:paraId="2982BCF8" w14:textId="77777777" w:rsidR="00C74A50" w:rsidRDefault="00C74A50" w:rsidP="00C74A50">
      <w:pPr>
        <w:spacing w:line="360" w:lineRule="auto"/>
        <w:rPr>
          <w:rFonts w:cstheme="minorHAnsi"/>
          <w:lang w:val="en-US"/>
        </w:rPr>
      </w:pPr>
    </w:p>
    <w:p w14:paraId="6E93D75A" w14:textId="77777777" w:rsidR="00C74A50" w:rsidRDefault="00C74A50" w:rsidP="00C74A50">
      <w:pPr>
        <w:spacing w:line="360" w:lineRule="auto"/>
        <w:rPr>
          <w:rFonts w:cstheme="minorHAnsi"/>
        </w:rPr>
      </w:pPr>
      <w:proofErr w:type="spellStart"/>
      <w:r w:rsidRPr="00AF5C2C">
        <w:rPr>
          <w:rFonts w:cstheme="minorHAnsi"/>
        </w:rPr>
        <w:t>Rosanoff</w:t>
      </w:r>
      <w:proofErr w:type="spellEnd"/>
      <w:r w:rsidRPr="00AF5C2C">
        <w:rPr>
          <w:rFonts w:cstheme="minorHAnsi"/>
        </w:rPr>
        <w:t xml:space="preserve">, A.J., Handy, L.M. and </w:t>
      </w:r>
      <w:proofErr w:type="spellStart"/>
      <w:r w:rsidRPr="00AF5C2C">
        <w:rPr>
          <w:rFonts w:cstheme="minorHAnsi"/>
        </w:rPr>
        <w:t>Rosanoff</w:t>
      </w:r>
      <w:proofErr w:type="spellEnd"/>
      <w:r w:rsidRPr="00AF5C2C">
        <w:rPr>
          <w:rFonts w:cstheme="minorHAnsi"/>
        </w:rPr>
        <w:t>, I.A. (1934) “Criminality and Delinquency in Twins,” </w:t>
      </w:r>
      <w:r w:rsidRPr="00AF5C2C">
        <w:rPr>
          <w:rFonts w:cstheme="minorHAnsi"/>
          <w:i/>
          <w:iCs/>
        </w:rPr>
        <w:t>Journal of criminal law and criminology (1931)</w:t>
      </w:r>
      <w:r w:rsidRPr="00AF5C2C">
        <w:rPr>
          <w:rFonts w:cstheme="minorHAnsi"/>
        </w:rPr>
        <w:t xml:space="preserve">, 24(5), pp. 923–934. Available at: </w:t>
      </w:r>
      <w:hyperlink r:id="rId16" w:history="1">
        <w:r w:rsidRPr="00AF5C2C">
          <w:rPr>
            <w:rStyle w:val="Hyperlink"/>
            <w:rFonts w:cstheme="minorHAnsi"/>
          </w:rPr>
          <w:t>https://doi.org/10.2307/1135017</w:t>
        </w:r>
      </w:hyperlink>
      <w:r w:rsidRPr="00AF5C2C">
        <w:rPr>
          <w:rFonts w:cstheme="minorHAnsi"/>
          <w:u w:val="single"/>
        </w:rPr>
        <w:t xml:space="preserve"> </w:t>
      </w:r>
      <w:r w:rsidRPr="00AF5C2C">
        <w:rPr>
          <w:rFonts w:cstheme="minorHAnsi"/>
        </w:rPr>
        <w:t xml:space="preserve">(Accessed: </w:t>
      </w:r>
      <w:r>
        <w:rPr>
          <w:rFonts w:cstheme="minorHAnsi"/>
        </w:rPr>
        <w:t xml:space="preserve">12 March </w:t>
      </w:r>
      <w:r w:rsidRPr="00AF5C2C">
        <w:rPr>
          <w:rFonts w:cstheme="minorHAnsi"/>
        </w:rPr>
        <w:t xml:space="preserve">2024). </w:t>
      </w:r>
    </w:p>
    <w:p w14:paraId="49845264" w14:textId="77777777" w:rsidR="00C74A50" w:rsidRPr="00AF5C2C" w:rsidRDefault="00C74A50" w:rsidP="00C74A50">
      <w:pPr>
        <w:spacing w:line="360" w:lineRule="auto"/>
        <w:rPr>
          <w:rFonts w:cstheme="minorHAnsi"/>
        </w:rPr>
      </w:pPr>
    </w:p>
    <w:p w14:paraId="38B9902E" w14:textId="77777777" w:rsidR="00C74A50" w:rsidRDefault="00C74A50" w:rsidP="00C74A50">
      <w:pPr>
        <w:spacing w:line="360" w:lineRule="auto"/>
        <w:rPr>
          <w:rFonts w:cstheme="minorHAnsi"/>
          <w:color w:val="1A1A1A"/>
        </w:rPr>
      </w:pPr>
      <w:r w:rsidRPr="00AC3488">
        <w:rPr>
          <w:rFonts w:cstheme="minorHAnsi"/>
          <w:color w:val="1A1A1A"/>
        </w:rPr>
        <w:t xml:space="preserve">Weatherburn, D. (2001) ‘What causes crime?’, </w:t>
      </w:r>
      <w:r w:rsidRPr="00AC3488">
        <w:rPr>
          <w:rFonts w:cstheme="minorHAnsi"/>
          <w:i/>
          <w:iCs/>
          <w:color w:val="1A1A1A"/>
        </w:rPr>
        <w:t xml:space="preserve">Crime and Justice Bulletin, </w:t>
      </w:r>
      <w:r w:rsidRPr="00AC3488">
        <w:rPr>
          <w:rFonts w:cstheme="minorHAnsi"/>
          <w:color w:val="1A1A1A"/>
        </w:rPr>
        <w:t xml:space="preserve">54. Available at: </w:t>
      </w:r>
      <w:hyperlink r:id="rId17" w:history="1">
        <w:r w:rsidRPr="00AC3488">
          <w:rPr>
            <w:rStyle w:val="Hyperlink"/>
            <w:rFonts w:cstheme="minorHAnsi"/>
          </w:rPr>
          <w:t>https://www.bocsar.nsw.gov.au/Publications/CJB/cjb54.pdf</w:t>
        </w:r>
      </w:hyperlink>
      <w:r w:rsidRPr="00AC3488">
        <w:rPr>
          <w:rFonts w:cstheme="minorHAnsi"/>
          <w:color w:val="1A1A1A"/>
        </w:rPr>
        <w:t xml:space="preserve"> (Accessed: 12 March 2024). </w:t>
      </w:r>
    </w:p>
    <w:p w14:paraId="2FBE0823" w14:textId="77777777" w:rsidR="00C74A50" w:rsidRDefault="00C74A50" w:rsidP="00C74A50">
      <w:pPr>
        <w:spacing w:line="360" w:lineRule="auto"/>
        <w:rPr>
          <w:rFonts w:cstheme="minorHAnsi"/>
          <w:color w:val="1A1A1A"/>
        </w:rPr>
      </w:pPr>
    </w:p>
    <w:p w14:paraId="41DD118C" w14:textId="77777777" w:rsidR="00C74A50" w:rsidRDefault="00C74A50" w:rsidP="00C74A50">
      <w:pPr>
        <w:spacing w:line="360" w:lineRule="auto"/>
        <w:rPr>
          <w:rFonts w:cstheme="minorHAnsi"/>
          <w:lang w:val="en-US"/>
        </w:rPr>
      </w:pPr>
      <w:r w:rsidRPr="00A33830">
        <w:rPr>
          <w:rFonts w:cstheme="minorHAnsi"/>
          <w:lang w:val="en-US"/>
        </w:rPr>
        <w:t>Wright, N.K. and Wright, E.K. (1993</w:t>
      </w:r>
      <w:r w:rsidRPr="00A33830">
        <w:rPr>
          <w:rFonts w:cstheme="minorHAnsi"/>
          <w:i/>
          <w:iCs/>
          <w:lang w:val="en-US"/>
        </w:rPr>
        <w:t>) Family Life and Delinquency and Crime: A Policymakers’ Guide to the Literature</w:t>
      </w:r>
      <w:r w:rsidRPr="00A33830">
        <w:rPr>
          <w:rFonts w:cstheme="minorHAnsi"/>
          <w:lang w:val="en-US"/>
        </w:rPr>
        <w:t xml:space="preserve">, Office of Juvenile </w:t>
      </w:r>
      <w:proofErr w:type="gramStart"/>
      <w:r w:rsidRPr="00A33830">
        <w:rPr>
          <w:rFonts w:cstheme="minorHAnsi"/>
          <w:lang w:val="en-US"/>
        </w:rPr>
        <w:t>Justice</w:t>
      </w:r>
      <w:proofErr w:type="gramEnd"/>
      <w:r w:rsidRPr="00A33830">
        <w:rPr>
          <w:rFonts w:cstheme="minorHAnsi"/>
          <w:lang w:val="en-US"/>
        </w:rPr>
        <w:t xml:space="preserve"> and Delinquency. Available at: </w:t>
      </w:r>
      <w:hyperlink r:id="rId18" w:history="1">
        <w:r w:rsidRPr="00A33830">
          <w:rPr>
            <w:rStyle w:val="Hyperlink"/>
            <w:rFonts w:cstheme="minorHAnsi"/>
            <w:lang w:val="en-US"/>
          </w:rPr>
          <w:t>https://www.ojp.gov/pdffiles1/Digitization/140517NCJRS.pdfn</w:t>
        </w:r>
      </w:hyperlink>
      <w:r w:rsidRPr="00A33830">
        <w:rPr>
          <w:rFonts w:cstheme="minorHAnsi"/>
          <w:lang w:val="en-US"/>
        </w:rPr>
        <w:t xml:space="preserve"> (Accessed: </w:t>
      </w:r>
      <w:r>
        <w:rPr>
          <w:rFonts w:cstheme="minorHAnsi"/>
          <w:lang w:val="en-US"/>
        </w:rPr>
        <w:t xml:space="preserve">13 March </w:t>
      </w:r>
      <w:r w:rsidRPr="00A33830">
        <w:rPr>
          <w:rFonts w:cstheme="minorHAnsi"/>
          <w:lang w:val="en-US"/>
        </w:rPr>
        <w:t xml:space="preserve">2024). </w:t>
      </w:r>
    </w:p>
    <w:p w14:paraId="0AF6AF32" w14:textId="77777777" w:rsidR="00C74A50" w:rsidRDefault="00C74A50" w:rsidP="00C74A50">
      <w:pPr>
        <w:spacing w:line="360" w:lineRule="auto"/>
        <w:rPr>
          <w:rFonts w:cstheme="minorHAnsi"/>
          <w:lang w:val="en-US"/>
        </w:rPr>
      </w:pPr>
    </w:p>
    <w:p w14:paraId="58F703B8" w14:textId="77777777" w:rsidR="00C74A50" w:rsidRDefault="00C74A50" w:rsidP="00C74A50">
      <w:pPr>
        <w:spacing w:line="360" w:lineRule="auto"/>
        <w:rPr>
          <w:rFonts w:cstheme="minorHAnsi"/>
          <w:lang w:val="en-US"/>
        </w:rPr>
      </w:pPr>
      <w:r>
        <w:rPr>
          <w:rFonts w:cstheme="minorHAnsi"/>
          <w:lang w:val="en-US"/>
        </w:rPr>
        <w:t xml:space="preserve">Wu, Y. (2022) ‘How could psychology help in understanding criminal behaviour – does society create criminals?’ Northwestern University London. Unpublished. </w:t>
      </w:r>
    </w:p>
    <w:p w14:paraId="4F0B1747" w14:textId="77777777" w:rsidR="00613AF7" w:rsidRPr="00A33830" w:rsidRDefault="00613AF7" w:rsidP="00A33830">
      <w:pPr>
        <w:rPr>
          <w:rFonts w:cstheme="minorHAnsi"/>
        </w:rPr>
      </w:pPr>
    </w:p>
    <w:p w14:paraId="6C4F5982" w14:textId="77777777" w:rsidR="00A33830" w:rsidRDefault="00A33830" w:rsidP="00A36BC1">
      <w:pPr>
        <w:rPr>
          <w:rFonts w:cstheme="minorHAnsi"/>
        </w:rPr>
      </w:pPr>
    </w:p>
    <w:p w14:paraId="7F270D85" w14:textId="1A19D3D2" w:rsidR="00A36BC1" w:rsidRPr="00FA4E5D" w:rsidRDefault="00A36BC1" w:rsidP="0079738A">
      <w:pPr>
        <w:rPr>
          <w:rFonts w:cstheme="minorHAnsi"/>
        </w:rPr>
      </w:pPr>
    </w:p>
    <w:p w14:paraId="6EEDFC52" w14:textId="77777777" w:rsidR="005612E3" w:rsidRPr="0079738A" w:rsidRDefault="005612E3" w:rsidP="0079738A">
      <w:pPr>
        <w:rPr>
          <w:rFonts w:cstheme="minorHAnsi"/>
          <w:i/>
          <w:iCs/>
        </w:rPr>
      </w:pPr>
    </w:p>
    <w:p w14:paraId="4941B0F0" w14:textId="77777777" w:rsidR="0079738A" w:rsidRPr="00AC3488" w:rsidRDefault="0079738A">
      <w:pPr>
        <w:rPr>
          <w:rFonts w:cstheme="minorHAnsi"/>
        </w:rPr>
      </w:pPr>
    </w:p>
    <w:sectPr w:rsidR="0079738A" w:rsidRPr="00AC34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altName w:val="Times New Roman"/>
    <w:panose1 w:val="0000050000000002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6B3460"/>
    <w:multiLevelType w:val="hybridMultilevel"/>
    <w:tmpl w:val="2D02F6EE"/>
    <w:lvl w:ilvl="0" w:tplc="CBC02EA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3D3574"/>
    <w:multiLevelType w:val="hybridMultilevel"/>
    <w:tmpl w:val="9FD2DCF6"/>
    <w:lvl w:ilvl="0" w:tplc="5BC61BC0">
      <w:start w:val="1"/>
      <w:numFmt w:val="bullet"/>
      <w:lvlText w:val="●"/>
      <w:lvlJc w:val="left"/>
      <w:pPr>
        <w:tabs>
          <w:tab w:val="num" w:pos="720"/>
        </w:tabs>
        <w:ind w:left="720" w:hanging="360"/>
      </w:pPr>
      <w:rPr>
        <w:rFonts w:ascii="Arial" w:hAnsi="Arial" w:hint="default"/>
      </w:rPr>
    </w:lvl>
    <w:lvl w:ilvl="1" w:tplc="0F4C2616" w:tentative="1">
      <w:start w:val="1"/>
      <w:numFmt w:val="bullet"/>
      <w:lvlText w:val="●"/>
      <w:lvlJc w:val="left"/>
      <w:pPr>
        <w:tabs>
          <w:tab w:val="num" w:pos="1440"/>
        </w:tabs>
        <w:ind w:left="1440" w:hanging="360"/>
      </w:pPr>
      <w:rPr>
        <w:rFonts w:ascii="Arial" w:hAnsi="Arial" w:hint="default"/>
      </w:rPr>
    </w:lvl>
    <w:lvl w:ilvl="2" w:tplc="6120875E" w:tentative="1">
      <w:start w:val="1"/>
      <w:numFmt w:val="bullet"/>
      <w:lvlText w:val="●"/>
      <w:lvlJc w:val="left"/>
      <w:pPr>
        <w:tabs>
          <w:tab w:val="num" w:pos="2160"/>
        </w:tabs>
        <w:ind w:left="2160" w:hanging="360"/>
      </w:pPr>
      <w:rPr>
        <w:rFonts w:ascii="Arial" w:hAnsi="Arial" w:hint="default"/>
      </w:rPr>
    </w:lvl>
    <w:lvl w:ilvl="3" w:tplc="8BB87820" w:tentative="1">
      <w:start w:val="1"/>
      <w:numFmt w:val="bullet"/>
      <w:lvlText w:val="●"/>
      <w:lvlJc w:val="left"/>
      <w:pPr>
        <w:tabs>
          <w:tab w:val="num" w:pos="2880"/>
        </w:tabs>
        <w:ind w:left="2880" w:hanging="360"/>
      </w:pPr>
      <w:rPr>
        <w:rFonts w:ascii="Arial" w:hAnsi="Arial" w:hint="default"/>
      </w:rPr>
    </w:lvl>
    <w:lvl w:ilvl="4" w:tplc="DC6CA982" w:tentative="1">
      <w:start w:val="1"/>
      <w:numFmt w:val="bullet"/>
      <w:lvlText w:val="●"/>
      <w:lvlJc w:val="left"/>
      <w:pPr>
        <w:tabs>
          <w:tab w:val="num" w:pos="3600"/>
        </w:tabs>
        <w:ind w:left="3600" w:hanging="360"/>
      </w:pPr>
      <w:rPr>
        <w:rFonts w:ascii="Arial" w:hAnsi="Arial" w:hint="default"/>
      </w:rPr>
    </w:lvl>
    <w:lvl w:ilvl="5" w:tplc="4AAC1FFC" w:tentative="1">
      <w:start w:val="1"/>
      <w:numFmt w:val="bullet"/>
      <w:lvlText w:val="●"/>
      <w:lvlJc w:val="left"/>
      <w:pPr>
        <w:tabs>
          <w:tab w:val="num" w:pos="4320"/>
        </w:tabs>
        <w:ind w:left="4320" w:hanging="360"/>
      </w:pPr>
      <w:rPr>
        <w:rFonts w:ascii="Arial" w:hAnsi="Arial" w:hint="default"/>
      </w:rPr>
    </w:lvl>
    <w:lvl w:ilvl="6" w:tplc="60F03C72" w:tentative="1">
      <w:start w:val="1"/>
      <w:numFmt w:val="bullet"/>
      <w:lvlText w:val="●"/>
      <w:lvlJc w:val="left"/>
      <w:pPr>
        <w:tabs>
          <w:tab w:val="num" w:pos="5040"/>
        </w:tabs>
        <w:ind w:left="5040" w:hanging="360"/>
      </w:pPr>
      <w:rPr>
        <w:rFonts w:ascii="Arial" w:hAnsi="Arial" w:hint="default"/>
      </w:rPr>
    </w:lvl>
    <w:lvl w:ilvl="7" w:tplc="420050A8" w:tentative="1">
      <w:start w:val="1"/>
      <w:numFmt w:val="bullet"/>
      <w:lvlText w:val="●"/>
      <w:lvlJc w:val="left"/>
      <w:pPr>
        <w:tabs>
          <w:tab w:val="num" w:pos="5760"/>
        </w:tabs>
        <w:ind w:left="5760" w:hanging="360"/>
      </w:pPr>
      <w:rPr>
        <w:rFonts w:ascii="Arial" w:hAnsi="Arial" w:hint="default"/>
      </w:rPr>
    </w:lvl>
    <w:lvl w:ilvl="8" w:tplc="B98CD3C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25634876">
    <w:abstractNumId w:val="1"/>
  </w:num>
  <w:num w:numId="2" w16cid:durableId="629165850">
    <w:abstractNumId w:val="0"/>
  </w:num>
  <w:num w:numId="3" w16cid:durableId="12115732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6C9"/>
    <w:rsid w:val="00004944"/>
    <w:rsid w:val="0002150C"/>
    <w:rsid w:val="000228EC"/>
    <w:rsid w:val="00027767"/>
    <w:rsid w:val="000305C3"/>
    <w:rsid w:val="0005420F"/>
    <w:rsid w:val="0005774A"/>
    <w:rsid w:val="0006337D"/>
    <w:rsid w:val="00065445"/>
    <w:rsid w:val="0006590A"/>
    <w:rsid w:val="000660EC"/>
    <w:rsid w:val="00067E90"/>
    <w:rsid w:val="000720CB"/>
    <w:rsid w:val="00072469"/>
    <w:rsid w:val="00075776"/>
    <w:rsid w:val="00081DB0"/>
    <w:rsid w:val="0008271C"/>
    <w:rsid w:val="000903AA"/>
    <w:rsid w:val="000A052F"/>
    <w:rsid w:val="000A6A96"/>
    <w:rsid w:val="000A6DC4"/>
    <w:rsid w:val="000B645A"/>
    <w:rsid w:val="000C5BA3"/>
    <w:rsid w:val="000C5CBD"/>
    <w:rsid w:val="000C65AD"/>
    <w:rsid w:val="000D08B0"/>
    <w:rsid w:val="000D2185"/>
    <w:rsid w:val="000D28BC"/>
    <w:rsid w:val="000E3DA7"/>
    <w:rsid w:val="000F0F01"/>
    <w:rsid w:val="000F252A"/>
    <w:rsid w:val="000F625D"/>
    <w:rsid w:val="00102829"/>
    <w:rsid w:val="001112F9"/>
    <w:rsid w:val="00114806"/>
    <w:rsid w:val="0011667F"/>
    <w:rsid w:val="00123122"/>
    <w:rsid w:val="00123B49"/>
    <w:rsid w:val="001257CE"/>
    <w:rsid w:val="0014717A"/>
    <w:rsid w:val="00160B74"/>
    <w:rsid w:val="00165C1A"/>
    <w:rsid w:val="00170EFE"/>
    <w:rsid w:val="001836AE"/>
    <w:rsid w:val="0018620E"/>
    <w:rsid w:val="00186AE1"/>
    <w:rsid w:val="00196378"/>
    <w:rsid w:val="001A5284"/>
    <w:rsid w:val="001A7C01"/>
    <w:rsid w:val="001B43AA"/>
    <w:rsid w:val="001B54DB"/>
    <w:rsid w:val="001C16F0"/>
    <w:rsid w:val="001C23A8"/>
    <w:rsid w:val="001C567E"/>
    <w:rsid w:val="001F2B6B"/>
    <w:rsid w:val="001F49C9"/>
    <w:rsid w:val="001F6150"/>
    <w:rsid w:val="00222A25"/>
    <w:rsid w:val="00224AD9"/>
    <w:rsid w:val="002277F9"/>
    <w:rsid w:val="0023472D"/>
    <w:rsid w:val="00237104"/>
    <w:rsid w:val="00241B2F"/>
    <w:rsid w:val="00247166"/>
    <w:rsid w:val="002474A1"/>
    <w:rsid w:val="00250DF5"/>
    <w:rsid w:val="0025482F"/>
    <w:rsid w:val="00254CA2"/>
    <w:rsid w:val="00265815"/>
    <w:rsid w:val="002668F6"/>
    <w:rsid w:val="002669D5"/>
    <w:rsid w:val="002705A7"/>
    <w:rsid w:val="00275AE9"/>
    <w:rsid w:val="00281CF9"/>
    <w:rsid w:val="00286C72"/>
    <w:rsid w:val="00291197"/>
    <w:rsid w:val="00292D99"/>
    <w:rsid w:val="002951D8"/>
    <w:rsid w:val="00295278"/>
    <w:rsid w:val="00296E0E"/>
    <w:rsid w:val="002A1614"/>
    <w:rsid w:val="002A59B4"/>
    <w:rsid w:val="002A641F"/>
    <w:rsid w:val="002B4874"/>
    <w:rsid w:val="002B722D"/>
    <w:rsid w:val="002D47FD"/>
    <w:rsid w:val="002D57A0"/>
    <w:rsid w:val="002E17D7"/>
    <w:rsid w:val="002F5D7B"/>
    <w:rsid w:val="00303C6F"/>
    <w:rsid w:val="00330EC0"/>
    <w:rsid w:val="00333B31"/>
    <w:rsid w:val="0033415F"/>
    <w:rsid w:val="00334481"/>
    <w:rsid w:val="00341245"/>
    <w:rsid w:val="00341516"/>
    <w:rsid w:val="003520F1"/>
    <w:rsid w:val="003538E0"/>
    <w:rsid w:val="003570D3"/>
    <w:rsid w:val="003636BC"/>
    <w:rsid w:val="0037064A"/>
    <w:rsid w:val="00391450"/>
    <w:rsid w:val="003955F5"/>
    <w:rsid w:val="00395952"/>
    <w:rsid w:val="003A4BB1"/>
    <w:rsid w:val="003A4F5F"/>
    <w:rsid w:val="003B0D8F"/>
    <w:rsid w:val="003C76C5"/>
    <w:rsid w:val="003D63CD"/>
    <w:rsid w:val="003E5D20"/>
    <w:rsid w:val="004074C5"/>
    <w:rsid w:val="00410C07"/>
    <w:rsid w:val="0041401A"/>
    <w:rsid w:val="004141E6"/>
    <w:rsid w:val="00431924"/>
    <w:rsid w:val="004354D4"/>
    <w:rsid w:val="00436D66"/>
    <w:rsid w:val="00456764"/>
    <w:rsid w:val="004656D8"/>
    <w:rsid w:val="00467615"/>
    <w:rsid w:val="00472F83"/>
    <w:rsid w:val="00476B9B"/>
    <w:rsid w:val="0048683D"/>
    <w:rsid w:val="004929D2"/>
    <w:rsid w:val="004A41DB"/>
    <w:rsid w:val="004A746D"/>
    <w:rsid w:val="004B229E"/>
    <w:rsid w:val="004B2AF4"/>
    <w:rsid w:val="004B7FF4"/>
    <w:rsid w:val="004C0EB1"/>
    <w:rsid w:val="004C15BA"/>
    <w:rsid w:val="004D405A"/>
    <w:rsid w:val="004E1B70"/>
    <w:rsid w:val="004E7D8F"/>
    <w:rsid w:val="004F18B9"/>
    <w:rsid w:val="004F4690"/>
    <w:rsid w:val="004F66F9"/>
    <w:rsid w:val="004F76BB"/>
    <w:rsid w:val="005040E0"/>
    <w:rsid w:val="00507293"/>
    <w:rsid w:val="0051764A"/>
    <w:rsid w:val="005229F7"/>
    <w:rsid w:val="0052460C"/>
    <w:rsid w:val="00526710"/>
    <w:rsid w:val="00531272"/>
    <w:rsid w:val="00542D09"/>
    <w:rsid w:val="00556C00"/>
    <w:rsid w:val="005612E3"/>
    <w:rsid w:val="00562C61"/>
    <w:rsid w:val="005636A1"/>
    <w:rsid w:val="00574F25"/>
    <w:rsid w:val="00577198"/>
    <w:rsid w:val="00584B7C"/>
    <w:rsid w:val="00587D60"/>
    <w:rsid w:val="005A0067"/>
    <w:rsid w:val="005A2AA5"/>
    <w:rsid w:val="005A2CED"/>
    <w:rsid w:val="005B03B2"/>
    <w:rsid w:val="005C0090"/>
    <w:rsid w:val="005C6DD2"/>
    <w:rsid w:val="005C77EC"/>
    <w:rsid w:val="005C7FFA"/>
    <w:rsid w:val="005D0DD5"/>
    <w:rsid w:val="005E74C6"/>
    <w:rsid w:val="005F214A"/>
    <w:rsid w:val="005F22F0"/>
    <w:rsid w:val="00601BB5"/>
    <w:rsid w:val="006033EF"/>
    <w:rsid w:val="00606BAB"/>
    <w:rsid w:val="00613AF7"/>
    <w:rsid w:val="00615732"/>
    <w:rsid w:val="0062476A"/>
    <w:rsid w:val="00672D87"/>
    <w:rsid w:val="00691171"/>
    <w:rsid w:val="006921B4"/>
    <w:rsid w:val="00692A03"/>
    <w:rsid w:val="00696C28"/>
    <w:rsid w:val="006C126E"/>
    <w:rsid w:val="006D4ACF"/>
    <w:rsid w:val="006D7665"/>
    <w:rsid w:val="006E489C"/>
    <w:rsid w:val="006F33F3"/>
    <w:rsid w:val="006F608E"/>
    <w:rsid w:val="006F7E0C"/>
    <w:rsid w:val="007019C0"/>
    <w:rsid w:val="00705CB7"/>
    <w:rsid w:val="0071670A"/>
    <w:rsid w:val="00721D81"/>
    <w:rsid w:val="007244F3"/>
    <w:rsid w:val="00731FE9"/>
    <w:rsid w:val="007411BE"/>
    <w:rsid w:val="00746186"/>
    <w:rsid w:val="00761FD3"/>
    <w:rsid w:val="007656AC"/>
    <w:rsid w:val="00767930"/>
    <w:rsid w:val="0077022C"/>
    <w:rsid w:val="00773419"/>
    <w:rsid w:val="0078345A"/>
    <w:rsid w:val="007858A1"/>
    <w:rsid w:val="007964C0"/>
    <w:rsid w:val="0079738A"/>
    <w:rsid w:val="007A0C8E"/>
    <w:rsid w:val="007A1D58"/>
    <w:rsid w:val="007A4674"/>
    <w:rsid w:val="007B4415"/>
    <w:rsid w:val="007C2712"/>
    <w:rsid w:val="007E1A97"/>
    <w:rsid w:val="00814E26"/>
    <w:rsid w:val="00820361"/>
    <w:rsid w:val="008219A9"/>
    <w:rsid w:val="00822B9D"/>
    <w:rsid w:val="0082496B"/>
    <w:rsid w:val="00824F38"/>
    <w:rsid w:val="00827A2C"/>
    <w:rsid w:val="0084038E"/>
    <w:rsid w:val="00841D6B"/>
    <w:rsid w:val="008530B5"/>
    <w:rsid w:val="00853582"/>
    <w:rsid w:val="00861578"/>
    <w:rsid w:val="008642A6"/>
    <w:rsid w:val="0086686E"/>
    <w:rsid w:val="008767E0"/>
    <w:rsid w:val="008814FD"/>
    <w:rsid w:val="008834BA"/>
    <w:rsid w:val="0089311B"/>
    <w:rsid w:val="008A11DF"/>
    <w:rsid w:val="008A187F"/>
    <w:rsid w:val="008A66E7"/>
    <w:rsid w:val="008B32C4"/>
    <w:rsid w:val="008B760F"/>
    <w:rsid w:val="008E26EA"/>
    <w:rsid w:val="008E7C43"/>
    <w:rsid w:val="008F7635"/>
    <w:rsid w:val="009023ED"/>
    <w:rsid w:val="009102AA"/>
    <w:rsid w:val="00912342"/>
    <w:rsid w:val="00914B80"/>
    <w:rsid w:val="009235EE"/>
    <w:rsid w:val="00936651"/>
    <w:rsid w:val="009439C7"/>
    <w:rsid w:val="009454E5"/>
    <w:rsid w:val="00947005"/>
    <w:rsid w:val="009676A5"/>
    <w:rsid w:val="00972195"/>
    <w:rsid w:val="00972EDC"/>
    <w:rsid w:val="00982556"/>
    <w:rsid w:val="009A31CB"/>
    <w:rsid w:val="009A3401"/>
    <w:rsid w:val="009B075F"/>
    <w:rsid w:val="009B10CC"/>
    <w:rsid w:val="009B54C2"/>
    <w:rsid w:val="009D0477"/>
    <w:rsid w:val="009D3245"/>
    <w:rsid w:val="009D3C32"/>
    <w:rsid w:val="009D7F2A"/>
    <w:rsid w:val="009E4FA8"/>
    <w:rsid w:val="009F6761"/>
    <w:rsid w:val="009F6B8A"/>
    <w:rsid w:val="00A07DAB"/>
    <w:rsid w:val="00A16EFB"/>
    <w:rsid w:val="00A2313E"/>
    <w:rsid w:val="00A26092"/>
    <w:rsid w:val="00A26EAB"/>
    <w:rsid w:val="00A30A91"/>
    <w:rsid w:val="00A314BC"/>
    <w:rsid w:val="00A336FF"/>
    <w:rsid w:val="00A33830"/>
    <w:rsid w:val="00A355DD"/>
    <w:rsid w:val="00A36BC1"/>
    <w:rsid w:val="00A4590A"/>
    <w:rsid w:val="00A55F7F"/>
    <w:rsid w:val="00A5600F"/>
    <w:rsid w:val="00A664F1"/>
    <w:rsid w:val="00A74A9E"/>
    <w:rsid w:val="00A75A6D"/>
    <w:rsid w:val="00A83D3B"/>
    <w:rsid w:val="00A96108"/>
    <w:rsid w:val="00A977D8"/>
    <w:rsid w:val="00AA093F"/>
    <w:rsid w:val="00AA5773"/>
    <w:rsid w:val="00AA74B1"/>
    <w:rsid w:val="00AB670C"/>
    <w:rsid w:val="00AB7238"/>
    <w:rsid w:val="00AC22AE"/>
    <w:rsid w:val="00AC3488"/>
    <w:rsid w:val="00AC3CC1"/>
    <w:rsid w:val="00AC4367"/>
    <w:rsid w:val="00AD18A9"/>
    <w:rsid w:val="00AD5E9B"/>
    <w:rsid w:val="00AE726C"/>
    <w:rsid w:val="00AF2CE2"/>
    <w:rsid w:val="00AF5C2C"/>
    <w:rsid w:val="00B05ABB"/>
    <w:rsid w:val="00B21023"/>
    <w:rsid w:val="00B31E67"/>
    <w:rsid w:val="00B3400A"/>
    <w:rsid w:val="00B67DF8"/>
    <w:rsid w:val="00B75BE4"/>
    <w:rsid w:val="00B77164"/>
    <w:rsid w:val="00BA377D"/>
    <w:rsid w:val="00BB4818"/>
    <w:rsid w:val="00BC4F31"/>
    <w:rsid w:val="00BD297B"/>
    <w:rsid w:val="00BE5CF2"/>
    <w:rsid w:val="00BE6A6F"/>
    <w:rsid w:val="00BF4DA2"/>
    <w:rsid w:val="00BF7259"/>
    <w:rsid w:val="00C0126B"/>
    <w:rsid w:val="00C061DE"/>
    <w:rsid w:val="00C062BF"/>
    <w:rsid w:val="00C0776C"/>
    <w:rsid w:val="00C176C7"/>
    <w:rsid w:val="00C20D7F"/>
    <w:rsid w:val="00C2295A"/>
    <w:rsid w:val="00C23321"/>
    <w:rsid w:val="00C61FBB"/>
    <w:rsid w:val="00C74A50"/>
    <w:rsid w:val="00C804AC"/>
    <w:rsid w:val="00C86399"/>
    <w:rsid w:val="00C86D58"/>
    <w:rsid w:val="00C9052E"/>
    <w:rsid w:val="00CA6B88"/>
    <w:rsid w:val="00CD3D64"/>
    <w:rsid w:val="00CF647D"/>
    <w:rsid w:val="00D013F7"/>
    <w:rsid w:val="00D022E9"/>
    <w:rsid w:val="00D0537C"/>
    <w:rsid w:val="00D11901"/>
    <w:rsid w:val="00D153DC"/>
    <w:rsid w:val="00D23FDD"/>
    <w:rsid w:val="00D3447F"/>
    <w:rsid w:val="00D47486"/>
    <w:rsid w:val="00D51081"/>
    <w:rsid w:val="00D5125D"/>
    <w:rsid w:val="00D576AA"/>
    <w:rsid w:val="00D6395C"/>
    <w:rsid w:val="00D73865"/>
    <w:rsid w:val="00D73AA1"/>
    <w:rsid w:val="00D87286"/>
    <w:rsid w:val="00D90151"/>
    <w:rsid w:val="00D96C6D"/>
    <w:rsid w:val="00DA18EC"/>
    <w:rsid w:val="00DA2909"/>
    <w:rsid w:val="00DA67D3"/>
    <w:rsid w:val="00DB3A7A"/>
    <w:rsid w:val="00DB4A45"/>
    <w:rsid w:val="00DB4C4B"/>
    <w:rsid w:val="00DB7E90"/>
    <w:rsid w:val="00DC15DD"/>
    <w:rsid w:val="00DC6A44"/>
    <w:rsid w:val="00DD72EA"/>
    <w:rsid w:val="00DD790E"/>
    <w:rsid w:val="00DE6D22"/>
    <w:rsid w:val="00DF0CFA"/>
    <w:rsid w:val="00DF28A9"/>
    <w:rsid w:val="00DF3B4A"/>
    <w:rsid w:val="00DF3F9C"/>
    <w:rsid w:val="00DF6428"/>
    <w:rsid w:val="00DF6B2C"/>
    <w:rsid w:val="00DF7181"/>
    <w:rsid w:val="00E00B6D"/>
    <w:rsid w:val="00E073AE"/>
    <w:rsid w:val="00E07C0A"/>
    <w:rsid w:val="00E120DE"/>
    <w:rsid w:val="00E163FD"/>
    <w:rsid w:val="00E200AA"/>
    <w:rsid w:val="00E228F0"/>
    <w:rsid w:val="00E421ED"/>
    <w:rsid w:val="00E42BC7"/>
    <w:rsid w:val="00E4332D"/>
    <w:rsid w:val="00E465A9"/>
    <w:rsid w:val="00E50A6C"/>
    <w:rsid w:val="00E529BD"/>
    <w:rsid w:val="00E53D98"/>
    <w:rsid w:val="00E549FD"/>
    <w:rsid w:val="00E5512E"/>
    <w:rsid w:val="00E55C58"/>
    <w:rsid w:val="00E66C9A"/>
    <w:rsid w:val="00E71FC9"/>
    <w:rsid w:val="00E72A75"/>
    <w:rsid w:val="00E85058"/>
    <w:rsid w:val="00E85903"/>
    <w:rsid w:val="00E86BCA"/>
    <w:rsid w:val="00E91E30"/>
    <w:rsid w:val="00E92054"/>
    <w:rsid w:val="00EA2890"/>
    <w:rsid w:val="00EA38D0"/>
    <w:rsid w:val="00EA4B29"/>
    <w:rsid w:val="00EA77E6"/>
    <w:rsid w:val="00EB09A1"/>
    <w:rsid w:val="00EC1A0D"/>
    <w:rsid w:val="00EC4C3B"/>
    <w:rsid w:val="00ED26F8"/>
    <w:rsid w:val="00ED4EF0"/>
    <w:rsid w:val="00EE3171"/>
    <w:rsid w:val="00F16BE4"/>
    <w:rsid w:val="00F33354"/>
    <w:rsid w:val="00F36137"/>
    <w:rsid w:val="00F36AA6"/>
    <w:rsid w:val="00F508B1"/>
    <w:rsid w:val="00F60F79"/>
    <w:rsid w:val="00F736C9"/>
    <w:rsid w:val="00F94845"/>
    <w:rsid w:val="00FA042C"/>
    <w:rsid w:val="00FA32C7"/>
    <w:rsid w:val="00FA4E5D"/>
    <w:rsid w:val="00FB07E2"/>
    <w:rsid w:val="00FB4152"/>
    <w:rsid w:val="00FD441B"/>
    <w:rsid w:val="00FD59E7"/>
    <w:rsid w:val="00FD698B"/>
    <w:rsid w:val="00FE36B0"/>
    <w:rsid w:val="00FE534D"/>
    <w:rsid w:val="00FE6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56B04E"/>
  <w15:chartTrackingRefBased/>
  <w15:docId w15:val="{FE78A479-B3B3-7946-A77B-76564B9A3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4A5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6A6F"/>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186AE1"/>
    <w:pPr>
      <w:ind w:left="720"/>
      <w:contextualSpacing/>
    </w:pPr>
  </w:style>
  <w:style w:type="character" w:styleId="Hyperlink">
    <w:name w:val="Hyperlink"/>
    <w:basedOn w:val="DefaultParagraphFont"/>
    <w:uiPriority w:val="99"/>
    <w:unhideWhenUsed/>
    <w:rsid w:val="00395952"/>
    <w:rPr>
      <w:color w:val="0563C1" w:themeColor="hyperlink"/>
      <w:u w:val="single"/>
    </w:rPr>
  </w:style>
  <w:style w:type="character" w:styleId="UnresolvedMention">
    <w:name w:val="Unresolved Mention"/>
    <w:basedOn w:val="DefaultParagraphFont"/>
    <w:uiPriority w:val="99"/>
    <w:semiHidden/>
    <w:unhideWhenUsed/>
    <w:rsid w:val="00395952"/>
    <w:rPr>
      <w:color w:val="605E5C"/>
      <w:shd w:val="clear" w:color="auto" w:fill="E1DFDD"/>
    </w:rPr>
  </w:style>
  <w:style w:type="character" w:styleId="FollowedHyperlink">
    <w:name w:val="FollowedHyperlink"/>
    <w:basedOn w:val="DefaultParagraphFont"/>
    <w:uiPriority w:val="99"/>
    <w:semiHidden/>
    <w:unhideWhenUsed/>
    <w:rsid w:val="0079738A"/>
    <w:rPr>
      <w:color w:val="954F72" w:themeColor="followedHyperlink"/>
      <w:u w:val="single"/>
    </w:rPr>
  </w:style>
  <w:style w:type="character" w:customStyle="1" w:styleId="Heading1Char">
    <w:name w:val="Heading 1 Char"/>
    <w:basedOn w:val="DefaultParagraphFont"/>
    <w:link w:val="Heading1"/>
    <w:uiPriority w:val="9"/>
    <w:rsid w:val="00C74A5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7089">
      <w:bodyDiv w:val="1"/>
      <w:marLeft w:val="0"/>
      <w:marRight w:val="0"/>
      <w:marTop w:val="0"/>
      <w:marBottom w:val="0"/>
      <w:divBdr>
        <w:top w:val="none" w:sz="0" w:space="0" w:color="auto"/>
        <w:left w:val="none" w:sz="0" w:space="0" w:color="auto"/>
        <w:bottom w:val="none" w:sz="0" w:space="0" w:color="auto"/>
        <w:right w:val="none" w:sz="0" w:space="0" w:color="auto"/>
      </w:divBdr>
    </w:div>
    <w:div w:id="281574987">
      <w:bodyDiv w:val="1"/>
      <w:marLeft w:val="0"/>
      <w:marRight w:val="0"/>
      <w:marTop w:val="0"/>
      <w:marBottom w:val="0"/>
      <w:divBdr>
        <w:top w:val="none" w:sz="0" w:space="0" w:color="auto"/>
        <w:left w:val="none" w:sz="0" w:space="0" w:color="auto"/>
        <w:bottom w:val="none" w:sz="0" w:space="0" w:color="auto"/>
        <w:right w:val="none" w:sz="0" w:space="0" w:color="auto"/>
      </w:divBdr>
    </w:div>
    <w:div w:id="385642532">
      <w:bodyDiv w:val="1"/>
      <w:marLeft w:val="0"/>
      <w:marRight w:val="0"/>
      <w:marTop w:val="0"/>
      <w:marBottom w:val="0"/>
      <w:divBdr>
        <w:top w:val="none" w:sz="0" w:space="0" w:color="auto"/>
        <w:left w:val="none" w:sz="0" w:space="0" w:color="auto"/>
        <w:bottom w:val="none" w:sz="0" w:space="0" w:color="auto"/>
        <w:right w:val="none" w:sz="0" w:space="0" w:color="auto"/>
      </w:divBdr>
    </w:div>
    <w:div w:id="553661867">
      <w:bodyDiv w:val="1"/>
      <w:marLeft w:val="0"/>
      <w:marRight w:val="0"/>
      <w:marTop w:val="0"/>
      <w:marBottom w:val="0"/>
      <w:divBdr>
        <w:top w:val="none" w:sz="0" w:space="0" w:color="auto"/>
        <w:left w:val="none" w:sz="0" w:space="0" w:color="auto"/>
        <w:bottom w:val="none" w:sz="0" w:space="0" w:color="auto"/>
        <w:right w:val="none" w:sz="0" w:space="0" w:color="auto"/>
      </w:divBdr>
    </w:div>
    <w:div w:id="595482235">
      <w:bodyDiv w:val="1"/>
      <w:marLeft w:val="0"/>
      <w:marRight w:val="0"/>
      <w:marTop w:val="0"/>
      <w:marBottom w:val="0"/>
      <w:divBdr>
        <w:top w:val="none" w:sz="0" w:space="0" w:color="auto"/>
        <w:left w:val="none" w:sz="0" w:space="0" w:color="auto"/>
        <w:bottom w:val="none" w:sz="0" w:space="0" w:color="auto"/>
        <w:right w:val="none" w:sz="0" w:space="0" w:color="auto"/>
      </w:divBdr>
    </w:div>
    <w:div w:id="670257834">
      <w:bodyDiv w:val="1"/>
      <w:marLeft w:val="0"/>
      <w:marRight w:val="0"/>
      <w:marTop w:val="0"/>
      <w:marBottom w:val="0"/>
      <w:divBdr>
        <w:top w:val="none" w:sz="0" w:space="0" w:color="auto"/>
        <w:left w:val="none" w:sz="0" w:space="0" w:color="auto"/>
        <w:bottom w:val="none" w:sz="0" w:space="0" w:color="auto"/>
        <w:right w:val="none" w:sz="0" w:space="0" w:color="auto"/>
      </w:divBdr>
    </w:div>
    <w:div w:id="694699520">
      <w:bodyDiv w:val="1"/>
      <w:marLeft w:val="0"/>
      <w:marRight w:val="0"/>
      <w:marTop w:val="0"/>
      <w:marBottom w:val="0"/>
      <w:divBdr>
        <w:top w:val="none" w:sz="0" w:space="0" w:color="auto"/>
        <w:left w:val="none" w:sz="0" w:space="0" w:color="auto"/>
        <w:bottom w:val="none" w:sz="0" w:space="0" w:color="auto"/>
        <w:right w:val="none" w:sz="0" w:space="0" w:color="auto"/>
      </w:divBdr>
      <w:divsChild>
        <w:div w:id="1596478774">
          <w:marLeft w:val="720"/>
          <w:marRight w:val="0"/>
          <w:marTop w:val="0"/>
          <w:marBottom w:val="0"/>
          <w:divBdr>
            <w:top w:val="none" w:sz="0" w:space="0" w:color="auto"/>
            <w:left w:val="none" w:sz="0" w:space="0" w:color="auto"/>
            <w:bottom w:val="none" w:sz="0" w:space="0" w:color="auto"/>
            <w:right w:val="none" w:sz="0" w:space="0" w:color="auto"/>
          </w:divBdr>
        </w:div>
      </w:divsChild>
    </w:div>
    <w:div w:id="1401909083">
      <w:bodyDiv w:val="1"/>
      <w:marLeft w:val="0"/>
      <w:marRight w:val="0"/>
      <w:marTop w:val="0"/>
      <w:marBottom w:val="0"/>
      <w:divBdr>
        <w:top w:val="none" w:sz="0" w:space="0" w:color="auto"/>
        <w:left w:val="none" w:sz="0" w:space="0" w:color="auto"/>
        <w:bottom w:val="none" w:sz="0" w:space="0" w:color="auto"/>
        <w:right w:val="none" w:sz="0" w:space="0" w:color="auto"/>
      </w:divBdr>
      <w:divsChild>
        <w:div w:id="1574126505">
          <w:marLeft w:val="0"/>
          <w:marRight w:val="0"/>
          <w:marTop w:val="0"/>
          <w:marBottom w:val="0"/>
          <w:divBdr>
            <w:top w:val="none" w:sz="0" w:space="0" w:color="auto"/>
            <w:left w:val="none" w:sz="0" w:space="0" w:color="auto"/>
            <w:bottom w:val="none" w:sz="0" w:space="0" w:color="auto"/>
            <w:right w:val="none" w:sz="0" w:space="0" w:color="auto"/>
          </w:divBdr>
          <w:divsChild>
            <w:div w:id="332807041">
              <w:marLeft w:val="0"/>
              <w:marRight w:val="0"/>
              <w:marTop w:val="0"/>
              <w:marBottom w:val="0"/>
              <w:divBdr>
                <w:top w:val="none" w:sz="0" w:space="0" w:color="auto"/>
                <w:left w:val="none" w:sz="0" w:space="0" w:color="auto"/>
                <w:bottom w:val="none" w:sz="0" w:space="0" w:color="auto"/>
                <w:right w:val="none" w:sz="0" w:space="0" w:color="auto"/>
              </w:divBdr>
              <w:divsChild>
                <w:div w:id="15298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388768">
      <w:bodyDiv w:val="1"/>
      <w:marLeft w:val="0"/>
      <w:marRight w:val="0"/>
      <w:marTop w:val="0"/>
      <w:marBottom w:val="0"/>
      <w:divBdr>
        <w:top w:val="none" w:sz="0" w:space="0" w:color="auto"/>
        <w:left w:val="none" w:sz="0" w:space="0" w:color="auto"/>
        <w:bottom w:val="none" w:sz="0" w:space="0" w:color="auto"/>
        <w:right w:val="none" w:sz="0" w:space="0" w:color="auto"/>
      </w:divBdr>
    </w:div>
    <w:div w:id="1831752597">
      <w:bodyDiv w:val="1"/>
      <w:marLeft w:val="0"/>
      <w:marRight w:val="0"/>
      <w:marTop w:val="0"/>
      <w:marBottom w:val="0"/>
      <w:divBdr>
        <w:top w:val="none" w:sz="0" w:space="0" w:color="auto"/>
        <w:left w:val="none" w:sz="0" w:space="0" w:color="auto"/>
        <w:bottom w:val="none" w:sz="0" w:space="0" w:color="auto"/>
        <w:right w:val="none" w:sz="0" w:space="0" w:color="auto"/>
      </w:divBdr>
    </w:div>
    <w:div w:id="192914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p-ebscohost-com.ezproxy.uwtsd.ac.uk/ehost/detail/detail?vid=0&amp;sid=d65afb1b-3ad9-4344-8848-a7f032d2c56f%40redis&amp;bdata=JnNpdGU9ZWhvc3QtbGl2ZQ%3d%3d" TargetMode="External"/><Relationship Id="rId13" Type="http://schemas.openxmlformats.org/officeDocument/2006/relationships/hyperlink" Target="http://libres.uncg.edu/ir/asu/f/Murphy_Robinson_2008_The_Maximizer.pdf" TargetMode="External"/><Relationship Id="rId18" Type="http://schemas.openxmlformats.org/officeDocument/2006/relationships/hyperlink" Target="https://www.ojp.gov/pdffiles1/Digitization/140517NCJRS.pdfn" TargetMode="External"/><Relationship Id="rId3" Type="http://schemas.openxmlformats.org/officeDocument/2006/relationships/settings" Target="settings.xml"/><Relationship Id="rId7" Type="http://schemas.openxmlformats.org/officeDocument/2006/relationships/hyperlink" Target="https://study.sagepub.com/system/files/Cohen%2C_Albert_K._-_Delinquent_Boys.pdf" TargetMode="External"/><Relationship Id="rId12" Type="http://schemas.openxmlformats.org/officeDocument/2006/relationships/hyperlink" Target="https://www.google.com/url?sa=t&amp;rct=j&amp;q=&amp;esrc=s&amp;source=web&amp;cd=&amp;ved=2ahUKEwiK9oS4vO-EAxVHXUEAHbfXBn4QFnoECCwQAQ&amp;url=https%3A%2F%2Fgregladen.com%2Fblog%2F2022%2F04%2F07%2Fcorrelation-and-causation-single-mothers-and-violent-crime%2F&amp;usg=AOvVaw2YucqPbzUl_F4B9ydWNvI9&amp;opi=89978449" TargetMode="External"/><Relationship Id="rId17" Type="http://schemas.openxmlformats.org/officeDocument/2006/relationships/hyperlink" Target="https://www.bocsar.nsw.gov.au/Publications/CJB/cjb54.pdf" TargetMode="External"/><Relationship Id="rId2" Type="http://schemas.openxmlformats.org/officeDocument/2006/relationships/styles" Target="styles.xml"/><Relationship Id="rId16" Type="http://schemas.openxmlformats.org/officeDocument/2006/relationships/hyperlink" Target="https://doi.org/10.2307/113501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guardian.com/uk-news/2015/sep/03/the-selling-of-the-krays-how-two-mediocre-criminals-created-their-own-legendlegends" TargetMode="External"/><Relationship Id="rId11" Type="http://schemas.openxmlformats.org/officeDocument/2006/relationships/hyperlink" Target="http://exampapers.nust.na:8080/greenstone3/sites/localsite/collect/textbook/index/assoc/HASH0182.dir/Criminal_Justice_An_Introduction_chapter_1_The_causes_of_crime_and_deviancy.pdf" TargetMode="External"/><Relationship Id="rId5" Type="http://schemas.openxmlformats.org/officeDocument/2006/relationships/hyperlink" Target="https://www.politicshome.com/thehouse/article/bethnal-green-and-bow-the-constituency-where-child-poverty-is-becoming-the-norm" TargetMode="External"/><Relationship Id="rId15" Type="http://schemas.openxmlformats.org/officeDocument/2006/relationships/hyperlink" Target="https://allthatsinteresting.com/kray-twins" TargetMode="External"/><Relationship Id="rId10" Type="http://schemas.openxmlformats.org/officeDocument/2006/relationships/hyperlink" Target="https://www.theguardian.com/society/2001/apr/05/crime.pena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lato.stanford.edu/archives/win2022/entries/utilitarianism-history/" TargetMode="External"/><Relationship Id="rId14" Type="http://schemas.openxmlformats.org/officeDocument/2006/relationships/hyperlink" Target="https://www.thesun.co.uk/news/20600297/who-was-charles-kr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430</TotalTime>
  <Pages>6</Pages>
  <Words>1846</Words>
  <Characters>10528</Characters>
  <Application>Microsoft Office Word</Application>
  <DocSecurity>0</DocSecurity>
  <Lines>87</Lines>
  <Paragraphs>24</Paragraphs>
  <ScaleCrop>false</ScaleCrop>
  <Company/>
  <LinksUpToDate>false</LinksUpToDate>
  <CharactersWithSpaces>12350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Bowen (2200584)</dc:creator>
  <cp:keywords/>
  <dc:description/>
  <cp:lastModifiedBy>Ellie Bowen (2200584)</cp:lastModifiedBy>
  <cp:revision>412</cp:revision>
  <dcterms:created xsi:type="dcterms:W3CDTF">2024-02-24T13:32:00Z</dcterms:created>
  <dcterms:modified xsi:type="dcterms:W3CDTF">2024-03-13T16:13:00Z</dcterms:modified>
</cp:coreProperties>
</file>