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5A6C0" w14:textId="49F2E536" w:rsidR="00670CF7" w:rsidRDefault="00670CF7" w:rsidP="00670CF7">
      <w:pPr>
        <w:pStyle w:val="Normal1"/>
        <w:spacing w:line="360" w:lineRule="auto"/>
        <w:jc w:val="center"/>
        <w:rPr>
          <w:rFonts w:ascii="Times New Roman" w:eastAsia="Times New Roman" w:hAnsi="Times New Roman" w:cs="Times New Roman"/>
          <w:b/>
          <w:sz w:val="36"/>
          <w:szCs w:val="36"/>
          <w:u w:val="single"/>
          <w:lang w:val="en-GB"/>
        </w:rPr>
      </w:pPr>
      <w:r>
        <w:rPr>
          <w:rFonts w:ascii="Times New Roman" w:eastAsia="Times New Roman" w:hAnsi="Times New Roman" w:cs="Times New Roman"/>
          <w:b/>
          <w:sz w:val="36"/>
          <w:szCs w:val="36"/>
          <w:u w:val="single"/>
          <w:lang w:val="en-GB"/>
        </w:rPr>
        <w:t>Student  Name: Mariya Ilieva Ilieva</w:t>
      </w:r>
    </w:p>
    <w:p w14:paraId="1DA902EC" w14:textId="0EE6BA54" w:rsidR="00670CF7" w:rsidRDefault="00670CF7" w:rsidP="00670CF7">
      <w:pPr>
        <w:pStyle w:val="Normal1"/>
        <w:spacing w:line="360" w:lineRule="auto"/>
        <w:jc w:val="center"/>
        <w:rPr>
          <w:rFonts w:ascii="Times New Roman" w:eastAsia="Times New Roman" w:hAnsi="Times New Roman" w:cs="Times New Roman"/>
          <w:b/>
          <w:sz w:val="36"/>
          <w:szCs w:val="36"/>
          <w:u w:val="single"/>
          <w:lang w:val="en-GB"/>
        </w:rPr>
      </w:pPr>
      <w:r>
        <w:rPr>
          <w:rFonts w:ascii="Times New Roman" w:eastAsia="Times New Roman" w:hAnsi="Times New Roman" w:cs="Times New Roman"/>
          <w:b/>
          <w:sz w:val="36"/>
          <w:szCs w:val="36"/>
          <w:u w:val="single"/>
          <w:lang w:val="en-GB"/>
        </w:rPr>
        <w:t>Student ID: 2123768</w:t>
      </w:r>
    </w:p>
    <w:p w14:paraId="30D55365" w14:textId="77777777" w:rsidR="00670CF7" w:rsidRDefault="00670CF7" w:rsidP="00670CF7">
      <w:pPr>
        <w:pStyle w:val="Normal1"/>
        <w:spacing w:line="360" w:lineRule="auto"/>
        <w:jc w:val="center"/>
        <w:rPr>
          <w:rFonts w:ascii="Times New Roman" w:eastAsia="Times New Roman" w:hAnsi="Times New Roman" w:cs="Times New Roman"/>
          <w:b/>
          <w:sz w:val="36"/>
          <w:szCs w:val="36"/>
          <w:u w:val="single"/>
          <w:lang w:val="en-GB"/>
        </w:rPr>
      </w:pPr>
    </w:p>
    <w:p w14:paraId="5EC96675" w14:textId="77777777" w:rsidR="00670CF7" w:rsidRDefault="00670CF7" w:rsidP="00670CF7">
      <w:pPr>
        <w:pStyle w:val="Normal1"/>
        <w:spacing w:line="360" w:lineRule="auto"/>
        <w:jc w:val="center"/>
        <w:rPr>
          <w:rFonts w:ascii="Times New Roman" w:eastAsia="Times New Roman" w:hAnsi="Times New Roman" w:cs="Times New Roman"/>
          <w:b/>
          <w:sz w:val="36"/>
          <w:szCs w:val="36"/>
          <w:u w:val="single"/>
          <w:lang w:val="en-GB"/>
        </w:rPr>
      </w:pPr>
    </w:p>
    <w:p w14:paraId="14D8341E" w14:textId="02ED25A2" w:rsidR="00670CF7" w:rsidRDefault="00670CF7" w:rsidP="00670CF7">
      <w:pPr>
        <w:pStyle w:val="Normal1"/>
        <w:spacing w:line="360" w:lineRule="auto"/>
        <w:jc w:val="center"/>
        <w:rPr>
          <w:rFonts w:ascii="Times New Roman" w:eastAsia="Times New Roman" w:hAnsi="Times New Roman" w:cs="Times New Roman"/>
          <w:b/>
          <w:sz w:val="36"/>
          <w:szCs w:val="36"/>
          <w:u w:val="single"/>
          <w:lang w:val="en-GB"/>
        </w:rPr>
      </w:pPr>
      <w:r>
        <w:rPr>
          <w:rFonts w:ascii="Times New Roman" w:eastAsia="Times New Roman" w:hAnsi="Times New Roman" w:cs="Times New Roman"/>
          <w:b/>
          <w:sz w:val="36"/>
          <w:szCs w:val="36"/>
          <w:u w:val="single"/>
          <w:lang w:val="en-GB"/>
        </w:rPr>
        <w:t xml:space="preserve">LCBB4002 Community Engagement </w:t>
      </w:r>
    </w:p>
    <w:p w14:paraId="455425BC" w14:textId="77777777" w:rsidR="00670CF7" w:rsidRDefault="00670CF7" w:rsidP="00670CF7">
      <w:pPr>
        <w:pStyle w:val="Normal1"/>
        <w:spacing w:line="360" w:lineRule="auto"/>
        <w:jc w:val="center"/>
        <w:rPr>
          <w:rFonts w:ascii="Times New Roman" w:eastAsia="Times New Roman" w:hAnsi="Times New Roman" w:cs="Times New Roman"/>
          <w:b/>
          <w:sz w:val="36"/>
          <w:szCs w:val="36"/>
          <w:u w:val="single"/>
          <w:lang w:val="en-GB"/>
        </w:rPr>
      </w:pPr>
      <w:r>
        <w:rPr>
          <w:rFonts w:ascii="Times New Roman" w:eastAsia="Times New Roman" w:hAnsi="Times New Roman" w:cs="Times New Roman"/>
          <w:b/>
          <w:sz w:val="36"/>
          <w:szCs w:val="36"/>
          <w:u w:val="single"/>
          <w:lang w:val="en-GB"/>
        </w:rPr>
        <w:t>Assessment 2</w:t>
      </w:r>
    </w:p>
    <w:p w14:paraId="48387809" w14:textId="6322EF07" w:rsidR="00670CF7" w:rsidRDefault="00670CF7" w:rsidP="00670CF7">
      <w:pPr>
        <w:pStyle w:val="Normal1"/>
        <w:spacing w:line="360" w:lineRule="auto"/>
        <w:jc w:val="both"/>
        <w:rPr>
          <w:rFonts w:ascii="Times New Roman" w:eastAsia="Times New Roman" w:hAnsi="Times New Roman" w:cs="Times New Roman"/>
          <w:b/>
          <w:sz w:val="36"/>
          <w:szCs w:val="36"/>
          <w:lang w:val="en-GB"/>
        </w:rPr>
      </w:pPr>
      <w:r>
        <w:br w:type="page"/>
      </w:r>
    </w:p>
    <w:sdt>
      <w:sdtPr>
        <w:rPr>
          <w:rFonts w:ascii="Arial" w:eastAsia="Arial" w:hAnsi="Arial" w:cs="Arial"/>
          <w:b w:val="0"/>
          <w:bCs w:val="0"/>
          <w:color w:val="auto"/>
          <w:sz w:val="22"/>
          <w:szCs w:val="22"/>
          <w:lang w:val="en-GB"/>
        </w:rPr>
        <w:id w:val="8191240"/>
        <w:docPartObj>
          <w:docPartGallery w:val="Table of Contents"/>
          <w:docPartUnique/>
        </w:docPartObj>
      </w:sdtPr>
      <w:sdtContent>
        <w:p w14:paraId="3961C9D6" w14:textId="77777777" w:rsidR="00670CF7" w:rsidRDefault="00670CF7" w:rsidP="00670CF7">
          <w:pPr>
            <w:pStyle w:val="TOCHeading"/>
            <w:spacing w:line="360" w:lineRule="auto"/>
            <w:jc w:val="center"/>
            <w:rPr>
              <w:rFonts w:ascii="Times New Roman" w:hAnsi="Times New Roman" w:cs="Times New Roman"/>
              <w:color w:val="auto"/>
              <w:sz w:val="32"/>
              <w:szCs w:val="32"/>
              <w:lang w:val="en-GB"/>
            </w:rPr>
          </w:pPr>
          <w:r>
            <w:rPr>
              <w:rFonts w:ascii="Times New Roman" w:hAnsi="Times New Roman" w:cs="Times New Roman"/>
              <w:color w:val="auto"/>
              <w:sz w:val="32"/>
              <w:szCs w:val="32"/>
              <w:lang w:val="en-GB"/>
            </w:rPr>
            <w:t>Table of Contents</w:t>
          </w:r>
        </w:p>
        <w:p w14:paraId="7788E50A" w14:textId="77777777" w:rsidR="00670CF7" w:rsidRDefault="00670CF7" w:rsidP="00670CF7">
          <w:pPr>
            <w:pStyle w:val="TOC1"/>
            <w:tabs>
              <w:tab w:val="right" w:leader="dot" w:pos="9019"/>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r:id="rId4" w:anchor="_Toc109407184" w:history="1">
            <w:r>
              <w:rPr>
                <w:rStyle w:val="Hyperlink"/>
                <w:rFonts w:cs="Times New Roman"/>
                <w:noProof/>
                <w:sz w:val="24"/>
                <w:szCs w:val="24"/>
              </w:rPr>
              <w:t>Introduction</w:t>
            </w:r>
            <w:r>
              <w:rPr>
                <w:rStyle w:val="Hyperlink"/>
                <w:rFonts w:cs="Times New Roman"/>
                <w:noProof/>
                <w:webHidden/>
                <w:sz w:val="24"/>
                <w:szCs w:val="24"/>
              </w:rPr>
              <w:tab/>
            </w:r>
            <w:r>
              <w:rPr>
                <w:rStyle w:val="Hyperlink"/>
                <w:rFonts w:cs="Times New Roman"/>
                <w:noProof/>
                <w:webHidden/>
                <w:sz w:val="24"/>
                <w:szCs w:val="24"/>
              </w:rPr>
              <w:fldChar w:fldCharType="begin"/>
            </w:r>
            <w:r>
              <w:rPr>
                <w:rStyle w:val="Hyperlink"/>
                <w:rFonts w:cs="Times New Roman"/>
                <w:noProof/>
                <w:webHidden/>
                <w:sz w:val="24"/>
                <w:szCs w:val="24"/>
              </w:rPr>
              <w:instrText xml:space="preserve"> PAGEREF _Toc109407184 \h </w:instrText>
            </w:r>
            <w:r>
              <w:rPr>
                <w:rStyle w:val="Hyperlink"/>
                <w:rFonts w:cs="Times New Roman"/>
                <w:noProof/>
                <w:webHidden/>
                <w:sz w:val="24"/>
                <w:szCs w:val="24"/>
              </w:rPr>
            </w:r>
            <w:r>
              <w:rPr>
                <w:rStyle w:val="Hyperlink"/>
                <w:rFonts w:cs="Times New Roman"/>
                <w:noProof/>
                <w:webHidden/>
                <w:sz w:val="24"/>
                <w:szCs w:val="24"/>
              </w:rPr>
              <w:fldChar w:fldCharType="separate"/>
            </w:r>
            <w:r>
              <w:rPr>
                <w:rStyle w:val="Hyperlink"/>
                <w:rFonts w:cs="Times New Roman"/>
                <w:noProof/>
                <w:webHidden/>
                <w:sz w:val="24"/>
                <w:szCs w:val="24"/>
              </w:rPr>
              <w:t>3</w:t>
            </w:r>
            <w:r>
              <w:rPr>
                <w:rStyle w:val="Hyperlink"/>
                <w:rFonts w:cs="Times New Roman"/>
                <w:noProof/>
                <w:webHidden/>
                <w:sz w:val="24"/>
                <w:szCs w:val="24"/>
              </w:rPr>
              <w:fldChar w:fldCharType="end"/>
            </w:r>
          </w:hyperlink>
        </w:p>
        <w:p w14:paraId="59C7A9B7" w14:textId="77777777" w:rsidR="00670CF7" w:rsidRDefault="00670CF7" w:rsidP="00670CF7">
          <w:pPr>
            <w:pStyle w:val="TOC1"/>
            <w:tabs>
              <w:tab w:val="right" w:leader="dot" w:pos="9019"/>
            </w:tabs>
            <w:spacing w:line="360" w:lineRule="auto"/>
            <w:jc w:val="both"/>
            <w:rPr>
              <w:rFonts w:ascii="Times New Roman" w:hAnsi="Times New Roman" w:cs="Times New Roman"/>
              <w:noProof/>
              <w:sz w:val="24"/>
              <w:szCs w:val="24"/>
            </w:rPr>
          </w:pPr>
          <w:hyperlink r:id="rId5" w:anchor="_Toc109407185" w:history="1">
            <w:r>
              <w:rPr>
                <w:rStyle w:val="Hyperlink"/>
                <w:rFonts w:cs="Times New Roman"/>
                <w:noProof/>
                <w:sz w:val="24"/>
                <w:szCs w:val="24"/>
              </w:rPr>
              <w:t>Discussion</w:t>
            </w:r>
            <w:r>
              <w:rPr>
                <w:rStyle w:val="Hyperlink"/>
                <w:rFonts w:cs="Times New Roman"/>
                <w:noProof/>
                <w:webHidden/>
                <w:sz w:val="24"/>
                <w:szCs w:val="24"/>
              </w:rPr>
              <w:tab/>
            </w:r>
            <w:r>
              <w:rPr>
                <w:rStyle w:val="Hyperlink"/>
                <w:rFonts w:cs="Times New Roman"/>
                <w:noProof/>
                <w:webHidden/>
                <w:sz w:val="24"/>
                <w:szCs w:val="24"/>
              </w:rPr>
              <w:fldChar w:fldCharType="begin"/>
            </w:r>
            <w:r>
              <w:rPr>
                <w:rStyle w:val="Hyperlink"/>
                <w:rFonts w:cs="Times New Roman"/>
                <w:noProof/>
                <w:webHidden/>
                <w:sz w:val="24"/>
                <w:szCs w:val="24"/>
              </w:rPr>
              <w:instrText xml:space="preserve"> PAGEREF _Toc109407185 \h </w:instrText>
            </w:r>
            <w:r>
              <w:rPr>
                <w:rStyle w:val="Hyperlink"/>
                <w:rFonts w:cs="Times New Roman"/>
                <w:noProof/>
                <w:webHidden/>
                <w:sz w:val="24"/>
                <w:szCs w:val="24"/>
              </w:rPr>
            </w:r>
            <w:r>
              <w:rPr>
                <w:rStyle w:val="Hyperlink"/>
                <w:rFonts w:cs="Times New Roman"/>
                <w:noProof/>
                <w:webHidden/>
                <w:sz w:val="24"/>
                <w:szCs w:val="24"/>
              </w:rPr>
              <w:fldChar w:fldCharType="separate"/>
            </w:r>
            <w:r>
              <w:rPr>
                <w:rStyle w:val="Hyperlink"/>
                <w:rFonts w:cs="Times New Roman"/>
                <w:noProof/>
                <w:webHidden/>
                <w:sz w:val="24"/>
                <w:szCs w:val="24"/>
              </w:rPr>
              <w:t>3</w:t>
            </w:r>
            <w:r>
              <w:rPr>
                <w:rStyle w:val="Hyperlink"/>
                <w:rFonts w:cs="Times New Roman"/>
                <w:noProof/>
                <w:webHidden/>
                <w:sz w:val="24"/>
                <w:szCs w:val="24"/>
              </w:rPr>
              <w:fldChar w:fldCharType="end"/>
            </w:r>
          </w:hyperlink>
        </w:p>
        <w:p w14:paraId="5BC6BFB3" w14:textId="77777777" w:rsidR="00670CF7" w:rsidRDefault="00670CF7" w:rsidP="00670CF7">
          <w:pPr>
            <w:pStyle w:val="TOC1"/>
            <w:tabs>
              <w:tab w:val="right" w:leader="dot" w:pos="9019"/>
            </w:tabs>
            <w:spacing w:line="360" w:lineRule="auto"/>
            <w:jc w:val="both"/>
            <w:rPr>
              <w:rFonts w:ascii="Times New Roman" w:hAnsi="Times New Roman" w:cs="Times New Roman"/>
              <w:noProof/>
              <w:sz w:val="24"/>
              <w:szCs w:val="24"/>
            </w:rPr>
          </w:pPr>
          <w:hyperlink r:id="rId6" w:anchor="_Toc109407186" w:history="1">
            <w:r>
              <w:rPr>
                <w:rStyle w:val="Hyperlink"/>
                <w:rFonts w:cs="Times New Roman"/>
                <w:noProof/>
                <w:sz w:val="24"/>
                <w:szCs w:val="24"/>
              </w:rPr>
              <w:t>Conclusion</w:t>
            </w:r>
            <w:r>
              <w:rPr>
                <w:rStyle w:val="Hyperlink"/>
                <w:rFonts w:cs="Times New Roman"/>
                <w:noProof/>
                <w:webHidden/>
                <w:sz w:val="24"/>
                <w:szCs w:val="24"/>
              </w:rPr>
              <w:tab/>
            </w:r>
            <w:r>
              <w:rPr>
                <w:rStyle w:val="Hyperlink"/>
                <w:rFonts w:cs="Times New Roman"/>
                <w:noProof/>
                <w:webHidden/>
                <w:sz w:val="24"/>
                <w:szCs w:val="24"/>
              </w:rPr>
              <w:fldChar w:fldCharType="begin"/>
            </w:r>
            <w:r>
              <w:rPr>
                <w:rStyle w:val="Hyperlink"/>
                <w:rFonts w:cs="Times New Roman"/>
                <w:noProof/>
                <w:webHidden/>
                <w:sz w:val="24"/>
                <w:szCs w:val="24"/>
              </w:rPr>
              <w:instrText xml:space="preserve"> PAGEREF _Toc109407186 \h </w:instrText>
            </w:r>
            <w:r>
              <w:rPr>
                <w:rStyle w:val="Hyperlink"/>
                <w:rFonts w:cs="Times New Roman"/>
                <w:noProof/>
                <w:webHidden/>
                <w:sz w:val="24"/>
                <w:szCs w:val="24"/>
              </w:rPr>
            </w:r>
            <w:r>
              <w:rPr>
                <w:rStyle w:val="Hyperlink"/>
                <w:rFonts w:cs="Times New Roman"/>
                <w:noProof/>
                <w:webHidden/>
                <w:sz w:val="24"/>
                <w:szCs w:val="24"/>
              </w:rPr>
              <w:fldChar w:fldCharType="separate"/>
            </w:r>
            <w:r>
              <w:rPr>
                <w:rStyle w:val="Hyperlink"/>
                <w:rFonts w:cs="Times New Roman"/>
                <w:noProof/>
                <w:webHidden/>
                <w:sz w:val="24"/>
                <w:szCs w:val="24"/>
              </w:rPr>
              <w:t>6</w:t>
            </w:r>
            <w:r>
              <w:rPr>
                <w:rStyle w:val="Hyperlink"/>
                <w:rFonts w:cs="Times New Roman"/>
                <w:noProof/>
                <w:webHidden/>
                <w:sz w:val="24"/>
                <w:szCs w:val="24"/>
              </w:rPr>
              <w:fldChar w:fldCharType="end"/>
            </w:r>
          </w:hyperlink>
        </w:p>
        <w:p w14:paraId="72B51748" w14:textId="77777777" w:rsidR="00670CF7" w:rsidRDefault="00670CF7" w:rsidP="00670CF7">
          <w:pPr>
            <w:pStyle w:val="TOC1"/>
            <w:tabs>
              <w:tab w:val="right" w:leader="dot" w:pos="9019"/>
            </w:tabs>
            <w:spacing w:line="360" w:lineRule="auto"/>
            <w:jc w:val="both"/>
            <w:rPr>
              <w:noProof/>
            </w:rPr>
          </w:pPr>
          <w:hyperlink r:id="rId7" w:anchor="_Toc109407187" w:history="1">
            <w:r>
              <w:rPr>
                <w:rStyle w:val="Hyperlink"/>
                <w:rFonts w:cs="Times New Roman"/>
                <w:noProof/>
                <w:sz w:val="24"/>
                <w:szCs w:val="24"/>
              </w:rPr>
              <w:t>References</w:t>
            </w:r>
            <w:r>
              <w:rPr>
                <w:rStyle w:val="Hyperlink"/>
                <w:rFonts w:cs="Times New Roman"/>
                <w:noProof/>
                <w:webHidden/>
                <w:sz w:val="24"/>
                <w:szCs w:val="24"/>
              </w:rPr>
              <w:tab/>
            </w:r>
            <w:r>
              <w:rPr>
                <w:rStyle w:val="Hyperlink"/>
                <w:rFonts w:cs="Times New Roman"/>
                <w:noProof/>
                <w:webHidden/>
                <w:sz w:val="24"/>
                <w:szCs w:val="24"/>
              </w:rPr>
              <w:fldChar w:fldCharType="begin"/>
            </w:r>
            <w:r>
              <w:rPr>
                <w:rStyle w:val="Hyperlink"/>
                <w:rFonts w:cs="Times New Roman"/>
                <w:noProof/>
                <w:webHidden/>
                <w:sz w:val="24"/>
                <w:szCs w:val="24"/>
              </w:rPr>
              <w:instrText xml:space="preserve"> PAGEREF _Toc109407187 \h </w:instrText>
            </w:r>
            <w:r>
              <w:rPr>
                <w:rStyle w:val="Hyperlink"/>
                <w:rFonts w:cs="Times New Roman"/>
                <w:noProof/>
                <w:webHidden/>
                <w:sz w:val="24"/>
                <w:szCs w:val="24"/>
              </w:rPr>
            </w:r>
            <w:r>
              <w:rPr>
                <w:rStyle w:val="Hyperlink"/>
                <w:rFonts w:cs="Times New Roman"/>
                <w:noProof/>
                <w:webHidden/>
                <w:sz w:val="24"/>
                <w:szCs w:val="24"/>
              </w:rPr>
              <w:fldChar w:fldCharType="separate"/>
            </w:r>
            <w:r>
              <w:rPr>
                <w:rStyle w:val="Hyperlink"/>
                <w:rFonts w:cs="Times New Roman"/>
                <w:noProof/>
                <w:webHidden/>
                <w:sz w:val="24"/>
                <w:szCs w:val="24"/>
              </w:rPr>
              <w:t>8</w:t>
            </w:r>
            <w:r>
              <w:rPr>
                <w:rStyle w:val="Hyperlink"/>
                <w:rFonts w:cs="Times New Roman"/>
                <w:noProof/>
                <w:webHidden/>
                <w:sz w:val="24"/>
                <w:szCs w:val="24"/>
              </w:rPr>
              <w:fldChar w:fldCharType="end"/>
            </w:r>
          </w:hyperlink>
        </w:p>
        <w:p w14:paraId="284B1C85" w14:textId="77777777" w:rsidR="00670CF7" w:rsidRDefault="00670CF7" w:rsidP="00670CF7">
          <w:r>
            <w:fldChar w:fldCharType="end"/>
          </w:r>
        </w:p>
      </w:sdtContent>
    </w:sdt>
    <w:p w14:paraId="6491DB6D" w14:textId="77777777" w:rsidR="00670CF7" w:rsidRDefault="00670CF7" w:rsidP="00670CF7">
      <w:pPr>
        <w:pStyle w:val="Normal1"/>
        <w:spacing w:line="360" w:lineRule="auto"/>
        <w:jc w:val="both"/>
        <w:rPr>
          <w:rFonts w:ascii="Times New Roman" w:eastAsia="Times New Roman" w:hAnsi="Times New Roman" w:cs="Times New Roman"/>
          <w:b/>
          <w:sz w:val="36"/>
          <w:szCs w:val="36"/>
          <w:lang w:val="en-GB"/>
        </w:rPr>
      </w:pPr>
      <w:r>
        <w:rPr>
          <w:rFonts w:ascii="Times New Roman" w:hAnsi="Times New Roman" w:cs="Times New Roman"/>
          <w:sz w:val="24"/>
          <w:szCs w:val="24"/>
          <w:lang w:eastAsia="en-GB"/>
        </w:rPr>
        <w:br w:type="page"/>
      </w:r>
    </w:p>
    <w:p w14:paraId="4A9BDEE1" w14:textId="77777777" w:rsidR="00670CF7" w:rsidRDefault="00670CF7" w:rsidP="00670CF7">
      <w:pPr>
        <w:pStyle w:val="Heading1"/>
        <w:rPr>
          <w:rFonts w:eastAsia="Arial"/>
          <w:b w:val="0"/>
          <w:lang w:val="en-GB"/>
        </w:rPr>
      </w:pPr>
      <w:bookmarkStart w:id="0" w:name="_Toc109407184"/>
      <w:r>
        <w:rPr>
          <w:rFonts w:eastAsia="Arial"/>
          <w:lang w:val="en-GB"/>
        </w:rPr>
        <w:lastRenderedPageBreak/>
        <w:t>Introduction</w:t>
      </w:r>
      <w:bookmarkEnd w:id="0"/>
    </w:p>
    <w:p w14:paraId="58C2485C" w14:textId="77777777" w:rsidR="00670CF7" w:rsidRDefault="00670CF7" w:rsidP="00670CF7">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essay here will include the discussion about community engagement. The community engagements are basically the group of people of the audiences which helps in achieving a particular goal for the well being of the society and also the people within the society. The essay here will also include the information about the principles of the community that helps in solving the issues with the food bank or the project. The project of the community engagement here is basically to find out the solution for the food bank which is located in the country itself. The community here plans to be intuitive to solve the issues or the problems of the food bank. The food bank is basically an organisation which serves food to the animals and also the homeless people of the country. The essay also includes the stakeholders and their engagement within the project.</w:t>
      </w:r>
    </w:p>
    <w:p w14:paraId="305EDD78" w14:textId="77777777" w:rsidR="00670CF7" w:rsidRDefault="00670CF7" w:rsidP="00670CF7">
      <w:pPr>
        <w:pStyle w:val="Heading1"/>
        <w:rPr>
          <w:rFonts w:eastAsia="Arial"/>
          <w:lang w:val="en-GB"/>
        </w:rPr>
      </w:pPr>
      <w:bookmarkStart w:id="1" w:name="_Toc109407185"/>
      <w:r>
        <w:rPr>
          <w:rFonts w:eastAsia="Arial"/>
          <w:lang w:val="en-GB"/>
        </w:rPr>
        <w:t>Discussion</w:t>
      </w:r>
      <w:bookmarkEnd w:id="1"/>
    </w:p>
    <w:p w14:paraId="42631B96" w14:textId="77777777" w:rsidR="00670CF7" w:rsidRDefault="00670CF7" w:rsidP="00670CF7">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Community engagement here refers to a group of people who serve for the wellbeing of the society or a voluntary organisation within the country (</w:t>
      </w:r>
      <w:r>
        <w:rPr>
          <w:rFonts w:ascii="Times New Roman" w:eastAsia="Times New Roman" w:hAnsi="Times New Roman" w:cs="Times New Roman"/>
          <w:color w:val="222222"/>
          <w:sz w:val="24"/>
          <w:szCs w:val="24"/>
          <w:highlight w:val="white"/>
          <w:lang w:val="en-GB"/>
        </w:rPr>
        <w:t>Gilchrist, 2019</w:t>
      </w:r>
      <w:r>
        <w:rPr>
          <w:rFonts w:ascii="Times New Roman" w:eastAsia="Times New Roman" w:hAnsi="Times New Roman" w:cs="Times New Roman"/>
          <w:sz w:val="24"/>
          <w:szCs w:val="24"/>
          <w:lang w:val="en-GB"/>
        </w:rPr>
        <w:t>). The project of the community engagement here is to help the food bank who serves food to the animals and the homeless people within the country. The food bank here is running out of the food supplies and also do not have much of the fund as there have been rising in the numbers of the animals brought to the shelter and also the number of homeless people have started to grow. The project of the community engagement here is to help the food bank that lies within the country and also help them in finding donations which can help them feed the innocent animals and the homeless people within the country (</w:t>
      </w:r>
      <w:r>
        <w:rPr>
          <w:rFonts w:ascii="Times New Roman" w:eastAsia="Times New Roman" w:hAnsi="Times New Roman" w:cs="Times New Roman"/>
          <w:color w:val="222222"/>
          <w:sz w:val="24"/>
          <w:szCs w:val="24"/>
          <w:highlight w:val="white"/>
          <w:lang w:val="en-GB"/>
        </w:rPr>
        <w:t xml:space="preserve">Emodi </w:t>
      </w:r>
      <w:r>
        <w:rPr>
          <w:rFonts w:ascii="Times New Roman" w:eastAsia="Times New Roman" w:hAnsi="Times New Roman" w:cs="Times New Roman"/>
          <w:i/>
          <w:color w:val="222222"/>
          <w:sz w:val="24"/>
          <w:szCs w:val="24"/>
          <w:highlight w:val="white"/>
          <w:lang w:val="en-GB"/>
        </w:rPr>
        <w:t>et al</w:t>
      </w:r>
      <w:r>
        <w:rPr>
          <w:rFonts w:ascii="Times New Roman" w:eastAsia="Times New Roman" w:hAnsi="Times New Roman" w:cs="Times New Roman"/>
          <w:color w:val="222222"/>
          <w:sz w:val="24"/>
          <w:szCs w:val="24"/>
          <w:highlight w:val="white"/>
          <w:lang w:val="en-GB"/>
        </w:rPr>
        <w:t>., 2021</w:t>
      </w:r>
      <w:r>
        <w:rPr>
          <w:rFonts w:ascii="Times New Roman" w:eastAsia="Times New Roman" w:hAnsi="Times New Roman" w:cs="Times New Roman"/>
          <w:sz w:val="24"/>
          <w:szCs w:val="24"/>
          <w:lang w:val="en-GB"/>
        </w:rPr>
        <w:t>).  The community engagements are basically the group of individuals who also work for the positive change in the society and also the wellbeing of the other beings in and around. The community engagement here has come forwards to solve the issue and by participating or volunteering for the food bank. The community managers here work in different ways as their principles here include the better understanding of the community aims and also the rules and regulations which helps them in decision making. It also help to think about the project which is to find suitable donations for the food bank which service the foods to the animals and the homeless people (</w:t>
      </w:r>
      <w:r>
        <w:rPr>
          <w:rFonts w:ascii="Times New Roman" w:eastAsia="Times New Roman" w:hAnsi="Times New Roman" w:cs="Times New Roman"/>
          <w:color w:val="222222"/>
          <w:sz w:val="24"/>
          <w:szCs w:val="24"/>
          <w:highlight w:val="white"/>
          <w:lang w:val="en-GB"/>
        </w:rPr>
        <w:t xml:space="preserve">Natarajarathinam </w:t>
      </w:r>
      <w:r>
        <w:rPr>
          <w:rFonts w:ascii="Times New Roman" w:eastAsia="Times New Roman" w:hAnsi="Times New Roman" w:cs="Times New Roman"/>
          <w:i/>
          <w:color w:val="222222"/>
          <w:sz w:val="24"/>
          <w:szCs w:val="24"/>
          <w:highlight w:val="white"/>
          <w:lang w:val="en-GB"/>
        </w:rPr>
        <w:t>et al</w:t>
      </w:r>
      <w:r>
        <w:rPr>
          <w:rFonts w:ascii="Times New Roman" w:eastAsia="Times New Roman" w:hAnsi="Times New Roman" w:cs="Times New Roman"/>
          <w:color w:val="222222"/>
          <w:sz w:val="24"/>
          <w:szCs w:val="24"/>
          <w:highlight w:val="white"/>
          <w:lang w:val="en-GB"/>
        </w:rPr>
        <w:t>., 2021</w:t>
      </w:r>
      <w:r>
        <w:rPr>
          <w:rFonts w:ascii="Times New Roman" w:eastAsia="Times New Roman" w:hAnsi="Times New Roman" w:cs="Times New Roman"/>
          <w:sz w:val="24"/>
          <w:szCs w:val="24"/>
          <w:lang w:val="en-GB"/>
        </w:rPr>
        <w:t xml:space="preserve">). The second principles of the community engagements here deals with the making their members the star as they provide the instructions, ideas and strategies to the members of the community to perform the task. It also helps to find out the </w:t>
      </w:r>
      <w:r>
        <w:rPr>
          <w:rFonts w:ascii="Times New Roman" w:eastAsia="Times New Roman" w:hAnsi="Times New Roman" w:cs="Times New Roman"/>
          <w:sz w:val="24"/>
          <w:szCs w:val="24"/>
          <w:lang w:val="en-GB"/>
        </w:rPr>
        <w:lastRenderedPageBreak/>
        <w:t>best outcome for the project that could help them in solving the issues or the problems, which the food bank is going through. The third principle of community engagement includes taking small steps first towards the achievements of the project as it helps them to understand the situation more clearly and also help their members to participate in the small task or the activities which could have a positive impact on the outcome of the project (</w:t>
      </w:r>
      <w:r>
        <w:rPr>
          <w:rFonts w:ascii="Times New Roman" w:eastAsia="Times New Roman" w:hAnsi="Times New Roman" w:cs="Times New Roman"/>
          <w:color w:val="222222"/>
          <w:sz w:val="24"/>
          <w:szCs w:val="24"/>
          <w:highlight w:val="white"/>
          <w:lang w:val="en-GB"/>
        </w:rPr>
        <w:t>Kumar and Kumar, 2020</w:t>
      </w:r>
      <w:r>
        <w:rPr>
          <w:rFonts w:ascii="Times New Roman" w:eastAsia="Times New Roman" w:hAnsi="Times New Roman" w:cs="Times New Roman"/>
          <w:sz w:val="24"/>
          <w:szCs w:val="24"/>
          <w:lang w:val="en-GB"/>
        </w:rPr>
        <w:t>). If every member here works together to achieve the goals or solve the issue then the outcomes will have a positive impact on the project as well. The fourth principles of community engagement here include the participation of the leaders. This is one of the most effective ways to make the members of the community motivated that will also enhance their performance. If the leader just sits back and orders the members, the whole of the community will feel demotivated and also their performance will decrease as a good leader working together with the members or the team could help in creating a good bond and also understanding the ability of each member of the community. Applying these principles here also could help the community engagement to solve the issue of the food bank and also working together they can raise donations and also find stakeholders who can actually help directly to the food bank.</w:t>
      </w:r>
    </w:p>
    <w:p w14:paraId="6F261EE8" w14:textId="77777777" w:rsidR="00670CF7" w:rsidRDefault="00670CF7" w:rsidP="00670CF7">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community engagement here can launch an activity as they are always spreading awareness towards the society for the people to know about various topics and make them aware for the well-being of the people and the society as well (</w:t>
      </w:r>
      <w:r>
        <w:rPr>
          <w:rFonts w:ascii="Times New Roman" w:eastAsia="Times New Roman" w:hAnsi="Times New Roman" w:cs="Times New Roman"/>
          <w:color w:val="222222"/>
          <w:sz w:val="24"/>
          <w:szCs w:val="24"/>
          <w:highlight w:val="white"/>
          <w:lang w:val="en-GB"/>
        </w:rPr>
        <w:t>David-Chavez and Gavin, 2018</w:t>
      </w:r>
      <w:r>
        <w:rPr>
          <w:rFonts w:ascii="Times New Roman" w:eastAsia="Times New Roman" w:hAnsi="Times New Roman" w:cs="Times New Roman"/>
          <w:sz w:val="24"/>
          <w:szCs w:val="24"/>
          <w:lang w:val="en-GB"/>
        </w:rPr>
        <w:t>). This way they can deliver the messages to the public and make them aware of the project which is the shortage of the food supply and donations in the food bank who serves food to the animals and as well as the homeless people of the country. This is one of the most known causes and the cat of the humanity and people will surely get affected by the project and will come forwards to help directly or indirectly in the project. According to the principles of the community management the members of the community here also are engaged in the activities or the task. It keeps for raising the awareness of the project or the food bank and this could also have positive impact as the number in the cavity would let the activity or the task turn into successes and also it can attract more of the people. They are willing to help and provide materials or the supply to the food bank to continue to provide food to the animals or the homeless people of the country. The other principles, which can be implemented into actions during the activity is that the leaders here should also participate in the activity for the better understanding of the situation. This can have a positive impact as the people here can see the leaders and the members of the community working together to achieve their goals or solve the issue or problems of the project or the food bank (</w:t>
      </w:r>
      <w:r>
        <w:rPr>
          <w:rFonts w:ascii="Times New Roman" w:eastAsia="Times New Roman" w:hAnsi="Times New Roman" w:cs="Times New Roman"/>
          <w:color w:val="222222"/>
          <w:sz w:val="24"/>
          <w:szCs w:val="24"/>
          <w:highlight w:val="white"/>
          <w:lang w:val="en-GB"/>
        </w:rPr>
        <w:t>Reynolds and Sariola, 2018</w:t>
      </w:r>
      <w:r>
        <w:rPr>
          <w:rFonts w:ascii="Times New Roman" w:eastAsia="Times New Roman" w:hAnsi="Times New Roman" w:cs="Times New Roman"/>
          <w:sz w:val="24"/>
          <w:szCs w:val="24"/>
          <w:lang w:val="en-GB"/>
        </w:rPr>
        <w:t xml:space="preserve">). This may also help in attracting more of the skilled individuals into the community and also donate more of </w:t>
      </w:r>
      <w:r>
        <w:rPr>
          <w:rFonts w:ascii="Times New Roman" w:eastAsia="Times New Roman" w:hAnsi="Times New Roman" w:cs="Times New Roman"/>
          <w:sz w:val="24"/>
          <w:szCs w:val="24"/>
          <w:lang w:val="en-GB"/>
        </w:rPr>
        <w:lastRenderedPageBreak/>
        <w:t>their part in the activity to make it a success. Working together can also help the project as people matt have a clear vision about the community and its leaders and members which can also leave a good sign which could encourage more of the individuals to join the community and work together effectively (</w:t>
      </w:r>
      <w:r>
        <w:rPr>
          <w:rFonts w:ascii="Times New Roman" w:eastAsia="Times New Roman" w:hAnsi="Times New Roman" w:cs="Times New Roman"/>
          <w:color w:val="222222"/>
          <w:sz w:val="24"/>
          <w:szCs w:val="24"/>
          <w:highlight w:val="white"/>
          <w:lang w:val="en-GB"/>
        </w:rPr>
        <w:t xml:space="preserve">McMullen </w:t>
      </w:r>
      <w:r>
        <w:rPr>
          <w:rFonts w:ascii="Times New Roman" w:eastAsia="Times New Roman" w:hAnsi="Times New Roman" w:cs="Times New Roman"/>
          <w:i/>
          <w:color w:val="222222"/>
          <w:sz w:val="24"/>
          <w:szCs w:val="24"/>
          <w:highlight w:val="white"/>
          <w:lang w:val="en-GB"/>
        </w:rPr>
        <w:t>et al</w:t>
      </w:r>
      <w:r>
        <w:rPr>
          <w:rFonts w:ascii="Times New Roman" w:eastAsia="Times New Roman" w:hAnsi="Times New Roman" w:cs="Times New Roman"/>
          <w:color w:val="222222"/>
          <w:sz w:val="24"/>
          <w:szCs w:val="24"/>
          <w:highlight w:val="white"/>
          <w:lang w:val="en-GB"/>
        </w:rPr>
        <w:t>., 2020</w:t>
      </w:r>
      <w:r>
        <w:rPr>
          <w:rFonts w:ascii="Times New Roman" w:eastAsia="Times New Roman" w:hAnsi="Times New Roman" w:cs="Times New Roman"/>
          <w:sz w:val="24"/>
          <w:szCs w:val="24"/>
          <w:lang w:val="en-GB"/>
        </w:rPr>
        <w:t xml:space="preserve">). This can also result in gaining more of the power into the project that could result in the success of the project. The next strategy of community engagement that they can use during the activity is by making the task or the activity into fun. This way the people who have joined the captivity will also remain happy and will have fun and also raise the awareness of the project which will increase the performance of the members of the community. If the activity just focuses on the project and the well being that only few numbers of the audience will get engaged in the activity and also if there are less power or audiences than the activity will not be enough to raise awareness or get help on the project. </w:t>
      </w:r>
    </w:p>
    <w:p w14:paraId="247CAD2F" w14:textId="77777777" w:rsidR="00670CF7" w:rsidRDefault="00670CF7" w:rsidP="00670CF7">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stakeholders here also play an important role in the project. The presence of the stakeholders can also affect the project in both negative and positive ways. There are basically two types of the stakeholders who get engaged in the project through direct or indirect ways. The internal stakeholders are basically the part of the project team such as members of the community, project management and also the sponsors of the project. The external stakeholders are basically the ones such as the government, the competitors, the consumers and many more. The stakeholders here play an important role and also can help in effective decision making in the project which could also solve the problems or the issues of the project. To make the stakeholders engage in the project the first step that the community engagement here should do is to identify the stakeholders (</w:t>
      </w:r>
      <w:r>
        <w:rPr>
          <w:rFonts w:ascii="Times New Roman" w:eastAsia="Times New Roman" w:hAnsi="Times New Roman" w:cs="Times New Roman"/>
          <w:color w:val="222222"/>
          <w:sz w:val="24"/>
          <w:szCs w:val="24"/>
          <w:highlight w:val="white"/>
          <w:lang w:val="en-GB"/>
        </w:rPr>
        <w:t xml:space="preserve">Hayes </w:t>
      </w:r>
      <w:r>
        <w:rPr>
          <w:rFonts w:ascii="Times New Roman" w:eastAsia="Times New Roman" w:hAnsi="Times New Roman" w:cs="Times New Roman"/>
          <w:i/>
          <w:color w:val="222222"/>
          <w:sz w:val="24"/>
          <w:szCs w:val="24"/>
          <w:highlight w:val="white"/>
          <w:lang w:val="en-GB"/>
        </w:rPr>
        <w:t>et al</w:t>
      </w:r>
      <w:r>
        <w:rPr>
          <w:rFonts w:ascii="Times New Roman" w:eastAsia="Times New Roman" w:hAnsi="Times New Roman" w:cs="Times New Roman"/>
          <w:color w:val="222222"/>
          <w:sz w:val="24"/>
          <w:szCs w:val="24"/>
          <w:highlight w:val="white"/>
          <w:lang w:val="en-GB"/>
        </w:rPr>
        <w:t>., 2019</w:t>
      </w:r>
      <w:r>
        <w:rPr>
          <w:rFonts w:ascii="Times New Roman" w:eastAsia="Times New Roman" w:hAnsi="Times New Roman" w:cs="Times New Roman"/>
          <w:sz w:val="24"/>
          <w:szCs w:val="24"/>
          <w:lang w:val="en-GB"/>
        </w:rPr>
        <w:t>). The community here should also identify the stakeholders and also make a list of the stakeholders dividing each into three parts which could enhance the performance of the project and act as a helping body in the project as well. The three parts, which the stakeholders can be divided into, are the leaders, the contributors and the bystanders. Leaders are one the important bodies in the community as it helps in mainly influencing and motivating the members of the team that could have a positive impact on the project. These parts here include the internal stakeholder that includes the sponsors and many more. The contributors are the second part of the stakeholders that are the essential bodies that help in the success of the project. The suppliers and the team members here are the part of the contributors. The third part of the stakeholders includes the bystanders (</w:t>
      </w:r>
      <w:r>
        <w:rPr>
          <w:rFonts w:ascii="Times New Roman" w:eastAsia="Times New Roman" w:hAnsi="Times New Roman" w:cs="Times New Roman"/>
          <w:color w:val="222222"/>
          <w:sz w:val="24"/>
          <w:szCs w:val="24"/>
          <w:highlight w:val="white"/>
          <w:lang w:val="en-GB"/>
        </w:rPr>
        <w:t xml:space="preserve">De Weger </w:t>
      </w:r>
      <w:r>
        <w:rPr>
          <w:rFonts w:ascii="Times New Roman" w:eastAsia="Times New Roman" w:hAnsi="Times New Roman" w:cs="Times New Roman"/>
          <w:i/>
          <w:color w:val="222222"/>
          <w:sz w:val="24"/>
          <w:szCs w:val="24"/>
          <w:highlight w:val="white"/>
          <w:lang w:val="en-GB"/>
        </w:rPr>
        <w:t>et al</w:t>
      </w:r>
      <w:r>
        <w:rPr>
          <w:rFonts w:ascii="Times New Roman" w:eastAsia="Times New Roman" w:hAnsi="Times New Roman" w:cs="Times New Roman"/>
          <w:color w:val="222222"/>
          <w:sz w:val="24"/>
          <w:szCs w:val="24"/>
          <w:highlight w:val="white"/>
          <w:lang w:val="en-GB"/>
        </w:rPr>
        <w:t>., 2018</w:t>
      </w:r>
      <w:r>
        <w:rPr>
          <w:rFonts w:ascii="Times New Roman" w:eastAsia="Times New Roman" w:hAnsi="Times New Roman" w:cs="Times New Roman"/>
          <w:sz w:val="24"/>
          <w:szCs w:val="24"/>
          <w:lang w:val="en-GB"/>
        </w:rPr>
        <w:t xml:space="preserve">). These people are the ones or the groups that are spark for or against the project and are indirectly contributing in the project and their success. This way dividing the stakeholders can </w:t>
      </w:r>
      <w:r>
        <w:rPr>
          <w:rFonts w:ascii="Times New Roman" w:eastAsia="Times New Roman" w:hAnsi="Times New Roman" w:cs="Times New Roman"/>
          <w:sz w:val="24"/>
          <w:szCs w:val="24"/>
          <w:lang w:val="en-GB"/>
        </w:rPr>
        <w:lastRenderedPageBreak/>
        <w:t>help the management to act accordingly and help in the effective decision making process which could be beneficial of the project as well.</w:t>
      </w:r>
    </w:p>
    <w:p w14:paraId="5E0CA423" w14:textId="77777777" w:rsidR="00670CF7" w:rsidRDefault="00670CF7" w:rsidP="00670CF7">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second step or the strategy here includes the division of the power in the project (</w:t>
      </w:r>
      <w:r>
        <w:rPr>
          <w:rFonts w:ascii="Times New Roman" w:eastAsia="Times New Roman" w:hAnsi="Times New Roman" w:cs="Times New Roman"/>
          <w:color w:val="222222"/>
          <w:sz w:val="24"/>
          <w:szCs w:val="24"/>
          <w:highlight w:val="white"/>
          <w:lang w:val="en-GB"/>
        </w:rPr>
        <w:t xml:space="preserve">Watson </w:t>
      </w:r>
      <w:r>
        <w:rPr>
          <w:rFonts w:ascii="Times New Roman" w:eastAsia="Times New Roman" w:hAnsi="Times New Roman" w:cs="Times New Roman"/>
          <w:i/>
          <w:color w:val="222222"/>
          <w:sz w:val="24"/>
          <w:szCs w:val="24"/>
          <w:highlight w:val="white"/>
          <w:lang w:val="en-GB"/>
        </w:rPr>
        <w:t>et al</w:t>
      </w:r>
      <w:r>
        <w:rPr>
          <w:rFonts w:ascii="Times New Roman" w:eastAsia="Times New Roman" w:hAnsi="Times New Roman" w:cs="Times New Roman"/>
          <w:color w:val="222222"/>
          <w:sz w:val="24"/>
          <w:szCs w:val="24"/>
          <w:highlight w:val="white"/>
          <w:lang w:val="en-GB"/>
        </w:rPr>
        <w:t>., 2022</w:t>
      </w:r>
      <w:r>
        <w:rPr>
          <w:rFonts w:ascii="Times New Roman" w:eastAsia="Times New Roman" w:hAnsi="Times New Roman" w:cs="Times New Roman"/>
          <w:sz w:val="24"/>
          <w:szCs w:val="24"/>
          <w:lang w:val="en-GB"/>
        </w:rPr>
        <w:t>). After finalising or dividing the stakeholders into different parts, the community here should make the analysis of the stakeholders and the result here will basically depend on the communication plan of the community. The power interest  matrix is the main factor which states what kind of stakeholders have the high power in achieving the goals of the project and also state the interest of these stakeholders towards the project as well. The third strategy of the community is to define the motives of the stakeholders. Once the community knows about the stakeholder’s motivation then the community here will know about the interest and their main motive that would drive the stakeholders towards the project. The fourth strategy of the community towards the engagement of the stakeholders here includes the power and the influence of the stakeholders (</w:t>
      </w:r>
      <w:r>
        <w:rPr>
          <w:rFonts w:ascii="Times New Roman" w:eastAsia="Times New Roman" w:hAnsi="Times New Roman" w:cs="Times New Roman"/>
          <w:color w:val="222222"/>
          <w:sz w:val="24"/>
          <w:szCs w:val="24"/>
          <w:highlight w:val="white"/>
          <w:lang w:val="en-GB"/>
        </w:rPr>
        <w:t>Day, 2006</w:t>
      </w:r>
      <w:r>
        <w:rPr>
          <w:rFonts w:ascii="Times New Roman" w:eastAsia="Times New Roman" w:hAnsi="Times New Roman" w:cs="Times New Roman"/>
          <w:sz w:val="24"/>
          <w:szCs w:val="24"/>
          <w:lang w:val="en-GB"/>
        </w:rPr>
        <w:t>). This strategy here could help the community to know what are the areas in which the stakeholders could have impact on the project and also their area of influence. By going through these, the community here will get the proper idea about the area where these stakeholders have the power and other interest and also the area of the project which could have a positive impact due to their presence in the project.</w:t>
      </w:r>
    </w:p>
    <w:p w14:paraId="2601B82B" w14:textId="77777777" w:rsidR="00670CF7" w:rsidRDefault="00670CF7" w:rsidP="00670CF7">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These are the strategies that can help the community in the project and also solve the issue of the project and can have a positive impact regarding the supply and the donation towards the food bank (</w:t>
      </w:r>
      <w:r>
        <w:rPr>
          <w:rFonts w:ascii="Times New Roman" w:eastAsia="Times New Roman" w:hAnsi="Times New Roman" w:cs="Times New Roman"/>
          <w:color w:val="222222"/>
          <w:sz w:val="24"/>
          <w:szCs w:val="24"/>
          <w:highlight w:val="white"/>
          <w:lang w:val="en-GB"/>
        </w:rPr>
        <w:t>Moon, 2013</w:t>
      </w:r>
      <w:r>
        <w:rPr>
          <w:rFonts w:ascii="Times New Roman" w:eastAsia="Times New Roman" w:hAnsi="Times New Roman" w:cs="Times New Roman"/>
          <w:sz w:val="24"/>
          <w:szCs w:val="24"/>
          <w:lang w:val="en-GB"/>
        </w:rPr>
        <w:t xml:space="preserve">). The community engagement and the members also the strategies towards the engagement of the stakeholders could relay enhance the performance towards the project. The activity which the community plans on attracting more of the people in the community and also motivates them to help the food bank or the project of the community. These engagements with the members and the people of the community could really raise funds or donations for the supply of the food to the food bank or the project that could help them to feed the animals and also the homeless people of the country. </w:t>
      </w:r>
    </w:p>
    <w:p w14:paraId="2B032137" w14:textId="77777777" w:rsidR="00670CF7" w:rsidRDefault="00670CF7" w:rsidP="00670CF7">
      <w:pPr>
        <w:pStyle w:val="Heading1"/>
        <w:rPr>
          <w:rFonts w:eastAsia="Arial"/>
          <w:lang w:val="en-GB"/>
        </w:rPr>
      </w:pPr>
      <w:bookmarkStart w:id="2" w:name="_Toc109407186"/>
      <w:r>
        <w:rPr>
          <w:rFonts w:eastAsia="Arial"/>
          <w:lang w:val="en-GB"/>
        </w:rPr>
        <w:t>Conclusion</w:t>
      </w:r>
      <w:bookmarkEnd w:id="2"/>
    </w:p>
    <w:p w14:paraId="321DFB6C" w14:textId="77777777" w:rsidR="00670CF7" w:rsidRDefault="00670CF7" w:rsidP="00670CF7">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above essay here states that the community engagement has taken the initiative to help the food bank and take it as a project of the community engagement. The essay also describes that the food bank here is the organisation that helps or serves the animals and the homeless people with food. The main issue with the food bank here is that they are lacking in food supply due the shortage of donations for all over. The essay here also describes the principles of the </w:t>
      </w:r>
      <w:r>
        <w:rPr>
          <w:rFonts w:ascii="Times New Roman" w:eastAsia="Times New Roman" w:hAnsi="Times New Roman" w:cs="Times New Roman"/>
          <w:sz w:val="24"/>
          <w:szCs w:val="24"/>
          <w:lang w:val="en-GB"/>
        </w:rPr>
        <w:lastRenderedPageBreak/>
        <w:t>community, which could help the community to have a positive impact in the project and also solve the problems or the issues of the food bank. The essay also states the importance of the stakeholders and also the strategies of the community engagement towards achieving their goals through the help of the stakeholders and the activity which the community had run for the benefit of the project.</w:t>
      </w:r>
    </w:p>
    <w:p w14:paraId="434319CD" w14:textId="77777777" w:rsidR="00670CF7" w:rsidRDefault="00670CF7" w:rsidP="00670CF7">
      <w:pPr>
        <w:pStyle w:val="Normal1"/>
        <w:spacing w:line="360" w:lineRule="auto"/>
        <w:jc w:val="both"/>
        <w:rPr>
          <w:rFonts w:ascii="Times New Roman" w:eastAsia="Times New Roman" w:hAnsi="Times New Roman" w:cs="Times New Roman"/>
          <w:b/>
          <w:sz w:val="32"/>
          <w:szCs w:val="32"/>
          <w:lang w:val="en-GB"/>
        </w:rPr>
      </w:pPr>
      <w:r>
        <w:br w:type="page"/>
      </w:r>
    </w:p>
    <w:p w14:paraId="0041B6D3" w14:textId="77777777" w:rsidR="00670CF7" w:rsidRDefault="00670CF7" w:rsidP="00670CF7">
      <w:pPr>
        <w:pStyle w:val="Heading1"/>
        <w:rPr>
          <w:rFonts w:eastAsia="Arial"/>
          <w:lang w:val="en-GB"/>
        </w:rPr>
      </w:pPr>
      <w:bookmarkStart w:id="3" w:name="_Toc109407187"/>
      <w:r>
        <w:rPr>
          <w:rFonts w:eastAsia="Arial"/>
          <w:lang w:val="en-GB"/>
        </w:rPr>
        <w:lastRenderedPageBreak/>
        <w:t>References</w:t>
      </w:r>
      <w:bookmarkEnd w:id="3"/>
      <w:r>
        <w:rPr>
          <w:rFonts w:eastAsia="Arial"/>
          <w:lang w:val="en-GB"/>
        </w:rPr>
        <w:t xml:space="preserve"> </w:t>
      </w:r>
    </w:p>
    <w:p w14:paraId="740F7EF6" w14:textId="77777777" w:rsidR="00670CF7" w:rsidRDefault="00670CF7" w:rsidP="00670CF7">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David-Chavez, D.M. and Gavin, M.C., 2018. A global assessment of Indigenous community engagement in climate research. </w:t>
      </w:r>
      <w:r>
        <w:rPr>
          <w:rFonts w:ascii="Times New Roman" w:eastAsia="Times New Roman" w:hAnsi="Times New Roman" w:cs="Times New Roman"/>
          <w:i/>
          <w:sz w:val="24"/>
          <w:szCs w:val="24"/>
          <w:highlight w:val="white"/>
          <w:lang w:val="en-GB"/>
        </w:rPr>
        <w:t>Environmental Research Letters</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i/>
          <w:sz w:val="24"/>
          <w:szCs w:val="24"/>
          <w:highlight w:val="white"/>
          <w:lang w:val="en-GB"/>
        </w:rPr>
        <w:t>13</w:t>
      </w:r>
      <w:r>
        <w:rPr>
          <w:rFonts w:ascii="Times New Roman" w:eastAsia="Times New Roman" w:hAnsi="Times New Roman" w:cs="Times New Roman"/>
          <w:sz w:val="24"/>
          <w:szCs w:val="24"/>
          <w:highlight w:val="white"/>
          <w:lang w:val="en-GB"/>
        </w:rPr>
        <w:t>(12), p.123005.</w:t>
      </w:r>
    </w:p>
    <w:p w14:paraId="11869A0F" w14:textId="77777777" w:rsidR="00670CF7" w:rsidRDefault="00670CF7" w:rsidP="00670CF7">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Day, G., 2006. </w:t>
      </w:r>
      <w:r>
        <w:rPr>
          <w:rFonts w:ascii="Times New Roman" w:eastAsia="Times New Roman" w:hAnsi="Times New Roman" w:cs="Times New Roman"/>
          <w:i/>
          <w:sz w:val="24"/>
          <w:szCs w:val="24"/>
          <w:highlight w:val="white"/>
          <w:lang w:val="en-GB"/>
        </w:rPr>
        <w:t>Community and everyday life</w:t>
      </w:r>
      <w:r>
        <w:rPr>
          <w:rFonts w:ascii="Times New Roman" w:eastAsia="Times New Roman" w:hAnsi="Times New Roman" w:cs="Times New Roman"/>
          <w:sz w:val="24"/>
          <w:szCs w:val="24"/>
          <w:highlight w:val="white"/>
          <w:lang w:val="en-GB"/>
        </w:rPr>
        <w:t>. Routledge.</w:t>
      </w:r>
    </w:p>
    <w:p w14:paraId="73D0E885" w14:textId="77777777" w:rsidR="00670CF7" w:rsidRDefault="00670CF7" w:rsidP="00670CF7">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De Weger, E., Van Vooren, N., Luijkx, K.G., Baan, C.A. and Drewes, H.W., 2018. Achieving successful community engagement: a rapid realist review. </w:t>
      </w:r>
      <w:r>
        <w:rPr>
          <w:rFonts w:ascii="Times New Roman" w:eastAsia="Times New Roman" w:hAnsi="Times New Roman" w:cs="Times New Roman"/>
          <w:i/>
          <w:sz w:val="24"/>
          <w:szCs w:val="24"/>
          <w:highlight w:val="white"/>
          <w:lang w:val="en-GB"/>
        </w:rPr>
        <w:t>BMC health services research</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i/>
          <w:sz w:val="24"/>
          <w:szCs w:val="24"/>
          <w:highlight w:val="white"/>
          <w:lang w:val="en-GB"/>
        </w:rPr>
        <w:t>18</w:t>
      </w:r>
      <w:r>
        <w:rPr>
          <w:rFonts w:ascii="Times New Roman" w:eastAsia="Times New Roman" w:hAnsi="Times New Roman" w:cs="Times New Roman"/>
          <w:sz w:val="24"/>
          <w:szCs w:val="24"/>
          <w:highlight w:val="white"/>
          <w:lang w:val="en-GB"/>
        </w:rPr>
        <w:t>(1), pp.1-18.</w:t>
      </w:r>
    </w:p>
    <w:p w14:paraId="30752390" w14:textId="77777777" w:rsidR="00670CF7" w:rsidRDefault="00670CF7" w:rsidP="00670CF7">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Emodi, N.V., Lovell, H., Levitt, C. and Franklin, E., 2021. A systematic literature review of societal acceptance and stakeholders’ perception of hydrogen technologies. </w:t>
      </w:r>
      <w:r>
        <w:rPr>
          <w:rFonts w:ascii="Times New Roman" w:eastAsia="Times New Roman" w:hAnsi="Times New Roman" w:cs="Times New Roman"/>
          <w:i/>
          <w:sz w:val="24"/>
          <w:szCs w:val="24"/>
          <w:highlight w:val="white"/>
          <w:lang w:val="en-GB"/>
        </w:rPr>
        <w:t>international journal of hydrogen energy</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i/>
          <w:sz w:val="24"/>
          <w:szCs w:val="24"/>
          <w:highlight w:val="white"/>
          <w:lang w:val="en-GB"/>
        </w:rPr>
        <w:t>46</w:t>
      </w:r>
      <w:r>
        <w:rPr>
          <w:rFonts w:ascii="Times New Roman" w:eastAsia="Times New Roman" w:hAnsi="Times New Roman" w:cs="Times New Roman"/>
          <w:sz w:val="24"/>
          <w:szCs w:val="24"/>
          <w:highlight w:val="white"/>
          <w:lang w:val="en-GB"/>
        </w:rPr>
        <w:t>(60), pp.30669-30697.</w:t>
      </w:r>
    </w:p>
    <w:p w14:paraId="18E21EDC" w14:textId="77777777" w:rsidR="00670CF7" w:rsidRDefault="00670CF7" w:rsidP="00670CF7">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Gilchrist, A., 2019. </w:t>
      </w:r>
      <w:r>
        <w:rPr>
          <w:rFonts w:ascii="Times New Roman" w:eastAsia="Times New Roman" w:hAnsi="Times New Roman" w:cs="Times New Roman"/>
          <w:i/>
          <w:sz w:val="24"/>
          <w:szCs w:val="24"/>
          <w:highlight w:val="white"/>
          <w:lang w:val="en-GB"/>
        </w:rPr>
        <w:t>The well-connected community 3E: a networking approach to community development</w:t>
      </w:r>
      <w:r>
        <w:rPr>
          <w:rFonts w:ascii="Times New Roman" w:eastAsia="Times New Roman" w:hAnsi="Times New Roman" w:cs="Times New Roman"/>
          <w:sz w:val="24"/>
          <w:szCs w:val="24"/>
          <w:highlight w:val="white"/>
          <w:lang w:val="en-GB"/>
        </w:rPr>
        <w:t>. Policy Press.</w:t>
      </w:r>
    </w:p>
    <w:p w14:paraId="35C6A5B4" w14:textId="77777777" w:rsidR="00670CF7" w:rsidRDefault="00670CF7" w:rsidP="00670CF7">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Hayes, J.E., Fisher, R.M., Stevenson, R.J. and Stuetz, R.M., 2019. Investigation of non-community stakeholders regarding community engagement and environmental malodour. </w:t>
      </w:r>
      <w:r>
        <w:rPr>
          <w:rFonts w:ascii="Times New Roman" w:eastAsia="Times New Roman" w:hAnsi="Times New Roman" w:cs="Times New Roman"/>
          <w:i/>
          <w:sz w:val="24"/>
          <w:szCs w:val="24"/>
          <w:highlight w:val="white"/>
          <w:lang w:val="en-GB"/>
        </w:rPr>
        <w:t>Science of The Total Environment</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i/>
          <w:sz w:val="24"/>
          <w:szCs w:val="24"/>
          <w:highlight w:val="white"/>
          <w:lang w:val="en-GB"/>
        </w:rPr>
        <w:t>665</w:t>
      </w:r>
      <w:r>
        <w:rPr>
          <w:rFonts w:ascii="Times New Roman" w:eastAsia="Times New Roman" w:hAnsi="Times New Roman" w:cs="Times New Roman"/>
          <w:sz w:val="24"/>
          <w:szCs w:val="24"/>
          <w:highlight w:val="white"/>
          <w:lang w:val="en-GB"/>
        </w:rPr>
        <w:t>, pp.546-556.</w:t>
      </w:r>
    </w:p>
    <w:p w14:paraId="20CFC4AE" w14:textId="77777777" w:rsidR="00670CF7" w:rsidRDefault="00670CF7" w:rsidP="00670CF7">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Kumar, J. and Kumar, V., 2020. Drivers of brand community engagement. </w:t>
      </w:r>
      <w:r>
        <w:rPr>
          <w:rFonts w:ascii="Times New Roman" w:eastAsia="Times New Roman" w:hAnsi="Times New Roman" w:cs="Times New Roman"/>
          <w:i/>
          <w:sz w:val="24"/>
          <w:szCs w:val="24"/>
          <w:highlight w:val="white"/>
          <w:lang w:val="en-GB"/>
        </w:rPr>
        <w:t>Journal of Retailing and Consumer Services</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i/>
          <w:sz w:val="24"/>
          <w:szCs w:val="24"/>
          <w:highlight w:val="white"/>
          <w:lang w:val="en-GB"/>
        </w:rPr>
        <w:t>54</w:t>
      </w:r>
      <w:r>
        <w:rPr>
          <w:rFonts w:ascii="Times New Roman" w:eastAsia="Times New Roman" w:hAnsi="Times New Roman" w:cs="Times New Roman"/>
          <w:sz w:val="24"/>
          <w:szCs w:val="24"/>
          <w:highlight w:val="white"/>
          <w:lang w:val="en-GB"/>
        </w:rPr>
        <w:t>, p.101949.\</w:t>
      </w:r>
    </w:p>
    <w:p w14:paraId="5DB91C54" w14:textId="77777777" w:rsidR="00670CF7" w:rsidRDefault="00670CF7" w:rsidP="00670CF7">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McMullen, J.M., George, M., Ingman, B.C., Pulling Kuhn, A., Graham, D.J. and Carson, R.L., 2020. A systematic review of community engagement outcomes research in school‐based health interventions. </w:t>
      </w:r>
      <w:r>
        <w:rPr>
          <w:rFonts w:ascii="Times New Roman" w:eastAsia="Times New Roman" w:hAnsi="Times New Roman" w:cs="Times New Roman"/>
          <w:i/>
          <w:sz w:val="24"/>
          <w:szCs w:val="24"/>
          <w:highlight w:val="white"/>
          <w:lang w:val="en-GB"/>
        </w:rPr>
        <w:t>Journal of School Health</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i/>
          <w:sz w:val="24"/>
          <w:szCs w:val="24"/>
          <w:highlight w:val="white"/>
          <w:lang w:val="en-GB"/>
        </w:rPr>
        <w:t>90</w:t>
      </w:r>
      <w:r>
        <w:rPr>
          <w:rFonts w:ascii="Times New Roman" w:eastAsia="Times New Roman" w:hAnsi="Times New Roman" w:cs="Times New Roman"/>
          <w:sz w:val="24"/>
          <w:szCs w:val="24"/>
          <w:highlight w:val="white"/>
          <w:lang w:val="en-GB"/>
        </w:rPr>
        <w:t>(12), pp.985-994.</w:t>
      </w:r>
    </w:p>
    <w:p w14:paraId="2180A98B" w14:textId="77777777" w:rsidR="00670CF7" w:rsidRDefault="00670CF7" w:rsidP="00670CF7">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Moon, J.A., 2013. </w:t>
      </w:r>
      <w:r>
        <w:rPr>
          <w:rFonts w:ascii="Times New Roman" w:eastAsia="Times New Roman" w:hAnsi="Times New Roman" w:cs="Times New Roman"/>
          <w:i/>
          <w:sz w:val="24"/>
          <w:szCs w:val="24"/>
          <w:highlight w:val="white"/>
          <w:lang w:val="en-GB"/>
        </w:rPr>
        <w:t>A handbook of reflective and experiential learning: Theory and practice</w:t>
      </w:r>
      <w:r>
        <w:rPr>
          <w:rFonts w:ascii="Times New Roman" w:eastAsia="Times New Roman" w:hAnsi="Times New Roman" w:cs="Times New Roman"/>
          <w:sz w:val="24"/>
          <w:szCs w:val="24"/>
          <w:highlight w:val="white"/>
          <w:lang w:val="en-GB"/>
        </w:rPr>
        <w:t>. Routledge.</w:t>
      </w:r>
    </w:p>
    <w:p w14:paraId="5FF509F8" w14:textId="77777777" w:rsidR="00670CF7" w:rsidRDefault="00670CF7" w:rsidP="00670CF7">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Natarajarathinam, M., Qiu, S. and Lu, W., 2021. Community engagement in engineering education: A systematic literature review. </w:t>
      </w:r>
      <w:r>
        <w:rPr>
          <w:rFonts w:ascii="Times New Roman" w:eastAsia="Times New Roman" w:hAnsi="Times New Roman" w:cs="Times New Roman"/>
          <w:i/>
          <w:sz w:val="24"/>
          <w:szCs w:val="24"/>
          <w:highlight w:val="white"/>
          <w:lang w:val="en-GB"/>
        </w:rPr>
        <w:t>Journal of Engineering Education</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i/>
          <w:sz w:val="24"/>
          <w:szCs w:val="24"/>
          <w:highlight w:val="white"/>
          <w:lang w:val="en-GB"/>
        </w:rPr>
        <w:t>110</w:t>
      </w:r>
      <w:r>
        <w:rPr>
          <w:rFonts w:ascii="Times New Roman" w:eastAsia="Times New Roman" w:hAnsi="Times New Roman" w:cs="Times New Roman"/>
          <w:sz w:val="24"/>
          <w:szCs w:val="24"/>
          <w:highlight w:val="white"/>
          <w:lang w:val="en-GB"/>
        </w:rPr>
        <w:t>(4), pp.1049-1077.</w:t>
      </w:r>
    </w:p>
    <w:p w14:paraId="568C4C14" w14:textId="77777777" w:rsidR="00670CF7" w:rsidRDefault="00670CF7" w:rsidP="00670CF7">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Reynolds, L. and Sariola, S., 2018. The ethics and politics of community engagement in global health research. </w:t>
      </w:r>
      <w:r>
        <w:rPr>
          <w:rFonts w:ascii="Times New Roman" w:eastAsia="Times New Roman" w:hAnsi="Times New Roman" w:cs="Times New Roman"/>
          <w:i/>
          <w:sz w:val="24"/>
          <w:szCs w:val="24"/>
          <w:highlight w:val="white"/>
          <w:lang w:val="en-GB"/>
        </w:rPr>
        <w:t>Critical Public Health</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i/>
          <w:sz w:val="24"/>
          <w:szCs w:val="24"/>
          <w:highlight w:val="white"/>
          <w:lang w:val="en-GB"/>
        </w:rPr>
        <w:t>28</w:t>
      </w:r>
      <w:r>
        <w:rPr>
          <w:rFonts w:ascii="Times New Roman" w:eastAsia="Times New Roman" w:hAnsi="Times New Roman" w:cs="Times New Roman"/>
          <w:sz w:val="24"/>
          <w:szCs w:val="24"/>
          <w:highlight w:val="white"/>
          <w:lang w:val="en-GB"/>
        </w:rPr>
        <w:t>(3), pp.257-268.</w:t>
      </w:r>
    </w:p>
    <w:p w14:paraId="5F4F8510" w14:textId="77777777" w:rsidR="00670CF7" w:rsidRDefault="00670CF7" w:rsidP="00670CF7">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Watson, K.S., Cohn, E.G., Fair, A., Menon, U., Szalacha, L.A., Carpenter, S.M. and Wilkins, C.H., 2022. Adapting a conceptual framework to engage diverse stakeholders in genomic/precision medicine research. </w:t>
      </w:r>
      <w:r>
        <w:rPr>
          <w:rFonts w:ascii="Times New Roman" w:eastAsia="Times New Roman" w:hAnsi="Times New Roman" w:cs="Times New Roman"/>
          <w:i/>
          <w:sz w:val="24"/>
          <w:szCs w:val="24"/>
          <w:highlight w:val="white"/>
          <w:lang w:val="en-GB"/>
        </w:rPr>
        <w:t>Health Expectations</w:t>
      </w:r>
      <w:r>
        <w:rPr>
          <w:rFonts w:ascii="Times New Roman" w:eastAsia="Times New Roman" w:hAnsi="Times New Roman" w:cs="Times New Roman"/>
          <w:sz w:val="24"/>
          <w:szCs w:val="24"/>
          <w:highlight w:val="white"/>
          <w:lang w:val="en-GB"/>
        </w:rPr>
        <w:t>.</w:t>
      </w:r>
    </w:p>
    <w:p w14:paraId="1E767282" w14:textId="77777777" w:rsidR="00E2637E" w:rsidRDefault="00E2637E"/>
    <w:sectPr w:rsidR="00E263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820"/>
    <w:rsid w:val="00132820"/>
    <w:rsid w:val="003F21E1"/>
    <w:rsid w:val="00670CF7"/>
    <w:rsid w:val="00E263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DBDF2"/>
  <w15:chartTrackingRefBased/>
  <w15:docId w15:val="{7554F5A9-6D39-4823-953E-9BEEA9A38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CF7"/>
    <w:pPr>
      <w:spacing w:after="0" w:line="276" w:lineRule="auto"/>
    </w:pPr>
    <w:rPr>
      <w:rFonts w:ascii="Arial" w:eastAsia="Arial" w:hAnsi="Arial" w:cs="Arial"/>
    </w:rPr>
  </w:style>
  <w:style w:type="paragraph" w:styleId="Heading1">
    <w:name w:val="heading 1"/>
    <w:basedOn w:val="Normal1"/>
    <w:next w:val="Normal1"/>
    <w:link w:val="Heading1Char"/>
    <w:qFormat/>
    <w:rsid w:val="00670CF7"/>
    <w:pPr>
      <w:keepNext/>
      <w:keepLines/>
      <w:spacing w:before="400" w:after="120" w:line="360" w:lineRule="auto"/>
      <w:jc w:val="both"/>
      <w:outlineLvl w:val="0"/>
    </w:pPr>
    <w:rPr>
      <w:rFonts w:ascii="Times New Roman" w:eastAsia="Times New Roman" w:hAnsi="Times New Roman"/>
      <w:b/>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70CF7"/>
    <w:rPr>
      <w:rFonts w:ascii="Times New Roman" w:eastAsia="Times New Roman" w:hAnsi="Times New Roman" w:cs="Arial"/>
      <w:b/>
      <w:sz w:val="32"/>
      <w:szCs w:val="40"/>
      <w:lang w:val="en-US"/>
    </w:rPr>
  </w:style>
  <w:style w:type="character" w:styleId="Hyperlink">
    <w:name w:val="Hyperlink"/>
    <w:basedOn w:val="DefaultParagraphFont"/>
    <w:uiPriority w:val="99"/>
    <w:semiHidden/>
    <w:unhideWhenUsed/>
    <w:rsid w:val="00670CF7"/>
    <w:rPr>
      <w:color w:val="0563C1" w:themeColor="hyperlink"/>
      <w:u w:val="single"/>
    </w:rPr>
  </w:style>
  <w:style w:type="paragraph" w:styleId="TOC1">
    <w:name w:val="toc 1"/>
    <w:basedOn w:val="Normal"/>
    <w:next w:val="Normal"/>
    <w:autoRedefine/>
    <w:uiPriority w:val="39"/>
    <w:semiHidden/>
    <w:unhideWhenUsed/>
    <w:rsid w:val="00670CF7"/>
    <w:pPr>
      <w:spacing w:after="100"/>
    </w:pPr>
  </w:style>
  <w:style w:type="paragraph" w:styleId="TOCHeading">
    <w:name w:val="TOC Heading"/>
    <w:basedOn w:val="Heading1"/>
    <w:next w:val="Normal"/>
    <w:uiPriority w:val="39"/>
    <w:semiHidden/>
    <w:unhideWhenUsed/>
    <w:qFormat/>
    <w:rsid w:val="00670CF7"/>
    <w:pPr>
      <w:spacing w:before="480" w:after="0" w:line="276" w:lineRule="auto"/>
      <w:jc w:val="left"/>
      <w:outlineLvl w:val="9"/>
    </w:pPr>
    <w:rPr>
      <w:rFonts w:asciiTheme="majorHAnsi" w:eastAsiaTheme="majorEastAsia" w:hAnsiTheme="majorHAnsi" w:cstheme="majorBidi"/>
      <w:bCs/>
      <w:color w:val="2F5496" w:themeColor="accent1" w:themeShade="BF"/>
      <w:sz w:val="28"/>
      <w:szCs w:val="28"/>
    </w:rPr>
  </w:style>
  <w:style w:type="paragraph" w:customStyle="1" w:styleId="Normal1">
    <w:name w:val="Normal1"/>
    <w:rsid w:val="00670CF7"/>
    <w:pPr>
      <w:spacing w:after="0" w:line="276"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27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mariq\OneDrive\Desktop\LCBB4002_Community%20Engagement_Assessment%202%20(1).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mariq\OneDrive\Desktop\LCBB4002_Community%20Engagement_Assessment%202%20(1).docx" TargetMode="External"/><Relationship Id="rId5" Type="http://schemas.openxmlformats.org/officeDocument/2006/relationships/hyperlink" Target="file:///C:\Users\mariq\OneDrive\Desktop\LCBB4002_Community%20Engagement_Assessment%202%20(1).docx" TargetMode="External"/><Relationship Id="rId4" Type="http://schemas.openxmlformats.org/officeDocument/2006/relationships/hyperlink" Target="file:///C:\Users\mariq\OneDrive\Desktop\LCBB4002_Community%20Engagement_Assessment%202%20(1).docx"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1141</TotalTime>
  <Pages>8</Pages>
  <Words>2222</Words>
  <Characters>12670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 Ilieva (2123768)</dc:creator>
  <cp:keywords/>
  <dc:description/>
  <cp:lastModifiedBy>Mariya Ilieva (2123768)</cp:lastModifiedBy>
  <cp:revision>2</cp:revision>
  <dcterms:created xsi:type="dcterms:W3CDTF">2022-09-06T13:33:00Z</dcterms:created>
  <dcterms:modified xsi:type="dcterms:W3CDTF">2022-09-07T08:34:00Z</dcterms:modified>
</cp:coreProperties>
</file>