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9B8F8" w14:textId="77777777" w:rsidR="00765CE3" w:rsidRPr="0008521F" w:rsidRDefault="004A7A8F">
      <w:pPr>
        <w:spacing w:after="0"/>
        <w:jc w:val="center"/>
        <w:rPr>
          <w:b/>
          <w:bCs/>
          <w:color w:val="000000" w:themeColor="text1"/>
          <w:sz w:val="40"/>
          <w:szCs w:val="40"/>
        </w:rPr>
      </w:pPr>
      <w:r w:rsidRPr="0008521F">
        <w:rPr>
          <w:noProof/>
          <w:color w:val="000000" w:themeColor="text1"/>
        </w:rPr>
        <w:drawing>
          <wp:inline distT="0" distB="0" distL="0" distR="0" wp14:anchorId="5C5F915C" wp14:editId="59585248">
            <wp:extent cx="2925010" cy="1026934"/>
            <wp:effectExtent l="0" t="0" r="0" b="0"/>
            <wp:docPr id="1" name="image1.jpg" descr="Prifysgol Cymru Y Drindod Dewi Sant | University of Wales Trinity Saint  David - NPLD"/>
            <wp:cNvGraphicFramePr/>
            <a:graphic xmlns:a="http://schemas.openxmlformats.org/drawingml/2006/main">
              <a:graphicData uri="http://schemas.openxmlformats.org/drawingml/2006/picture">
                <pic:pic xmlns:pic="http://schemas.openxmlformats.org/drawingml/2006/picture">
                  <pic:nvPicPr>
                    <pic:cNvPr id="0" name="image1.jpg" descr="Prifysgol Cymru Y Drindod Dewi Sant | University of Wales Trinity Saint  David - NPLD"/>
                    <pic:cNvPicPr preferRelativeResize="0"/>
                  </pic:nvPicPr>
                  <pic:blipFill>
                    <a:blip r:embed="rId6"/>
                    <a:srcRect t="12659" b="13255"/>
                    <a:stretch>
                      <a:fillRect/>
                    </a:stretch>
                  </pic:blipFill>
                  <pic:spPr>
                    <a:xfrm>
                      <a:off x="0" y="0"/>
                      <a:ext cx="2925010" cy="1026934"/>
                    </a:xfrm>
                    <a:prstGeom prst="rect">
                      <a:avLst/>
                    </a:prstGeom>
                    <a:ln/>
                  </pic:spPr>
                </pic:pic>
              </a:graphicData>
            </a:graphic>
          </wp:inline>
        </w:drawing>
      </w:r>
    </w:p>
    <w:p w14:paraId="0C09DE42" w14:textId="77777777" w:rsidR="00765CE3" w:rsidRPr="0008521F" w:rsidRDefault="00765CE3">
      <w:pPr>
        <w:jc w:val="center"/>
        <w:rPr>
          <w:b/>
          <w:bCs/>
          <w:color w:val="000000" w:themeColor="text1"/>
          <w:sz w:val="28"/>
          <w:szCs w:val="28"/>
        </w:rPr>
      </w:pPr>
    </w:p>
    <w:p w14:paraId="71A04D7C" w14:textId="77777777" w:rsidR="00765CE3" w:rsidRPr="0008521F" w:rsidRDefault="004A7A8F">
      <w:pPr>
        <w:jc w:val="center"/>
        <w:rPr>
          <w:b/>
          <w:bCs/>
          <w:color w:val="000000" w:themeColor="text1"/>
          <w:sz w:val="28"/>
          <w:szCs w:val="28"/>
        </w:rPr>
      </w:pPr>
      <w:r w:rsidRPr="0008521F">
        <w:rPr>
          <w:b/>
          <w:bCs/>
          <w:color w:val="000000" w:themeColor="text1"/>
          <w:sz w:val="28"/>
          <w:szCs w:val="28"/>
        </w:rPr>
        <w:t xml:space="preserve">University of Wales Trinity Saint David </w:t>
      </w:r>
    </w:p>
    <w:p w14:paraId="2DC98123" w14:textId="77777777" w:rsidR="00765CE3" w:rsidRPr="0008521F" w:rsidRDefault="004A7A8F">
      <w:pPr>
        <w:jc w:val="center"/>
        <w:rPr>
          <w:b/>
          <w:bCs/>
          <w:color w:val="000000" w:themeColor="text1"/>
          <w:sz w:val="28"/>
          <w:szCs w:val="28"/>
        </w:rPr>
      </w:pPr>
      <w:r w:rsidRPr="0008521F">
        <w:rPr>
          <w:b/>
          <w:bCs/>
          <w:color w:val="000000" w:themeColor="text1"/>
          <w:sz w:val="28"/>
          <w:szCs w:val="28"/>
        </w:rPr>
        <w:t>Master of Business Administration (MBA)</w:t>
      </w:r>
    </w:p>
    <w:p w14:paraId="266BF58E" w14:textId="77777777" w:rsidR="00765CE3" w:rsidRPr="0008521F" w:rsidRDefault="004A7A8F">
      <w:pPr>
        <w:jc w:val="center"/>
        <w:rPr>
          <w:b/>
          <w:bCs/>
          <w:color w:val="000000" w:themeColor="text1"/>
          <w:sz w:val="28"/>
          <w:szCs w:val="28"/>
        </w:rPr>
      </w:pPr>
      <w:r w:rsidRPr="0008521F">
        <w:rPr>
          <w:b/>
          <w:bCs/>
          <w:color w:val="000000" w:themeColor="text1"/>
          <w:sz w:val="28"/>
          <w:szCs w:val="28"/>
        </w:rPr>
        <w:t>Module: International Business Concepts</w:t>
      </w:r>
    </w:p>
    <w:p w14:paraId="16B81A43" w14:textId="77777777" w:rsidR="00765CE3" w:rsidRPr="0008521F" w:rsidRDefault="004A7A8F">
      <w:pPr>
        <w:jc w:val="center"/>
        <w:rPr>
          <w:b/>
          <w:bCs/>
          <w:color w:val="000000" w:themeColor="text1"/>
          <w:sz w:val="28"/>
          <w:szCs w:val="28"/>
        </w:rPr>
      </w:pPr>
      <w:r w:rsidRPr="0008521F">
        <w:rPr>
          <w:b/>
          <w:bCs/>
          <w:color w:val="000000" w:themeColor="text1"/>
          <w:sz w:val="28"/>
          <w:szCs w:val="28"/>
        </w:rPr>
        <w:t>Module Code: LCMB7034</w:t>
      </w:r>
    </w:p>
    <w:p w14:paraId="2FD42F5E" w14:textId="77777777" w:rsidR="00765CE3" w:rsidRPr="0008521F" w:rsidRDefault="00765CE3">
      <w:pPr>
        <w:jc w:val="center"/>
        <w:rPr>
          <w:b/>
          <w:bCs/>
          <w:color w:val="000000" w:themeColor="text1"/>
          <w:sz w:val="40"/>
          <w:szCs w:val="40"/>
        </w:rPr>
      </w:pPr>
    </w:p>
    <w:p w14:paraId="7A29F75F" w14:textId="77777777" w:rsidR="00765CE3" w:rsidRPr="0008521F" w:rsidRDefault="004A7A8F">
      <w:pPr>
        <w:jc w:val="center"/>
        <w:rPr>
          <w:b/>
          <w:bCs/>
          <w:color w:val="000000" w:themeColor="text1"/>
          <w:sz w:val="36"/>
          <w:szCs w:val="36"/>
        </w:rPr>
      </w:pPr>
      <w:r w:rsidRPr="0008521F">
        <w:rPr>
          <w:b/>
          <w:bCs/>
          <w:color w:val="000000" w:themeColor="text1"/>
          <w:sz w:val="36"/>
          <w:szCs w:val="36"/>
        </w:rPr>
        <w:t>Rivian Automotive’s Market Entry into India</w:t>
      </w:r>
    </w:p>
    <w:p w14:paraId="3703E9A1" w14:textId="77777777" w:rsidR="00765CE3" w:rsidRPr="0008521F" w:rsidRDefault="004A7A8F">
      <w:pPr>
        <w:jc w:val="center"/>
        <w:rPr>
          <w:b/>
          <w:bCs/>
          <w:i/>
          <w:iCs/>
          <w:color w:val="000000" w:themeColor="text1"/>
          <w:sz w:val="28"/>
          <w:szCs w:val="28"/>
        </w:rPr>
      </w:pPr>
      <w:r w:rsidRPr="0008521F">
        <w:rPr>
          <w:b/>
          <w:bCs/>
          <w:i/>
          <w:iCs/>
          <w:color w:val="000000" w:themeColor="text1"/>
          <w:sz w:val="28"/>
          <w:szCs w:val="28"/>
        </w:rPr>
        <w:t>A Critical International Business Strategy Assessment</w:t>
      </w:r>
    </w:p>
    <w:p w14:paraId="2C26918B" w14:textId="77777777" w:rsidR="00765CE3" w:rsidRPr="0008521F" w:rsidRDefault="00765CE3">
      <w:pPr>
        <w:rPr>
          <w:b/>
          <w:bCs/>
          <w:color w:val="000000" w:themeColor="text1"/>
          <w:sz w:val="28"/>
          <w:szCs w:val="28"/>
        </w:rPr>
      </w:pPr>
    </w:p>
    <w:p w14:paraId="5EAA42FB" w14:textId="77777777" w:rsidR="00765CE3" w:rsidRPr="0008521F" w:rsidRDefault="00765CE3">
      <w:pPr>
        <w:spacing w:after="0" w:line="480" w:lineRule="auto"/>
        <w:jc w:val="center"/>
        <w:rPr>
          <w:b/>
          <w:bCs/>
          <w:color w:val="000000" w:themeColor="text1"/>
        </w:rPr>
      </w:pPr>
    </w:p>
    <w:p w14:paraId="44D88DF2" w14:textId="77777777" w:rsidR="00765CE3" w:rsidRPr="0008521F" w:rsidRDefault="004A7A8F">
      <w:pPr>
        <w:spacing w:line="480" w:lineRule="auto"/>
        <w:jc w:val="center"/>
        <w:rPr>
          <w:b/>
          <w:bCs/>
          <w:color w:val="000000" w:themeColor="text1"/>
        </w:rPr>
      </w:pPr>
      <w:r w:rsidRPr="0008521F">
        <w:rPr>
          <w:b/>
          <w:bCs/>
          <w:color w:val="000000" w:themeColor="text1"/>
        </w:rPr>
        <w:t>Lecturer: Dr Jean Wang</w:t>
      </w:r>
    </w:p>
    <w:p w14:paraId="42CA52EF" w14:textId="037FD34E" w:rsidR="00765CE3" w:rsidRPr="0008521F" w:rsidRDefault="004A7A8F">
      <w:pPr>
        <w:spacing w:line="480" w:lineRule="auto"/>
        <w:jc w:val="center"/>
        <w:rPr>
          <w:b/>
          <w:bCs/>
          <w:color w:val="000000" w:themeColor="text1"/>
        </w:rPr>
      </w:pPr>
      <w:r w:rsidRPr="0008521F">
        <w:rPr>
          <w:b/>
          <w:bCs/>
          <w:color w:val="000000" w:themeColor="text1"/>
        </w:rPr>
        <w:t>Student Name:</w:t>
      </w:r>
      <w:r>
        <w:rPr>
          <w:b/>
          <w:bCs/>
          <w:color w:val="000000" w:themeColor="text1"/>
        </w:rPr>
        <w:t xml:space="preserve"> Pooja </w:t>
      </w:r>
      <w:proofErr w:type="spellStart"/>
      <w:r>
        <w:rPr>
          <w:b/>
          <w:bCs/>
          <w:color w:val="000000" w:themeColor="text1"/>
        </w:rPr>
        <w:t>keshu</w:t>
      </w:r>
      <w:proofErr w:type="spellEnd"/>
      <w:r>
        <w:rPr>
          <w:b/>
          <w:bCs/>
          <w:color w:val="000000" w:themeColor="text1"/>
        </w:rPr>
        <w:t xml:space="preserve"> </w:t>
      </w:r>
      <w:proofErr w:type="spellStart"/>
      <w:r>
        <w:rPr>
          <w:b/>
          <w:bCs/>
          <w:color w:val="000000" w:themeColor="text1"/>
        </w:rPr>
        <w:t>Odedra</w:t>
      </w:r>
      <w:proofErr w:type="spellEnd"/>
      <w:r>
        <w:rPr>
          <w:b/>
          <w:bCs/>
          <w:color w:val="000000" w:themeColor="text1"/>
        </w:rPr>
        <w:t xml:space="preserve"> </w:t>
      </w:r>
    </w:p>
    <w:p w14:paraId="66DC6261" w14:textId="28C601B3" w:rsidR="00765CE3" w:rsidRPr="0008521F" w:rsidRDefault="004A7A8F">
      <w:pPr>
        <w:spacing w:line="480" w:lineRule="auto"/>
        <w:jc w:val="center"/>
        <w:rPr>
          <w:b/>
          <w:bCs/>
          <w:color w:val="000000" w:themeColor="text1"/>
        </w:rPr>
      </w:pPr>
      <w:r w:rsidRPr="0008521F">
        <w:rPr>
          <w:b/>
          <w:bCs/>
          <w:color w:val="000000" w:themeColor="text1"/>
        </w:rPr>
        <w:t>Student ID:</w:t>
      </w:r>
      <w:r>
        <w:rPr>
          <w:b/>
          <w:bCs/>
          <w:color w:val="000000" w:themeColor="text1"/>
        </w:rPr>
        <w:t xml:space="preserve"> 2526717</w:t>
      </w:r>
    </w:p>
    <w:p w14:paraId="2FB70EFD" w14:textId="77777777" w:rsidR="00765CE3" w:rsidRPr="0008521F" w:rsidRDefault="004A7A8F">
      <w:pPr>
        <w:spacing w:line="480" w:lineRule="auto"/>
        <w:jc w:val="center"/>
        <w:rPr>
          <w:b/>
          <w:bCs/>
          <w:color w:val="000000" w:themeColor="text1"/>
        </w:rPr>
      </w:pPr>
      <w:r w:rsidRPr="0008521F">
        <w:rPr>
          <w:b/>
          <w:bCs/>
          <w:color w:val="000000" w:themeColor="text1"/>
        </w:rPr>
        <w:t xml:space="preserve">Wordcount: </w:t>
      </w:r>
      <w:r w:rsidR="00141A1E" w:rsidRPr="0008521F">
        <w:rPr>
          <w:b/>
          <w:bCs/>
          <w:color w:val="000000" w:themeColor="text1"/>
        </w:rPr>
        <w:t>4</w:t>
      </w:r>
      <w:r w:rsidR="00BC5151" w:rsidRPr="0008521F">
        <w:rPr>
          <w:b/>
          <w:bCs/>
          <w:color w:val="000000" w:themeColor="text1"/>
        </w:rPr>
        <w:t>824</w:t>
      </w:r>
      <w:r w:rsidRPr="0008521F">
        <w:rPr>
          <w:b/>
          <w:bCs/>
          <w:color w:val="000000" w:themeColor="text1"/>
        </w:rPr>
        <w:t xml:space="preserve"> words</w:t>
      </w:r>
    </w:p>
    <w:p w14:paraId="1CC6BB08" w14:textId="77777777" w:rsidR="00765CE3" w:rsidRPr="0008521F" w:rsidRDefault="004A7A8F">
      <w:pPr>
        <w:spacing w:line="480" w:lineRule="auto"/>
        <w:jc w:val="center"/>
        <w:rPr>
          <w:b/>
          <w:bCs/>
          <w:color w:val="000000" w:themeColor="text1"/>
        </w:rPr>
      </w:pPr>
      <w:r w:rsidRPr="0008521F">
        <w:rPr>
          <w:b/>
          <w:bCs/>
          <w:color w:val="000000" w:themeColor="text1"/>
        </w:rPr>
        <w:t xml:space="preserve">Submission Date: </w:t>
      </w:r>
      <w:r w:rsidR="00DD7564" w:rsidRPr="0008521F">
        <w:rPr>
          <w:b/>
          <w:bCs/>
          <w:color w:val="000000" w:themeColor="text1"/>
        </w:rPr>
        <w:t>14</w:t>
      </w:r>
      <w:r w:rsidR="00DD7564" w:rsidRPr="0008521F">
        <w:rPr>
          <w:b/>
          <w:bCs/>
          <w:color w:val="000000" w:themeColor="text1"/>
          <w:vertAlign w:val="superscript"/>
        </w:rPr>
        <w:t>th</w:t>
      </w:r>
      <w:r w:rsidR="00DD7564" w:rsidRPr="0008521F">
        <w:rPr>
          <w:b/>
          <w:bCs/>
          <w:color w:val="000000" w:themeColor="text1"/>
        </w:rPr>
        <w:t xml:space="preserve"> August, 2026</w:t>
      </w:r>
    </w:p>
    <w:p w14:paraId="0F01E173" w14:textId="77777777" w:rsidR="00765CE3" w:rsidRPr="0008521F" w:rsidRDefault="00765CE3">
      <w:pPr>
        <w:jc w:val="left"/>
        <w:rPr>
          <w:b/>
          <w:bCs/>
          <w:color w:val="000000" w:themeColor="text1"/>
          <w:sz w:val="28"/>
          <w:szCs w:val="28"/>
        </w:rPr>
      </w:pPr>
    </w:p>
    <w:p w14:paraId="5632AD73" w14:textId="77777777" w:rsidR="00765CE3" w:rsidRPr="0008521F" w:rsidRDefault="004A7A8F">
      <w:pPr>
        <w:pageBreakBefore/>
        <w:spacing w:after="60"/>
        <w:jc w:val="center"/>
        <w:rPr>
          <w:color w:val="000000" w:themeColor="text1"/>
        </w:rPr>
      </w:pPr>
      <w:r w:rsidRPr="0008521F">
        <w:rPr>
          <w:b/>
          <w:bCs/>
          <w:color w:val="000000" w:themeColor="text1"/>
          <w:sz w:val="28"/>
          <w:szCs w:val="28"/>
        </w:rPr>
        <w:t>AI Use Acknowledgement</w:t>
      </w:r>
    </w:p>
    <w:p w14:paraId="71350937" w14:textId="77777777" w:rsidR="00765CE3" w:rsidRPr="0008521F" w:rsidRDefault="004313D8">
      <w:pPr>
        <w:spacing w:after="120"/>
        <w:rPr>
          <w:color w:val="000000" w:themeColor="text1"/>
        </w:rPr>
      </w:pPr>
      <w:r w:rsidRPr="0008521F">
        <w:rPr>
          <w:color w:val="000000" w:themeColor="text1"/>
        </w:rPr>
        <w:t>I confirm that no generative artificial intelligence (AI) tools were used to research, write, generate, or develop the academic content of this assignment. AI tools such as ChatGPT and Grammarly were used only to proofread the work and find grammatical errors present in the assignment and the errors were rectified manually by the author. I acknowledge that the work is my own and was completed using the academic sources, lecture materials, and guidance provided by the university.</w:t>
      </w:r>
    </w:p>
    <w:p w14:paraId="1AAF672A" w14:textId="77777777" w:rsidR="00765CE3" w:rsidRPr="0008521F" w:rsidRDefault="004A7A8F">
      <w:pPr>
        <w:spacing w:line="278" w:lineRule="auto"/>
        <w:jc w:val="left"/>
        <w:rPr>
          <w:color w:val="000000" w:themeColor="text1"/>
        </w:rPr>
      </w:pPr>
      <w:r w:rsidRPr="0008521F">
        <w:rPr>
          <w:color w:val="000000" w:themeColor="text1"/>
        </w:rPr>
        <w:br w:type="page"/>
      </w:r>
    </w:p>
    <w:p w14:paraId="56156430" w14:textId="77777777" w:rsidR="00765CE3" w:rsidRPr="0008521F" w:rsidRDefault="004A7A8F">
      <w:pPr>
        <w:keepNext/>
        <w:keepLines/>
        <w:pBdr>
          <w:top w:val="nil"/>
          <w:left w:val="nil"/>
          <w:bottom w:val="nil"/>
          <w:right w:val="nil"/>
          <w:between w:val="nil"/>
        </w:pBdr>
        <w:spacing w:after="240"/>
        <w:jc w:val="center"/>
        <w:rPr>
          <w:b/>
          <w:bCs/>
          <w:color w:val="000000" w:themeColor="text1"/>
          <w:sz w:val="28"/>
          <w:szCs w:val="28"/>
        </w:rPr>
      </w:pPr>
      <w:r w:rsidRPr="0008521F">
        <w:rPr>
          <w:b/>
          <w:bCs/>
          <w:color w:val="000000" w:themeColor="text1"/>
          <w:sz w:val="28"/>
          <w:szCs w:val="28"/>
        </w:rPr>
        <w:t>Table of Contents</w:t>
      </w:r>
    </w:p>
    <w:sdt>
      <w:sdtPr>
        <w:rPr>
          <w:color w:val="000000" w:themeColor="text1"/>
        </w:rPr>
        <w:id w:val="2103429595"/>
        <w:docPartObj>
          <w:docPartGallery w:val="Table of Contents"/>
          <w:docPartUnique/>
        </w:docPartObj>
      </w:sdtPr>
      <w:sdtEndPr/>
      <w:sdtContent>
        <w:p w14:paraId="0DB16C8B" w14:textId="12B090AB" w:rsidR="00141A1E" w:rsidRPr="0008521F" w:rsidRDefault="004A7A8F" w:rsidP="00141A1E">
          <w:pPr>
            <w:pStyle w:val="TOC1"/>
            <w:tabs>
              <w:tab w:val="right" w:leader="dot" w:pos="9350"/>
            </w:tabs>
            <w:spacing w:line="480" w:lineRule="auto"/>
            <w:rPr>
              <w:noProof/>
              <w:color w:val="000000" w:themeColor="text1"/>
            </w:rPr>
          </w:pPr>
          <w:r w:rsidRPr="0008521F">
            <w:rPr>
              <w:color w:val="000000" w:themeColor="text1"/>
            </w:rPr>
            <w:fldChar w:fldCharType="begin"/>
          </w:r>
          <w:r w:rsidRPr="0008521F">
            <w:rPr>
              <w:color w:val="000000" w:themeColor="text1"/>
            </w:rPr>
            <w:instrText xml:space="preserve"> TOC \h \u \z \t "Heading 1,1,Heading 2,2,Heading 3,3,"</w:instrText>
          </w:r>
          <w:r w:rsidRPr="0008521F">
            <w:rPr>
              <w:color w:val="000000" w:themeColor="text1"/>
            </w:rPr>
            <w:fldChar w:fldCharType="separate"/>
          </w:r>
          <w:hyperlink w:anchor="_Toc237610589" w:history="1">
            <w:r w:rsidR="00141A1E" w:rsidRPr="0008521F">
              <w:rPr>
                <w:rStyle w:val="Hyperlink"/>
                <w:noProof/>
                <w:color w:val="000000" w:themeColor="text1"/>
              </w:rPr>
              <w:t>Section 1: International Business Strategy Assessment - Rivian Automotive, India</w:t>
            </w:r>
            <w:r w:rsidR="00141A1E" w:rsidRPr="0008521F">
              <w:rPr>
                <w:noProof/>
                <w:webHidden/>
                <w:color w:val="000000" w:themeColor="text1"/>
              </w:rPr>
              <w:tab/>
            </w:r>
            <w:r w:rsidR="00141A1E" w:rsidRPr="0008521F">
              <w:rPr>
                <w:noProof/>
                <w:webHidden/>
                <w:color w:val="000000" w:themeColor="text1"/>
              </w:rPr>
              <w:fldChar w:fldCharType="begin"/>
            </w:r>
            <w:r w:rsidR="00141A1E" w:rsidRPr="0008521F">
              <w:rPr>
                <w:noProof/>
                <w:webHidden/>
                <w:color w:val="000000" w:themeColor="text1"/>
              </w:rPr>
              <w:instrText xml:space="preserve"> PAGEREF _Toc237610589 \h </w:instrText>
            </w:r>
            <w:r w:rsidR="00141A1E" w:rsidRPr="0008521F">
              <w:rPr>
                <w:noProof/>
                <w:webHidden/>
                <w:color w:val="000000" w:themeColor="text1"/>
              </w:rPr>
            </w:r>
            <w:r w:rsidR="00141A1E" w:rsidRPr="0008521F">
              <w:rPr>
                <w:noProof/>
                <w:webHidden/>
                <w:color w:val="000000" w:themeColor="text1"/>
              </w:rPr>
              <w:fldChar w:fldCharType="separate"/>
            </w:r>
            <w:r w:rsidR="00480F26">
              <w:rPr>
                <w:noProof/>
                <w:webHidden/>
                <w:color w:val="000000" w:themeColor="text1"/>
              </w:rPr>
              <w:t>5</w:t>
            </w:r>
            <w:r w:rsidR="00141A1E" w:rsidRPr="0008521F">
              <w:rPr>
                <w:noProof/>
                <w:webHidden/>
                <w:color w:val="000000" w:themeColor="text1"/>
              </w:rPr>
              <w:fldChar w:fldCharType="end"/>
            </w:r>
          </w:hyperlink>
        </w:p>
        <w:p w14:paraId="6A9DC192" w14:textId="478F0765" w:rsidR="00141A1E" w:rsidRPr="0008521F" w:rsidRDefault="00141A1E" w:rsidP="00141A1E">
          <w:pPr>
            <w:pStyle w:val="TOC1"/>
            <w:tabs>
              <w:tab w:val="right" w:leader="dot" w:pos="9350"/>
            </w:tabs>
            <w:spacing w:line="480" w:lineRule="auto"/>
            <w:rPr>
              <w:noProof/>
              <w:color w:val="000000" w:themeColor="text1"/>
            </w:rPr>
          </w:pPr>
          <w:hyperlink w:anchor="_Toc237610590" w:history="1">
            <w:r w:rsidRPr="0008521F">
              <w:rPr>
                <w:rStyle w:val="Hyperlink"/>
                <w:noProof/>
                <w:color w:val="000000" w:themeColor="text1"/>
              </w:rPr>
              <w:t>1. Introduction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_Toc237610590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5</w:t>
            </w:r>
            <w:r w:rsidRPr="0008521F">
              <w:rPr>
                <w:noProof/>
                <w:webHidden/>
                <w:color w:val="000000" w:themeColor="text1"/>
              </w:rPr>
              <w:fldChar w:fldCharType="end"/>
            </w:r>
          </w:hyperlink>
        </w:p>
        <w:p w14:paraId="4117FD44" w14:textId="79A28756" w:rsidR="00141A1E" w:rsidRPr="0008521F" w:rsidRDefault="00141A1E" w:rsidP="00141A1E">
          <w:pPr>
            <w:pStyle w:val="TOC1"/>
            <w:tabs>
              <w:tab w:val="right" w:leader="dot" w:pos="9350"/>
            </w:tabs>
            <w:spacing w:line="480" w:lineRule="auto"/>
            <w:rPr>
              <w:noProof/>
              <w:color w:val="000000" w:themeColor="text1"/>
            </w:rPr>
          </w:pPr>
          <w:hyperlink w:anchor="_Toc237610591" w:history="1">
            <w:r w:rsidRPr="0008521F">
              <w:rPr>
                <w:rStyle w:val="Hyperlink"/>
                <w:noProof/>
                <w:color w:val="000000" w:themeColor="text1"/>
              </w:rPr>
              <w:t>2. Organisational Classification and Global Strategy</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_Toc237610591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5</w:t>
            </w:r>
            <w:r w:rsidRPr="0008521F">
              <w:rPr>
                <w:noProof/>
                <w:webHidden/>
                <w:color w:val="000000" w:themeColor="text1"/>
              </w:rPr>
              <w:fldChar w:fldCharType="end"/>
            </w:r>
          </w:hyperlink>
        </w:p>
        <w:p w14:paraId="505C03E0" w14:textId="1A24D106" w:rsidR="00141A1E" w:rsidRPr="0008521F" w:rsidRDefault="00141A1E" w:rsidP="00141A1E">
          <w:pPr>
            <w:pStyle w:val="TOC2"/>
            <w:tabs>
              <w:tab w:val="right" w:leader="dot" w:pos="9350"/>
            </w:tabs>
            <w:spacing w:line="480" w:lineRule="auto"/>
            <w:rPr>
              <w:noProof/>
              <w:color w:val="000000" w:themeColor="text1"/>
            </w:rPr>
          </w:pPr>
          <w:hyperlink w:anchor="_Toc237610592" w:history="1">
            <w:r w:rsidRPr="0008521F">
              <w:rPr>
                <w:rStyle w:val="Hyperlink"/>
                <w:noProof/>
                <w:color w:val="000000" w:themeColor="text1"/>
              </w:rPr>
              <w:t>2.1 Strategic categorisation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_Toc237610592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5</w:t>
            </w:r>
            <w:r w:rsidRPr="0008521F">
              <w:rPr>
                <w:noProof/>
                <w:webHidden/>
                <w:color w:val="000000" w:themeColor="text1"/>
              </w:rPr>
              <w:fldChar w:fldCharType="end"/>
            </w:r>
          </w:hyperlink>
        </w:p>
        <w:p w14:paraId="750D90F9" w14:textId="25923AD6" w:rsidR="00141A1E" w:rsidRPr="0008521F" w:rsidRDefault="00141A1E" w:rsidP="00141A1E">
          <w:pPr>
            <w:pStyle w:val="TOC2"/>
            <w:tabs>
              <w:tab w:val="right" w:leader="dot" w:pos="9350"/>
            </w:tabs>
            <w:spacing w:line="480" w:lineRule="auto"/>
            <w:rPr>
              <w:noProof/>
              <w:color w:val="000000" w:themeColor="text1"/>
            </w:rPr>
          </w:pPr>
          <w:hyperlink w:anchor="_Toc237610593" w:history="1">
            <w:r w:rsidRPr="0008521F">
              <w:rPr>
                <w:rStyle w:val="Hyperlink"/>
                <w:noProof/>
                <w:color w:val="000000" w:themeColor="text1"/>
              </w:rPr>
              <w:t>2.2 Global configuration and value creation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_Toc237610593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7</w:t>
            </w:r>
            <w:r w:rsidRPr="0008521F">
              <w:rPr>
                <w:noProof/>
                <w:webHidden/>
                <w:color w:val="000000" w:themeColor="text1"/>
              </w:rPr>
              <w:fldChar w:fldCharType="end"/>
            </w:r>
          </w:hyperlink>
        </w:p>
        <w:p w14:paraId="247F902D" w14:textId="1287D2E8" w:rsidR="00141A1E" w:rsidRPr="0008521F" w:rsidRDefault="00141A1E" w:rsidP="00141A1E">
          <w:pPr>
            <w:pStyle w:val="TOC1"/>
            <w:tabs>
              <w:tab w:val="right" w:leader="dot" w:pos="9350"/>
            </w:tabs>
            <w:spacing w:line="480" w:lineRule="auto"/>
            <w:rPr>
              <w:noProof/>
              <w:color w:val="000000" w:themeColor="text1"/>
            </w:rPr>
          </w:pPr>
          <w:hyperlink w:anchor="_Toc237610594" w:history="1">
            <w:r w:rsidRPr="0008521F">
              <w:rPr>
                <w:rStyle w:val="Hyperlink"/>
                <w:noProof/>
                <w:color w:val="000000" w:themeColor="text1"/>
              </w:rPr>
              <w:t>3. Macro-Environmental Appraisal and Market Attractiveness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_Toc237610594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8</w:t>
            </w:r>
            <w:r w:rsidRPr="0008521F">
              <w:rPr>
                <w:noProof/>
                <w:webHidden/>
                <w:color w:val="000000" w:themeColor="text1"/>
              </w:rPr>
              <w:fldChar w:fldCharType="end"/>
            </w:r>
          </w:hyperlink>
        </w:p>
        <w:p w14:paraId="4CCAE198" w14:textId="6FF5BF0A" w:rsidR="00141A1E" w:rsidRPr="0008521F" w:rsidRDefault="00141A1E" w:rsidP="00141A1E">
          <w:pPr>
            <w:pStyle w:val="TOC2"/>
            <w:tabs>
              <w:tab w:val="right" w:leader="dot" w:pos="9350"/>
            </w:tabs>
            <w:spacing w:line="480" w:lineRule="auto"/>
            <w:rPr>
              <w:noProof/>
              <w:color w:val="000000" w:themeColor="text1"/>
            </w:rPr>
          </w:pPr>
          <w:hyperlink w:anchor="_Toc237610595" w:history="1">
            <w:r w:rsidRPr="0008521F">
              <w:rPr>
                <w:rStyle w:val="Hyperlink"/>
                <w:noProof/>
                <w:color w:val="000000" w:themeColor="text1"/>
              </w:rPr>
              <w:t>3.1 Political and industrial-policy environment</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_Toc237610595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8</w:t>
            </w:r>
            <w:r w:rsidRPr="0008521F">
              <w:rPr>
                <w:noProof/>
                <w:webHidden/>
                <w:color w:val="000000" w:themeColor="text1"/>
              </w:rPr>
              <w:fldChar w:fldCharType="end"/>
            </w:r>
          </w:hyperlink>
        </w:p>
        <w:p w14:paraId="1E3D567E" w14:textId="7119A005" w:rsidR="00141A1E" w:rsidRPr="0008521F" w:rsidRDefault="00141A1E" w:rsidP="00141A1E">
          <w:pPr>
            <w:pStyle w:val="TOC2"/>
            <w:tabs>
              <w:tab w:val="right" w:leader="dot" w:pos="9350"/>
            </w:tabs>
            <w:spacing w:line="480" w:lineRule="auto"/>
            <w:rPr>
              <w:noProof/>
              <w:color w:val="000000" w:themeColor="text1"/>
            </w:rPr>
          </w:pPr>
          <w:hyperlink w:anchor="_Toc237610596" w:history="1">
            <w:r w:rsidRPr="0008521F">
              <w:rPr>
                <w:rStyle w:val="Hyperlink"/>
                <w:noProof/>
                <w:color w:val="000000" w:themeColor="text1"/>
              </w:rPr>
              <w:t>3.2 Economic conditions and market attractiveness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_Toc237610596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9</w:t>
            </w:r>
            <w:r w:rsidRPr="0008521F">
              <w:rPr>
                <w:noProof/>
                <w:webHidden/>
                <w:color w:val="000000" w:themeColor="text1"/>
              </w:rPr>
              <w:fldChar w:fldCharType="end"/>
            </w:r>
          </w:hyperlink>
        </w:p>
        <w:p w14:paraId="322BE42F" w14:textId="76D31E26" w:rsidR="00141A1E" w:rsidRPr="0008521F" w:rsidRDefault="00141A1E" w:rsidP="00141A1E">
          <w:pPr>
            <w:pStyle w:val="TOC2"/>
            <w:tabs>
              <w:tab w:val="right" w:leader="dot" w:pos="9350"/>
            </w:tabs>
            <w:spacing w:line="480" w:lineRule="auto"/>
            <w:rPr>
              <w:noProof/>
              <w:color w:val="000000" w:themeColor="text1"/>
            </w:rPr>
          </w:pPr>
          <w:hyperlink w:anchor="_Toc237610597" w:history="1">
            <w:r w:rsidRPr="0008521F">
              <w:rPr>
                <w:rStyle w:val="Hyperlink"/>
                <w:noProof/>
                <w:color w:val="000000" w:themeColor="text1"/>
              </w:rPr>
              <w:t>3.3 Legal and regulatory conditions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_Toc237610597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11</w:t>
            </w:r>
            <w:r w:rsidRPr="0008521F">
              <w:rPr>
                <w:noProof/>
                <w:webHidden/>
                <w:color w:val="000000" w:themeColor="text1"/>
              </w:rPr>
              <w:fldChar w:fldCharType="end"/>
            </w:r>
          </w:hyperlink>
        </w:p>
        <w:p w14:paraId="58DDB2B1" w14:textId="53AB6CAE" w:rsidR="00141A1E" w:rsidRPr="0008521F" w:rsidRDefault="00141A1E" w:rsidP="00141A1E">
          <w:pPr>
            <w:pStyle w:val="TOC2"/>
            <w:tabs>
              <w:tab w:val="right" w:leader="dot" w:pos="9350"/>
            </w:tabs>
            <w:spacing w:line="480" w:lineRule="auto"/>
            <w:rPr>
              <w:noProof/>
              <w:color w:val="000000" w:themeColor="text1"/>
            </w:rPr>
          </w:pPr>
          <w:hyperlink w:anchor="_Toc237610598" w:history="1">
            <w:r w:rsidRPr="0008521F">
              <w:rPr>
                <w:rStyle w:val="Hyperlink"/>
                <w:noProof/>
                <w:color w:val="000000" w:themeColor="text1"/>
              </w:rPr>
              <w:t>3.4 Cultural and commercial environment</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_Toc237610598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12</w:t>
            </w:r>
            <w:r w:rsidRPr="0008521F">
              <w:rPr>
                <w:noProof/>
                <w:webHidden/>
                <w:color w:val="000000" w:themeColor="text1"/>
              </w:rPr>
              <w:fldChar w:fldCharType="end"/>
            </w:r>
          </w:hyperlink>
        </w:p>
        <w:p w14:paraId="4C1D256A" w14:textId="72F8A61F" w:rsidR="00141A1E" w:rsidRPr="0008521F" w:rsidRDefault="00141A1E" w:rsidP="00141A1E">
          <w:pPr>
            <w:pStyle w:val="TOC2"/>
            <w:tabs>
              <w:tab w:val="right" w:leader="dot" w:pos="9350"/>
            </w:tabs>
            <w:spacing w:line="480" w:lineRule="auto"/>
            <w:rPr>
              <w:noProof/>
              <w:color w:val="000000" w:themeColor="text1"/>
            </w:rPr>
          </w:pPr>
          <w:hyperlink w:anchor="_Toc237610599" w:history="1">
            <w:r w:rsidRPr="0008521F">
              <w:rPr>
                <w:rStyle w:val="Hyperlink"/>
                <w:noProof/>
                <w:color w:val="000000" w:themeColor="text1"/>
              </w:rPr>
              <w:t>3.5 Charging, energy and environmental conditions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_Toc237610599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13</w:t>
            </w:r>
            <w:r w:rsidRPr="0008521F">
              <w:rPr>
                <w:noProof/>
                <w:webHidden/>
                <w:color w:val="000000" w:themeColor="text1"/>
              </w:rPr>
              <w:fldChar w:fldCharType="end"/>
            </w:r>
          </w:hyperlink>
        </w:p>
        <w:p w14:paraId="153129AE" w14:textId="67F4D1DF" w:rsidR="00141A1E" w:rsidRPr="0008521F" w:rsidRDefault="00141A1E" w:rsidP="00141A1E">
          <w:pPr>
            <w:pStyle w:val="TOC2"/>
            <w:tabs>
              <w:tab w:val="right" w:leader="dot" w:pos="9350"/>
            </w:tabs>
            <w:spacing w:line="480" w:lineRule="auto"/>
            <w:rPr>
              <w:noProof/>
              <w:color w:val="000000" w:themeColor="text1"/>
            </w:rPr>
          </w:pPr>
          <w:hyperlink w:anchor="_Toc237610600" w:history="1">
            <w:r w:rsidRPr="0008521F">
              <w:rPr>
                <w:rStyle w:val="Hyperlink"/>
                <w:noProof/>
                <w:color w:val="000000" w:themeColor="text1"/>
              </w:rPr>
              <w:t>3.6 OLI synthesis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_Toc237610600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15</w:t>
            </w:r>
            <w:r w:rsidRPr="0008521F">
              <w:rPr>
                <w:noProof/>
                <w:webHidden/>
                <w:color w:val="000000" w:themeColor="text1"/>
              </w:rPr>
              <w:fldChar w:fldCharType="end"/>
            </w:r>
          </w:hyperlink>
        </w:p>
        <w:p w14:paraId="1A18A758" w14:textId="2A391E18" w:rsidR="00141A1E" w:rsidRPr="0008521F" w:rsidRDefault="00141A1E" w:rsidP="00141A1E">
          <w:pPr>
            <w:pStyle w:val="TOC1"/>
            <w:tabs>
              <w:tab w:val="right" w:leader="dot" w:pos="9350"/>
            </w:tabs>
            <w:spacing w:line="480" w:lineRule="auto"/>
            <w:rPr>
              <w:noProof/>
              <w:color w:val="000000" w:themeColor="text1"/>
            </w:rPr>
          </w:pPr>
          <w:hyperlink w:anchor="_Toc237610601" w:history="1">
            <w:r w:rsidRPr="0008521F">
              <w:rPr>
                <w:rStyle w:val="Hyperlink"/>
                <w:noProof/>
                <w:color w:val="000000" w:themeColor="text1"/>
              </w:rPr>
              <w:t>4. Entry Mode Strategy and Strategic Synthesis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_Toc237610601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16</w:t>
            </w:r>
            <w:r w:rsidRPr="0008521F">
              <w:rPr>
                <w:noProof/>
                <w:webHidden/>
                <w:color w:val="000000" w:themeColor="text1"/>
              </w:rPr>
              <w:fldChar w:fldCharType="end"/>
            </w:r>
          </w:hyperlink>
        </w:p>
        <w:p w14:paraId="3ED8981C" w14:textId="7A14FD3F" w:rsidR="00141A1E" w:rsidRPr="0008521F" w:rsidRDefault="00141A1E" w:rsidP="00141A1E">
          <w:pPr>
            <w:pStyle w:val="TOC2"/>
            <w:tabs>
              <w:tab w:val="right" w:leader="dot" w:pos="9350"/>
            </w:tabs>
            <w:spacing w:line="480" w:lineRule="auto"/>
            <w:rPr>
              <w:noProof/>
              <w:color w:val="000000" w:themeColor="text1"/>
            </w:rPr>
          </w:pPr>
          <w:hyperlink w:anchor="_Toc237610602" w:history="1">
            <w:r w:rsidRPr="0008521F">
              <w:rPr>
                <w:rStyle w:val="Hyperlink"/>
                <w:noProof/>
                <w:color w:val="000000" w:themeColor="text1"/>
              </w:rPr>
              <w:t>4.1 Historical pattern recognition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_Toc237610602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16</w:t>
            </w:r>
            <w:r w:rsidRPr="0008521F">
              <w:rPr>
                <w:noProof/>
                <w:webHidden/>
                <w:color w:val="000000" w:themeColor="text1"/>
              </w:rPr>
              <w:fldChar w:fldCharType="end"/>
            </w:r>
          </w:hyperlink>
        </w:p>
        <w:p w14:paraId="16504C68" w14:textId="10E870DD" w:rsidR="00141A1E" w:rsidRPr="0008521F" w:rsidRDefault="00141A1E" w:rsidP="00141A1E">
          <w:pPr>
            <w:pStyle w:val="TOC2"/>
            <w:tabs>
              <w:tab w:val="right" w:leader="dot" w:pos="9350"/>
            </w:tabs>
            <w:spacing w:line="480" w:lineRule="auto"/>
            <w:rPr>
              <w:noProof/>
              <w:color w:val="000000" w:themeColor="text1"/>
            </w:rPr>
          </w:pPr>
          <w:hyperlink w:anchor="_Toc237610603" w:history="1">
            <w:r w:rsidRPr="0008521F">
              <w:rPr>
                <w:rStyle w:val="Hyperlink"/>
                <w:noProof/>
                <w:color w:val="000000" w:themeColor="text1"/>
              </w:rPr>
              <w:t>4.2 Strategic fit and recommended entry mode</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_Toc237610603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17</w:t>
            </w:r>
            <w:r w:rsidRPr="0008521F">
              <w:rPr>
                <w:noProof/>
                <w:webHidden/>
                <w:color w:val="000000" w:themeColor="text1"/>
              </w:rPr>
              <w:fldChar w:fldCharType="end"/>
            </w:r>
          </w:hyperlink>
        </w:p>
        <w:p w14:paraId="218FEA48" w14:textId="6D3DB253" w:rsidR="00141A1E" w:rsidRPr="0008521F" w:rsidRDefault="00141A1E" w:rsidP="00141A1E">
          <w:pPr>
            <w:pStyle w:val="TOC2"/>
            <w:tabs>
              <w:tab w:val="right" w:leader="dot" w:pos="9350"/>
            </w:tabs>
            <w:spacing w:line="480" w:lineRule="auto"/>
            <w:rPr>
              <w:noProof/>
              <w:color w:val="000000" w:themeColor="text1"/>
            </w:rPr>
          </w:pPr>
          <w:hyperlink w:anchor="_Toc237610604" w:history="1">
            <w:r w:rsidRPr="0008521F">
              <w:rPr>
                <w:rStyle w:val="Hyperlink"/>
                <w:noProof/>
                <w:color w:val="000000" w:themeColor="text1"/>
              </w:rPr>
              <w:t>4.3 Recommendations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_Toc237610604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18</w:t>
            </w:r>
            <w:r w:rsidRPr="0008521F">
              <w:rPr>
                <w:noProof/>
                <w:webHidden/>
                <w:color w:val="000000" w:themeColor="text1"/>
              </w:rPr>
              <w:fldChar w:fldCharType="end"/>
            </w:r>
          </w:hyperlink>
        </w:p>
        <w:p w14:paraId="291B7DFC" w14:textId="369F03AD" w:rsidR="00141A1E" w:rsidRPr="0008521F" w:rsidRDefault="00141A1E" w:rsidP="00141A1E">
          <w:pPr>
            <w:pStyle w:val="TOC2"/>
            <w:tabs>
              <w:tab w:val="right" w:leader="dot" w:pos="9350"/>
            </w:tabs>
            <w:spacing w:line="480" w:lineRule="auto"/>
            <w:rPr>
              <w:noProof/>
              <w:color w:val="000000" w:themeColor="text1"/>
            </w:rPr>
          </w:pPr>
          <w:hyperlink w:anchor="_Toc237610605" w:history="1">
            <w:r w:rsidRPr="0008521F">
              <w:rPr>
                <w:rStyle w:val="Hyperlink"/>
                <w:noProof/>
                <w:color w:val="000000" w:themeColor="text1"/>
              </w:rPr>
              <w:t>4.4 Conclusion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_Toc237610605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19</w:t>
            </w:r>
            <w:r w:rsidRPr="0008521F">
              <w:rPr>
                <w:noProof/>
                <w:webHidden/>
                <w:color w:val="000000" w:themeColor="text1"/>
              </w:rPr>
              <w:fldChar w:fldCharType="end"/>
            </w:r>
          </w:hyperlink>
        </w:p>
        <w:p w14:paraId="1EBCFE5F" w14:textId="0AA0677D" w:rsidR="00141A1E" w:rsidRPr="0008521F" w:rsidRDefault="00141A1E" w:rsidP="00141A1E">
          <w:pPr>
            <w:pStyle w:val="TOC1"/>
            <w:tabs>
              <w:tab w:val="right" w:leader="dot" w:pos="9350"/>
            </w:tabs>
            <w:spacing w:line="480" w:lineRule="auto"/>
            <w:rPr>
              <w:noProof/>
              <w:color w:val="000000" w:themeColor="text1"/>
            </w:rPr>
          </w:pPr>
          <w:hyperlink w:anchor="_Toc237610606" w:history="1">
            <w:r w:rsidRPr="0008521F">
              <w:rPr>
                <w:rStyle w:val="Hyperlink"/>
                <w:noProof/>
                <w:color w:val="000000" w:themeColor="text1"/>
              </w:rPr>
              <w:t>Section 2: Reflective Account Using Gibbs’ Reflective Cycle</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_Toc237610606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19</w:t>
            </w:r>
            <w:r w:rsidRPr="0008521F">
              <w:rPr>
                <w:noProof/>
                <w:webHidden/>
                <w:color w:val="000000" w:themeColor="text1"/>
              </w:rPr>
              <w:fldChar w:fldCharType="end"/>
            </w:r>
          </w:hyperlink>
        </w:p>
        <w:p w14:paraId="53774379" w14:textId="7EB89438" w:rsidR="00141A1E" w:rsidRPr="0008521F" w:rsidRDefault="00141A1E" w:rsidP="00141A1E">
          <w:pPr>
            <w:pStyle w:val="TOC2"/>
            <w:tabs>
              <w:tab w:val="right" w:leader="dot" w:pos="9350"/>
            </w:tabs>
            <w:spacing w:line="480" w:lineRule="auto"/>
            <w:rPr>
              <w:noProof/>
              <w:color w:val="000000" w:themeColor="text1"/>
            </w:rPr>
          </w:pPr>
          <w:hyperlink w:anchor="_Toc237610607" w:history="1">
            <w:r w:rsidRPr="0008521F">
              <w:rPr>
                <w:rStyle w:val="Hyperlink"/>
                <w:noProof/>
                <w:color w:val="000000" w:themeColor="text1"/>
              </w:rPr>
              <w:t>1. Description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_Toc237610607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19</w:t>
            </w:r>
            <w:r w:rsidRPr="0008521F">
              <w:rPr>
                <w:noProof/>
                <w:webHidden/>
                <w:color w:val="000000" w:themeColor="text1"/>
              </w:rPr>
              <w:fldChar w:fldCharType="end"/>
            </w:r>
          </w:hyperlink>
        </w:p>
        <w:p w14:paraId="2164654E" w14:textId="2A0CD03A" w:rsidR="00141A1E" w:rsidRPr="0008521F" w:rsidRDefault="00141A1E" w:rsidP="00141A1E">
          <w:pPr>
            <w:pStyle w:val="TOC2"/>
            <w:tabs>
              <w:tab w:val="right" w:leader="dot" w:pos="9350"/>
            </w:tabs>
            <w:spacing w:line="480" w:lineRule="auto"/>
            <w:rPr>
              <w:noProof/>
              <w:color w:val="000000" w:themeColor="text1"/>
            </w:rPr>
          </w:pPr>
          <w:hyperlink w:anchor="_Toc237610608" w:history="1">
            <w:r w:rsidRPr="0008521F">
              <w:rPr>
                <w:rStyle w:val="Hyperlink"/>
                <w:noProof/>
                <w:color w:val="000000" w:themeColor="text1"/>
              </w:rPr>
              <w:t>2. Feelings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_Toc237610608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19</w:t>
            </w:r>
            <w:r w:rsidRPr="0008521F">
              <w:rPr>
                <w:noProof/>
                <w:webHidden/>
                <w:color w:val="000000" w:themeColor="text1"/>
              </w:rPr>
              <w:fldChar w:fldCharType="end"/>
            </w:r>
          </w:hyperlink>
        </w:p>
        <w:p w14:paraId="238F2DD7" w14:textId="3CC2750C" w:rsidR="00141A1E" w:rsidRPr="0008521F" w:rsidRDefault="00141A1E" w:rsidP="00141A1E">
          <w:pPr>
            <w:pStyle w:val="TOC2"/>
            <w:tabs>
              <w:tab w:val="right" w:leader="dot" w:pos="9350"/>
            </w:tabs>
            <w:spacing w:line="480" w:lineRule="auto"/>
            <w:rPr>
              <w:noProof/>
              <w:color w:val="000000" w:themeColor="text1"/>
            </w:rPr>
          </w:pPr>
          <w:hyperlink w:anchor="_Toc237610609" w:history="1">
            <w:r w:rsidRPr="0008521F">
              <w:rPr>
                <w:rStyle w:val="Hyperlink"/>
                <w:noProof/>
                <w:color w:val="000000" w:themeColor="text1"/>
              </w:rPr>
              <w:t>3. Evaluation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_Toc237610609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19</w:t>
            </w:r>
            <w:r w:rsidRPr="0008521F">
              <w:rPr>
                <w:noProof/>
                <w:webHidden/>
                <w:color w:val="000000" w:themeColor="text1"/>
              </w:rPr>
              <w:fldChar w:fldCharType="end"/>
            </w:r>
          </w:hyperlink>
        </w:p>
        <w:p w14:paraId="46DE560A" w14:textId="676CAC97" w:rsidR="00141A1E" w:rsidRPr="0008521F" w:rsidRDefault="00141A1E" w:rsidP="00141A1E">
          <w:pPr>
            <w:pStyle w:val="TOC2"/>
            <w:tabs>
              <w:tab w:val="right" w:leader="dot" w:pos="9350"/>
            </w:tabs>
            <w:spacing w:line="480" w:lineRule="auto"/>
            <w:rPr>
              <w:noProof/>
              <w:color w:val="000000" w:themeColor="text1"/>
            </w:rPr>
          </w:pPr>
          <w:hyperlink w:anchor="_Toc237610610" w:history="1">
            <w:r w:rsidRPr="0008521F">
              <w:rPr>
                <w:rStyle w:val="Hyperlink"/>
                <w:noProof/>
                <w:color w:val="000000" w:themeColor="text1"/>
              </w:rPr>
              <w:t>4. Analysis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_Toc237610610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20</w:t>
            </w:r>
            <w:r w:rsidRPr="0008521F">
              <w:rPr>
                <w:noProof/>
                <w:webHidden/>
                <w:color w:val="000000" w:themeColor="text1"/>
              </w:rPr>
              <w:fldChar w:fldCharType="end"/>
            </w:r>
          </w:hyperlink>
        </w:p>
        <w:p w14:paraId="5A979BAB" w14:textId="7F1F90F7" w:rsidR="00141A1E" w:rsidRPr="0008521F" w:rsidRDefault="00141A1E" w:rsidP="00141A1E">
          <w:pPr>
            <w:pStyle w:val="TOC2"/>
            <w:tabs>
              <w:tab w:val="right" w:leader="dot" w:pos="9350"/>
            </w:tabs>
            <w:spacing w:line="480" w:lineRule="auto"/>
            <w:rPr>
              <w:noProof/>
              <w:color w:val="000000" w:themeColor="text1"/>
            </w:rPr>
          </w:pPr>
          <w:hyperlink w:anchor="_Toc237610611" w:history="1">
            <w:r w:rsidRPr="0008521F">
              <w:rPr>
                <w:rStyle w:val="Hyperlink"/>
                <w:noProof/>
                <w:color w:val="000000" w:themeColor="text1"/>
              </w:rPr>
              <w:t>5. Conclusion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_Toc237610611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21</w:t>
            </w:r>
            <w:r w:rsidRPr="0008521F">
              <w:rPr>
                <w:noProof/>
                <w:webHidden/>
                <w:color w:val="000000" w:themeColor="text1"/>
              </w:rPr>
              <w:fldChar w:fldCharType="end"/>
            </w:r>
          </w:hyperlink>
        </w:p>
        <w:p w14:paraId="053BC764" w14:textId="36EA2042" w:rsidR="00141A1E" w:rsidRPr="0008521F" w:rsidRDefault="00141A1E" w:rsidP="00141A1E">
          <w:pPr>
            <w:pStyle w:val="TOC2"/>
            <w:tabs>
              <w:tab w:val="right" w:leader="dot" w:pos="9350"/>
            </w:tabs>
            <w:spacing w:line="480" w:lineRule="auto"/>
            <w:rPr>
              <w:noProof/>
              <w:color w:val="000000" w:themeColor="text1"/>
            </w:rPr>
          </w:pPr>
          <w:hyperlink w:anchor="_Toc237610612" w:history="1">
            <w:r w:rsidRPr="0008521F">
              <w:rPr>
                <w:rStyle w:val="Hyperlink"/>
                <w:noProof/>
                <w:color w:val="000000" w:themeColor="text1"/>
              </w:rPr>
              <w:t>6. Action plan</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_Toc237610612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21</w:t>
            </w:r>
            <w:r w:rsidRPr="0008521F">
              <w:rPr>
                <w:noProof/>
                <w:webHidden/>
                <w:color w:val="000000" w:themeColor="text1"/>
              </w:rPr>
              <w:fldChar w:fldCharType="end"/>
            </w:r>
          </w:hyperlink>
        </w:p>
        <w:p w14:paraId="615CF9C1" w14:textId="314B3DE6" w:rsidR="00141A1E" w:rsidRPr="0008521F" w:rsidRDefault="00141A1E" w:rsidP="00141A1E">
          <w:pPr>
            <w:pStyle w:val="TOC1"/>
            <w:tabs>
              <w:tab w:val="right" w:leader="dot" w:pos="9350"/>
            </w:tabs>
            <w:spacing w:line="480" w:lineRule="auto"/>
            <w:rPr>
              <w:noProof/>
              <w:color w:val="000000" w:themeColor="text1"/>
            </w:rPr>
          </w:pPr>
          <w:hyperlink w:anchor="_Toc237610613" w:history="1">
            <w:r w:rsidRPr="0008521F">
              <w:rPr>
                <w:rStyle w:val="Hyperlink"/>
                <w:noProof/>
                <w:color w:val="000000" w:themeColor="text1"/>
              </w:rPr>
              <w:t>References</w:t>
            </w:r>
            <w:r w:rsidRPr="0008521F">
              <w:rPr>
                <w:noProof/>
                <w:webHidden/>
                <w:color w:val="000000" w:themeColor="text1"/>
              </w:rPr>
              <w:tab/>
            </w:r>
            <w:r w:rsidRPr="0008521F">
              <w:rPr>
                <w:noProof/>
                <w:webHidden/>
                <w:color w:val="000000" w:themeColor="text1"/>
              </w:rPr>
              <w:fldChar w:fldCharType="begin"/>
            </w:r>
            <w:r w:rsidRPr="0008521F">
              <w:rPr>
                <w:noProof/>
                <w:webHidden/>
                <w:color w:val="000000" w:themeColor="text1"/>
              </w:rPr>
              <w:instrText xml:space="preserve"> PAGEREF _Toc237610613 \h </w:instrText>
            </w:r>
            <w:r w:rsidRPr="0008521F">
              <w:rPr>
                <w:noProof/>
                <w:webHidden/>
                <w:color w:val="000000" w:themeColor="text1"/>
              </w:rPr>
            </w:r>
            <w:r w:rsidRPr="0008521F">
              <w:rPr>
                <w:noProof/>
                <w:webHidden/>
                <w:color w:val="000000" w:themeColor="text1"/>
              </w:rPr>
              <w:fldChar w:fldCharType="separate"/>
            </w:r>
            <w:r w:rsidR="00480F26">
              <w:rPr>
                <w:noProof/>
                <w:webHidden/>
                <w:color w:val="000000" w:themeColor="text1"/>
              </w:rPr>
              <w:t>23</w:t>
            </w:r>
            <w:r w:rsidRPr="0008521F">
              <w:rPr>
                <w:noProof/>
                <w:webHidden/>
                <w:color w:val="000000" w:themeColor="text1"/>
              </w:rPr>
              <w:fldChar w:fldCharType="end"/>
            </w:r>
          </w:hyperlink>
        </w:p>
        <w:p w14:paraId="46E64451" w14:textId="77777777" w:rsidR="00765CE3" w:rsidRPr="0008521F" w:rsidRDefault="004A7A8F" w:rsidP="00141A1E">
          <w:pPr>
            <w:widowControl w:val="0"/>
            <w:tabs>
              <w:tab w:val="right" w:leader="dot" w:pos="12000"/>
            </w:tabs>
            <w:spacing w:before="60" w:after="0" w:line="480" w:lineRule="auto"/>
            <w:jc w:val="left"/>
            <w:rPr>
              <w:rFonts w:ascii="Arial" w:eastAsia="Arial" w:hAnsi="Arial" w:cs="Arial"/>
              <w:b/>
              <w:bCs/>
              <w:color w:val="000000" w:themeColor="text1"/>
              <w:sz w:val="22"/>
              <w:szCs w:val="22"/>
            </w:rPr>
          </w:pPr>
          <w:r w:rsidRPr="0008521F">
            <w:rPr>
              <w:color w:val="000000" w:themeColor="text1"/>
            </w:rPr>
            <w:fldChar w:fldCharType="end"/>
          </w:r>
        </w:p>
      </w:sdtContent>
    </w:sdt>
    <w:p w14:paraId="0AD7C426" w14:textId="77777777" w:rsidR="00765CE3" w:rsidRPr="0008521F" w:rsidRDefault="004A7A8F">
      <w:pPr>
        <w:spacing w:line="278" w:lineRule="auto"/>
        <w:jc w:val="left"/>
        <w:rPr>
          <w:b/>
          <w:bCs/>
          <w:color w:val="000000" w:themeColor="text1"/>
          <w:sz w:val="28"/>
          <w:szCs w:val="28"/>
        </w:rPr>
      </w:pPr>
      <w:r w:rsidRPr="0008521F">
        <w:rPr>
          <w:color w:val="000000" w:themeColor="text1"/>
        </w:rPr>
        <w:br w:type="page"/>
      </w:r>
    </w:p>
    <w:p w14:paraId="128CAECA" w14:textId="77777777" w:rsidR="00765CE3" w:rsidRPr="0008521F" w:rsidRDefault="004A7A8F">
      <w:pPr>
        <w:pStyle w:val="Heading1"/>
        <w:rPr>
          <w:color w:val="000000" w:themeColor="text1"/>
        </w:rPr>
      </w:pPr>
      <w:bookmarkStart w:id="0" w:name="_Toc237610589"/>
      <w:r w:rsidRPr="0008521F">
        <w:rPr>
          <w:color w:val="000000" w:themeColor="text1"/>
        </w:rPr>
        <w:t>Section 1: International Business Strategy Assessment - Rivian Automotive, India</w:t>
      </w:r>
      <w:bookmarkEnd w:id="0"/>
    </w:p>
    <w:p w14:paraId="3A1A2BB6" w14:textId="77777777" w:rsidR="00765CE3" w:rsidRPr="0008521F" w:rsidRDefault="004A7A8F">
      <w:pPr>
        <w:pStyle w:val="Heading1"/>
        <w:rPr>
          <w:color w:val="000000" w:themeColor="text1"/>
        </w:rPr>
      </w:pPr>
      <w:bookmarkStart w:id="1" w:name="_Toc237610590"/>
      <w:r w:rsidRPr="0008521F">
        <w:rPr>
          <w:color w:val="000000" w:themeColor="text1"/>
        </w:rPr>
        <w:t>1. Introduction</w:t>
      </w:r>
      <w:bookmarkEnd w:id="1"/>
    </w:p>
    <w:p w14:paraId="190BC507" w14:textId="77777777" w:rsidR="00765CE3" w:rsidRPr="0008521F" w:rsidRDefault="004A7A8F">
      <w:pPr>
        <w:rPr>
          <w:color w:val="000000" w:themeColor="text1"/>
        </w:rPr>
      </w:pPr>
      <w:r w:rsidRPr="0008521F">
        <w:rPr>
          <w:color w:val="000000" w:themeColor="text1"/>
        </w:rPr>
        <w:t>India is home to a substantial passenger-vehicle market and policies that are favouring local manufacture of electric vehicles, however the demand for electric vehicles is price sensitive, charging infrastructure is uneven and incentives need long-term production commitments. But Rivian, with its unique software, electrical architecture and adventure-vehicle features, has not yet achieved sustained profitability, and is focused primarily on North America. The report thus calls for conditional entry: India h</w:t>
      </w:r>
      <w:r w:rsidRPr="0008521F">
        <w:rPr>
          <w:color w:val="000000" w:themeColor="text1"/>
        </w:rPr>
        <w:t>as long-term potential but Rivian should pursue a staged, local partnership, instead of a new manufacturing facility, or a high-volume imports of R1 vehicles (Rivian R1T and R1S models).</w:t>
      </w:r>
    </w:p>
    <w:p w14:paraId="73926433" w14:textId="77777777" w:rsidR="00765CE3" w:rsidRPr="0008521F" w:rsidRDefault="004A7A8F">
      <w:pPr>
        <w:pStyle w:val="Heading1"/>
        <w:rPr>
          <w:color w:val="000000" w:themeColor="text1"/>
        </w:rPr>
      </w:pPr>
      <w:bookmarkStart w:id="2" w:name="_Toc237610591"/>
      <w:r w:rsidRPr="0008521F">
        <w:rPr>
          <w:color w:val="000000" w:themeColor="text1"/>
        </w:rPr>
        <w:t>2. Organisational Classification and Global Strategy</w:t>
      </w:r>
      <w:bookmarkEnd w:id="2"/>
    </w:p>
    <w:p w14:paraId="521ADD61" w14:textId="77777777" w:rsidR="00765CE3" w:rsidRPr="0008521F" w:rsidRDefault="004A7A8F">
      <w:pPr>
        <w:pStyle w:val="Heading2"/>
        <w:rPr>
          <w:color w:val="000000" w:themeColor="text1"/>
        </w:rPr>
      </w:pPr>
      <w:bookmarkStart w:id="3" w:name="_Toc237610592"/>
      <w:r w:rsidRPr="0008521F">
        <w:rPr>
          <w:color w:val="000000" w:themeColor="text1"/>
        </w:rPr>
        <w:t>2.1 Strategic categorisation</w:t>
      </w:r>
      <w:bookmarkEnd w:id="3"/>
    </w:p>
    <w:p w14:paraId="6BABBEF5" w14:textId="77777777" w:rsidR="00073BD9" w:rsidRPr="0008521F" w:rsidRDefault="004A7A8F">
      <w:pPr>
        <w:spacing w:after="0"/>
        <w:jc w:val="center"/>
        <w:rPr>
          <w:color w:val="000000" w:themeColor="text1"/>
          <w:lang w:val="en-US"/>
        </w:rPr>
      </w:pPr>
      <w:r w:rsidRPr="0008521F">
        <w:rPr>
          <w:noProof/>
          <w:color w:val="000000" w:themeColor="text1"/>
        </w:rPr>
        <w:drawing>
          <wp:inline distT="0" distB="0" distL="0" distR="0" wp14:anchorId="55B19CF1" wp14:editId="5343FC81">
            <wp:extent cx="4431521" cy="29146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99b410-c222-4a6d-a3ce-9797bd13cf63.png"/>
                    <pic:cNvPicPr/>
                  </pic:nvPicPr>
                  <pic:blipFill>
                    <a:blip r:embed="rId7"/>
                    <a:stretch>
                      <a:fillRect/>
                    </a:stretch>
                  </pic:blipFill>
                  <pic:spPr>
                    <a:xfrm>
                      <a:off x="0" y="0"/>
                      <a:ext cx="4437974" cy="2918894"/>
                    </a:xfrm>
                    <a:prstGeom prst="rect">
                      <a:avLst/>
                    </a:prstGeom>
                  </pic:spPr>
                </pic:pic>
              </a:graphicData>
            </a:graphic>
          </wp:inline>
        </w:drawing>
      </w:r>
    </w:p>
    <w:p w14:paraId="2F0F2505" w14:textId="77777777" w:rsidR="0008521F" w:rsidRPr="0008521F" w:rsidRDefault="0008521F">
      <w:pPr>
        <w:spacing w:after="0"/>
        <w:jc w:val="center"/>
        <w:rPr>
          <w:b/>
          <w:bCs/>
          <w:color w:val="000000" w:themeColor="text1"/>
          <w:lang w:val="en-US"/>
        </w:rPr>
      </w:pPr>
      <w:r w:rsidRPr="0008521F">
        <w:rPr>
          <w:b/>
          <w:bCs/>
          <w:color w:val="000000" w:themeColor="text1"/>
          <w:lang w:val="en-US"/>
        </w:rPr>
        <w:t xml:space="preserve">Figure 1: Global business strategies of multinational firms: the Bartlett and Ghoshal and Prahalad models </w:t>
      </w:r>
    </w:p>
    <w:p w14:paraId="5BD47BC1" w14:textId="723AD201" w:rsidR="0008521F" w:rsidRPr="0008521F" w:rsidRDefault="0008521F">
      <w:pPr>
        <w:spacing w:after="0"/>
        <w:jc w:val="center"/>
        <w:rPr>
          <w:color w:val="000000" w:themeColor="text1"/>
          <w:lang w:val="en-US"/>
        </w:rPr>
      </w:pPr>
      <w:r w:rsidRPr="0008521F">
        <w:rPr>
          <w:color w:val="000000" w:themeColor="text1"/>
          <w:lang w:val="en-US"/>
        </w:rPr>
        <w:t>(</w:t>
      </w:r>
      <w:r w:rsidRPr="0008521F">
        <w:rPr>
          <w:color w:val="000000" w:themeColor="text1"/>
        </w:rPr>
        <w:t>Source: Lehmann</w:t>
      </w:r>
      <w:r w:rsidR="00C15B5B">
        <w:rPr>
          <w:color w:val="000000" w:themeColor="text1"/>
        </w:rPr>
        <w:t>,</w:t>
      </w:r>
      <w:r w:rsidRPr="0008521F">
        <w:rPr>
          <w:color w:val="000000" w:themeColor="text1"/>
        </w:rPr>
        <w:t xml:space="preserve"> 2010)</w:t>
      </w:r>
    </w:p>
    <w:p w14:paraId="36C9AC59" w14:textId="77777777" w:rsidR="00765CE3" w:rsidRPr="0008521F" w:rsidRDefault="004A7A8F">
      <w:pPr>
        <w:rPr>
          <w:color w:val="000000" w:themeColor="text1"/>
        </w:rPr>
      </w:pPr>
      <w:r w:rsidRPr="0008521F">
        <w:rPr>
          <w:color w:val="000000" w:themeColor="text1"/>
        </w:rPr>
        <w:t xml:space="preserve">Bartlett and Ghoshal's (1989) integration-responsiveness framework categorises strategies into international, multidomestic, global and transnational based on the pressures for integration on a global scale and pressures for adaptation at the local level. </w:t>
      </w:r>
      <w:r w:rsidRPr="0008521F">
        <w:rPr>
          <w:color w:val="000000" w:themeColor="text1"/>
          <w:sz w:val="23"/>
          <w:szCs w:val="23"/>
        </w:rPr>
        <w:t>International strategies: transfer home-country capabilities abroad; multidomestic strategies: focus on local adaptation; global strategies: standardisation; transnational strategies: combine global integration with local responsiveness.</w:t>
      </w:r>
      <w:r w:rsidR="00C80BBA" w:rsidRPr="0008521F">
        <w:rPr>
          <w:color w:val="000000" w:themeColor="text1"/>
          <w:sz w:val="23"/>
          <w:szCs w:val="23"/>
        </w:rPr>
        <w:t xml:space="preserve"> </w:t>
      </w:r>
      <w:r w:rsidRPr="0008521F">
        <w:rPr>
          <w:color w:val="000000" w:themeColor="text1"/>
        </w:rPr>
        <w:t>The international strategy of Rivian is best described as one with transnational characteristics that are emerging selectively. It has as its main competitive strengths vehicle architecture, batteries, propulsion, software, autonomy, over-the-air updating and brand design, all of which are primarily developed in the United States. The footprint includes manufacturing in Normal, Illinois, and locations in the United States, Canada, Europe, and the United Kingdom (but not in India) and a Rivian subsidiary, pr</w:t>
      </w:r>
      <w:r w:rsidRPr="0008521F">
        <w:rPr>
          <w:color w:val="000000" w:themeColor="text1"/>
        </w:rPr>
        <w:t>oduction, sales, and service network (Rivian, 2026a).</w:t>
      </w:r>
    </w:p>
    <w:p w14:paraId="71E5A92C" w14:textId="77777777" w:rsidR="00765CE3" w:rsidRPr="0008521F" w:rsidRDefault="004A7A8F">
      <w:pPr>
        <w:rPr>
          <w:color w:val="000000" w:themeColor="text1"/>
        </w:rPr>
      </w:pPr>
      <w:r w:rsidRPr="0008521F">
        <w:rPr>
          <w:color w:val="000000" w:themeColor="text1"/>
        </w:rPr>
        <w:t>Rivian is not yet globally integrated because it has yet to develop a standardised high-volume production network in different countries; and it is not multidomestic because overseas plants do not have much autonomy in redesigning products. The Rivian-Volkswagen Group Technologies collaboration, however, includes a transnational characteristic - the software-defined architecture being developed will be shared by both companies, with the aim of learning from each other, not just transferring knowledge from V</w:t>
      </w:r>
      <w:r w:rsidRPr="0008521F">
        <w:rPr>
          <w:color w:val="000000" w:themeColor="text1"/>
        </w:rPr>
        <w:t>olkswagen Group to Rivian (Rivian and Volkswagen Group, 2024). Specialised knowledge is further distributed across software teams in Vancouver and Belgrade, Amsterdam regional planning and the London artificial-intelligence hub (Rivian, 2025b; Rivian, 2026a).</w:t>
      </w:r>
    </w:p>
    <w:p w14:paraId="1297EAD5" w14:textId="77777777" w:rsidR="00765CE3" w:rsidRPr="0008521F" w:rsidRDefault="004A7A8F">
      <w:pPr>
        <w:jc w:val="center"/>
        <w:rPr>
          <w:color w:val="000000" w:themeColor="text1"/>
        </w:rPr>
      </w:pPr>
      <w:r w:rsidRPr="0008521F">
        <w:rPr>
          <w:noProof/>
          <w:color w:val="000000" w:themeColor="text1"/>
        </w:rPr>
        <w:drawing>
          <wp:inline distT="0" distB="0" distL="0" distR="0" wp14:anchorId="2C598885" wp14:editId="01D73388">
            <wp:extent cx="5814060" cy="386334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814060" cy="3863340"/>
                    </a:xfrm>
                    <a:prstGeom prst="rect">
                      <a:avLst/>
                    </a:prstGeom>
                    <a:ln/>
                  </pic:spPr>
                </pic:pic>
              </a:graphicData>
            </a:graphic>
          </wp:inline>
        </w:drawing>
      </w:r>
    </w:p>
    <w:p w14:paraId="6918ABF1" w14:textId="7C2AAF87" w:rsidR="00765CE3" w:rsidRPr="0008521F" w:rsidRDefault="004A7A8F">
      <w:pPr>
        <w:jc w:val="center"/>
        <w:rPr>
          <w:b/>
          <w:bCs/>
          <w:color w:val="000000" w:themeColor="text1"/>
        </w:rPr>
      </w:pPr>
      <w:r w:rsidRPr="0008521F">
        <w:rPr>
          <w:b/>
          <w:bCs/>
          <w:color w:val="000000" w:themeColor="text1"/>
        </w:rPr>
        <w:t xml:space="preserve">Figure </w:t>
      </w:r>
      <w:r w:rsidR="0008521F" w:rsidRPr="0008521F">
        <w:rPr>
          <w:b/>
          <w:bCs/>
          <w:color w:val="000000" w:themeColor="text1"/>
        </w:rPr>
        <w:t>2</w:t>
      </w:r>
      <w:r w:rsidRPr="0008521F">
        <w:rPr>
          <w:b/>
          <w:bCs/>
          <w:color w:val="000000" w:themeColor="text1"/>
        </w:rPr>
        <w:t>: Second-generation Rivian R1T and R1S</w:t>
      </w:r>
    </w:p>
    <w:p w14:paraId="72893016" w14:textId="77777777" w:rsidR="00765CE3" w:rsidRPr="0008521F" w:rsidRDefault="004A7A8F">
      <w:pPr>
        <w:jc w:val="center"/>
        <w:rPr>
          <w:color w:val="000000" w:themeColor="text1"/>
        </w:rPr>
      </w:pPr>
      <w:r w:rsidRPr="0008521F">
        <w:rPr>
          <w:color w:val="000000" w:themeColor="text1"/>
        </w:rPr>
        <w:t>Source: Rivian (2024a)</w:t>
      </w:r>
    </w:p>
    <w:p w14:paraId="1406BFA5" w14:textId="283CF0AD" w:rsidR="00765CE3" w:rsidRPr="0008521F" w:rsidRDefault="004A7A8F">
      <w:pPr>
        <w:rPr>
          <w:color w:val="000000" w:themeColor="text1"/>
        </w:rPr>
      </w:pPr>
      <w:r w:rsidRPr="0008521F">
        <w:rPr>
          <w:color w:val="000000" w:themeColor="text1"/>
        </w:rPr>
        <w:t xml:space="preserve">The second-generation R1 platform, illustrated in Figure </w:t>
      </w:r>
      <w:r w:rsidR="00F61CC2">
        <w:rPr>
          <w:color w:val="000000" w:themeColor="text1"/>
        </w:rPr>
        <w:t>2</w:t>
      </w:r>
      <w:r w:rsidRPr="0008521F">
        <w:rPr>
          <w:color w:val="000000" w:themeColor="text1"/>
        </w:rPr>
        <w:t>, reduced the number of electronic control units from 17 to 7 and eliminated about 1.6 miles of wiring, reducing the platform's complexity and increasing its integrated software (Rivian, 2024a). Responsiveness is needed in the right-hand-drive configuration, heat and monsoon durability, road conditions, rear-seat usage, local languages, pricing, charging and after-sales coverage, all of which India requires at the same time. Rivian should therefore move towards a transnational model: the core software, safe</w:t>
      </w:r>
      <w:r w:rsidRPr="0008521F">
        <w:rPr>
          <w:color w:val="000000" w:themeColor="text1"/>
        </w:rPr>
        <w:t>ty and brand standards will be controlled globally; the specification, sourcing, service and execution will be local. It is a strategically desirable balance but challenging as it involves dispersed authority which can lead to duplication, slower decision making, and to a lesser extent, coordination conflicts (</w:t>
      </w:r>
      <w:proofErr w:type="spellStart"/>
      <w:r w:rsidRPr="0008521F">
        <w:rPr>
          <w:color w:val="000000" w:themeColor="text1"/>
        </w:rPr>
        <w:t>Harzing</w:t>
      </w:r>
      <w:proofErr w:type="spellEnd"/>
      <w:r w:rsidRPr="0008521F">
        <w:rPr>
          <w:color w:val="000000" w:themeColor="text1"/>
        </w:rPr>
        <w:t>, 2000).</w:t>
      </w:r>
    </w:p>
    <w:p w14:paraId="61F2D5F6" w14:textId="77777777" w:rsidR="00765CE3" w:rsidRPr="0008521F" w:rsidRDefault="004A7A8F">
      <w:pPr>
        <w:pStyle w:val="Heading2"/>
        <w:rPr>
          <w:color w:val="000000" w:themeColor="text1"/>
        </w:rPr>
      </w:pPr>
      <w:bookmarkStart w:id="4" w:name="_Toc237610593"/>
      <w:r w:rsidRPr="0008521F">
        <w:rPr>
          <w:color w:val="000000" w:themeColor="text1"/>
        </w:rPr>
        <w:t>2.2 Global configuration and value creation</w:t>
      </w:r>
      <w:bookmarkEnd w:id="4"/>
    </w:p>
    <w:p w14:paraId="3C0720F9" w14:textId="77777777" w:rsidR="00765CE3" w:rsidRPr="0008521F" w:rsidRDefault="004A7A8F">
      <w:pPr>
        <w:rPr>
          <w:color w:val="000000" w:themeColor="text1"/>
        </w:rPr>
      </w:pPr>
      <w:r w:rsidRPr="0008521F">
        <w:rPr>
          <w:color w:val="000000" w:themeColor="text1"/>
        </w:rPr>
        <w:t>Currently, Rivian's manufacturing operations are based at its facility in Normal, Illinois, while its software teams are located in Vancouver and Belgrade, regional planning takes place in Amsterdam, and its AI development hub is in London (Rivian, 2025a; Rivian, 2025b; Rivian, 2026a). Normal focuses on assembly, supplier management, and production learning, and the adjacent supplier park aims to minimize logistics and warehouse expenses (Rivian, 2025a).</w:t>
      </w:r>
    </w:p>
    <w:p w14:paraId="7888CBCB" w14:textId="77777777" w:rsidR="00765CE3" w:rsidRPr="0008521F" w:rsidRDefault="004A7A8F">
      <w:pPr>
        <w:jc w:val="center"/>
        <w:rPr>
          <w:color w:val="000000" w:themeColor="text1"/>
        </w:rPr>
      </w:pPr>
      <w:r w:rsidRPr="0008521F">
        <w:rPr>
          <w:noProof/>
          <w:color w:val="000000" w:themeColor="text1"/>
        </w:rPr>
        <w:drawing>
          <wp:inline distT="0" distB="0" distL="0" distR="0" wp14:anchorId="37E09A62" wp14:editId="3E8F815D">
            <wp:extent cx="5814060" cy="325374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814060" cy="3253740"/>
                    </a:xfrm>
                    <a:prstGeom prst="rect">
                      <a:avLst/>
                    </a:prstGeom>
                    <a:ln/>
                  </pic:spPr>
                </pic:pic>
              </a:graphicData>
            </a:graphic>
          </wp:inline>
        </w:drawing>
      </w:r>
    </w:p>
    <w:p w14:paraId="32FF14B2" w14:textId="7398FB8C" w:rsidR="00765CE3" w:rsidRPr="0008521F" w:rsidRDefault="004A7A8F">
      <w:pPr>
        <w:jc w:val="center"/>
        <w:rPr>
          <w:b/>
          <w:bCs/>
          <w:color w:val="000000" w:themeColor="text1"/>
        </w:rPr>
      </w:pPr>
      <w:r w:rsidRPr="0008521F">
        <w:rPr>
          <w:b/>
          <w:bCs/>
          <w:color w:val="000000" w:themeColor="text1"/>
        </w:rPr>
        <w:t xml:space="preserve">Figure </w:t>
      </w:r>
      <w:r w:rsidR="0008521F" w:rsidRPr="0008521F">
        <w:rPr>
          <w:b/>
          <w:bCs/>
          <w:color w:val="000000" w:themeColor="text1"/>
        </w:rPr>
        <w:t>3</w:t>
      </w:r>
      <w:r w:rsidRPr="0008521F">
        <w:rPr>
          <w:b/>
          <w:bCs/>
          <w:color w:val="000000" w:themeColor="text1"/>
        </w:rPr>
        <w:t>: Rivian’s Normal manufacturing and supplier-park expansion</w:t>
      </w:r>
    </w:p>
    <w:p w14:paraId="7EC9C481" w14:textId="77777777" w:rsidR="00765CE3" w:rsidRPr="0008521F" w:rsidRDefault="004A7A8F">
      <w:pPr>
        <w:jc w:val="center"/>
        <w:rPr>
          <w:color w:val="000000" w:themeColor="text1"/>
        </w:rPr>
      </w:pPr>
      <w:r w:rsidRPr="0008521F">
        <w:rPr>
          <w:color w:val="000000" w:themeColor="text1"/>
        </w:rPr>
        <w:t>Source: Rivian (2025a)</w:t>
      </w:r>
    </w:p>
    <w:p w14:paraId="1D8492E2" w14:textId="77777777" w:rsidR="00765CE3" w:rsidRPr="0008521F" w:rsidRDefault="004A7A8F">
      <w:pPr>
        <w:rPr>
          <w:color w:val="000000" w:themeColor="text1"/>
        </w:rPr>
      </w:pPr>
      <w:r w:rsidRPr="0008521F">
        <w:rPr>
          <w:color w:val="000000" w:themeColor="text1"/>
        </w:rPr>
        <w:t>In 2025, Rivian delivered 42,247 vehicles, and 42,284 were produced, resulting in US$5.387 billion of revenue, and positive gross profit (Rivian, 2026b). It produced 10,236 vehicles during the first quarter of 2026, delivered 10,365, and reported a revenue of US$1.381 billion, a gross profit of US$119 million and a net loss of US$416 million (Rivian, 2026c; Rivian, 2026d). India could diversify its demand and also provide R2 with additional lower-cost engineering, components and export capacity, but early e</w:t>
      </w:r>
      <w:r w:rsidRPr="0008521F">
        <w:rPr>
          <w:color w:val="000000" w:themeColor="text1"/>
        </w:rPr>
        <w:t>xpansion may cause a setback to the R2 production ramp-up.</w:t>
      </w:r>
    </w:p>
    <w:p w14:paraId="0203B20F" w14:textId="77777777" w:rsidR="00765CE3" w:rsidRPr="0008521F" w:rsidRDefault="004A7A8F">
      <w:pPr>
        <w:pStyle w:val="Heading1"/>
        <w:rPr>
          <w:color w:val="000000" w:themeColor="text1"/>
        </w:rPr>
      </w:pPr>
      <w:bookmarkStart w:id="5" w:name="_Toc237610594"/>
      <w:r w:rsidRPr="0008521F">
        <w:rPr>
          <w:color w:val="000000" w:themeColor="text1"/>
        </w:rPr>
        <w:t>3. Macro-Environmental Appraisal and Market Attractiveness</w:t>
      </w:r>
      <w:bookmarkEnd w:id="5"/>
    </w:p>
    <w:p w14:paraId="62D2A7A3" w14:textId="77777777" w:rsidR="00765CE3" w:rsidRPr="0008521F" w:rsidRDefault="004A7A8F">
      <w:pPr>
        <w:pStyle w:val="Heading2"/>
        <w:rPr>
          <w:color w:val="000000" w:themeColor="text1"/>
        </w:rPr>
      </w:pPr>
      <w:bookmarkStart w:id="6" w:name="_Toc237610595"/>
      <w:r w:rsidRPr="0008521F">
        <w:rPr>
          <w:color w:val="000000" w:themeColor="text1"/>
        </w:rPr>
        <w:t>3.1 Political and industrial-policy environment</w:t>
      </w:r>
      <w:bookmarkEnd w:id="6"/>
    </w:p>
    <w:p w14:paraId="46760F47" w14:textId="77777777" w:rsidR="00765CE3" w:rsidRPr="0008521F" w:rsidRDefault="004A7A8F">
      <w:pPr>
        <w:rPr>
          <w:color w:val="000000" w:themeColor="text1"/>
        </w:rPr>
      </w:pPr>
      <w:r w:rsidRPr="0008521F">
        <w:rPr>
          <w:color w:val="000000" w:themeColor="text1"/>
        </w:rPr>
        <w:t>Central government policy is aligned with reducing oil dependence, improved urban air quality and industrial upgrading, Make in India. The Scheme to Promote Manufacturing of Electric Passenger Cars in India, under the Ministry of Heavy Industries, provides a reduced customs duty rate of 15 per cent on qualifying electric passenger cars for five years to the approved manufacturers, with a minimum investment of INR41.5 billion and enabling them to start manufacturing domestic cars within three years and achie</w:t>
      </w:r>
      <w:r w:rsidRPr="0008521F">
        <w:rPr>
          <w:color w:val="000000" w:themeColor="text1"/>
        </w:rPr>
        <w:t>ve 25 per cent and 50 per cent domestic value addition by years three and five, respectively (Ministry of Heavy Industries, 2025a; Press Information Bureau, 2025a). This reduces the tariff disadvantage for the premium foreign EV manufacturers and will require an irreversible local commitment.</w:t>
      </w:r>
    </w:p>
    <w:p w14:paraId="3A34F953" w14:textId="77777777" w:rsidR="00765CE3" w:rsidRPr="0008521F" w:rsidRDefault="004A7A8F">
      <w:pPr>
        <w:rPr>
          <w:color w:val="000000" w:themeColor="text1"/>
        </w:rPr>
      </w:pPr>
      <w:r w:rsidRPr="0008521F">
        <w:rPr>
          <w:color w:val="000000" w:themeColor="text1"/>
        </w:rPr>
        <w:t>Some concessions might be introduced to test market demand before full localisation - but the investment amount is significant compared to Rivian's losses and existing R2 commitments. Furthermore, October 2025 was the first application window that did not receive any applications, and in February 2026, the Ministry confirmed this (Ministry of Heavy Industries, 2026a). There appears to be a lack of applicants in the absence of which headline incentives may not be sufficient to offset demand uncertainty, loca</w:t>
      </w:r>
      <w:r w:rsidRPr="0008521F">
        <w:rPr>
          <w:color w:val="000000" w:themeColor="text1"/>
        </w:rPr>
        <w:t>lisation requirements and capital risk.</w:t>
      </w:r>
    </w:p>
    <w:p w14:paraId="1D4DB986" w14:textId="77777777" w:rsidR="00765CE3" w:rsidRPr="0008521F" w:rsidRDefault="004A7A8F">
      <w:pPr>
        <w:rPr>
          <w:color w:val="000000" w:themeColor="text1"/>
        </w:rPr>
      </w:pPr>
      <w:r w:rsidRPr="0008521F">
        <w:rPr>
          <w:color w:val="000000" w:themeColor="text1"/>
        </w:rPr>
        <w:t>Individual states offer varying incentives for electric vehicle charging, vehicle registration fees and exemptions, industrial land and incentives. This will intensify competition between locations and administrative complexity. An early commercial and engineering plant and a later manufacturing site would enable Rivian to keep its initial engineering and commercial operations apart from the manufacturing site that will be chosen using clear considerations for supplier density, availability of renewable pow</w:t>
      </w:r>
      <w:r w:rsidRPr="0008521F">
        <w:rPr>
          <w:color w:val="000000" w:themeColor="text1"/>
        </w:rPr>
        <w:t>er, logistics, labour capacity and the stability of state-level policy.</w:t>
      </w:r>
    </w:p>
    <w:p w14:paraId="49D31163" w14:textId="77777777" w:rsidR="00765CE3" w:rsidRPr="0008521F" w:rsidRDefault="004A7A8F">
      <w:pPr>
        <w:rPr>
          <w:color w:val="000000" w:themeColor="text1"/>
        </w:rPr>
      </w:pPr>
      <w:r w:rsidRPr="0008521F">
        <w:rPr>
          <w:color w:val="000000" w:themeColor="text1"/>
        </w:rPr>
        <w:t>Local-content requirements can become more stringent, central or state incentives could shift, and geopolitical constraints could impact batteries, semiconductors, rare-earth magnets or vehicle software. The Indian focus on strategic autonomy also entails that foreign investors must demonstrate local capability creation, rather than merely selling imported products.</w:t>
      </w:r>
    </w:p>
    <w:p w14:paraId="414ED649" w14:textId="77777777" w:rsidR="00765CE3" w:rsidRPr="0008521F" w:rsidRDefault="004A7A8F">
      <w:pPr>
        <w:pStyle w:val="Heading2"/>
        <w:rPr>
          <w:color w:val="000000" w:themeColor="text1"/>
        </w:rPr>
      </w:pPr>
      <w:bookmarkStart w:id="7" w:name="_Toc237610596"/>
      <w:r w:rsidRPr="0008521F">
        <w:rPr>
          <w:color w:val="000000" w:themeColor="text1"/>
        </w:rPr>
        <w:t>3.2 Economic conditions and market attractiveness</w:t>
      </w:r>
      <w:bookmarkEnd w:id="7"/>
    </w:p>
    <w:p w14:paraId="087F87C3" w14:textId="77777777" w:rsidR="00765CE3" w:rsidRPr="0008521F" w:rsidRDefault="004A7A8F">
      <w:pPr>
        <w:rPr>
          <w:color w:val="000000" w:themeColor="text1"/>
        </w:rPr>
      </w:pPr>
      <w:r w:rsidRPr="0008521F">
        <w:rPr>
          <w:color w:val="000000" w:themeColor="text1"/>
        </w:rPr>
        <w:t>World Bank estimates the nominal GDP in 2025 to be about US$3.96 trillion, while the India Development Update (IDU) released by the World Bank in April 2026 projects 7.6 per cent growth for FY2025/26 and 6.6 per cent for FY2026/27, despite external energy and supply-chain risks. (World Bank, 2026a; World Bank, 2026b) In FY2025/26, the number of electric passenger vehicles has increased by over 80 per cent while the total passenger-vehicle market grew by 7.9 per cent (SIAM, 2026).</w:t>
      </w:r>
    </w:p>
    <w:p w14:paraId="1F880421" w14:textId="77777777" w:rsidR="00765CE3" w:rsidRPr="0008521F" w:rsidRDefault="004A7A8F">
      <w:pPr>
        <w:rPr>
          <w:color w:val="000000" w:themeColor="text1"/>
        </w:rPr>
      </w:pPr>
      <w:r w:rsidRPr="0008521F">
        <w:rPr>
          <w:color w:val="000000" w:themeColor="text1"/>
        </w:rPr>
        <w:t>As per the provided chart from Statista, overall EV registrations grew from 129,147 in 2018 to 1,432,474 in 2024, however, EV share of total vehicle sales was only 5.6 per cent in 2024 with two- and three-wheelers capturing the bulk of registrations (Statista, 2025).</w:t>
      </w:r>
    </w:p>
    <w:p w14:paraId="401339FC" w14:textId="77777777" w:rsidR="00765CE3" w:rsidRPr="0008521F" w:rsidRDefault="004A7A8F">
      <w:pPr>
        <w:jc w:val="center"/>
        <w:rPr>
          <w:color w:val="000000" w:themeColor="text1"/>
        </w:rPr>
      </w:pPr>
      <w:r w:rsidRPr="0008521F">
        <w:rPr>
          <w:noProof/>
          <w:color w:val="000000" w:themeColor="text1"/>
        </w:rPr>
        <w:drawing>
          <wp:inline distT="0" distB="0" distL="0" distR="0" wp14:anchorId="22629C83" wp14:editId="3C1B0B42">
            <wp:extent cx="5074920" cy="507492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074920" cy="5074920"/>
                    </a:xfrm>
                    <a:prstGeom prst="rect">
                      <a:avLst/>
                    </a:prstGeom>
                    <a:ln/>
                  </pic:spPr>
                </pic:pic>
              </a:graphicData>
            </a:graphic>
          </wp:inline>
        </w:drawing>
      </w:r>
    </w:p>
    <w:p w14:paraId="3CA443C7" w14:textId="6B393768" w:rsidR="00765CE3" w:rsidRPr="0008521F" w:rsidRDefault="004A7A8F">
      <w:pPr>
        <w:jc w:val="center"/>
        <w:rPr>
          <w:b/>
          <w:bCs/>
          <w:color w:val="000000" w:themeColor="text1"/>
        </w:rPr>
      </w:pPr>
      <w:r w:rsidRPr="0008521F">
        <w:rPr>
          <w:b/>
          <w:bCs/>
          <w:color w:val="000000" w:themeColor="text1"/>
        </w:rPr>
        <w:t xml:space="preserve">Figure </w:t>
      </w:r>
      <w:r w:rsidR="00F61CC2">
        <w:rPr>
          <w:b/>
          <w:bCs/>
          <w:color w:val="000000" w:themeColor="text1"/>
        </w:rPr>
        <w:t>4</w:t>
      </w:r>
      <w:r w:rsidRPr="0008521F">
        <w:rPr>
          <w:b/>
          <w:bCs/>
          <w:color w:val="000000" w:themeColor="text1"/>
        </w:rPr>
        <w:t>: Indian EV registrations and share of total vehicle sales, 2018-2024</w:t>
      </w:r>
    </w:p>
    <w:p w14:paraId="04C8EADC" w14:textId="77777777" w:rsidR="00765CE3" w:rsidRPr="0008521F" w:rsidRDefault="004A7A8F">
      <w:pPr>
        <w:jc w:val="center"/>
        <w:rPr>
          <w:color w:val="000000" w:themeColor="text1"/>
        </w:rPr>
      </w:pPr>
      <w:r w:rsidRPr="0008521F">
        <w:rPr>
          <w:color w:val="000000" w:themeColor="text1"/>
        </w:rPr>
        <w:t>Source: Statista (2025)</w:t>
      </w:r>
    </w:p>
    <w:p w14:paraId="2AE6AAED" w14:textId="77777777" w:rsidR="00765CE3" w:rsidRPr="0008521F" w:rsidRDefault="004A7A8F">
      <w:pPr>
        <w:rPr>
          <w:color w:val="000000" w:themeColor="text1"/>
        </w:rPr>
      </w:pPr>
      <w:r w:rsidRPr="0008521F">
        <w:rPr>
          <w:color w:val="000000" w:themeColor="text1"/>
        </w:rPr>
        <w:t>The principal economic constraint is affordability. This gives a broad sense of the gap between India's current GDP per capita level of around US$2,702 and Rivian's R1 range, which is considered premium, and the entry-level R2, which starts at around US$45,000 excluding Indian duties, logistics and taxes (World Bank, 2026c; Rivian, 2026e). At concessional duty, an imported R2 would be in a small luxury group and a full-duty R1 would be in a commercially unviable price position. The R1S can be used as a halo</w:t>
      </w:r>
      <w:r w:rsidRPr="0008521F">
        <w:rPr>
          <w:color w:val="000000" w:themeColor="text1"/>
        </w:rPr>
        <w:t xml:space="preserve"> product for a limited number of high-income consumers. The smaller R2, and subsequently R3, offer more realistic entry platforms.</w:t>
      </w:r>
    </w:p>
    <w:p w14:paraId="6E3817FE" w14:textId="77777777" w:rsidR="00765CE3" w:rsidRPr="0008521F" w:rsidRDefault="004A7A8F">
      <w:pPr>
        <w:rPr>
          <w:color w:val="000000" w:themeColor="text1"/>
        </w:rPr>
      </w:pPr>
      <w:r w:rsidRPr="0008521F">
        <w:rPr>
          <w:color w:val="000000" w:themeColor="text1"/>
        </w:rPr>
        <w:t xml:space="preserve">Faster charging time, higher range and reduced operating costs were identified by Bansal et al. (2021) as key factors influencing EV adoption in India, while </w:t>
      </w:r>
      <w:proofErr w:type="spellStart"/>
      <w:r w:rsidRPr="0008521F">
        <w:rPr>
          <w:color w:val="000000" w:themeColor="text1"/>
        </w:rPr>
        <w:t>Murugan</w:t>
      </w:r>
      <w:proofErr w:type="spellEnd"/>
      <w:r w:rsidRPr="0008521F">
        <w:rPr>
          <w:color w:val="000000" w:themeColor="text1"/>
        </w:rPr>
        <w:t xml:space="preserve"> and </w:t>
      </w:r>
      <w:proofErr w:type="spellStart"/>
      <w:r w:rsidRPr="0008521F">
        <w:rPr>
          <w:color w:val="000000" w:themeColor="text1"/>
        </w:rPr>
        <w:t>Marisamynathan</w:t>
      </w:r>
      <w:proofErr w:type="spellEnd"/>
      <w:r w:rsidRPr="0008521F">
        <w:rPr>
          <w:color w:val="000000" w:themeColor="text1"/>
        </w:rPr>
        <w:t xml:space="preserve"> (2022) highlighted vehicle price and uncertainty regarding technology and infrastructure as the major factors that hinder the adoption of EVs. This evidence points to the fact that the environmental positioning alone would not be sufficient to justify Rivian's premium pricing in India. For Rivian, financial and ownership risk can therefore be reduced by offering competitive leasing and financing options, guaranteed residual values, clear battery-health data, home-charging installation support and reliable </w:t>
      </w:r>
      <w:r w:rsidRPr="0008521F">
        <w:rPr>
          <w:color w:val="000000" w:themeColor="text1"/>
        </w:rPr>
        <w:t>after-sales support and service warranties.</w:t>
      </w:r>
    </w:p>
    <w:p w14:paraId="78FD5991" w14:textId="77777777" w:rsidR="00765CE3" w:rsidRPr="0008521F" w:rsidRDefault="004A7A8F">
      <w:pPr>
        <w:rPr>
          <w:color w:val="000000" w:themeColor="text1"/>
        </w:rPr>
      </w:pPr>
      <w:r w:rsidRPr="0008521F">
        <w:rPr>
          <w:color w:val="000000" w:themeColor="text1"/>
        </w:rPr>
        <w:t>Indian companies such as Tata Motors and Mahindra have established brand recognition, supply chains, and national service and products aligned with Indian price points. International brands such as MG, Hyundai, Kia and BYD provide a broader choice while leading luxury brands cater to luxury consumers. Rivian's differentiation is not based on price; it lies in software integration, outdoor capability, safety, storage and a unique brand. Only if the company can avoid relying on American wilderness imagery, wi</w:t>
      </w:r>
      <w:r w:rsidRPr="0008521F">
        <w:rPr>
          <w:color w:val="000000" w:themeColor="text1"/>
        </w:rPr>
        <w:t>thout local relevance, will that position attract a certain segment of technology-oriented, affluent, urban families and corporate fleets.</w:t>
      </w:r>
    </w:p>
    <w:p w14:paraId="2A61F7E7" w14:textId="77777777" w:rsidR="00765CE3" w:rsidRPr="0008521F" w:rsidRDefault="004A7A8F">
      <w:pPr>
        <w:rPr>
          <w:color w:val="000000" w:themeColor="text1"/>
        </w:rPr>
      </w:pPr>
      <w:r w:rsidRPr="0008521F">
        <w:rPr>
          <w:color w:val="000000" w:themeColor="text1"/>
        </w:rPr>
        <w:t>Local production may help to lower the cost per unit and establish an export platform for the right-hand-drive markets in South Asia, the Middle East, Africa and potentially the United Kingdom. Rivian needs to base landed cost on a component-to-component and technology-by-technology basis, should not assume that localisation is cheaper.</w:t>
      </w:r>
    </w:p>
    <w:p w14:paraId="0B7025DF" w14:textId="77777777" w:rsidR="00765CE3" w:rsidRPr="0008521F" w:rsidRDefault="004A7A8F">
      <w:pPr>
        <w:pStyle w:val="Heading2"/>
        <w:rPr>
          <w:color w:val="000000" w:themeColor="text1"/>
        </w:rPr>
      </w:pPr>
      <w:bookmarkStart w:id="8" w:name="_Toc237610597"/>
      <w:r w:rsidRPr="0008521F">
        <w:rPr>
          <w:color w:val="000000" w:themeColor="text1"/>
        </w:rPr>
        <w:t>3.3 Legal and regulatory conditions</w:t>
      </w:r>
      <w:bookmarkEnd w:id="8"/>
    </w:p>
    <w:p w14:paraId="6869A464" w14:textId="77777777" w:rsidR="00765CE3" w:rsidRPr="0008521F" w:rsidRDefault="004A7A8F">
      <w:pPr>
        <w:rPr>
          <w:color w:val="000000" w:themeColor="text1"/>
        </w:rPr>
      </w:pPr>
      <w:r w:rsidRPr="0008521F">
        <w:rPr>
          <w:color w:val="000000" w:themeColor="text1"/>
        </w:rPr>
        <w:t xml:space="preserve">India allows up to 100 per cent FDI in automobile manufacturing through the automatic route, which means that it is legally possible to create a wholly owned subsidiary (Invest India, 2026). </w:t>
      </w:r>
      <w:r w:rsidRPr="0008521F">
        <w:rPr>
          <w:color w:val="000000" w:themeColor="text1"/>
        </w:rPr>
        <w:t>Imported or locally manufactured models must comply with Central Motor Vehicles Rules as well as Automotive Industry Standards for type approval, battery safety, range, energy consumption, electromagnetic compatibility and functional safety (Ministry of Road Transport and Highways, 2025). Adapting to the right-hand-drive configuration and Indian homologation would thus be mandatory before the car went into production.</w:t>
      </w:r>
    </w:p>
    <w:p w14:paraId="37D47C00" w14:textId="77777777" w:rsidR="00765CE3" w:rsidRPr="0008521F" w:rsidRDefault="004A7A8F">
      <w:pPr>
        <w:rPr>
          <w:color w:val="000000" w:themeColor="text1"/>
        </w:rPr>
      </w:pPr>
      <w:r w:rsidRPr="0008521F">
        <w:rPr>
          <w:color w:val="000000" w:themeColor="text1"/>
        </w:rPr>
        <w:t>The SPMEPCI localisation conditions carry legal and financial significance as failure to comply with these conditions may lead to loss of concessions for an approved applicant and enforcement of bank guarantees.  (Ministry of Heavy Industries, 2025a)</w:t>
      </w:r>
    </w:p>
    <w:p w14:paraId="6DA5E683" w14:textId="77777777" w:rsidR="00765CE3" w:rsidRPr="0008521F" w:rsidRDefault="004A7A8F">
      <w:pPr>
        <w:rPr>
          <w:color w:val="000000" w:themeColor="text1"/>
        </w:rPr>
      </w:pPr>
      <w:r w:rsidRPr="0008521F">
        <w:rPr>
          <w:color w:val="000000" w:themeColor="text1"/>
        </w:rPr>
        <w:t>The Digital Personal Data Protection Act 2023 and Digital Personal Data Protection Rules, 2025 mandate the principles of “lawful purpose”, “clear notice”, “consent” (where required), “security safeguards”, “breach management” and “enforceable rights” for individuals (Press Information Bureau, 2025b). Rivian would have to design and build data-governance accountability, vendor controls and an architecture that can comply with any restriction placed on data transfers or localisation requirements in India, alo</w:t>
      </w:r>
      <w:r w:rsidRPr="0008521F">
        <w:rPr>
          <w:color w:val="000000" w:themeColor="text1"/>
        </w:rPr>
        <w:t>ng with privacy notices.</w:t>
      </w:r>
    </w:p>
    <w:p w14:paraId="1089199E" w14:textId="77777777" w:rsidR="00765CE3" w:rsidRPr="0008521F" w:rsidRDefault="004A7A8F">
      <w:pPr>
        <w:rPr>
          <w:color w:val="000000" w:themeColor="text1"/>
        </w:rPr>
      </w:pPr>
      <w:r w:rsidRPr="0008521F">
        <w:rPr>
          <w:color w:val="000000" w:themeColor="text1"/>
        </w:rPr>
        <w:t>A further issue is licensing the core software for the vehicle or its electrical architecture to a local manufacturer that is insufficiently controlled and could create significant risks of software leakage, cybersecurity and quality. The joint venture should thus isolate the source code, autonomous-driving models, encryption keys and safety-critical designs. The Indian partners might be given defined manufacturing interfaces, training and use of local knowledge developed jointly with Rivian without the aut</w:t>
      </w:r>
      <w:r w:rsidRPr="0008521F">
        <w:rPr>
          <w:color w:val="000000" w:themeColor="text1"/>
        </w:rPr>
        <w:t>omatic rights to Rivian's global platform. Contractual protections cannot fully substitute for operational control, and Rivian should ensure that it maintains control over software release, cybersecurity, battery safety, brand standards and customer data.</w:t>
      </w:r>
    </w:p>
    <w:p w14:paraId="76A876C5" w14:textId="77777777" w:rsidR="00765CE3" w:rsidRPr="0008521F" w:rsidRDefault="004A7A8F">
      <w:pPr>
        <w:pStyle w:val="Heading2"/>
        <w:rPr>
          <w:color w:val="000000" w:themeColor="text1"/>
        </w:rPr>
      </w:pPr>
      <w:bookmarkStart w:id="9" w:name="_Toc237610598"/>
      <w:r w:rsidRPr="0008521F">
        <w:rPr>
          <w:color w:val="000000" w:themeColor="text1"/>
        </w:rPr>
        <w:t>3.4 Cultural and commercial environment</w:t>
      </w:r>
      <w:bookmarkEnd w:id="9"/>
    </w:p>
    <w:p w14:paraId="37E1627F" w14:textId="77777777" w:rsidR="00765CE3" w:rsidRPr="0008521F" w:rsidRDefault="004A7A8F">
      <w:pPr>
        <w:rPr>
          <w:color w:val="000000" w:themeColor="text1"/>
        </w:rPr>
      </w:pPr>
      <w:r w:rsidRPr="0008521F">
        <w:rPr>
          <w:color w:val="000000" w:themeColor="text1"/>
        </w:rPr>
        <w:t xml:space="preserve">Rivian's US brand centres on adventure and outdoor recreation, and direct digital engagement. These themes should be adapted to family and intergenerational travel, hilly and monsoon travel conditions, and day-to-day use within the Indian context rather than copying US pick-up and wilderness imagery. This does not imply cultural uniformity in India rather, Ghemawat's (2001) CAGE framework suggests that cultural, administrative, geographic and economic distance can </w:t>
      </w:r>
      <w:r w:rsidRPr="0008521F">
        <w:rPr>
          <w:color w:val="000000" w:themeColor="text1"/>
        </w:rPr>
        <w:t>shape customer expectations and market practices. Rivian should therefore maintain a global brand identity with localisation of messaging around adventure, convenience and trust.</w:t>
      </w:r>
    </w:p>
    <w:p w14:paraId="5C8C7096" w14:textId="77777777" w:rsidR="00765CE3" w:rsidRPr="0008521F" w:rsidRDefault="004A7A8F">
      <w:pPr>
        <w:rPr>
          <w:color w:val="000000" w:themeColor="text1"/>
        </w:rPr>
      </w:pPr>
      <w:r w:rsidRPr="0008521F">
        <w:rPr>
          <w:color w:val="000000" w:themeColor="text1"/>
        </w:rPr>
        <w:t>The R2 is a vehicle that should be comfortable in the rear seats, have effective climate control, be dust and water sealed, have a durable suspension, be easy to manoeuvre, have high ground clearance, and support local navigation systems. The software should be compatible with major Indian languages, local streaming platforms, payment methods as well as charging and emergency services. Consultation with the customer through accessible human support is also expected, alongside online purchasing. While Rivian</w:t>
      </w:r>
      <w:r w:rsidRPr="0008521F">
        <w:rPr>
          <w:color w:val="000000" w:themeColor="text1"/>
        </w:rPr>
        <w:t>'s direct sales approach provides brand control, it could also diminish trust if people prefer to visit a dealership to inspect the vehicle, arrange financing and test drive, and enjoy the convenience of service. A direct relationship would be maintained through small experience centres that would be accompanied by the mobile service and authorised body-repair partners, but would not require the immediate establishment of a full dealer network.</w:t>
      </w:r>
    </w:p>
    <w:p w14:paraId="12C80B27" w14:textId="77777777" w:rsidR="00765CE3" w:rsidRPr="0008521F" w:rsidRDefault="004A7A8F">
      <w:pPr>
        <w:rPr>
          <w:color w:val="000000" w:themeColor="text1"/>
        </w:rPr>
      </w:pPr>
      <w:r w:rsidRPr="0008521F">
        <w:rPr>
          <w:color w:val="000000" w:themeColor="text1"/>
        </w:rPr>
        <w:t xml:space="preserve">Charging availability, range, charging costs, service access and technology uncertainty are key barriers to EV adoption in India (Ashok et al., 2022; </w:t>
      </w:r>
      <w:proofErr w:type="spellStart"/>
      <w:r w:rsidRPr="0008521F">
        <w:rPr>
          <w:color w:val="000000" w:themeColor="text1"/>
        </w:rPr>
        <w:t>Pamidimukkala</w:t>
      </w:r>
      <w:proofErr w:type="spellEnd"/>
      <w:r w:rsidRPr="0008521F">
        <w:rPr>
          <w:color w:val="000000" w:themeColor="text1"/>
        </w:rPr>
        <w:t xml:space="preserve"> et al., 2024). Rivian needs to establish parts inventories, trained technicians, service standards and vehicle-recovery protocols, and ensure charging access before accepting higher volumes of orders. Fleet contracts can test the product under operational conditions, but should be treated as pilots and not as evidence of broad consumer acceptance or commercial success.</w:t>
      </w:r>
    </w:p>
    <w:p w14:paraId="1F6096C9" w14:textId="77777777" w:rsidR="00765CE3" w:rsidRPr="0008521F" w:rsidRDefault="004A7A8F">
      <w:pPr>
        <w:rPr>
          <w:color w:val="000000" w:themeColor="text1"/>
        </w:rPr>
      </w:pPr>
      <w:r w:rsidRPr="0008521F">
        <w:rPr>
          <w:color w:val="000000" w:themeColor="text1"/>
        </w:rPr>
        <w:t xml:space="preserve">Rivian's environmental claims should also be evidence-based because the emissions advantage of EVs depends partly on the electricity mix and battery supply chains in India. Marketing should focus on measurable product performance, safety, operating-cost benefits and credible renewable-energy charging partnerships rather than predominantly on moral or sustainability appeals. It is possible to localise the brand's adventure mission without compromising the tangible value it offers to customers as long as the </w:t>
      </w:r>
      <w:r w:rsidRPr="0008521F">
        <w:rPr>
          <w:color w:val="000000" w:themeColor="text1"/>
        </w:rPr>
        <w:t>partnerships provide tangible customer value and do not substitute for evidence of environmental performance.</w:t>
      </w:r>
    </w:p>
    <w:p w14:paraId="578558A9" w14:textId="77777777" w:rsidR="00765CE3" w:rsidRPr="0008521F" w:rsidRDefault="004A7A8F">
      <w:pPr>
        <w:pStyle w:val="Heading2"/>
        <w:rPr>
          <w:color w:val="000000" w:themeColor="text1"/>
        </w:rPr>
      </w:pPr>
      <w:bookmarkStart w:id="10" w:name="_Toc237610599"/>
      <w:r w:rsidRPr="0008521F">
        <w:rPr>
          <w:color w:val="000000" w:themeColor="text1"/>
        </w:rPr>
        <w:t>3.5 Charging, energy and environmental conditions</w:t>
      </w:r>
      <w:bookmarkEnd w:id="10"/>
    </w:p>
    <w:p w14:paraId="31A73BB7" w14:textId="5C7EC891" w:rsidR="00765CE3" w:rsidRPr="0008521F" w:rsidRDefault="004A7A8F">
      <w:pPr>
        <w:rPr>
          <w:color w:val="000000" w:themeColor="text1"/>
        </w:rPr>
      </w:pPr>
      <w:r w:rsidRPr="0008521F">
        <w:rPr>
          <w:color w:val="000000" w:themeColor="text1"/>
        </w:rPr>
        <w:t xml:space="preserve">Data from the government indicates 6,645 operational public charging stations (PCS) compared to 9,332 additional charging stations sanctioned by March 2026 (Press Information Bureau, 2026), and the total number of charging stations could be higher as stations built under the programme and outside the programme are counted differently. According to the data in the WRI India map (Figure </w:t>
      </w:r>
      <w:r w:rsidR="00F61CC2">
        <w:rPr>
          <w:color w:val="000000" w:themeColor="text1"/>
        </w:rPr>
        <w:t>5</w:t>
      </w:r>
      <w:r w:rsidRPr="0008521F">
        <w:rPr>
          <w:color w:val="000000" w:themeColor="text1"/>
        </w:rPr>
        <w:t>), charging infrastructure is concentrated in western and southern states while provision is thin in several northern, eastern and north-eastern states and UTs. The map is not intended as a snapshot of the national level, but as spatial evidence due to rapid changes in infrastructure and varying dataset definitions.</w:t>
      </w:r>
    </w:p>
    <w:p w14:paraId="77AA99AB" w14:textId="77777777" w:rsidR="00765CE3" w:rsidRPr="0008521F" w:rsidRDefault="004A7A8F">
      <w:pPr>
        <w:jc w:val="center"/>
        <w:rPr>
          <w:color w:val="000000" w:themeColor="text1"/>
        </w:rPr>
      </w:pPr>
      <w:r w:rsidRPr="0008521F">
        <w:rPr>
          <w:noProof/>
          <w:color w:val="000000" w:themeColor="text1"/>
        </w:rPr>
        <w:drawing>
          <wp:inline distT="0" distB="0" distL="0" distR="0" wp14:anchorId="748BA942" wp14:editId="2CE9315A">
            <wp:extent cx="5836920" cy="583692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836920" cy="5836920"/>
                    </a:xfrm>
                    <a:prstGeom prst="rect">
                      <a:avLst/>
                    </a:prstGeom>
                    <a:ln/>
                  </pic:spPr>
                </pic:pic>
              </a:graphicData>
            </a:graphic>
          </wp:inline>
        </w:drawing>
      </w:r>
    </w:p>
    <w:p w14:paraId="66D62C2E" w14:textId="0E0015E8" w:rsidR="00765CE3" w:rsidRPr="0008521F" w:rsidRDefault="004A7A8F">
      <w:pPr>
        <w:jc w:val="center"/>
        <w:rPr>
          <w:b/>
          <w:bCs/>
          <w:color w:val="000000" w:themeColor="text1"/>
        </w:rPr>
      </w:pPr>
      <w:r w:rsidRPr="0008521F">
        <w:rPr>
          <w:b/>
          <w:bCs/>
          <w:color w:val="000000" w:themeColor="text1"/>
        </w:rPr>
        <w:t xml:space="preserve">Figure </w:t>
      </w:r>
      <w:r w:rsidR="00F61CC2">
        <w:rPr>
          <w:b/>
          <w:bCs/>
          <w:color w:val="000000" w:themeColor="text1"/>
        </w:rPr>
        <w:t>5</w:t>
      </w:r>
      <w:r w:rsidRPr="0008521F">
        <w:rPr>
          <w:b/>
          <w:bCs/>
          <w:color w:val="000000" w:themeColor="text1"/>
        </w:rPr>
        <w:t>: Spatial distribution of Indian public charging stations</w:t>
      </w:r>
    </w:p>
    <w:p w14:paraId="4169D2AD" w14:textId="77777777" w:rsidR="00765CE3" w:rsidRPr="0008521F" w:rsidRDefault="004A7A8F">
      <w:pPr>
        <w:jc w:val="center"/>
        <w:rPr>
          <w:color w:val="000000" w:themeColor="text1"/>
        </w:rPr>
      </w:pPr>
      <w:r w:rsidRPr="0008521F">
        <w:rPr>
          <w:color w:val="000000" w:themeColor="text1"/>
        </w:rPr>
        <w:t>Source: WRI India (2025)</w:t>
      </w:r>
    </w:p>
    <w:p w14:paraId="13C41B41" w14:textId="77777777" w:rsidR="00765CE3" w:rsidRPr="0008521F" w:rsidRDefault="004A7A8F">
      <w:pPr>
        <w:rPr>
          <w:color w:val="000000" w:themeColor="text1"/>
        </w:rPr>
      </w:pPr>
      <w:r w:rsidRPr="0008521F">
        <w:rPr>
          <w:color w:val="000000" w:themeColor="text1"/>
        </w:rPr>
        <w:t>The initial sales should be restricted to cities where home charging and the reliable locations of fast charging and service are overlapping. Working with charging station operators, hotels and destination properties would fit Rivian's adventure-oriented brand and would reduce capital intensity. Vehicles must be designed to comply with Indian connector and communication specifications, route planning should be done with regard to multiple networks and customers should be offered a home-charging assessment b</w:t>
      </w:r>
      <w:r w:rsidRPr="0008521F">
        <w:rPr>
          <w:color w:val="000000" w:themeColor="text1"/>
        </w:rPr>
        <w:t>efore the delivery. The company should not launch nationally before demand is demonstrated, but there could be a limited number of “destination” chargers for Rivian.</w:t>
      </w:r>
    </w:p>
    <w:p w14:paraId="65564F5F" w14:textId="77777777" w:rsidR="00765CE3" w:rsidRPr="0008521F" w:rsidRDefault="004A7A8F">
      <w:pPr>
        <w:rPr>
          <w:color w:val="000000" w:themeColor="text1"/>
        </w:rPr>
      </w:pPr>
      <w:r w:rsidRPr="0008521F">
        <w:rPr>
          <w:color w:val="000000" w:themeColor="text1"/>
        </w:rPr>
        <w:t xml:space="preserve">Benefits of EVs include the reduction of tailpipe pollution and possible reduction of life-cycle emissions, but they are dependent on the electricity generation, battery production, vehicle size and usage. The study by Saraf and Shastri (2024) demonstrates that the use of greener electricity and policy support have a tangible impact on pathways towards decarbonisation in transport. R2 and future smaller platforms are environmentally and commercially better than an R1-focused approach due to large and heavy </w:t>
      </w:r>
      <w:r w:rsidRPr="0008521F">
        <w:rPr>
          <w:color w:val="000000" w:themeColor="text1"/>
        </w:rPr>
        <w:t>premium vehicles having a higher embodied emissions and need for larger batteries. Rivian should secure renewable power for their facilities and charging partnerships, release Indian lifecycle assumptions and establish battery recycling and extended-producer-responsibility programmes.</w:t>
      </w:r>
    </w:p>
    <w:p w14:paraId="3B2FE9A5" w14:textId="77777777" w:rsidR="00765CE3" w:rsidRPr="0008521F" w:rsidRDefault="004A7A8F">
      <w:pPr>
        <w:pStyle w:val="Heading2"/>
        <w:rPr>
          <w:color w:val="000000" w:themeColor="text1"/>
        </w:rPr>
      </w:pPr>
      <w:bookmarkStart w:id="11" w:name="_Toc237610600"/>
      <w:r w:rsidRPr="0008521F">
        <w:rPr>
          <w:color w:val="000000" w:themeColor="text1"/>
        </w:rPr>
        <w:t>3.6 OLI synthesis</w:t>
      </w:r>
      <w:bookmarkEnd w:id="11"/>
    </w:p>
    <w:p w14:paraId="38233BA1" w14:textId="77777777" w:rsidR="00765CE3" w:rsidRPr="0008521F" w:rsidRDefault="004A7A8F">
      <w:pPr>
        <w:rPr>
          <w:color w:val="000000" w:themeColor="text1"/>
        </w:rPr>
      </w:pPr>
      <w:r w:rsidRPr="0008521F">
        <w:rPr>
          <w:color w:val="000000" w:themeColor="text1"/>
        </w:rPr>
        <w:t>In his eclectic paradigm, Dunning suggests that foreign direct investment is more likely to be made in places where the three advantages of ownership, location and internalisation are present (Dunning, 1988; Dunning, 2000). Rivian has some clear ownership advantages. This is in part due to its software-defined architecture, integrated hardware, over-the-air features, propulsion and the user experience of its premium adventure brand and vehicle-development capabilities. The second-generation R1 redesign of t</w:t>
      </w:r>
      <w:r w:rsidRPr="0008521F">
        <w:rPr>
          <w:color w:val="000000" w:themeColor="text1"/>
        </w:rPr>
        <w:t>he cost structure and the Volkswagen technology joint venture demonstrate strategic external validation for Rivian's architecture (Rivian, 2024a; Rivian and Volkswagen Group, 2024). But in India, brand awareness, lack of a service history, lack of a right-hand-drive product and financial constraints offset these benefits.</w:t>
      </w:r>
    </w:p>
    <w:p w14:paraId="3AB35D6A" w14:textId="77777777" w:rsidR="00765CE3" w:rsidRPr="0008521F" w:rsidRDefault="004A7A8F">
      <w:pPr>
        <w:rPr>
          <w:color w:val="000000" w:themeColor="text1"/>
        </w:rPr>
      </w:pPr>
      <w:r w:rsidRPr="0008521F">
        <w:rPr>
          <w:color w:val="000000" w:themeColor="text1"/>
        </w:rPr>
        <w:t xml:space="preserve">India offers significant location advantages: a large and expanding passenger car market, rapidly growing electric-car registrations, engineering talent, a well-established component ecosystem, lower operating costs than the United States, policy support and export opportunities. However, </w:t>
      </w:r>
      <w:r w:rsidRPr="0008521F">
        <w:rPr>
          <w:color w:val="000000" w:themeColor="text1"/>
        </w:rPr>
        <w:t>location disadvantages are also real: low average purchasing power, high levels of price competition, uneven charging availability, lack of consistency of state incentives, and import reliance for some advanced inputs, and uncertain acceptance of the manufacturing scheme. India could turn out to be very attractive once Rivian confirms the R2 market and the capability of the supplier, but it may be premature to regard it as highly attractive.</w:t>
      </w:r>
    </w:p>
    <w:p w14:paraId="0E1381C1" w14:textId="77777777" w:rsidR="00765CE3" w:rsidRPr="0008521F" w:rsidRDefault="00765CE3">
      <w:pPr>
        <w:rPr>
          <w:color w:val="000000" w:themeColor="text1"/>
        </w:rPr>
      </w:pPr>
    </w:p>
    <w:p w14:paraId="1D657F37" w14:textId="77777777" w:rsidR="00765CE3" w:rsidRPr="0008521F" w:rsidRDefault="004A7A8F">
      <w:pPr>
        <w:rPr>
          <w:color w:val="000000" w:themeColor="text1"/>
        </w:rPr>
      </w:pPr>
      <w:r w:rsidRPr="0008521F">
        <w:rPr>
          <w:color w:val="000000" w:themeColor="text1"/>
        </w:rPr>
        <w:t>The internalisation benefits lie in two areas: retaining control of safety-critical software, and vehicle data, battery management, brand and customer experience. Opportunism and quality problems would be a risk if Rivian adopted licensing, and export-only sales would maintain control but would come with high price, tariffs, and a lack of local legitimacy. Rivian would gain maximum control by full internalisation via a wholly owned greenfield subsidiary, but would be subjected to excessive capital and execu</w:t>
      </w:r>
      <w:r w:rsidRPr="0008521F">
        <w:rPr>
          <w:color w:val="000000" w:themeColor="text1"/>
        </w:rPr>
        <w:t>tion risk. Selective internalisation would involve Rivian internalising software, product definition, quality systems, data governance and direct control of customer relationships, but shares manufacturing assets, procurement expertise and local institutional navigation in a carefully structured arrangement.</w:t>
      </w:r>
    </w:p>
    <w:p w14:paraId="59CE1A00" w14:textId="77777777" w:rsidR="00765CE3" w:rsidRPr="0008521F" w:rsidRDefault="004A7A8F">
      <w:pPr>
        <w:rPr>
          <w:color w:val="000000" w:themeColor="text1"/>
        </w:rPr>
      </w:pPr>
      <w:r w:rsidRPr="0008521F">
        <w:rPr>
          <w:color w:val="000000" w:themeColor="text1"/>
        </w:rPr>
        <w:t>Ownership assets are sufficient to merit participation; location assets are sufficient to warrant the building of a genuine Indian capability; and internalisation assets are sufficient to warrant the retention of control of core assets. The remaining condition is proven demand of sufficient size. Rivian should establish this via limited imports, engineering localisation and fleet pilots prior to committing to assembly. This is a staged sequence that transforms uncertainty into strategic options, and that en</w:t>
      </w:r>
      <w:r w:rsidRPr="0008521F">
        <w:rPr>
          <w:color w:val="000000" w:themeColor="text1"/>
        </w:rPr>
        <w:t>ables the ownership advantages to be modified to suit Indian location conditions without risking the entire investment.</w:t>
      </w:r>
    </w:p>
    <w:p w14:paraId="52C8549B" w14:textId="77777777" w:rsidR="00765CE3" w:rsidRPr="0008521F" w:rsidRDefault="004A7A8F">
      <w:pPr>
        <w:pStyle w:val="Heading1"/>
        <w:rPr>
          <w:color w:val="000000" w:themeColor="text1"/>
        </w:rPr>
      </w:pPr>
      <w:bookmarkStart w:id="12" w:name="_Toc237610601"/>
      <w:r w:rsidRPr="0008521F">
        <w:rPr>
          <w:color w:val="000000" w:themeColor="text1"/>
        </w:rPr>
        <w:t>4. Entry Mode Strategy and Strategic Synthesis</w:t>
      </w:r>
      <w:bookmarkEnd w:id="12"/>
    </w:p>
    <w:p w14:paraId="6A6299A5" w14:textId="77777777" w:rsidR="00765CE3" w:rsidRPr="0008521F" w:rsidRDefault="004A7A8F">
      <w:pPr>
        <w:pStyle w:val="Heading2"/>
        <w:rPr>
          <w:color w:val="000000" w:themeColor="text1"/>
        </w:rPr>
      </w:pPr>
      <w:bookmarkStart w:id="13" w:name="_Toc237610602"/>
      <w:r w:rsidRPr="0008521F">
        <w:rPr>
          <w:color w:val="000000" w:themeColor="text1"/>
        </w:rPr>
        <w:t>4.1 Historical pattern recognition</w:t>
      </w:r>
      <w:bookmarkEnd w:id="13"/>
    </w:p>
    <w:p w14:paraId="63AD38E3" w14:textId="77777777" w:rsidR="00765CE3" w:rsidRPr="0008521F" w:rsidRDefault="004A7A8F">
      <w:pPr>
        <w:rPr>
          <w:color w:val="000000" w:themeColor="text1"/>
        </w:rPr>
      </w:pPr>
      <w:r w:rsidRPr="0008521F">
        <w:rPr>
          <w:color w:val="000000" w:themeColor="text1"/>
        </w:rPr>
        <w:t xml:space="preserve">High-control, in-house development has been Rivian's primary historical approach. It owns the Normal plant, has fully controlled engineering and commercial facilities, has a direct customer model and strict control of product software and services. Meanwhile, Rivian has strategically leveraged partnerships and acquisitions for complementary resources. The Volkswagen joint venture shares the costs and development scope of software-defined architecture, technology </w:t>
      </w:r>
      <w:r w:rsidRPr="0008521F">
        <w:rPr>
          <w:color w:val="000000" w:themeColor="text1"/>
        </w:rPr>
        <w:t>acquisitions and partnerships with suppliers bring capabilities, without relinquishing control of the vehicle platform (Rivian, 2025a; Rivian and Volkswagen Group, 2024).</w:t>
      </w:r>
    </w:p>
    <w:p w14:paraId="076C5687" w14:textId="77777777" w:rsidR="00765CE3" w:rsidRPr="0008521F" w:rsidRDefault="004A7A8F">
      <w:pPr>
        <w:rPr>
          <w:color w:val="000000" w:themeColor="text1"/>
        </w:rPr>
      </w:pPr>
      <w:r w:rsidRPr="0008521F">
        <w:rPr>
          <w:color w:val="000000" w:themeColor="text1"/>
        </w:rPr>
        <w:t xml:space="preserve">As the pattern indicates, Rivian believes control is important when it relies on proprietary technology to differentiate itself, consistent with entry-mode theory: When the control of the operation is important for leveraging differentiation through proprietary technology, firms prefer to operate without sharing control to avoid leakage and coordination risk (Hill, Hwang and Kim, 1990). Johanson and Vahlne (1977) state that the more a firm knows about the market, the more committed the firm will be and </w:t>
      </w:r>
      <w:proofErr w:type="spellStart"/>
      <w:r w:rsidRPr="0008521F">
        <w:rPr>
          <w:color w:val="000000" w:themeColor="text1"/>
        </w:rPr>
        <w:t>Brouthers</w:t>
      </w:r>
      <w:proofErr w:type="spellEnd"/>
      <w:r w:rsidRPr="0008521F">
        <w:rPr>
          <w:color w:val="000000" w:themeColor="text1"/>
        </w:rPr>
        <w:t xml:space="preserve"> (2002) demonstrates that if institutional conditions, transaction costs and ownership choice can be matched, the performance of the firm upon entry will improve. </w:t>
      </w:r>
    </w:p>
    <w:p w14:paraId="62402865" w14:textId="77777777" w:rsidR="00765CE3" w:rsidRPr="0008521F" w:rsidRDefault="004A7A8F">
      <w:pPr>
        <w:pStyle w:val="Heading2"/>
        <w:rPr>
          <w:color w:val="000000" w:themeColor="text1"/>
        </w:rPr>
      </w:pPr>
      <w:bookmarkStart w:id="14" w:name="_Toc237610603"/>
      <w:r w:rsidRPr="0008521F">
        <w:rPr>
          <w:color w:val="000000" w:themeColor="text1"/>
        </w:rPr>
        <w:t>4.2 Strategic fit and recommended entry mode</w:t>
      </w:r>
      <w:bookmarkEnd w:id="14"/>
    </w:p>
    <w:p w14:paraId="525AA31A" w14:textId="77777777" w:rsidR="00765CE3" w:rsidRPr="0008521F" w:rsidRDefault="004A7A8F">
      <w:pPr>
        <w:rPr>
          <w:color w:val="000000" w:themeColor="text1"/>
        </w:rPr>
      </w:pPr>
      <w:r w:rsidRPr="0008521F">
        <w:rPr>
          <w:color w:val="000000" w:themeColor="text1"/>
        </w:rPr>
        <w:t>Rivian should enter India through a staged strategic joint venture, supported by a wholly owned Indian commercial and engineering subsidiary. An import-only approach would be rapid and operationally straightforward, but commercially unattractive. If full import duties were applied to R1 vehicles, it would make them very costly and limited sales would not create a learning curve for suppliers and meet India's localisation policy goals. The importation under SPMEPCI may reduce the tariff, but it would require</w:t>
      </w:r>
      <w:r w:rsidRPr="0008521F">
        <w:rPr>
          <w:color w:val="000000" w:themeColor="text1"/>
        </w:rPr>
        <w:t xml:space="preserve"> Rivian to make a substantial investment in a product whose demand remains unproven. Unrestricted licensing or contract manufacturing would mean that there will be a reduced capital commitment, but also that the core software, safety, data and brand would be exposed to risk. A greenfield plant with 100 per cent ownership would give Rivian the greatest control and any potential export economies, but it would be a premature duplication of capacity as Rivian continues to fund R2 and Georgia before achieving br</w:t>
      </w:r>
      <w:r w:rsidRPr="0008521F">
        <w:rPr>
          <w:color w:val="000000" w:themeColor="text1"/>
        </w:rPr>
        <w:t>eak-even.</w:t>
      </w:r>
    </w:p>
    <w:p w14:paraId="7A2FF24F" w14:textId="77777777" w:rsidR="00765CE3" w:rsidRPr="0008521F" w:rsidRDefault="004A7A8F">
      <w:pPr>
        <w:rPr>
          <w:color w:val="000000" w:themeColor="text1"/>
        </w:rPr>
      </w:pPr>
      <w:r w:rsidRPr="0008521F">
        <w:rPr>
          <w:color w:val="000000" w:themeColor="text1"/>
        </w:rPr>
        <w:t>The Indian subsidiary forms part of phase one and operationalises this recommendation. In phase one, Rivian should establish its Bengaluru-based subsidiary in the technology hub, homologate its right-hand-drive vehicle, establish software and charging-infrastructure teams, and start limited imports in the Delhi NCR market, Mumbai, Bengaluru and Hyderabad.</w:t>
      </w:r>
    </w:p>
    <w:p w14:paraId="1C6FC70C" w14:textId="77777777" w:rsidR="00765CE3" w:rsidRPr="0008521F" w:rsidRDefault="004A7A8F">
      <w:pPr>
        <w:rPr>
          <w:color w:val="000000" w:themeColor="text1"/>
        </w:rPr>
      </w:pPr>
      <w:r w:rsidRPr="0008521F">
        <w:rPr>
          <w:color w:val="000000" w:themeColor="text1"/>
        </w:rPr>
        <w:t xml:space="preserve">The second stage should be started once measurable thresholds have been reached: reservations have been converted into paid orders, the service costs are within the target, customer satisfaction is acceptable, a qualified supplier base has been created and the policy terms are fixed. Next, </w:t>
      </w:r>
      <w:r w:rsidRPr="0008521F">
        <w:rPr>
          <w:color w:val="000000" w:themeColor="text1"/>
        </w:rPr>
        <w:t>Rivian needs to establish a manufacturing partnership or assembly deal with an existing Indian automotive or industrial company - one that will be closely managed to prevent the loss of intellectual property. The local partner would provide access to its facilities, its workforce-management systems, access to suppliers and their government-relations expertise. Rivian would retain control of the brand, customer relationship, vehicle design and architecture, software release authority, cybersecurity, battery-</w:t>
      </w:r>
      <w:r w:rsidRPr="0008521F">
        <w:rPr>
          <w:color w:val="000000" w:themeColor="text1"/>
        </w:rPr>
        <w:t>management design and quality approval.</w:t>
      </w:r>
    </w:p>
    <w:p w14:paraId="0733E510" w14:textId="77777777" w:rsidR="00765CE3" w:rsidRPr="0008521F" w:rsidRDefault="004A7A8F">
      <w:pPr>
        <w:rPr>
          <w:color w:val="000000" w:themeColor="text1"/>
        </w:rPr>
      </w:pPr>
      <w:r w:rsidRPr="0008521F">
        <w:rPr>
          <w:color w:val="000000" w:themeColor="text1"/>
        </w:rPr>
        <w:t xml:space="preserve">Volkswagen Group is a strategic bridge as the existing technology joint venture helps to build trust and common architecture, while the group has Indian manufacturing experience. It is an inference not an announced India partnership. The alliance should begin with assembly and gradually move to some of the non-core structures, interiors, thermal components, wiring, castings and some electronics to be localised. Battery-pack localisation can precede battery-cell localisation if the initial quality, cost and </w:t>
      </w:r>
      <w:r w:rsidRPr="0008521F">
        <w:rPr>
          <w:color w:val="000000" w:themeColor="text1"/>
        </w:rPr>
        <w:t>supply of cells are not as required in India.</w:t>
      </w:r>
    </w:p>
    <w:p w14:paraId="6CE75826" w14:textId="77777777" w:rsidR="00765CE3" w:rsidRPr="0008521F" w:rsidRDefault="004A7A8F">
      <w:pPr>
        <w:rPr>
          <w:color w:val="000000" w:themeColor="text1"/>
        </w:rPr>
      </w:pPr>
      <w:r w:rsidRPr="0008521F">
        <w:rPr>
          <w:color w:val="000000" w:themeColor="text1"/>
        </w:rPr>
        <w:t>Phase three would be a dedicated facility or an increased Rivian equity stake when there is consistent demand and export contracts for more than one year. It will reduce irreversible investment, build local legitimacy and learning, and prevent Rivian from committing to national scale before service and charging systems mature. The downside of this is that there is shared control, slower decision-making and some risk of knowledge leakage, but these are manageable, and more effective than the financial risk o</w:t>
      </w:r>
      <w:r w:rsidRPr="0008521F">
        <w:rPr>
          <w:color w:val="000000" w:themeColor="text1"/>
        </w:rPr>
        <w:t>f a premature, wholly owned plant. This is a staged approach that allows for strategic flexibility as well. Rivian can reduce the risk of additional capital exposure in the event of low demand, and broaden localization and ownership more and more as demand picks up. This presents a real-options logic: the level of commitment increases only when the market indicates a need and partner performance and regulatory certainty exist.</w:t>
      </w:r>
    </w:p>
    <w:p w14:paraId="022D92A2" w14:textId="77777777" w:rsidR="00765CE3" w:rsidRPr="0008521F" w:rsidRDefault="004A7A8F">
      <w:pPr>
        <w:pStyle w:val="Heading2"/>
        <w:rPr>
          <w:color w:val="000000" w:themeColor="text1"/>
        </w:rPr>
      </w:pPr>
      <w:bookmarkStart w:id="15" w:name="_Toc237610604"/>
      <w:r w:rsidRPr="0008521F">
        <w:rPr>
          <w:color w:val="000000" w:themeColor="text1"/>
        </w:rPr>
        <w:t>4.3 Recommendations</w:t>
      </w:r>
      <w:bookmarkEnd w:id="15"/>
    </w:p>
    <w:p w14:paraId="295F08D3" w14:textId="77777777" w:rsidR="00765CE3" w:rsidRPr="0008521F" w:rsidRDefault="004A7A8F">
      <w:pPr>
        <w:rPr>
          <w:color w:val="000000" w:themeColor="text1"/>
        </w:rPr>
      </w:pPr>
      <w:r w:rsidRPr="0008521F">
        <w:rPr>
          <w:color w:val="000000" w:themeColor="text1"/>
        </w:rPr>
        <w:t>There are four priorities in implementing the strategy. First, begin sales only in areas with charging and service coverage that meets premium-service expectations. Secondly, do not base investments on optimistic forecasts of the market. Third, select a partner through technical, governance and ethical due diligence, with strong safeguards for data and Rivian's IP. Fourth, increase affordability through local content, financing, residual-value guarantees, smaller vehicles, which are more important than larg</w:t>
      </w:r>
      <w:r w:rsidRPr="0008521F">
        <w:rPr>
          <w:color w:val="000000" w:themeColor="text1"/>
        </w:rPr>
        <w:t xml:space="preserve">e-scale R1 imports. If Rivian adopts this approach, India can become a growth </w:t>
      </w:r>
      <w:r w:rsidRPr="0008521F">
        <w:rPr>
          <w:color w:val="000000" w:themeColor="text1"/>
        </w:rPr>
        <w:t>market, engineering capability, and export opportunity. Conversely, entry through costly imports or a premature greenfield plant, would increase Rivian's capital and execution risks.</w:t>
      </w:r>
    </w:p>
    <w:p w14:paraId="3DE2546E" w14:textId="77777777" w:rsidR="00765CE3" w:rsidRPr="0008521F" w:rsidRDefault="004A7A8F">
      <w:pPr>
        <w:pStyle w:val="Heading2"/>
        <w:rPr>
          <w:color w:val="000000" w:themeColor="text1"/>
        </w:rPr>
      </w:pPr>
      <w:bookmarkStart w:id="16" w:name="_Toc237610605"/>
      <w:r w:rsidRPr="0008521F">
        <w:rPr>
          <w:color w:val="000000" w:themeColor="text1"/>
        </w:rPr>
        <w:t>4.4 Conclusion</w:t>
      </w:r>
      <w:bookmarkEnd w:id="16"/>
    </w:p>
    <w:p w14:paraId="2ECDDF45" w14:textId="77777777" w:rsidR="00765CE3" w:rsidRPr="0008521F" w:rsidRDefault="004A7A8F">
      <w:pPr>
        <w:rPr>
          <w:color w:val="000000" w:themeColor="text1"/>
        </w:rPr>
      </w:pPr>
      <w:r w:rsidRPr="0008521F">
        <w:rPr>
          <w:color w:val="000000" w:themeColor="text1"/>
        </w:rPr>
        <w:t>Rivian should enter India but it must not consider India as its next premium market. The greatest potential is the development of an R2 adapted to India and perhaps smaller vehicles to be manufactured through a staged assembly process in the country and subsequently exported. The company should retain the global oversight of software, safety, brand and data, and customise sourcing, product attributes, service, charging and communications locally.</w:t>
      </w:r>
    </w:p>
    <w:p w14:paraId="2AFB35B5" w14:textId="77777777" w:rsidR="00765CE3" w:rsidRPr="0008521F" w:rsidRDefault="004A7A8F">
      <w:pPr>
        <w:pStyle w:val="Heading1"/>
        <w:rPr>
          <w:color w:val="000000" w:themeColor="text1"/>
        </w:rPr>
      </w:pPr>
      <w:bookmarkStart w:id="17" w:name="_Toc237610606"/>
      <w:r w:rsidRPr="0008521F">
        <w:rPr>
          <w:color w:val="000000" w:themeColor="text1"/>
        </w:rPr>
        <w:t>Section 2: Reflective Account Using Gibbs’ Reflective Cycle</w:t>
      </w:r>
      <w:bookmarkEnd w:id="17"/>
    </w:p>
    <w:p w14:paraId="024819DA" w14:textId="77777777" w:rsidR="00765CE3" w:rsidRPr="0008521F" w:rsidRDefault="004A7A8F">
      <w:pPr>
        <w:pStyle w:val="Heading2"/>
        <w:rPr>
          <w:color w:val="000000" w:themeColor="text1"/>
        </w:rPr>
      </w:pPr>
      <w:bookmarkStart w:id="18" w:name="_Toc237610607"/>
      <w:r w:rsidRPr="0008521F">
        <w:rPr>
          <w:color w:val="000000" w:themeColor="text1"/>
        </w:rPr>
        <w:t>1. Description</w:t>
      </w:r>
      <w:bookmarkEnd w:id="18"/>
    </w:p>
    <w:p w14:paraId="23148368" w14:textId="77777777" w:rsidR="00765CE3" w:rsidRPr="0008521F" w:rsidRDefault="004A7A8F">
      <w:pPr>
        <w:rPr>
          <w:color w:val="000000" w:themeColor="text1"/>
        </w:rPr>
      </w:pPr>
      <w:r w:rsidRPr="0008521F">
        <w:rPr>
          <w:color w:val="000000" w:themeColor="text1"/>
        </w:rPr>
        <w:t>The lecture notes were used to determine the integration-responsiveness grid, Dunning's eclectic paradigm and the risk-control-resource framework for modes of entry. Company facts were drawn from Rivian documents and official releases; policy and market facts were taken from Indian ministries, the Press Information Bureau, SIAM and the World Bank; consumer and adoption facts were substantiated by peer-reviewed studies, and the provided images from Statista and WRI were used for the visual evidence rather th</w:t>
      </w:r>
      <w:r w:rsidRPr="0008521F">
        <w:rPr>
          <w:color w:val="000000" w:themeColor="text1"/>
        </w:rPr>
        <w:t>an for decorative purposes.</w:t>
      </w:r>
    </w:p>
    <w:p w14:paraId="65020400" w14:textId="77777777" w:rsidR="00765CE3" w:rsidRPr="0008521F" w:rsidRDefault="004A7A8F">
      <w:pPr>
        <w:pStyle w:val="Heading2"/>
        <w:rPr>
          <w:color w:val="000000" w:themeColor="text1"/>
        </w:rPr>
      </w:pPr>
      <w:bookmarkStart w:id="19" w:name="_Toc237610608"/>
      <w:r w:rsidRPr="0008521F">
        <w:rPr>
          <w:color w:val="000000" w:themeColor="text1"/>
        </w:rPr>
        <w:t>2. Feelings</w:t>
      </w:r>
      <w:bookmarkEnd w:id="19"/>
    </w:p>
    <w:p w14:paraId="19604EF7" w14:textId="77777777" w:rsidR="00765CE3" w:rsidRPr="0008521F" w:rsidRDefault="004A7A8F">
      <w:pPr>
        <w:rPr>
          <w:color w:val="000000" w:themeColor="text1"/>
        </w:rPr>
      </w:pPr>
      <w:r w:rsidRPr="0008521F">
        <w:rPr>
          <w:color w:val="000000" w:themeColor="text1"/>
        </w:rPr>
        <w:t xml:space="preserve">I thought the size of India's market and EV policy would yield a straightforward conclusion of a 100 per cent investment in manufacturing. I also found Rivian's technology and brand to be very compelling, thus creating a risk for confirmation bias. The Statista chart revealed that the EV market in India was highly skewed towards two- and three-wheelers, while the World Bank figures reflected the size of the Indian economy as compared to its low per-capita income. With Rivian's losses and commitments in the </w:t>
      </w:r>
      <w:r w:rsidRPr="0008521F">
        <w:rPr>
          <w:color w:val="000000" w:themeColor="text1"/>
        </w:rPr>
        <w:t>R2 project, the minimum investment for the electric-car manufacturing project seemed riskier.</w:t>
      </w:r>
    </w:p>
    <w:p w14:paraId="1EC220D7" w14:textId="77777777" w:rsidR="00765CE3" w:rsidRPr="0008521F" w:rsidRDefault="004A7A8F">
      <w:pPr>
        <w:pStyle w:val="Heading2"/>
        <w:rPr>
          <w:color w:val="000000" w:themeColor="text1"/>
        </w:rPr>
      </w:pPr>
      <w:bookmarkStart w:id="20" w:name="_Toc237610609"/>
      <w:r w:rsidRPr="0008521F">
        <w:rPr>
          <w:color w:val="000000" w:themeColor="text1"/>
        </w:rPr>
        <w:t>3. Evaluation</w:t>
      </w:r>
      <w:bookmarkEnd w:id="20"/>
    </w:p>
    <w:p w14:paraId="18729A0C" w14:textId="77777777" w:rsidR="00765CE3" w:rsidRPr="0008521F" w:rsidRDefault="004A7A8F">
      <w:pPr>
        <w:rPr>
          <w:color w:val="000000" w:themeColor="text1"/>
        </w:rPr>
      </w:pPr>
      <w:r w:rsidRPr="0008521F">
        <w:rPr>
          <w:color w:val="000000" w:themeColor="text1"/>
        </w:rPr>
        <w:t xml:space="preserve">Technical and operational progress was a key theme where company releases were useful for assessing technical changes, facilities and financial results. I compared them with SEC disclosures, </w:t>
      </w:r>
      <w:r w:rsidRPr="0008521F">
        <w:rPr>
          <w:color w:val="000000" w:themeColor="text1"/>
        </w:rPr>
        <w:t xml:space="preserve">the data and literature of government agencies and academics. The focus of the lecture on benefit cost-risk trade-offs helped to avoid the macro analysis being a descriptive PESTLE list. The integration-responsiveness framework also prevented me from categorising Rivian as being transnational just because it has offices in other countries. Manufacturing remains consolidated, although the Volkswagen joint venture and software nodes are now distributed internationally, and decision-making authority continues </w:t>
      </w:r>
      <w:r w:rsidRPr="0008521F">
        <w:rPr>
          <w:color w:val="000000" w:themeColor="text1"/>
        </w:rPr>
        <w:t>to be centralised.</w:t>
      </w:r>
    </w:p>
    <w:p w14:paraId="7F8C6BD6" w14:textId="77777777" w:rsidR="00765CE3" w:rsidRPr="0008521F" w:rsidRDefault="004A7A8F">
      <w:pPr>
        <w:rPr>
          <w:color w:val="000000" w:themeColor="text1"/>
        </w:rPr>
      </w:pPr>
      <w:r w:rsidRPr="0008521F">
        <w:rPr>
          <w:color w:val="000000" w:themeColor="text1"/>
        </w:rPr>
        <w:t>However, a drawback was the lack of primary research with Indian consumers, charging operators or Rivian managers. The Statista number is for 2024 and the WRI charging map is spatially descriptive but not an up-to-date count. This I did by explaining the evidential limitations of each figure and supplementing this with the official 2026 data.</w:t>
      </w:r>
    </w:p>
    <w:p w14:paraId="4911FAC3" w14:textId="77777777" w:rsidR="00765CE3" w:rsidRPr="0008521F" w:rsidRDefault="004A7A8F">
      <w:pPr>
        <w:pStyle w:val="Heading2"/>
        <w:rPr>
          <w:color w:val="000000" w:themeColor="text1"/>
        </w:rPr>
      </w:pPr>
      <w:bookmarkStart w:id="21" w:name="_Toc237610610"/>
      <w:r w:rsidRPr="0008521F">
        <w:rPr>
          <w:color w:val="000000" w:themeColor="text1"/>
        </w:rPr>
        <w:t>4. Analysis</w:t>
      </w:r>
      <w:bookmarkEnd w:id="21"/>
    </w:p>
    <w:p w14:paraId="51CDD4CB" w14:textId="77777777" w:rsidR="00765CE3" w:rsidRPr="0008521F" w:rsidRDefault="004A7A8F">
      <w:pPr>
        <w:rPr>
          <w:color w:val="000000" w:themeColor="text1"/>
        </w:rPr>
      </w:pPr>
      <w:r w:rsidRPr="0008521F">
        <w:rPr>
          <w:color w:val="000000" w:themeColor="text1"/>
        </w:rPr>
        <w:t>The most significant learning was the linking of the frameworks rather than the application of them individually. Bartlett and Ghoshal outlined the reasons Rivian will need to safeguard its software which is embedded in its products and services that are sold across the world, and how it will adapt to India's product and service needs. While Rivian's ownership advantages were evident and India had location advantages, full internalisation was not necessarily preferable as Rivian's capital constraint shifted</w:t>
      </w:r>
      <w:r w:rsidRPr="0008521F">
        <w:rPr>
          <w:color w:val="000000" w:themeColor="text1"/>
        </w:rPr>
        <w:t xml:space="preserve"> the risk-return ratio. A selective entry-mode solution was possible: retention of central technology and customer knowledge with outsourcing of local manufacturing facilities and know-how.</w:t>
      </w:r>
    </w:p>
    <w:p w14:paraId="6069544C" w14:textId="77777777" w:rsidR="00765CE3" w:rsidRPr="0008521F" w:rsidRDefault="004A7A8F">
      <w:pPr>
        <w:rPr>
          <w:color w:val="000000" w:themeColor="text1"/>
        </w:rPr>
      </w:pPr>
      <w:r w:rsidRPr="0008521F">
        <w:rPr>
          <w:color w:val="000000" w:themeColor="text1"/>
        </w:rPr>
        <w:t>While SPMEPCI lowers customs duty, its investment, production and domestic value-addition requirements make it a significant investment. The assumption of immediate attractiveness was not challenged by the fact that a scheme did not receive applications in the first window. I did not view this as policy failure, but rather as a sign of the investors' need for greater certainty of demand—which can be achieved with a change in policy—or a change in the terms of the policy itself. This changed my view from fav</w:t>
      </w:r>
      <w:r w:rsidRPr="0008521F">
        <w:rPr>
          <w:color w:val="000000" w:themeColor="text1"/>
        </w:rPr>
        <w:t>ouring a greenfield plant towards a staged subsidiary-plus-JV approach.</w:t>
      </w:r>
    </w:p>
    <w:p w14:paraId="43D3DEAC" w14:textId="77777777" w:rsidR="00765CE3" w:rsidRPr="0008521F" w:rsidRDefault="004A7A8F">
      <w:pPr>
        <w:rPr>
          <w:color w:val="000000" w:themeColor="text1"/>
        </w:rPr>
      </w:pPr>
      <w:r w:rsidRPr="0008521F">
        <w:rPr>
          <w:color w:val="000000" w:themeColor="text1"/>
        </w:rPr>
        <w:t xml:space="preserve">One government official mentioned operational stations in the FAME-II category and it is possible that a wider count includes stations that are funded and/or recorded through other mechanisms. Rather than selecting the highest figure, I retained the clearly defined FAME-II figure, and </w:t>
      </w:r>
      <w:r w:rsidRPr="0008521F">
        <w:rPr>
          <w:color w:val="000000" w:themeColor="text1"/>
        </w:rPr>
        <w:t>explained the difference in scope. I also realised that national readiness does not necessarily mean an absence of location risk; the WRI map was insightful in this regard and highlighted the need to target specific urban and inter-city corridors for Rivian's launch.</w:t>
      </w:r>
    </w:p>
    <w:p w14:paraId="32123803" w14:textId="77777777" w:rsidR="00765CE3" w:rsidRPr="0008521F" w:rsidRDefault="004A7A8F">
      <w:pPr>
        <w:pStyle w:val="Heading2"/>
        <w:rPr>
          <w:color w:val="000000" w:themeColor="text1"/>
        </w:rPr>
      </w:pPr>
      <w:bookmarkStart w:id="22" w:name="_Toc237610611"/>
      <w:r w:rsidRPr="0008521F">
        <w:rPr>
          <w:color w:val="000000" w:themeColor="text1"/>
        </w:rPr>
        <w:t>5. Conclusion</w:t>
      </w:r>
      <w:bookmarkEnd w:id="22"/>
    </w:p>
    <w:p w14:paraId="7FFBA886" w14:textId="77777777" w:rsidR="00765CE3" w:rsidRPr="0008521F" w:rsidRDefault="004A7A8F">
      <w:pPr>
        <w:rPr>
          <w:color w:val="000000" w:themeColor="text1"/>
        </w:rPr>
      </w:pPr>
      <w:r w:rsidRPr="0008521F">
        <w:rPr>
          <w:color w:val="000000" w:themeColor="text1"/>
        </w:rPr>
        <w:t>I came to the realisation that attractive markets do not always justify a rapid, capital-intensive investment. Conditions of strategic fit depend on the resource capacity of the firm, the transferability of the advantage and institutional conditions and investment reversibility. I also developed a more critical understanding of broad labels such as ‘global' or ‘transnational'. A global mindset does not imply a global operating footprint and a global company can have international knowledge nodes while givin</w:t>
      </w:r>
      <w:r w:rsidRPr="0008521F">
        <w:rPr>
          <w:color w:val="000000" w:themeColor="text1"/>
        </w:rPr>
        <w:t>g the local subsidiaries little or no strategic leverage.</w:t>
      </w:r>
    </w:p>
    <w:p w14:paraId="747D09EC" w14:textId="77777777" w:rsidR="00765CE3" w:rsidRPr="0008521F" w:rsidRDefault="004A7A8F">
      <w:pPr>
        <w:rPr>
          <w:color w:val="000000" w:themeColor="text1"/>
        </w:rPr>
      </w:pPr>
      <w:r w:rsidRPr="0008521F">
        <w:rPr>
          <w:color w:val="000000" w:themeColor="text1"/>
        </w:rPr>
        <w:t>I would enhance the assessment by collecting the primary data on willingness to pay, preferred size of vehicles, expectations and charging habits of premium Indian consumers. Assumptions on cost of localisation and incentives from the state would be tested during interviews with the component suppliers and state investment agencies. A financial model would support the recommendation and would be useful to quantify break-even volume, currency exposure and downside risk.</w:t>
      </w:r>
    </w:p>
    <w:p w14:paraId="7BF29CA4" w14:textId="77777777" w:rsidR="00765CE3" w:rsidRPr="0008521F" w:rsidRDefault="004A7A8F">
      <w:pPr>
        <w:pStyle w:val="Heading2"/>
        <w:rPr>
          <w:color w:val="000000" w:themeColor="text1"/>
        </w:rPr>
      </w:pPr>
      <w:bookmarkStart w:id="23" w:name="_Toc237610612"/>
      <w:r w:rsidRPr="0008521F">
        <w:rPr>
          <w:color w:val="000000" w:themeColor="text1"/>
        </w:rPr>
        <w:t>6. Action plan</w:t>
      </w:r>
      <w:bookmarkEnd w:id="23"/>
    </w:p>
    <w:p w14:paraId="25702DCD" w14:textId="77777777" w:rsidR="00765CE3" w:rsidRPr="0008521F" w:rsidRDefault="004A7A8F">
      <w:pPr>
        <w:rPr>
          <w:color w:val="000000" w:themeColor="text1"/>
        </w:rPr>
      </w:pPr>
      <w:r w:rsidRPr="0008521F">
        <w:rPr>
          <w:color w:val="000000" w:themeColor="text1"/>
        </w:rPr>
        <w:t>For future international-market evaluations, I will create a hierarchy of evidence and decide on a data cut-off prior to extensive reading. I will keep a source log with the definition, date, unit and geographical scope of the indicator, and any potential source of bias, particularly when multiple agencies report on the same indicator with different metrics. I will start with competing hypotheses - such as via exports, alliance or wholly owned investment - rather than formulate a preferred answer too early.</w:t>
      </w:r>
      <w:r w:rsidRPr="0008521F">
        <w:rPr>
          <w:color w:val="000000" w:themeColor="text1"/>
        </w:rPr>
        <w:t xml:space="preserve"> In each framework, a specific decision will be made, i.e. integration-responsiveness will be decided upon in the context of configuration, OLI on the basis of FDI, and entry-mode theory on governance and commitment.</w:t>
      </w:r>
    </w:p>
    <w:p w14:paraId="5B99CC71" w14:textId="77777777" w:rsidR="00765CE3" w:rsidRPr="0008521F" w:rsidRDefault="004A7A8F">
      <w:pPr>
        <w:rPr>
          <w:color w:val="000000" w:themeColor="text1"/>
        </w:rPr>
      </w:pPr>
      <w:r w:rsidRPr="0008521F">
        <w:rPr>
          <w:color w:val="000000" w:themeColor="text1"/>
        </w:rPr>
        <w:t>The analysis would model scenarios in which Indian R2 demand changes, import duties fluctuate, local-content costs change, partner performance changes and charging expansion takes place. The recommendation, therefore, is pragmatic and experimental, and requires testing: Rivian should make an initial commitment in order to learn and develop options; but increase its commitment after evidence confirms Indian demand, localisation capacity and institutional support.</w:t>
      </w:r>
    </w:p>
    <w:p w14:paraId="3644E304" w14:textId="77777777" w:rsidR="00765CE3" w:rsidRPr="0008521F" w:rsidRDefault="004A7A8F">
      <w:pPr>
        <w:jc w:val="left"/>
        <w:rPr>
          <w:b/>
          <w:bCs/>
          <w:color w:val="000000" w:themeColor="text1"/>
          <w:sz w:val="28"/>
          <w:szCs w:val="28"/>
        </w:rPr>
      </w:pPr>
      <w:r w:rsidRPr="0008521F">
        <w:rPr>
          <w:color w:val="000000" w:themeColor="text1"/>
        </w:rPr>
        <w:br w:type="page"/>
      </w:r>
    </w:p>
    <w:p w14:paraId="0BC5F3BD" w14:textId="77777777" w:rsidR="00765CE3" w:rsidRPr="0008521F" w:rsidRDefault="004A7A8F">
      <w:pPr>
        <w:pStyle w:val="Heading1"/>
        <w:spacing w:after="240"/>
        <w:rPr>
          <w:color w:val="000000" w:themeColor="text1"/>
        </w:rPr>
      </w:pPr>
      <w:bookmarkStart w:id="24" w:name="_Toc237610613"/>
      <w:r w:rsidRPr="0008521F">
        <w:rPr>
          <w:color w:val="000000" w:themeColor="text1"/>
        </w:rPr>
        <w:t>References</w:t>
      </w:r>
      <w:bookmarkEnd w:id="24"/>
    </w:p>
    <w:p w14:paraId="4424409F" w14:textId="77777777" w:rsidR="00765CE3" w:rsidRPr="0008521F" w:rsidRDefault="004A7A8F">
      <w:pPr>
        <w:rPr>
          <w:color w:val="000000" w:themeColor="text1"/>
        </w:rPr>
      </w:pPr>
      <w:r w:rsidRPr="0008521F">
        <w:rPr>
          <w:color w:val="000000" w:themeColor="text1"/>
        </w:rPr>
        <w:t xml:space="preserve">Ashok, B., Kannan, C., Usman, K.M., Vignesh, R., Deepak, C., Ramesh, R., </w:t>
      </w:r>
      <w:proofErr w:type="spellStart"/>
      <w:r w:rsidRPr="0008521F">
        <w:rPr>
          <w:color w:val="000000" w:themeColor="text1"/>
        </w:rPr>
        <w:t>Narendhra</w:t>
      </w:r>
      <w:proofErr w:type="spellEnd"/>
      <w:r w:rsidRPr="0008521F">
        <w:rPr>
          <w:color w:val="000000" w:themeColor="text1"/>
        </w:rPr>
        <w:t xml:space="preserve">, T.M.V. and </w:t>
      </w:r>
      <w:proofErr w:type="spellStart"/>
      <w:r w:rsidRPr="0008521F">
        <w:rPr>
          <w:color w:val="000000" w:themeColor="text1"/>
        </w:rPr>
        <w:t>Kavitha</w:t>
      </w:r>
      <w:proofErr w:type="spellEnd"/>
      <w:r w:rsidRPr="0008521F">
        <w:rPr>
          <w:color w:val="000000" w:themeColor="text1"/>
        </w:rPr>
        <w:t xml:space="preserve">, C. (2022) ‘Transition to electric mobility in India: barriers exploration and pathways to powertrain shift through MCDM approach’, Journal of The Institution of Engineers (India): Series C, 103(5), pp. 1251-1277. </w:t>
      </w:r>
      <w:hyperlink r:id="rId12">
        <w:r w:rsidR="00765CE3" w:rsidRPr="0008521F">
          <w:rPr>
            <w:color w:val="000000" w:themeColor="text1"/>
            <w:u w:val="single"/>
          </w:rPr>
          <w:t>https://doi.org/10.1007/s40032-022-00852-6</w:t>
        </w:r>
      </w:hyperlink>
      <w:r w:rsidRPr="0008521F">
        <w:rPr>
          <w:color w:val="000000" w:themeColor="text1"/>
        </w:rPr>
        <w:t>.</w:t>
      </w:r>
    </w:p>
    <w:p w14:paraId="3DCFFEFC" w14:textId="77777777" w:rsidR="00765CE3" w:rsidRPr="0008521F" w:rsidRDefault="004A7A8F">
      <w:pPr>
        <w:rPr>
          <w:color w:val="000000" w:themeColor="text1"/>
        </w:rPr>
      </w:pPr>
      <w:r w:rsidRPr="0008521F">
        <w:rPr>
          <w:color w:val="000000" w:themeColor="text1"/>
        </w:rPr>
        <w:t xml:space="preserve">Bansal, P., Kumar, R.R., Raj, A., Dubey, S. and Graham, D.J. (2021) ‘Willingness to pay and attitudinal preferences of Indian consumers for electric vehicles’, Energy Economics, 100, 105340. </w:t>
      </w:r>
      <w:hyperlink r:id="rId13">
        <w:r w:rsidR="00765CE3" w:rsidRPr="0008521F">
          <w:rPr>
            <w:color w:val="000000" w:themeColor="text1"/>
            <w:u w:val="single"/>
          </w:rPr>
          <w:t>https://doi.org/10.1016/j.eneco.2021.105340</w:t>
        </w:r>
      </w:hyperlink>
      <w:r w:rsidRPr="0008521F">
        <w:rPr>
          <w:color w:val="000000" w:themeColor="text1"/>
        </w:rPr>
        <w:t>.</w:t>
      </w:r>
    </w:p>
    <w:p w14:paraId="6F75E09C" w14:textId="77777777" w:rsidR="00765CE3" w:rsidRPr="0008521F" w:rsidRDefault="004A7A8F">
      <w:pPr>
        <w:rPr>
          <w:color w:val="000000" w:themeColor="text1"/>
        </w:rPr>
      </w:pPr>
      <w:r w:rsidRPr="0008521F">
        <w:rPr>
          <w:color w:val="000000" w:themeColor="text1"/>
        </w:rPr>
        <w:t>Bartlett, C.A. and Ghoshal, S. (1989) Managing Across Borders: The Transnational Solution. Boston, MA: Harvard Business School Press.</w:t>
      </w:r>
    </w:p>
    <w:p w14:paraId="1836C36D" w14:textId="77777777" w:rsidR="00765CE3" w:rsidRPr="0008521F" w:rsidRDefault="004A7A8F">
      <w:pPr>
        <w:rPr>
          <w:color w:val="000000" w:themeColor="text1"/>
        </w:rPr>
      </w:pPr>
      <w:proofErr w:type="spellStart"/>
      <w:r w:rsidRPr="0008521F">
        <w:rPr>
          <w:color w:val="000000" w:themeColor="text1"/>
        </w:rPr>
        <w:t>Brouthers</w:t>
      </w:r>
      <w:proofErr w:type="spellEnd"/>
      <w:r w:rsidRPr="0008521F">
        <w:rPr>
          <w:color w:val="000000" w:themeColor="text1"/>
        </w:rPr>
        <w:t xml:space="preserve">, K.D. (2002) ‘Institutional, cultural and transaction cost influences on entry mode choice and performance’, Journal of International Business Studies, 33(2), pp. 203-221. </w:t>
      </w:r>
      <w:hyperlink r:id="rId14">
        <w:r w:rsidR="00765CE3" w:rsidRPr="0008521F">
          <w:rPr>
            <w:color w:val="000000" w:themeColor="text1"/>
            <w:u w:val="single"/>
          </w:rPr>
          <w:t>https://doi.org/10.1057/palgrave.jibs.8491013</w:t>
        </w:r>
      </w:hyperlink>
      <w:r w:rsidRPr="0008521F">
        <w:rPr>
          <w:color w:val="000000" w:themeColor="text1"/>
        </w:rPr>
        <w:t>.</w:t>
      </w:r>
    </w:p>
    <w:p w14:paraId="07F3DEBA" w14:textId="77777777" w:rsidR="00765CE3" w:rsidRPr="0008521F" w:rsidRDefault="004A7A8F">
      <w:pPr>
        <w:rPr>
          <w:color w:val="000000" w:themeColor="text1"/>
        </w:rPr>
      </w:pPr>
      <w:r w:rsidRPr="0008521F">
        <w:rPr>
          <w:color w:val="000000" w:themeColor="text1"/>
        </w:rPr>
        <w:t xml:space="preserve">Dunning, J.H. (1988) ‘The eclectic paradigm of international production: a restatement and some possible extensions’, Journal of International Business Studies, 19(1), pp. 1-31. </w:t>
      </w:r>
      <w:hyperlink r:id="rId15">
        <w:r w:rsidR="00765CE3" w:rsidRPr="0008521F">
          <w:rPr>
            <w:color w:val="000000" w:themeColor="text1"/>
            <w:u w:val="single"/>
          </w:rPr>
          <w:t>https://doi.org/10.1057/palgrave.jibs.8490372</w:t>
        </w:r>
      </w:hyperlink>
      <w:r w:rsidRPr="0008521F">
        <w:rPr>
          <w:color w:val="000000" w:themeColor="text1"/>
        </w:rPr>
        <w:t>.</w:t>
      </w:r>
    </w:p>
    <w:p w14:paraId="31B44CE7" w14:textId="77777777" w:rsidR="00765CE3" w:rsidRPr="0008521F" w:rsidRDefault="004A7A8F">
      <w:pPr>
        <w:rPr>
          <w:color w:val="000000" w:themeColor="text1"/>
        </w:rPr>
      </w:pPr>
      <w:r w:rsidRPr="0008521F">
        <w:rPr>
          <w:color w:val="000000" w:themeColor="text1"/>
        </w:rPr>
        <w:t xml:space="preserve">Dunning, J.H. (2000) ‘The eclectic paradigm as an envelope for economic and business theories of MNE activity’, International Business Review, 9(2), pp. 163-190. </w:t>
      </w:r>
      <w:hyperlink r:id="rId16">
        <w:r w:rsidR="00765CE3" w:rsidRPr="0008521F">
          <w:rPr>
            <w:color w:val="000000" w:themeColor="text1"/>
            <w:u w:val="single"/>
          </w:rPr>
          <w:t>https://doi.org/10.1016/S0969-5931(99)00035-9</w:t>
        </w:r>
      </w:hyperlink>
      <w:r w:rsidRPr="0008521F">
        <w:rPr>
          <w:color w:val="000000" w:themeColor="text1"/>
        </w:rPr>
        <w:t>.</w:t>
      </w:r>
    </w:p>
    <w:p w14:paraId="6CF710C2" w14:textId="77777777" w:rsidR="00765CE3" w:rsidRPr="0008521F" w:rsidRDefault="004A7A8F">
      <w:pPr>
        <w:rPr>
          <w:color w:val="000000" w:themeColor="text1"/>
        </w:rPr>
      </w:pPr>
      <w:r w:rsidRPr="0008521F">
        <w:rPr>
          <w:color w:val="000000" w:themeColor="text1"/>
        </w:rPr>
        <w:t>Ghemawat, P. (2001) ‘Distance still matters: the hard reality of global expansion’, Harvard Business Review, 79(8), pp. 137-147.</w:t>
      </w:r>
    </w:p>
    <w:p w14:paraId="5D4AD052" w14:textId="77777777" w:rsidR="00765CE3" w:rsidRPr="0008521F" w:rsidRDefault="004A7A8F">
      <w:pPr>
        <w:rPr>
          <w:color w:val="000000" w:themeColor="text1"/>
        </w:rPr>
      </w:pPr>
      <w:r w:rsidRPr="0008521F">
        <w:rPr>
          <w:color w:val="000000" w:themeColor="text1"/>
        </w:rPr>
        <w:t>Gibbs, G. (1988) Learning by Doing: A Guide to Teaching and Learning Methods. Oxford: Oxford Polytechnic.</w:t>
      </w:r>
    </w:p>
    <w:p w14:paraId="1A26BEB8" w14:textId="77777777" w:rsidR="00765CE3" w:rsidRPr="0008521F" w:rsidRDefault="004A7A8F">
      <w:pPr>
        <w:rPr>
          <w:color w:val="000000" w:themeColor="text1"/>
        </w:rPr>
      </w:pPr>
      <w:proofErr w:type="spellStart"/>
      <w:r w:rsidRPr="0008521F">
        <w:rPr>
          <w:color w:val="000000" w:themeColor="text1"/>
        </w:rPr>
        <w:t>Harzing</w:t>
      </w:r>
      <w:proofErr w:type="spellEnd"/>
      <w:r w:rsidRPr="0008521F">
        <w:rPr>
          <w:color w:val="000000" w:themeColor="text1"/>
        </w:rPr>
        <w:t xml:space="preserve">, A.-W. (2000) ‘An empirical analysis and extension of the Bartlett and Ghoshal typology of multinational companies’, Journal of International Business Studies, 31(1), pp. 101-120. </w:t>
      </w:r>
      <w:hyperlink r:id="rId17">
        <w:r w:rsidR="00765CE3" w:rsidRPr="0008521F">
          <w:rPr>
            <w:color w:val="000000" w:themeColor="text1"/>
            <w:u w:val="single"/>
          </w:rPr>
          <w:t>https://doi.org/10.1057/palgrave.jibs.8490891</w:t>
        </w:r>
      </w:hyperlink>
      <w:r w:rsidRPr="0008521F">
        <w:rPr>
          <w:color w:val="000000" w:themeColor="text1"/>
        </w:rPr>
        <w:t>.</w:t>
      </w:r>
    </w:p>
    <w:p w14:paraId="5B6F6605" w14:textId="77777777" w:rsidR="00765CE3" w:rsidRPr="0008521F" w:rsidRDefault="004A7A8F">
      <w:pPr>
        <w:rPr>
          <w:color w:val="000000" w:themeColor="text1"/>
        </w:rPr>
      </w:pPr>
      <w:r w:rsidRPr="0008521F">
        <w:rPr>
          <w:color w:val="000000" w:themeColor="text1"/>
        </w:rPr>
        <w:t xml:space="preserve">Hill, C.W.L., Hwang, P. and Kim, W.C. (1990) ‘An eclectic theory of the choice of international entry mode’, Strategic Management Journal, 11(2), pp. 117-128. </w:t>
      </w:r>
      <w:hyperlink r:id="rId18">
        <w:r w:rsidR="00765CE3" w:rsidRPr="0008521F">
          <w:rPr>
            <w:color w:val="000000" w:themeColor="text1"/>
            <w:u w:val="single"/>
          </w:rPr>
          <w:t>https://doi.org/10.1002/smj.4250110204</w:t>
        </w:r>
      </w:hyperlink>
      <w:r w:rsidRPr="0008521F">
        <w:rPr>
          <w:color w:val="000000" w:themeColor="text1"/>
        </w:rPr>
        <w:t>.</w:t>
      </w:r>
    </w:p>
    <w:p w14:paraId="5BA9AB1A" w14:textId="77777777" w:rsidR="00765CE3" w:rsidRPr="0008521F" w:rsidRDefault="004A7A8F">
      <w:pPr>
        <w:rPr>
          <w:color w:val="000000" w:themeColor="text1"/>
        </w:rPr>
      </w:pPr>
      <w:r w:rsidRPr="0008521F">
        <w:rPr>
          <w:color w:val="000000" w:themeColor="text1"/>
        </w:rPr>
        <w:t>Invest India (2026) Automobile sector in India. Available at: https://www.investindia.gov.in/sector/automobile (Accessed: 9 August 2026).</w:t>
      </w:r>
    </w:p>
    <w:p w14:paraId="1715E3C2" w14:textId="77777777" w:rsidR="00765CE3" w:rsidRPr="0008521F" w:rsidRDefault="004A7A8F">
      <w:pPr>
        <w:rPr>
          <w:color w:val="000000" w:themeColor="text1"/>
        </w:rPr>
      </w:pPr>
      <w:r w:rsidRPr="0008521F">
        <w:rPr>
          <w:color w:val="000000" w:themeColor="text1"/>
        </w:rPr>
        <w:t xml:space="preserve">Johanson, J. and Vahlne, J.-E. (1977) ‘The internationalization process of the firm: a model of knowledge development and increasing foreign market commitments’, Journal of International Business Studies, 8(1), pp. 23-32. </w:t>
      </w:r>
      <w:hyperlink r:id="rId19">
        <w:r w:rsidR="00765CE3" w:rsidRPr="0008521F">
          <w:rPr>
            <w:color w:val="000000" w:themeColor="text1"/>
            <w:u w:val="single"/>
          </w:rPr>
          <w:t>https://doi.org/10.1057/palgrave.jibs.8490676</w:t>
        </w:r>
      </w:hyperlink>
      <w:r w:rsidRPr="0008521F">
        <w:rPr>
          <w:color w:val="000000" w:themeColor="text1"/>
        </w:rPr>
        <w:t>.</w:t>
      </w:r>
    </w:p>
    <w:p w14:paraId="3FD69C10" w14:textId="2BC70B4F" w:rsidR="0008521F" w:rsidRPr="0008521F" w:rsidRDefault="0008521F">
      <w:pPr>
        <w:rPr>
          <w:color w:val="000000" w:themeColor="text1"/>
        </w:rPr>
      </w:pPr>
      <w:r w:rsidRPr="0008521F">
        <w:rPr>
          <w:color w:val="000000" w:themeColor="text1"/>
        </w:rPr>
        <w:t xml:space="preserve">Lehmann, H. (2010) ‘International Information Systems in the Literature’, in </w:t>
      </w:r>
      <w:r w:rsidRPr="0008521F">
        <w:rPr>
          <w:i/>
          <w:iCs/>
          <w:color w:val="000000" w:themeColor="text1"/>
        </w:rPr>
        <w:t>The Dynamics of International Information Systems</w:t>
      </w:r>
      <w:r w:rsidRPr="0008521F">
        <w:rPr>
          <w:color w:val="000000" w:themeColor="text1"/>
        </w:rPr>
        <w:t xml:space="preserve">, pp. 9–17. Springer. </w:t>
      </w:r>
      <w:hyperlink r:id="rId20" w:history="1">
        <w:r w:rsidRPr="0008521F">
          <w:rPr>
            <w:rStyle w:val="Hyperlink"/>
            <w:color w:val="000000" w:themeColor="text1"/>
          </w:rPr>
          <w:t>https://doi.org/10.1007/978-1-4419-5750-4_2</w:t>
        </w:r>
      </w:hyperlink>
      <w:r w:rsidRPr="0008521F">
        <w:rPr>
          <w:color w:val="000000" w:themeColor="text1"/>
        </w:rPr>
        <w:t xml:space="preserve"> </w:t>
      </w:r>
    </w:p>
    <w:p w14:paraId="3DCF3EC0" w14:textId="77777777" w:rsidR="00765CE3" w:rsidRPr="0008521F" w:rsidRDefault="004A7A8F">
      <w:pPr>
        <w:rPr>
          <w:color w:val="000000" w:themeColor="text1"/>
        </w:rPr>
      </w:pPr>
      <w:r w:rsidRPr="0008521F">
        <w:rPr>
          <w:color w:val="000000" w:themeColor="text1"/>
        </w:rPr>
        <w:t>Ministry of Heavy Industries (2025a) Guidelines for the Scheme to Promote Manufacturing of Electric Passenger Cars in India (SPMEPCI), 3 June. Available at: https://heavyindustries.gov.in/en/scheme-promote-manufacturing-electric-passenger-cars-india-view (Accessed: 6 August 2026).</w:t>
      </w:r>
    </w:p>
    <w:p w14:paraId="52A72B35" w14:textId="77777777" w:rsidR="00765CE3" w:rsidRPr="0008521F" w:rsidRDefault="004A7A8F">
      <w:pPr>
        <w:rPr>
          <w:color w:val="000000" w:themeColor="text1"/>
        </w:rPr>
      </w:pPr>
      <w:r w:rsidRPr="0008521F">
        <w:rPr>
          <w:color w:val="000000" w:themeColor="text1"/>
        </w:rPr>
        <w:t>Ministry of Heavy Industries (2026a) Rajya Sabha Unstarred Question No. 1682: Scheme to Promote Manufacturing of Electric cars, 13 February. Available at: https://www.heavyindustries.gov.in/sites/default/files/2026-02/rsauq_1682.pdf (Accessed: 4 August 2026).</w:t>
      </w:r>
    </w:p>
    <w:p w14:paraId="723179D3" w14:textId="77777777" w:rsidR="00765CE3" w:rsidRPr="0008521F" w:rsidRDefault="004A7A8F">
      <w:pPr>
        <w:rPr>
          <w:color w:val="000000" w:themeColor="text1"/>
        </w:rPr>
      </w:pPr>
      <w:r w:rsidRPr="0008521F">
        <w:rPr>
          <w:color w:val="000000" w:themeColor="text1"/>
        </w:rPr>
        <w:t>Ministry of Road Transport and Highways (2025) Central Motor Vehicles Rules and automotive industry standards. Available at: https://morth.nic.in/central-motor-vehicles-rules-1989 (Accessed: 10 August 2026).</w:t>
      </w:r>
    </w:p>
    <w:p w14:paraId="6F1B913B" w14:textId="77777777" w:rsidR="00765CE3" w:rsidRPr="0008521F" w:rsidRDefault="004A7A8F">
      <w:pPr>
        <w:rPr>
          <w:color w:val="000000" w:themeColor="text1"/>
        </w:rPr>
      </w:pPr>
      <w:r w:rsidRPr="0008521F">
        <w:rPr>
          <w:color w:val="000000" w:themeColor="text1"/>
        </w:rPr>
        <w:t xml:space="preserve">Murugan, M. and </w:t>
      </w:r>
      <w:proofErr w:type="spellStart"/>
      <w:r w:rsidRPr="0008521F">
        <w:rPr>
          <w:color w:val="000000" w:themeColor="text1"/>
        </w:rPr>
        <w:t>Marisamynathan</w:t>
      </w:r>
      <w:proofErr w:type="spellEnd"/>
      <w:r w:rsidRPr="0008521F">
        <w:rPr>
          <w:color w:val="000000" w:themeColor="text1"/>
        </w:rPr>
        <w:t xml:space="preserve">, S. (2022) ‘Analysis of barriers to adopt electric vehicles in India using fuzzy DEMATEL and relative importance index approaches’, Case Studies on Transport Policy, 10(2), pp. 795-810. </w:t>
      </w:r>
      <w:hyperlink r:id="rId21">
        <w:r w:rsidR="00765CE3" w:rsidRPr="0008521F">
          <w:rPr>
            <w:color w:val="000000" w:themeColor="text1"/>
            <w:u w:val="single"/>
          </w:rPr>
          <w:t>https://doi.org/10.1016/j.cstp.2022.02.007</w:t>
        </w:r>
      </w:hyperlink>
      <w:r w:rsidRPr="0008521F">
        <w:rPr>
          <w:color w:val="000000" w:themeColor="text1"/>
        </w:rPr>
        <w:t>.</w:t>
      </w:r>
    </w:p>
    <w:p w14:paraId="0F9F6EC3" w14:textId="77777777" w:rsidR="00765CE3" w:rsidRPr="0008521F" w:rsidRDefault="004A7A8F">
      <w:pPr>
        <w:rPr>
          <w:color w:val="000000" w:themeColor="text1"/>
        </w:rPr>
      </w:pPr>
      <w:proofErr w:type="spellStart"/>
      <w:r w:rsidRPr="0008521F">
        <w:rPr>
          <w:color w:val="000000" w:themeColor="text1"/>
        </w:rPr>
        <w:t>Pamidimukkala</w:t>
      </w:r>
      <w:proofErr w:type="spellEnd"/>
      <w:r w:rsidRPr="0008521F">
        <w:rPr>
          <w:color w:val="000000" w:themeColor="text1"/>
        </w:rPr>
        <w:t xml:space="preserve">, A., </w:t>
      </w:r>
      <w:proofErr w:type="spellStart"/>
      <w:r w:rsidRPr="0008521F">
        <w:rPr>
          <w:color w:val="000000" w:themeColor="text1"/>
        </w:rPr>
        <w:t>Kermanshachi</w:t>
      </w:r>
      <w:proofErr w:type="spellEnd"/>
      <w:r w:rsidRPr="0008521F">
        <w:rPr>
          <w:color w:val="000000" w:themeColor="text1"/>
        </w:rPr>
        <w:t xml:space="preserve">, S., Rosenberger, J.M. and Hladik, G. (2024) ‘Barriers and motivators to the adoption of electric vehicles: a global review’, Green Energy and Intelligent Transportation, 3(2), 100153. </w:t>
      </w:r>
      <w:hyperlink r:id="rId22">
        <w:r w:rsidR="00765CE3" w:rsidRPr="0008521F">
          <w:rPr>
            <w:color w:val="000000" w:themeColor="text1"/>
            <w:u w:val="single"/>
          </w:rPr>
          <w:t>https://doi.org/10.1016/j.geits.2024.100153</w:t>
        </w:r>
      </w:hyperlink>
      <w:r w:rsidRPr="0008521F">
        <w:rPr>
          <w:color w:val="000000" w:themeColor="text1"/>
        </w:rPr>
        <w:t>.</w:t>
      </w:r>
    </w:p>
    <w:p w14:paraId="7268D8B9" w14:textId="77777777" w:rsidR="00765CE3" w:rsidRPr="0008521F" w:rsidRDefault="004A7A8F">
      <w:pPr>
        <w:rPr>
          <w:color w:val="000000" w:themeColor="text1"/>
        </w:rPr>
      </w:pPr>
      <w:r w:rsidRPr="0008521F">
        <w:rPr>
          <w:color w:val="000000" w:themeColor="text1"/>
        </w:rPr>
        <w:t>Press Information Bureau (2025a) Government notifies guidelines for Scheme to Promote Manufacturing of Electric Passenger Cars in India, 2 June. Available at: https://www.pib.gov.in/PressReleasePage.aspx?PRID=2133258 (Accessed: 4 August 2026).</w:t>
      </w:r>
    </w:p>
    <w:p w14:paraId="3B4F1FA7" w14:textId="77777777" w:rsidR="00765CE3" w:rsidRPr="0008521F" w:rsidRDefault="004A7A8F">
      <w:pPr>
        <w:rPr>
          <w:color w:val="000000" w:themeColor="text1"/>
        </w:rPr>
      </w:pPr>
      <w:r w:rsidRPr="0008521F">
        <w:rPr>
          <w:color w:val="000000" w:themeColor="text1"/>
        </w:rPr>
        <w:t>Press Information Bureau (2025b) Government notifies DPDP Rules to empower citizens and protect privacy, 14 November. Available at: https://www.pib.gov.in/PressReleasePage.aspx?PRID=2190014 (Accessed: 3 August 2026).</w:t>
      </w:r>
    </w:p>
    <w:p w14:paraId="657E199D" w14:textId="77777777" w:rsidR="00765CE3" w:rsidRPr="0008521F" w:rsidRDefault="004A7A8F">
      <w:pPr>
        <w:rPr>
          <w:color w:val="000000" w:themeColor="text1"/>
        </w:rPr>
      </w:pPr>
      <w:r w:rsidRPr="0008521F">
        <w:rPr>
          <w:color w:val="000000" w:themeColor="text1"/>
        </w:rPr>
        <w:t>Press Information Bureau (2026) Launch of public charging infrastructure, 27 March. Available at: https://www.pib.gov.in/PressReleasePage.aspx?PRID=2246045 (Accessed: 7 August 2026).</w:t>
      </w:r>
    </w:p>
    <w:p w14:paraId="31A994F8" w14:textId="77777777" w:rsidR="00765CE3" w:rsidRPr="0008521F" w:rsidRDefault="004A7A8F">
      <w:pPr>
        <w:rPr>
          <w:color w:val="000000" w:themeColor="text1"/>
        </w:rPr>
      </w:pPr>
      <w:r w:rsidRPr="0008521F">
        <w:rPr>
          <w:color w:val="000000" w:themeColor="text1"/>
        </w:rPr>
        <w:t>Rivian (2024a) Rivian introduces second-generation R1S and R1T, 6 June. Available at: https://rivian.com/newsroom/article/rivian-introduces-second-generation-r1s-r1t (Accessed: 4 August 2026).</w:t>
      </w:r>
    </w:p>
    <w:p w14:paraId="51C4CE60" w14:textId="77777777" w:rsidR="00765CE3" w:rsidRPr="0008521F" w:rsidRDefault="004A7A8F">
      <w:pPr>
        <w:rPr>
          <w:color w:val="000000" w:themeColor="text1"/>
        </w:rPr>
      </w:pPr>
      <w:r w:rsidRPr="0008521F">
        <w:rPr>
          <w:color w:val="000000" w:themeColor="text1"/>
        </w:rPr>
        <w:t>Rivian (2025a) Rivian to bring more jobs to Central Illinois with supplier park. Available at: https://rivian.com/newsroom/article/rivian-to-bring-more-jobs-to-central-illinois-with-supplier-park (Accessed: 1 August 2026).</w:t>
      </w:r>
    </w:p>
    <w:p w14:paraId="062E2261" w14:textId="77777777" w:rsidR="00765CE3" w:rsidRPr="0008521F" w:rsidRDefault="004A7A8F">
      <w:pPr>
        <w:rPr>
          <w:color w:val="000000" w:themeColor="text1"/>
        </w:rPr>
      </w:pPr>
      <w:r w:rsidRPr="0008521F">
        <w:rPr>
          <w:color w:val="000000" w:themeColor="text1"/>
        </w:rPr>
        <w:t>Rivian (2025b) US automotive manufacturer Rivian to open AI-focused London hub, 21 July. Available at: https://rivian.com/en-GB/newsroom/article/us-automotive-manufacturer-rivian-to-open-ai-focused-london-hub (Accessed: 5 August 2026).</w:t>
      </w:r>
    </w:p>
    <w:p w14:paraId="32E98D20" w14:textId="77777777" w:rsidR="00765CE3" w:rsidRPr="0008521F" w:rsidRDefault="004A7A8F">
      <w:pPr>
        <w:rPr>
          <w:color w:val="000000" w:themeColor="text1"/>
        </w:rPr>
      </w:pPr>
      <w:r w:rsidRPr="0008521F">
        <w:rPr>
          <w:color w:val="000000" w:themeColor="text1"/>
        </w:rPr>
        <w:t>Rivian (2026a) Our company: This is Rivian. Available at: https://rivian.com/our-company (Accessed: 2 August 2026).</w:t>
      </w:r>
    </w:p>
    <w:p w14:paraId="44D7CCB5" w14:textId="77777777" w:rsidR="00765CE3" w:rsidRPr="0008521F" w:rsidRDefault="004A7A8F">
      <w:pPr>
        <w:rPr>
          <w:color w:val="000000" w:themeColor="text1"/>
        </w:rPr>
      </w:pPr>
      <w:r w:rsidRPr="0008521F">
        <w:rPr>
          <w:color w:val="000000" w:themeColor="text1"/>
        </w:rPr>
        <w:t>Rivian (2026b) Rivian releases fourth quarter and full year 2025 financial results, 12 February. Available at: https://rivian.com/newsroom/article/rivian-releases-fourth-quarter-full-year-2025-financial-results (Accessed: 3 August 2026).</w:t>
      </w:r>
    </w:p>
    <w:p w14:paraId="25D50B8E" w14:textId="77777777" w:rsidR="00765CE3" w:rsidRPr="0008521F" w:rsidRDefault="004A7A8F">
      <w:pPr>
        <w:rPr>
          <w:color w:val="000000" w:themeColor="text1"/>
        </w:rPr>
      </w:pPr>
      <w:r w:rsidRPr="0008521F">
        <w:rPr>
          <w:color w:val="000000" w:themeColor="text1"/>
        </w:rPr>
        <w:t>Rivian (2026c) Rivian releases first quarter 2026 financial results, 30 April. Available at: https://rivian.com/newsroom/article/rivian-releases-first-quarter-2026-financial-results (Accessed: 8 August 2026).</w:t>
      </w:r>
    </w:p>
    <w:p w14:paraId="79290B38" w14:textId="77777777" w:rsidR="00765CE3" w:rsidRPr="0008521F" w:rsidRDefault="004A7A8F">
      <w:pPr>
        <w:rPr>
          <w:color w:val="000000" w:themeColor="text1"/>
        </w:rPr>
      </w:pPr>
      <w:r w:rsidRPr="0008521F">
        <w:rPr>
          <w:color w:val="000000" w:themeColor="text1"/>
        </w:rPr>
        <w:t>Rivian (2026d) Rivian releases first quarter 2026 production and delivery figures. Available at: https://rivian.com/newsroom (Accessed: 6 August 2026).</w:t>
      </w:r>
    </w:p>
    <w:p w14:paraId="36A04BDF" w14:textId="77777777" w:rsidR="00765CE3" w:rsidRPr="0008521F" w:rsidRDefault="004A7A8F">
      <w:pPr>
        <w:rPr>
          <w:color w:val="000000" w:themeColor="text1"/>
        </w:rPr>
      </w:pPr>
      <w:r w:rsidRPr="0008521F">
        <w:rPr>
          <w:color w:val="000000" w:themeColor="text1"/>
        </w:rPr>
        <w:t>Rivian (2026e) R2: electric adventure vehicle. Available at: https://rivian.com/r2 (Accessed: 4 August 2026).</w:t>
      </w:r>
    </w:p>
    <w:p w14:paraId="3E8B6C79" w14:textId="77777777" w:rsidR="00765CE3" w:rsidRPr="0008521F" w:rsidRDefault="004A7A8F">
      <w:pPr>
        <w:rPr>
          <w:color w:val="000000" w:themeColor="text1"/>
        </w:rPr>
      </w:pPr>
      <w:r w:rsidRPr="0008521F">
        <w:rPr>
          <w:color w:val="000000" w:themeColor="text1"/>
        </w:rPr>
        <w:t>Rivian and Volkswagen Group (2024) Rivian and Volkswagen Group launch joint venture to create industry-leading vehicle software technology, 12 November. Available at: https://rivian.com/newsroom/article/rivian-and-volkswagen-group-launch-joint-venture (Accessed: 4 August 2026).</w:t>
      </w:r>
    </w:p>
    <w:p w14:paraId="05CD3C38" w14:textId="77777777" w:rsidR="00765CE3" w:rsidRPr="0008521F" w:rsidRDefault="004A7A8F">
      <w:pPr>
        <w:rPr>
          <w:color w:val="000000" w:themeColor="text1"/>
        </w:rPr>
      </w:pPr>
      <w:r w:rsidRPr="0008521F">
        <w:rPr>
          <w:color w:val="000000" w:themeColor="text1"/>
        </w:rPr>
        <w:t xml:space="preserve">Saraf, N. and Shastri, Y. (2024) ‘Optimal investment strategies for decarbonizing the Indian private road transport sector’, Frontiers in Sustainability, 5, 1472115. </w:t>
      </w:r>
      <w:hyperlink r:id="rId23">
        <w:r w:rsidR="00765CE3" w:rsidRPr="0008521F">
          <w:rPr>
            <w:color w:val="000000" w:themeColor="text1"/>
            <w:u w:val="single"/>
          </w:rPr>
          <w:t>https://doi.org/10.3389/frsus.2024.1472115</w:t>
        </w:r>
      </w:hyperlink>
      <w:r w:rsidRPr="0008521F">
        <w:rPr>
          <w:color w:val="000000" w:themeColor="text1"/>
        </w:rPr>
        <w:t>.</w:t>
      </w:r>
    </w:p>
    <w:p w14:paraId="2D8BF727" w14:textId="77777777" w:rsidR="00765CE3" w:rsidRPr="0008521F" w:rsidRDefault="004A7A8F">
      <w:pPr>
        <w:rPr>
          <w:color w:val="000000" w:themeColor="text1"/>
        </w:rPr>
      </w:pPr>
      <w:r w:rsidRPr="0008521F">
        <w:rPr>
          <w:color w:val="000000" w:themeColor="text1"/>
        </w:rPr>
        <w:t>Society of Indian Automobile Manufacturers (SIAM) (2026) Auto industry records highest-ever sales across all vehicle categories in FY 2025-26, 14 April. Available at: https://www.siam.in/pressrelease-details.aspx?mpgid=53&amp;pgidtrail=50&amp;pid=605 (Accessed: 4 August 2026).</w:t>
      </w:r>
    </w:p>
    <w:p w14:paraId="6D955F98" w14:textId="77777777" w:rsidR="00765CE3" w:rsidRPr="0008521F" w:rsidRDefault="004A7A8F">
      <w:pPr>
        <w:rPr>
          <w:color w:val="000000" w:themeColor="text1"/>
        </w:rPr>
      </w:pPr>
      <w:r w:rsidRPr="0008521F">
        <w:rPr>
          <w:color w:val="000000" w:themeColor="text1"/>
        </w:rPr>
        <w:t>Statista (2025) India’s EV adoption in reverse? Electric vehicle sales in India, by year and type. Available at: https://www.statista.com/chart/31486/electric-vehicle-sales-in-india-by-year-and-type/ (Accessed: 4 August 2026).</w:t>
      </w:r>
    </w:p>
    <w:p w14:paraId="16812E8D" w14:textId="77777777" w:rsidR="00765CE3" w:rsidRPr="0008521F" w:rsidRDefault="004A7A8F">
      <w:pPr>
        <w:rPr>
          <w:color w:val="000000" w:themeColor="text1"/>
        </w:rPr>
      </w:pPr>
      <w:r w:rsidRPr="0008521F">
        <w:rPr>
          <w:color w:val="000000" w:themeColor="text1"/>
        </w:rPr>
        <w:t>World Bank (2026a) India Development Update - April 2026. Available at: https://thedocs.worldbank.org/en/doc/4262e1e15b463ecb360cec4ad78cf062-0310012026/ (Accessed: 4 August 2026).</w:t>
      </w:r>
    </w:p>
    <w:p w14:paraId="74E39316" w14:textId="77777777" w:rsidR="00765CE3" w:rsidRPr="0008521F" w:rsidRDefault="004A7A8F">
      <w:pPr>
        <w:rPr>
          <w:color w:val="000000" w:themeColor="text1"/>
        </w:rPr>
      </w:pPr>
      <w:r w:rsidRPr="0008521F">
        <w:rPr>
          <w:color w:val="000000" w:themeColor="text1"/>
        </w:rPr>
        <w:t>World Bank (2026b) India remains among the fastest-growing economies even as growth slows amid Middle East conflict, 9 April. Available at: https://www.worldbank.org/en/news/press-release/2026/04/09/india-remains-among-the-fastest-growing-economies (Accessed: 4 August 2026).</w:t>
      </w:r>
    </w:p>
    <w:p w14:paraId="598EB837" w14:textId="77777777" w:rsidR="00765CE3" w:rsidRPr="0008521F" w:rsidRDefault="004A7A8F">
      <w:pPr>
        <w:rPr>
          <w:color w:val="000000" w:themeColor="text1"/>
        </w:rPr>
      </w:pPr>
      <w:r w:rsidRPr="0008521F">
        <w:rPr>
          <w:color w:val="000000" w:themeColor="text1"/>
        </w:rPr>
        <w:t>World Bank (2026c) India: country data. Available at: https://data.worldbank.org/country/india (Accessed: 9 August 2026).</w:t>
      </w:r>
    </w:p>
    <w:p w14:paraId="533DEE52" w14:textId="77777777" w:rsidR="00765CE3" w:rsidRPr="0008521F" w:rsidRDefault="004A7A8F">
      <w:pPr>
        <w:rPr>
          <w:color w:val="000000" w:themeColor="text1"/>
        </w:rPr>
      </w:pPr>
      <w:r w:rsidRPr="0008521F">
        <w:rPr>
          <w:color w:val="000000" w:themeColor="text1"/>
        </w:rPr>
        <w:t>WRI India (2025) Powering the EV shift: building India’s charging ecosystem. Available at: https://wri-india.org/initiatives/powering-ev-shift-building-indias-charging-ecosystem (Accessed: 7 August 2026).</w:t>
      </w:r>
    </w:p>
    <w:p w14:paraId="09EC9F8D" w14:textId="77777777" w:rsidR="00765CE3" w:rsidRPr="0008521F" w:rsidRDefault="00765CE3">
      <w:pPr>
        <w:rPr>
          <w:color w:val="000000" w:themeColor="text1"/>
        </w:rPr>
      </w:pPr>
    </w:p>
    <w:sectPr w:rsidR="00765CE3" w:rsidRPr="0008521F">
      <w:footerReference w:type="default" r:id="rId24"/>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88957" w14:textId="77777777" w:rsidR="00E81342" w:rsidRDefault="00E81342">
      <w:pPr>
        <w:spacing w:after="0" w:line="240" w:lineRule="auto"/>
      </w:pPr>
      <w:r>
        <w:separator/>
      </w:r>
    </w:p>
  </w:endnote>
  <w:endnote w:type="continuationSeparator" w:id="0">
    <w:p w14:paraId="49374512" w14:textId="77777777" w:rsidR="00E81342" w:rsidRDefault="00E81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AD7D881D-13F9-D44C-8E49-830E4BD6F13D}"/>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embedRegular r:id="rId2" w:fontKey="{872D050C-9668-46F9-8709-CB9F5B74FB29}"/>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3529F74B-EC8A-4C53-9C46-98FC7D2B6F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5BD01" w14:textId="77777777" w:rsidR="00765CE3" w:rsidRDefault="004A7A8F">
    <w:pPr>
      <w:jc w:val="center"/>
    </w:pPr>
    <w:r>
      <w:fldChar w:fldCharType="begin"/>
    </w:r>
    <w:r>
      <w:instrText>PAGE</w:instrText>
    </w:r>
    <w:r>
      <w:fldChar w:fldCharType="separate"/>
    </w:r>
    <w:r w:rsidR="003424CA">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0B646" w14:textId="77777777" w:rsidR="00E81342" w:rsidRDefault="00E81342">
      <w:pPr>
        <w:spacing w:after="0" w:line="240" w:lineRule="auto"/>
      </w:pPr>
      <w:r>
        <w:separator/>
      </w:r>
    </w:p>
  </w:footnote>
  <w:footnote w:type="continuationSeparator" w:id="0">
    <w:p w14:paraId="0EA0BE52" w14:textId="77777777" w:rsidR="00E81342" w:rsidRDefault="00E813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CE3"/>
    <w:rsid w:val="00073BD9"/>
    <w:rsid w:val="0008521F"/>
    <w:rsid w:val="00141A1E"/>
    <w:rsid w:val="003424CA"/>
    <w:rsid w:val="0036502C"/>
    <w:rsid w:val="004313D8"/>
    <w:rsid w:val="00455E77"/>
    <w:rsid w:val="00480F26"/>
    <w:rsid w:val="004A7A8F"/>
    <w:rsid w:val="004E4111"/>
    <w:rsid w:val="005330D1"/>
    <w:rsid w:val="00765CE3"/>
    <w:rsid w:val="00785F1A"/>
    <w:rsid w:val="00B44F76"/>
    <w:rsid w:val="00B6146F"/>
    <w:rsid w:val="00BC5151"/>
    <w:rsid w:val="00BC7BCE"/>
    <w:rsid w:val="00C15B5B"/>
    <w:rsid w:val="00C17837"/>
    <w:rsid w:val="00C5764E"/>
    <w:rsid w:val="00C80BBA"/>
    <w:rsid w:val="00D41CAE"/>
    <w:rsid w:val="00D928E7"/>
    <w:rsid w:val="00DD7564"/>
    <w:rsid w:val="00E81342"/>
    <w:rsid w:val="00F61CC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BFF71"/>
  <w15:docId w15:val="{53C924AA-7BED-424E-B83E-4E24F85DC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i/>
      <w:i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141A1E"/>
    <w:pPr>
      <w:spacing w:after="100"/>
    </w:pPr>
  </w:style>
  <w:style w:type="paragraph" w:styleId="TOC2">
    <w:name w:val="toc 2"/>
    <w:basedOn w:val="Normal"/>
    <w:next w:val="Normal"/>
    <w:autoRedefine/>
    <w:uiPriority w:val="39"/>
    <w:unhideWhenUsed/>
    <w:rsid w:val="00141A1E"/>
    <w:pPr>
      <w:spacing w:after="100"/>
      <w:ind w:left="240"/>
    </w:pPr>
  </w:style>
  <w:style w:type="character" w:styleId="Hyperlink">
    <w:name w:val="Hyperlink"/>
    <w:basedOn w:val="DefaultParagraphFont"/>
    <w:uiPriority w:val="99"/>
    <w:unhideWhenUsed/>
    <w:rsid w:val="00141A1E"/>
    <w:rPr>
      <w:color w:val="0000FF" w:themeColor="hyperlink"/>
      <w:u w:val="single"/>
    </w:rPr>
  </w:style>
  <w:style w:type="character" w:styleId="UnresolvedMention">
    <w:name w:val="Unresolved Mention"/>
    <w:basedOn w:val="DefaultParagraphFont"/>
    <w:uiPriority w:val="99"/>
    <w:semiHidden/>
    <w:unhideWhenUsed/>
    <w:rsid w:val="000852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doi.org/10.1016/j.eneco.2021.105340" TargetMode="External" /><Relationship Id="rId18" Type="http://schemas.openxmlformats.org/officeDocument/2006/relationships/hyperlink" Target="https://doi.org/10.1002/smj.4250110204" TargetMode="External" /><Relationship Id="rId26" Type="http://schemas.openxmlformats.org/officeDocument/2006/relationships/theme" Target="theme/theme1.xml" /><Relationship Id="rId3" Type="http://schemas.openxmlformats.org/officeDocument/2006/relationships/webSettings" Target="webSettings.xml" /><Relationship Id="rId21" Type="http://schemas.openxmlformats.org/officeDocument/2006/relationships/hyperlink" Target="https://doi.org/10.1016/j.cstp.2022.02.007" TargetMode="External" /><Relationship Id="rId7" Type="http://schemas.openxmlformats.org/officeDocument/2006/relationships/image" Target="media/image2.png" /><Relationship Id="rId12" Type="http://schemas.openxmlformats.org/officeDocument/2006/relationships/hyperlink" Target="https://doi.org/10.1007/s40032-022-00852-6" TargetMode="External" /><Relationship Id="rId17" Type="http://schemas.openxmlformats.org/officeDocument/2006/relationships/hyperlink" Target="https://doi.org/10.1057/palgrave.jibs.8490891" TargetMode="External" /><Relationship Id="rId25"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doi.org/10.1016/S0969-5931(99)00035-9" TargetMode="External" /><Relationship Id="rId20" Type="http://schemas.openxmlformats.org/officeDocument/2006/relationships/hyperlink" Target="https://doi.org/10.1007/978-1-4419-5750-4_2" TargetMode="External" /><Relationship Id="rId1" Type="http://schemas.openxmlformats.org/officeDocument/2006/relationships/styles" Target="styles.xml" /><Relationship Id="rId6" Type="http://schemas.openxmlformats.org/officeDocument/2006/relationships/image" Target="media/image1.jpg" /><Relationship Id="rId11" Type="http://schemas.openxmlformats.org/officeDocument/2006/relationships/image" Target="media/image6.png" /><Relationship Id="rId24" Type="http://schemas.openxmlformats.org/officeDocument/2006/relationships/footer" Target="footer1.xml" /><Relationship Id="rId5" Type="http://schemas.openxmlformats.org/officeDocument/2006/relationships/endnotes" Target="endnotes.xml" /><Relationship Id="rId15" Type="http://schemas.openxmlformats.org/officeDocument/2006/relationships/hyperlink" Target="https://doi.org/10.1057/palgrave.jibs.8490372" TargetMode="External" /><Relationship Id="rId23" Type="http://schemas.openxmlformats.org/officeDocument/2006/relationships/hyperlink" Target="https://doi.org/10.3389/frsus.2024.1472115" TargetMode="External" /><Relationship Id="rId10" Type="http://schemas.openxmlformats.org/officeDocument/2006/relationships/image" Target="media/image5.png" /><Relationship Id="rId19" Type="http://schemas.openxmlformats.org/officeDocument/2006/relationships/hyperlink" Target="https://doi.org/10.1057/palgrave.jibs.8490676"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doi.org/10.1057/palgrave.jibs.8491013" TargetMode="External" /><Relationship Id="rId22" Type="http://schemas.openxmlformats.org/officeDocument/2006/relationships/hyperlink" Target="https://doi.org/10.1016/j.geits.2024.100153"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6858</Words>
  <Characters>39091</Characters>
  <Application>Microsoft Office Word</Application>
  <DocSecurity>0</DocSecurity>
  <Lines>325</Lines>
  <Paragraphs>91</Paragraphs>
  <ScaleCrop>false</ScaleCrop>
  <Company/>
  <LinksUpToDate>false</LinksUpToDate>
  <CharactersWithSpaces>45858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Pooja Keshu Odedra (2526717)</cp:lastModifiedBy>
  <cp:revision>3</cp:revision>
  <dcterms:created xsi:type="dcterms:W3CDTF">2026-08-14T10:04:00Z</dcterms:created>
  <dcterms:modified xsi:type="dcterms:W3CDTF">2026-08-14T10:04:00Z</dcterms:modified>
</cp:coreProperties>
</file>