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1013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171"/>
        <w:gridCol w:w="1430"/>
        <w:gridCol w:w="641"/>
        <w:gridCol w:w="1897"/>
      </w:tblGrid>
      <w:tr w:rsidR="00C2111B" w:rsidRPr="00330917" w14:paraId="256903D1" w14:textId="77777777" w:rsidTr="00007565">
        <w:trPr>
          <w:trHeight w:val="418"/>
          <w:jc w:val="center"/>
        </w:trPr>
        <w:tc>
          <w:tcPr>
            <w:tcW w:w="6171" w:type="dxa"/>
            <w:vMerge w:val="restart"/>
            <w:tcBorders>
              <w:top w:val="single" w:sz="4" w:space="0" w:color="auto"/>
              <w:left w:val="single" w:sz="4" w:space="0" w:color="auto"/>
              <w:right w:val="single" w:sz="4" w:space="0" w:color="auto"/>
            </w:tcBorders>
            <w:shd w:val="clear" w:color="auto" w:fill="auto"/>
          </w:tcPr>
          <w:p w14:paraId="39303ED8" w14:textId="77777777" w:rsidR="00C2111B" w:rsidRPr="00330917" w:rsidRDefault="00C2111B" w:rsidP="00EC0AAA">
            <w:pPr>
              <w:keepNext/>
              <w:spacing w:after="0" w:line="240" w:lineRule="auto"/>
              <w:jc w:val="center"/>
              <w:rPr>
                <w:rFonts w:ascii="Arial" w:eastAsia="Times New Roman" w:hAnsi="Arial" w:cs="Times New Roman"/>
                <w:b/>
                <w:sz w:val="32"/>
                <w:szCs w:val="32"/>
                <w:lang w:val="en-AU"/>
              </w:rPr>
            </w:pPr>
          </w:p>
          <w:p w14:paraId="0AE7AB94" w14:textId="77777777" w:rsidR="00C2111B" w:rsidRPr="00330917" w:rsidRDefault="00C2111B" w:rsidP="00EC0AAA">
            <w:pPr>
              <w:keepNext/>
              <w:spacing w:after="0" w:line="240" w:lineRule="auto"/>
              <w:jc w:val="both"/>
              <w:rPr>
                <w:rFonts w:ascii="Arial" w:eastAsia="Times New Roman" w:hAnsi="Arial" w:cs="Times New Roman"/>
                <w:b/>
                <w:sz w:val="28"/>
                <w:szCs w:val="28"/>
                <w:lang w:val="en-AU"/>
              </w:rPr>
            </w:pPr>
            <w:r w:rsidRPr="00C13098">
              <w:rPr>
                <w:noProof/>
                <w:lang w:eastAsia="en-GB"/>
              </w:rPr>
              <w:drawing>
                <wp:inline distT="0" distB="0" distL="0" distR="0" wp14:anchorId="320E1406" wp14:editId="6122F050">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sz w:val="32"/>
                <w:szCs w:val="32"/>
                <w:lang w:val="en-AU"/>
              </w:rPr>
              <w:br/>
            </w:r>
          </w:p>
          <w:p w14:paraId="74AE0EB3" w14:textId="17597C95" w:rsidR="00C2111B" w:rsidRPr="00330917" w:rsidRDefault="00007565" w:rsidP="00007565">
            <w:pPr>
              <w:rPr>
                <w:rFonts w:ascii="Arial" w:eastAsia="Times New Roman" w:hAnsi="Arial" w:cs="Times New Roman"/>
                <w:b/>
                <w:sz w:val="32"/>
                <w:szCs w:val="32"/>
                <w:lang w:val="en-AU"/>
              </w:rPr>
            </w:pPr>
            <w:r w:rsidRPr="00007565">
              <w:rPr>
                <w:rFonts w:ascii="Arial" w:eastAsia="Times New Roman" w:hAnsi="Arial" w:cs="Times New Roman"/>
                <w:b/>
                <w:sz w:val="32"/>
                <w:szCs w:val="32"/>
                <w:lang w:val="en-AU"/>
              </w:rPr>
              <w:t>Critically evaluate a range of entrepreneurial traits, motivations and characteristics using appropriate academic models and theories, further supported by examples of proven and successful</w:t>
            </w:r>
            <w:r>
              <w:rPr>
                <w:rFonts w:ascii="Arial" w:eastAsia="Times New Roman" w:hAnsi="Arial" w:cs="Times New Roman"/>
                <w:b/>
                <w:sz w:val="32"/>
                <w:szCs w:val="32"/>
                <w:lang w:val="en-AU"/>
              </w:rPr>
              <w:t xml:space="preserve"> </w:t>
            </w:r>
            <w:r w:rsidRPr="00007565">
              <w:rPr>
                <w:rFonts w:ascii="Arial" w:eastAsia="Times New Roman" w:hAnsi="Arial" w:cs="Times New Roman"/>
                <w:b/>
                <w:sz w:val="32"/>
                <w:szCs w:val="32"/>
                <w:lang w:val="en-AU"/>
              </w:rPr>
              <w:t>entrepreneurs</w:t>
            </w:r>
          </w:p>
        </w:tc>
        <w:tc>
          <w:tcPr>
            <w:tcW w:w="1430" w:type="dxa"/>
            <w:tcBorders>
              <w:top w:val="single" w:sz="4" w:space="0" w:color="auto"/>
              <w:left w:val="single" w:sz="4" w:space="0" w:color="auto"/>
              <w:bottom w:val="nil"/>
              <w:right w:val="nil"/>
            </w:tcBorders>
            <w:shd w:val="clear" w:color="auto" w:fill="auto"/>
            <w:vAlign w:val="center"/>
          </w:tcPr>
          <w:p w14:paraId="5476E33C" w14:textId="77777777" w:rsidR="00C2111B" w:rsidRPr="00330917" w:rsidRDefault="00C2111B" w:rsidP="00EC0AAA">
            <w:pPr>
              <w:keepNext/>
              <w:spacing w:before="120" w:after="0" w:line="240" w:lineRule="auto"/>
              <w:rPr>
                <w:rFonts w:ascii="Arial" w:eastAsia="Times New Roman" w:hAnsi="Arial" w:cs="Times New Roman"/>
                <w:b/>
                <w:bCs/>
                <w:sz w:val="20"/>
                <w:szCs w:val="20"/>
                <w:lang w:val="en-AU"/>
              </w:rPr>
            </w:pPr>
            <w:r>
              <w:rPr>
                <w:rFonts w:ascii="Arial" w:eastAsia="Times New Roman" w:hAnsi="Arial" w:cs="Times New Roman"/>
                <w:b/>
                <w:bCs/>
                <w:sz w:val="20"/>
                <w:szCs w:val="20"/>
              </w:rPr>
              <w:t>S</w:t>
            </w:r>
            <w:r w:rsidRPr="00330917">
              <w:rPr>
                <w:rFonts w:ascii="Arial" w:eastAsia="Times New Roman" w:hAnsi="Arial" w:cs="Times New Roman"/>
                <w:b/>
                <w:bCs/>
                <w:sz w:val="20"/>
                <w:szCs w:val="20"/>
              </w:rPr>
              <w:t>tudent No:</w:t>
            </w:r>
          </w:p>
        </w:tc>
        <w:tc>
          <w:tcPr>
            <w:tcW w:w="2538" w:type="dxa"/>
            <w:gridSpan w:val="2"/>
            <w:tcBorders>
              <w:top w:val="single" w:sz="4" w:space="0" w:color="auto"/>
              <w:left w:val="nil"/>
              <w:bottom w:val="dashed" w:sz="4" w:space="0" w:color="auto"/>
              <w:right w:val="single" w:sz="4" w:space="0" w:color="auto"/>
            </w:tcBorders>
            <w:shd w:val="clear" w:color="auto" w:fill="auto"/>
            <w:vAlign w:val="center"/>
          </w:tcPr>
          <w:p w14:paraId="6FF85886" w14:textId="77777777" w:rsidR="00C2111B" w:rsidRPr="00330917" w:rsidRDefault="00C2111B" w:rsidP="00EC0AAA">
            <w:pPr>
              <w:keepNext/>
              <w:spacing w:after="0" w:line="240" w:lineRule="auto"/>
              <w:jc w:val="center"/>
              <w:rPr>
                <w:rFonts w:ascii="Arial" w:eastAsia="Times New Roman" w:hAnsi="Arial" w:cs="Times New Roman"/>
                <w:b/>
                <w:sz w:val="20"/>
                <w:szCs w:val="20"/>
                <w:lang w:val="en-AU"/>
              </w:rPr>
            </w:pPr>
            <w:r>
              <w:rPr>
                <w:rFonts w:ascii="Arial" w:eastAsia="Times New Roman" w:hAnsi="Arial" w:cs="Times New Roman"/>
                <w:b/>
                <w:sz w:val="20"/>
                <w:szCs w:val="20"/>
                <w:lang w:val="en-AU"/>
              </w:rPr>
              <w:t>2240761</w:t>
            </w:r>
          </w:p>
        </w:tc>
      </w:tr>
      <w:tr w:rsidR="00C2111B" w:rsidRPr="00330917" w14:paraId="1D9AE94B" w14:textId="77777777" w:rsidTr="00007565">
        <w:trPr>
          <w:trHeight w:val="468"/>
          <w:jc w:val="center"/>
        </w:trPr>
        <w:tc>
          <w:tcPr>
            <w:tcW w:w="6171" w:type="dxa"/>
            <w:vMerge/>
            <w:tcBorders>
              <w:left w:val="single" w:sz="4" w:space="0" w:color="auto"/>
              <w:right w:val="single" w:sz="4" w:space="0" w:color="auto"/>
            </w:tcBorders>
            <w:shd w:val="clear" w:color="auto" w:fill="auto"/>
          </w:tcPr>
          <w:p w14:paraId="48C43B92" w14:textId="77777777" w:rsidR="00C2111B" w:rsidRPr="00330917" w:rsidRDefault="00C2111B" w:rsidP="00EC0AAA">
            <w:pPr>
              <w:keepNext/>
              <w:spacing w:after="0" w:line="240" w:lineRule="auto"/>
              <w:jc w:val="center"/>
              <w:rPr>
                <w:rFonts w:ascii="Arial" w:eastAsia="Times New Roman" w:hAnsi="Arial" w:cs="Times New Roman"/>
                <w:b/>
                <w:sz w:val="40"/>
                <w:szCs w:val="20"/>
                <w:lang w:val="en-AU"/>
              </w:rPr>
            </w:pPr>
          </w:p>
        </w:tc>
        <w:tc>
          <w:tcPr>
            <w:tcW w:w="1430" w:type="dxa"/>
            <w:tcBorders>
              <w:top w:val="nil"/>
              <w:left w:val="single" w:sz="4" w:space="0" w:color="auto"/>
              <w:bottom w:val="nil"/>
              <w:right w:val="nil"/>
            </w:tcBorders>
            <w:shd w:val="clear" w:color="auto" w:fill="auto"/>
            <w:vAlign w:val="center"/>
          </w:tcPr>
          <w:p w14:paraId="2B2E374B" w14:textId="77777777" w:rsidR="00C2111B" w:rsidRPr="00330917" w:rsidRDefault="00C2111B" w:rsidP="00EC0AAA">
            <w:pPr>
              <w:keepNext/>
              <w:spacing w:after="0" w:line="240" w:lineRule="auto"/>
              <w:rPr>
                <w:rFonts w:ascii="Arial" w:eastAsia="Times New Roman" w:hAnsi="Arial" w:cs="Times New Roman"/>
                <w:sz w:val="20"/>
                <w:szCs w:val="20"/>
                <w:lang w:val="en-AU"/>
              </w:rPr>
            </w:pPr>
          </w:p>
          <w:p w14:paraId="270BF743" w14:textId="77777777" w:rsidR="00C2111B" w:rsidRPr="00330917" w:rsidRDefault="00C2111B" w:rsidP="00EC0AAA">
            <w:pPr>
              <w:keepNext/>
              <w:spacing w:after="0" w:line="240" w:lineRule="auto"/>
              <w:rPr>
                <w:rFonts w:ascii="Arial" w:eastAsia="Times New Roman" w:hAnsi="Arial" w:cs="Times New Roman"/>
                <w:sz w:val="20"/>
                <w:szCs w:val="20"/>
                <w:lang w:val="en-AU"/>
              </w:rPr>
            </w:pPr>
            <w:r w:rsidRPr="00330917">
              <w:rPr>
                <w:rFonts w:ascii="Arial" w:eastAsia="Times New Roman" w:hAnsi="Arial" w:cs="Times New Roman"/>
                <w:sz w:val="20"/>
                <w:szCs w:val="20"/>
                <w:lang w:val="en-AU"/>
              </w:rPr>
              <w:t>Module Title:</w:t>
            </w:r>
          </w:p>
        </w:tc>
        <w:tc>
          <w:tcPr>
            <w:tcW w:w="2538" w:type="dxa"/>
            <w:gridSpan w:val="2"/>
            <w:tcBorders>
              <w:top w:val="dashed" w:sz="4" w:space="0" w:color="auto"/>
              <w:left w:val="nil"/>
              <w:bottom w:val="dashed" w:sz="4" w:space="0" w:color="auto"/>
              <w:right w:val="single" w:sz="4" w:space="0" w:color="auto"/>
            </w:tcBorders>
            <w:shd w:val="clear" w:color="auto" w:fill="auto"/>
            <w:vAlign w:val="center"/>
          </w:tcPr>
          <w:p w14:paraId="111995F7" w14:textId="113DF7BD" w:rsidR="00C2111B" w:rsidRPr="00330917" w:rsidRDefault="00EC1B56" w:rsidP="00EC0AAA">
            <w:pPr>
              <w:keepNext/>
              <w:spacing w:after="0" w:line="240" w:lineRule="auto"/>
              <w:jc w:val="center"/>
              <w:rPr>
                <w:rFonts w:ascii="Arial" w:eastAsia="Times New Roman" w:hAnsi="Arial" w:cs="Times New Roman"/>
                <w:b/>
                <w:sz w:val="20"/>
                <w:szCs w:val="20"/>
                <w:lang w:val="en-AU"/>
              </w:rPr>
            </w:pPr>
            <w:r w:rsidRPr="00EC1B56">
              <w:rPr>
                <w:rFonts w:ascii="Arial" w:eastAsia="Times New Roman" w:hAnsi="Arial" w:cs="Times New Roman"/>
                <w:b/>
                <w:sz w:val="20"/>
                <w:szCs w:val="20"/>
                <w:lang w:val="en-AU"/>
              </w:rPr>
              <w:t>Entrepreneurship</w:t>
            </w:r>
          </w:p>
        </w:tc>
      </w:tr>
      <w:tr w:rsidR="00C2111B" w:rsidRPr="00330917" w14:paraId="191BF51A" w14:textId="77777777" w:rsidTr="00007565">
        <w:trPr>
          <w:trHeight w:val="468"/>
          <w:jc w:val="center"/>
        </w:trPr>
        <w:tc>
          <w:tcPr>
            <w:tcW w:w="6171" w:type="dxa"/>
            <w:vMerge/>
            <w:tcBorders>
              <w:left w:val="single" w:sz="4" w:space="0" w:color="auto"/>
              <w:right w:val="single" w:sz="4" w:space="0" w:color="auto"/>
            </w:tcBorders>
            <w:shd w:val="clear" w:color="auto" w:fill="auto"/>
          </w:tcPr>
          <w:p w14:paraId="5AF49D70" w14:textId="77777777" w:rsidR="00C2111B" w:rsidRPr="00330917" w:rsidRDefault="00C2111B" w:rsidP="00EC0AAA">
            <w:pPr>
              <w:keepNext/>
              <w:spacing w:after="0" w:line="240" w:lineRule="auto"/>
              <w:jc w:val="center"/>
              <w:rPr>
                <w:rFonts w:ascii="Arial" w:eastAsia="Times New Roman" w:hAnsi="Arial" w:cs="Times New Roman"/>
                <w:b/>
                <w:sz w:val="40"/>
                <w:szCs w:val="20"/>
                <w:lang w:val="en-AU"/>
              </w:rPr>
            </w:pPr>
          </w:p>
        </w:tc>
        <w:tc>
          <w:tcPr>
            <w:tcW w:w="1430" w:type="dxa"/>
            <w:tcBorders>
              <w:top w:val="nil"/>
              <w:left w:val="single" w:sz="4" w:space="0" w:color="auto"/>
              <w:bottom w:val="nil"/>
              <w:right w:val="nil"/>
            </w:tcBorders>
            <w:shd w:val="clear" w:color="auto" w:fill="auto"/>
            <w:vAlign w:val="center"/>
          </w:tcPr>
          <w:p w14:paraId="7548BE8E" w14:textId="77777777" w:rsidR="00C2111B" w:rsidRPr="00330917" w:rsidRDefault="00C2111B" w:rsidP="00EC0AAA">
            <w:pPr>
              <w:keepNext/>
              <w:spacing w:after="0" w:line="240" w:lineRule="auto"/>
              <w:rPr>
                <w:rFonts w:ascii="Arial" w:eastAsia="Times New Roman" w:hAnsi="Arial" w:cs="Times New Roman"/>
                <w:sz w:val="20"/>
                <w:szCs w:val="20"/>
                <w:lang w:val="en-AU"/>
              </w:rPr>
            </w:pPr>
            <w:r w:rsidRPr="00330917">
              <w:rPr>
                <w:rFonts w:ascii="Arial" w:eastAsia="Times New Roman" w:hAnsi="Arial" w:cs="Times New Roman"/>
                <w:sz w:val="20"/>
                <w:szCs w:val="20"/>
                <w:lang w:val="en-AU"/>
              </w:rPr>
              <w:t>Module</w:t>
            </w:r>
            <w:r>
              <w:rPr>
                <w:rFonts w:ascii="Arial" w:eastAsia="Times New Roman" w:hAnsi="Arial" w:cs="Times New Roman"/>
                <w:sz w:val="20"/>
                <w:szCs w:val="20"/>
                <w:lang w:val="en-AU"/>
              </w:rPr>
              <w:t xml:space="preserve"> Code:</w:t>
            </w:r>
          </w:p>
        </w:tc>
        <w:tc>
          <w:tcPr>
            <w:tcW w:w="2538" w:type="dxa"/>
            <w:gridSpan w:val="2"/>
            <w:tcBorders>
              <w:top w:val="dashed" w:sz="4" w:space="0" w:color="auto"/>
              <w:left w:val="nil"/>
              <w:bottom w:val="dashed" w:sz="4" w:space="0" w:color="auto"/>
              <w:right w:val="single" w:sz="4" w:space="0" w:color="auto"/>
            </w:tcBorders>
            <w:shd w:val="clear" w:color="auto" w:fill="auto"/>
            <w:vAlign w:val="center"/>
          </w:tcPr>
          <w:p w14:paraId="02C34ADF" w14:textId="7AA5A2B4" w:rsidR="00C2111B" w:rsidRPr="00330917" w:rsidRDefault="00914F27" w:rsidP="00EC0AAA">
            <w:pPr>
              <w:keepNext/>
              <w:spacing w:after="0" w:line="240" w:lineRule="auto"/>
              <w:jc w:val="center"/>
              <w:rPr>
                <w:rFonts w:ascii="Arial" w:eastAsia="Times New Roman" w:hAnsi="Arial" w:cs="Times New Roman"/>
                <w:b/>
                <w:sz w:val="20"/>
                <w:szCs w:val="20"/>
                <w:lang w:val="en-AU"/>
              </w:rPr>
            </w:pPr>
            <w:r w:rsidRPr="00914F27">
              <w:rPr>
                <w:rFonts w:ascii="Arial" w:eastAsia="Times New Roman" w:hAnsi="Arial" w:cs="Times New Roman"/>
                <w:b/>
                <w:sz w:val="20"/>
                <w:szCs w:val="20"/>
                <w:lang w:val="en-AU"/>
              </w:rPr>
              <w:t>BMIH5001</w:t>
            </w:r>
          </w:p>
        </w:tc>
      </w:tr>
      <w:tr w:rsidR="00C2111B" w:rsidRPr="00634AA5" w14:paraId="39741C18" w14:textId="77777777" w:rsidTr="00007565">
        <w:trPr>
          <w:trHeight w:val="468"/>
          <w:jc w:val="center"/>
        </w:trPr>
        <w:tc>
          <w:tcPr>
            <w:tcW w:w="6171" w:type="dxa"/>
            <w:vMerge/>
            <w:tcBorders>
              <w:left w:val="single" w:sz="4" w:space="0" w:color="auto"/>
              <w:right w:val="single" w:sz="4" w:space="0" w:color="auto"/>
            </w:tcBorders>
            <w:shd w:val="clear" w:color="auto" w:fill="auto"/>
          </w:tcPr>
          <w:p w14:paraId="6096A0BD" w14:textId="77777777" w:rsidR="00C2111B" w:rsidRPr="00330917" w:rsidRDefault="00C2111B" w:rsidP="00EC0AAA">
            <w:pPr>
              <w:keepNext/>
              <w:spacing w:after="0" w:line="240" w:lineRule="auto"/>
              <w:jc w:val="center"/>
              <w:rPr>
                <w:rFonts w:ascii="Arial" w:eastAsia="Times New Roman" w:hAnsi="Arial" w:cs="Times New Roman"/>
                <w:b/>
                <w:sz w:val="40"/>
                <w:szCs w:val="20"/>
                <w:lang w:val="en-AU"/>
              </w:rPr>
            </w:pPr>
          </w:p>
        </w:tc>
        <w:tc>
          <w:tcPr>
            <w:tcW w:w="1430" w:type="dxa"/>
            <w:tcBorders>
              <w:top w:val="nil"/>
              <w:left w:val="single" w:sz="4" w:space="0" w:color="auto"/>
              <w:bottom w:val="nil"/>
              <w:right w:val="nil"/>
            </w:tcBorders>
            <w:shd w:val="clear" w:color="auto" w:fill="auto"/>
            <w:vAlign w:val="center"/>
          </w:tcPr>
          <w:p w14:paraId="0DA16FA5" w14:textId="77777777" w:rsidR="00C2111B" w:rsidRPr="00330917" w:rsidRDefault="00C2111B" w:rsidP="00EC0AAA">
            <w:pPr>
              <w:keepNext/>
              <w:spacing w:after="0" w:line="240" w:lineRule="auto"/>
              <w:rPr>
                <w:rFonts w:ascii="Arial" w:eastAsia="Times New Roman" w:hAnsi="Arial" w:cs="Times New Roman"/>
                <w:sz w:val="20"/>
                <w:szCs w:val="20"/>
                <w:lang w:val="en-AU"/>
              </w:rPr>
            </w:pPr>
            <w:r>
              <w:rPr>
                <w:rFonts w:ascii="Arial" w:eastAsia="Times New Roman" w:hAnsi="Arial" w:cs="Times New Roman"/>
                <w:sz w:val="20"/>
                <w:szCs w:val="20"/>
                <w:lang w:val="en-AU"/>
              </w:rPr>
              <w:t>Lecturer:</w:t>
            </w:r>
          </w:p>
        </w:tc>
        <w:tc>
          <w:tcPr>
            <w:tcW w:w="2538" w:type="dxa"/>
            <w:gridSpan w:val="2"/>
            <w:tcBorders>
              <w:top w:val="dashed" w:sz="4" w:space="0" w:color="auto"/>
              <w:left w:val="nil"/>
              <w:bottom w:val="dashed" w:sz="4" w:space="0" w:color="auto"/>
              <w:right w:val="single" w:sz="4" w:space="0" w:color="auto"/>
            </w:tcBorders>
            <w:shd w:val="clear" w:color="auto" w:fill="auto"/>
            <w:vAlign w:val="center"/>
          </w:tcPr>
          <w:p w14:paraId="0544BF86" w14:textId="187ABA34" w:rsidR="00C2111B" w:rsidRPr="00634AA5" w:rsidRDefault="00C9365D" w:rsidP="00C9365D">
            <w:pPr>
              <w:keepNext/>
              <w:spacing w:after="0" w:line="240" w:lineRule="auto"/>
              <w:jc w:val="center"/>
              <w:rPr>
                <w:rFonts w:ascii="Arial" w:eastAsia="Times New Roman" w:hAnsi="Arial" w:cs="Times New Roman"/>
                <w:bCs/>
                <w:lang w:val="en-AU"/>
              </w:rPr>
            </w:pPr>
            <w:r w:rsidRPr="00C9365D">
              <w:rPr>
                <w:rFonts w:ascii="Arial" w:eastAsia="Times New Roman" w:hAnsi="Arial" w:cs="Times New Roman"/>
                <w:bCs/>
                <w:lang w:val="en-AU"/>
              </w:rPr>
              <w:t>Charlotte Joyner</w:t>
            </w:r>
          </w:p>
        </w:tc>
      </w:tr>
      <w:tr w:rsidR="00C2111B" w:rsidRPr="00634AA5" w14:paraId="4A3F8930" w14:textId="77777777" w:rsidTr="00007565">
        <w:trPr>
          <w:trHeight w:val="468"/>
          <w:jc w:val="center"/>
        </w:trPr>
        <w:tc>
          <w:tcPr>
            <w:tcW w:w="6171" w:type="dxa"/>
            <w:vMerge/>
            <w:tcBorders>
              <w:left w:val="single" w:sz="4" w:space="0" w:color="auto"/>
              <w:right w:val="single" w:sz="4" w:space="0" w:color="auto"/>
            </w:tcBorders>
            <w:shd w:val="clear" w:color="auto" w:fill="auto"/>
          </w:tcPr>
          <w:p w14:paraId="3666A933" w14:textId="77777777" w:rsidR="00C2111B" w:rsidRPr="00330917" w:rsidRDefault="00C2111B" w:rsidP="00EC0AAA">
            <w:pPr>
              <w:keepNext/>
              <w:spacing w:after="0" w:line="240" w:lineRule="auto"/>
              <w:jc w:val="center"/>
              <w:rPr>
                <w:rFonts w:ascii="Arial" w:eastAsia="Times New Roman" w:hAnsi="Arial" w:cs="Times New Roman"/>
                <w:b/>
                <w:sz w:val="40"/>
                <w:szCs w:val="20"/>
                <w:lang w:val="en-AU"/>
              </w:rPr>
            </w:pPr>
          </w:p>
        </w:tc>
        <w:tc>
          <w:tcPr>
            <w:tcW w:w="1430" w:type="dxa"/>
            <w:tcBorders>
              <w:top w:val="nil"/>
              <w:left w:val="single" w:sz="4" w:space="0" w:color="auto"/>
              <w:bottom w:val="nil"/>
              <w:right w:val="nil"/>
            </w:tcBorders>
            <w:shd w:val="clear" w:color="auto" w:fill="auto"/>
            <w:vAlign w:val="center"/>
          </w:tcPr>
          <w:p w14:paraId="1B75D342" w14:textId="77777777" w:rsidR="00C2111B" w:rsidRDefault="00C2111B" w:rsidP="00EC0AAA">
            <w:pPr>
              <w:keepNext/>
              <w:spacing w:after="0" w:line="240" w:lineRule="auto"/>
              <w:rPr>
                <w:rFonts w:ascii="Arial" w:eastAsia="Times New Roman" w:hAnsi="Arial" w:cs="Times New Roman"/>
                <w:sz w:val="20"/>
                <w:szCs w:val="20"/>
                <w:lang w:val="en-AU"/>
              </w:rPr>
            </w:pPr>
            <w:r>
              <w:rPr>
                <w:rFonts w:ascii="Arial" w:eastAsia="Times New Roman" w:hAnsi="Arial" w:cs="Times New Roman"/>
                <w:sz w:val="20"/>
                <w:szCs w:val="20"/>
                <w:lang w:val="en-AU"/>
              </w:rPr>
              <w:t>Words:</w:t>
            </w:r>
          </w:p>
        </w:tc>
        <w:tc>
          <w:tcPr>
            <w:tcW w:w="2538" w:type="dxa"/>
            <w:gridSpan w:val="2"/>
            <w:tcBorders>
              <w:top w:val="dashed" w:sz="4" w:space="0" w:color="auto"/>
              <w:left w:val="nil"/>
              <w:bottom w:val="dashed" w:sz="4" w:space="0" w:color="auto"/>
              <w:right w:val="single" w:sz="4" w:space="0" w:color="auto"/>
            </w:tcBorders>
            <w:shd w:val="clear" w:color="auto" w:fill="auto"/>
            <w:vAlign w:val="center"/>
          </w:tcPr>
          <w:p w14:paraId="12365AA1" w14:textId="5A6AE6D7" w:rsidR="00C2111B" w:rsidRPr="008B3DE6" w:rsidRDefault="00C27BFB" w:rsidP="00EC0AAA">
            <w:pPr>
              <w:keepNext/>
              <w:spacing w:after="0" w:line="240" w:lineRule="auto"/>
              <w:jc w:val="center"/>
              <w:rPr>
                <w:rFonts w:ascii="Arial" w:eastAsia="Times New Roman" w:hAnsi="Arial" w:cs="Times New Roman"/>
                <w:b/>
                <w:lang w:val="en-AU"/>
              </w:rPr>
            </w:pPr>
            <w:r>
              <w:rPr>
                <w:rFonts w:ascii="Arial" w:eastAsia="Times New Roman" w:hAnsi="Arial" w:cs="Times New Roman"/>
                <w:b/>
                <w:lang w:val="en-AU"/>
              </w:rPr>
              <w:t>2007</w:t>
            </w:r>
          </w:p>
        </w:tc>
      </w:tr>
      <w:tr w:rsidR="00C2111B" w:rsidRPr="00330917" w14:paraId="4C7B5238" w14:textId="77777777" w:rsidTr="00007565">
        <w:trPr>
          <w:trHeight w:val="20"/>
          <w:jc w:val="center"/>
        </w:trPr>
        <w:tc>
          <w:tcPr>
            <w:tcW w:w="6171" w:type="dxa"/>
            <w:vMerge/>
            <w:tcBorders>
              <w:left w:val="single" w:sz="4" w:space="0" w:color="auto"/>
              <w:bottom w:val="single" w:sz="4" w:space="0" w:color="auto"/>
              <w:right w:val="single" w:sz="4" w:space="0" w:color="auto"/>
            </w:tcBorders>
            <w:shd w:val="clear" w:color="auto" w:fill="auto"/>
          </w:tcPr>
          <w:p w14:paraId="027EC0D8" w14:textId="77777777" w:rsidR="00C2111B" w:rsidRPr="00330917" w:rsidRDefault="00C2111B" w:rsidP="00EC0AAA">
            <w:pPr>
              <w:keepNext/>
              <w:spacing w:after="0" w:line="240" w:lineRule="auto"/>
              <w:jc w:val="center"/>
              <w:rPr>
                <w:rFonts w:ascii="Arial" w:eastAsia="Times New Roman" w:hAnsi="Arial" w:cs="Times New Roman"/>
                <w:b/>
                <w:sz w:val="40"/>
                <w:szCs w:val="20"/>
                <w:lang w:val="en-AU"/>
              </w:rPr>
            </w:pPr>
          </w:p>
        </w:tc>
        <w:tc>
          <w:tcPr>
            <w:tcW w:w="2071" w:type="dxa"/>
            <w:gridSpan w:val="2"/>
            <w:tcBorders>
              <w:top w:val="nil"/>
              <w:left w:val="single" w:sz="4" w:space="0" w:color="auto"/>
              <w:bottom w:val="single" w:sz="4" w:space="0" w:color="auto"/>
              <w:right w:val="nil"/>
            </w:tcBorders>
            <w:shd w:val="clear" w:color="auto" w:fill="auto"/>
            <w:vAlign w:val="center"/>
          </w:tcPr>
          <w:p w14:paraId="53B8E01B" w14:textId="77777777" w:rsidR="00C2111B" w:rsidRPr="00330917" w:rsidRDefault="00C2111B" w:rsidP="00EC0AAA">
            <w:pPr>
              <w:keepNext/>
              <w:spacing w:after="0" w:line="240" w:lineRule="auto"/>
              <w:rPr>
                <w:rFonts w:ascii="Arial" w:eastAsia="Times New Roman" w:hAnsi="Arial" w:cs="Times New Roman"/>
                <w:bCs/>
                <w:sz w:val="20"/>
                <w:szCs w:val="20"/>
                <w:lang w:val="en-AU"/>
              </w:rPr>
            </w:pPr>
          </w:p>
        </w:tc>
        <w:tc>
          <w:tcPr>
            <w:tcW w:w="0" w:type="auto"/>
            <w:tcBorders>
              <w:top w:val="dashed" w:sz="4" w:space="0" w:color="auto"/>
              <w:left w:val="nil"/>
              <w:bottom w:val="single" w:sz="4" w:space="0" w:color="auto"/>
              <w:right w:val="single" w:sz="4" w:space="0" w:color="auto"/>
            </w:tcBorders>
            <w:shd w:val="clear" w:color="auto" w:fill="auto"/>
            <w:vAlign w:val="center"/>
          </w:tcPr>
          <w:p w14:paraId="767A4A25" w14:textId="77777777" w:rsidR="00C2111B" w:rsidRPr="00330917" w:rsidRDefault="00C2111B" w:rsidP="00EC0AAA">
            <w:pPr>
              <w:keepNext/>
              <w:spacing w:after="0" w:line="240" w:lineRule="auto"/>
              <w:rPr>
                <w:rFonts w:ascii="Arial" w:eastAsia="Times New Roman" w:hAnsi="Arial" w:cs="Times New Roman"/>
                <w:b/>
                <w:sz w:val="16"/>
                <w:szCs w:val="16"/>
                <w:lang w:val="en-AU"/>
              </w:rPr>
            </w:pPr>
          </w:p>
        </w:tc>
      </w:tr>
    </w:tbl>
    <w:p w14:paraId="1C8B0031" w14:textId="09C16EBE" w:rsidR="00661472" w:rsidRDefault="00661472">
      <w:pPr>
        <w:rPr>
          <w:lang w:val="en-US"/>
        </w:rPr>
      </w:pPr>
    </w:p>
    <w:p w14:paraId="22E29BBE" w14:textId="77777777" w:rsidR="00507772" w:rsidRDefault="00507772">
      <w:pPr>
        <w:rPr>
          <w:lang w:val="en-US"/>
        </w:rPr>
      </w:pPr>
    </w:p>
    <w:p w14:paraId="0A9AD746" w14:textId="3EEE6146" w:rsidR="00507772" w:rsidRDefault="00507772">
      <w:pPr>
        <w:rPr>
          <w:lang w:val="en-US"/>
        </w:rPr>
      </w:pPr>
    </w:p>
    <w:p w14:paraId="5BF48163" w14:textId="3750446F" w:rsidR="00536C1D" w:rsidRPr="00536C1D" w:rsidRDefault="00815E2D" w:rsidP="00536C1D">
      <w:pPr>
        <w:spacing w:line="360" w:lineRule="auto"/>
        <w:jc w:val="both"/>
        <w:rPr>
          <w:rFonts w:ascii="Arial" w:hAnsi="Arial" w:cs="Arial"/>
          <w:sz w:val="24"/>
          <w:szCs w:val="24"/>
          <w:lang w:val="en-US"/>
        </w:rPr>
      </w:pPr>
      <w:r w:rsidRPr="00660C5D">
        <w:rPr>
          <w:rFonts w:ascii="Arial" w:hAnsi="Arial" w:cs="Arial"/>
          <w:sz w:val="24"/>
          <w:szCs w:val="24"/>
          <w:lang w:val="en-US"/>
        </w:rPr>
        <w:t xml:space="preserve">In this essay, I have not used artificial intelligence tools to help me write this work or any part of it. Grammarly was used </w:t>
      </w:r>
      <w:r w:rsidR="00660C5D" w:rsidRPr="00660C5D">
        <w:rPr>
          <w:rFonts w:ascii="Arial" w:hAnsi="Arial" w:cs="Arial"/>
          <w:sz w:val="24"/>
          <w:szCs w:val="24"/>
          <w:lang w:val="en-US"/>
        </w:rPr>
        <w:t xml:space="preserve">only </w:t>
      </w:r>
      <w:r w:rsidRPr="00660C5D">
        <w:rPr>
          <w:rFonts w:ascii="Arial" w:hAnsi="Arial" w:cs="Arial"/>
          <w:sz w:val="24"/>
          <w:szCs w:val="24"/>
          <w:lang w:val="en-US"/>
        </w:rPr>
        <w:t xml:space="preserve">as </w:t>
      </w:r>
      <w:r w:rsidR="00D01FCB" w:rsidRPr="00660C5D">
        <w:rPr>
          <w:rFonts w:ascii="Arial" w:hAnsi="Arial" w:cs="Arial"/>
          <w:sz w:val="24"/>
          <w:szCs w:val="24"/>
          <w:lang w:val="en-US"/>
        </w:rPr>
        <w:t>a</w:t>
      </w:r>
      <w:r w:rsidRPr="00660C5D">
        <w:rPr>
          <w:rFonts w:ascii="Arial" w:hAnsi="Arial" w:cs="Arial"/>
          <w:sz w:val="24"/>
          <w:szCs w:val="24"/>
          <w:lang w:val="en-US"/>
        </w:rPr>
        <w:t xml:space="preserve"> grammar and spelling tool</w:t>
      </w:r>
      <w:r w:rsidR="00B96E79" w:rsidRPr="00660C5D">
        <w:rPr>
          <w:rFonts w:ascii="Arial" w:hAnsi="Arial" w:cs="Arial"/>
          <w:sz w:val="24"/>
          <w:szCs w:val="24"/>
          <w:lang w:val="en-US"/>
        </w:rPr>
        <w:t>. The</w:t>
      </w:r>
      <w:r w:rsidRPr="00660C5D">
        <w:rPr>
          <w:rFonts w:ascii="Arial" w:hAnsi="Arial" w:cs="Arial"/>
          <w:sz w:val="24"/>
          <w:szCs w:val="24"/>
          <w:lang w:val="en-US"/>
        </w:rPr>
        <w:t xml:space="preserve"> opinions and ideas expressed in this essay belong to the author. All the sources and references included in the essay are cited properly</w:t>
      </w:r>
      <w:r w:rsidR="00B96E79" w:rsidRPr="00660C5D">
        <w:rPr>
          <w:rFonts w:ascii="Arial" w:hAnsi="Arial" w:cs="Arial"/>
          <w:sz w:val="24"/>
          <w:szCs w:val="24"/>
          <w:lang w:val="en-US"/>
        </w:rPr>
        <w:t>,</w:t>
      </w:r>
      <w:r w:rsidRPr="00660C5D">
        <w:rPr>
          <w:rFonts w:ascii="Arial" w:hAnsi="Arial" w:cs="Arial"/>
          <w:sz w:val="24"/>
          <w:szCs w:val="24"/>
          <w:lang w:val="en-US"/>
        </w:rPr>
        <w:t xml:space="preserve"> and the authors of the research and other works used in my work have been credited. Academic integrity is fully </w:t>
      </w:r>
      <w:r w:rsidR="00D01FCB" w:rsidRPr="00660C5D">
        <w:rPr>
          <w:rFonts w:ascii="Arial" w:hAnsi="Arial" w:cs="Arial"/>
          <w:sz w:val="24"/>
          <w:szCs w:val="24"/>
          <w:lang w:val="en-US"/>
        </w:rPr>
        <w:t>appreciated,</w:t>
      </w:r>
      <w:r w:rsidRPr="00660C5D">
        <w:rPr>
          <w:rFonts w:ascii="Arial" w:hAnsi="Arial" w:cs="Arial"/>
          <w:sz w:val="24"/>
          <w:szCs w:val="24"/>
          <w:lang w:val="en-US"/>
        </w:rPr>
        <w:t xml:space="preserve"> and this paper was written without compromis</w:t>
      </w:r>
      <w:r w:rsidR="00B96E79" w:rsidRPr="00660C5D">
        <w:rPr>
          <w:rFonts w:ascii="Arial" w:hAnsi="Arial" w:cs="Arial"/>
          <w:sz w:val="24"/>
          <w:szCs w:val="24"/>
          <w:lang w:val="en-US"/>
        </w:rPr>
        <w:t>ing</w:t>
      </w:r>
      <w:r w:rsidRPr="00660C5D">
        <w:rPr>
          <w:rFonts w:ascii="Arial" w:hAnsi="Arial" w:cs="Arial"/>
          <w:sz w:val="24"/>
          <w:szCs w:val="24"/>
          <w:lang w:val="en-US"/>
        </w:rPr>
        <w:t xml:space="preserve"> the set standards of the university.</w:t>
      </w:r>
      <w:r w:rsidR="00344896" w:rsidRPr="00660C5D">
        <w:rPr>
          <w:rFonts w:ascii="Arial" w:hAnsi="Arial" w:cs="Arial"/>
          <w:lang w:val="en-US"/>
        </w:rPr>
        <w:br w:type="page"/>
      </w:r>
      <w:r w:rsidR="00536C1D" w:rsidRPr="00536C1D">
        <w:rPr>
          <w:rFonts w:ascii="Arial" w:hAnsi="Arial" w:cs="Arial"/>
          <w:sz w:val="24"/>
          <w:szCs w:val="24"/>
          <w:lang w:val="en-US"/>
        </w:rPr>
        <w:lastRenderedPageBreak/>
        <w:t>Business and entrepreneurship is therefore defined as the process of creating and managing a venture. According to Diandra and Azmy (2020), it will help to de</w:t>
      </w:r>
      <w:r w:rsidR="00282C16">
        <w:rPr>
          <w:rFonts w:ascii="Arial" w:hAnsi="Arial" w:cs="Arial"/>
          <w:sz w:val="24"/>
          <w:szCs w:val="24"/>
          <w:lang w:val="en-US"/>
        </w:rPr>
        <w:t>term</w:t>
      </w:r>
      <w:r w:rsidR="00536C1D" w:rsidRPr="00536C1D">
        <w:rPr>
          <w:rFonts w:ascii="Arial" w:hAnsi="Arial" w:cs="Arial"/>
          <w:sz w:val="24"/>
          <w:szCs w:val="24"/>
          <w:lang w:val="en-US"/>
        </w:rPr>
        <w:t>ine prospective areas of commercial activity, source materials, develop an effective business model, and bring it to life to succeed. The principal activity that is influential in the hospitality industry and that creates the foundation of growth and innovation is known as entrepreneurship. The sector compris</w:t>
      </w:r>
      <w:r w:rsidR="00282C16">
        <w:rPr>
          <w:rFonts w:ascii="Arial" w:hAnsi="Arial" w:cs="Arial"/>
          <w:sz w:val="24"/>
          <w:szCs w:val="24"/>
          <w:lang w:val="en-US"/>
        </w:rPr>
        <w:t>ing</w:t>
      </w:r>
      <w:r w:rsidR="00536C1D" w:rsidRPr="00536C1D">
        <w:rPr>
          <w:rFonts w:ascii="Arial" w:hAnsi="Arial" w:cs="Arial"/>
          <w:sz w:val="24"/>
          <w:szCs w:val="24"/>
          <w:lang w:val="en-US"/>
        </w:rPr>
        <w:t xml:space="preserve"> hotels, restaurants, and tourism needs innovation, a daring spirit, and a focus on customer needs. It is understood that for hospitality industry business owners, there is some essential personality, motivation, and characteristic profile. This essay shall discuss the justification of categorical imperative with particular reference to the following imperative entrepreneurial traits and motivations essential to the success of hospitality entrepreneurs. In discussing the characteristics that make hospitality entrepreneurs different from others according to academic models and theories with appropriate case examples, this analysis sought to cast some light on the above question. By doing so, this paper aims to identify specific aspects that contribute to the continuously growing and evolving nature of the segment.</w:t>
      </w:r>
    </w:p>
    <w:p w14:paraId="06AF5DE6" w14:textId="77777777" w:rsidR="00536C1D" w:rsidRPr="00536C1D" w:rsidRDefault="00536C1D" w:rsidP="00536C1D">
      <w:pPr>
        <w:spacing w:line="360" w:lineRule="auto"/>
        <w:jc w:val="both"/>
        <w:rPr>
          <w:rFonts w:ascii="Arial" w:hAnsi="Arial" w:cs="Arial"/>
          <w:sz w:val="24"/>
          <w:szCs w:val="24"/>
          <w:lang w:val="en-US"/>
        </w:rPr>
      </w:pPr>
      <w:r w:rsidRPr="00536C1D">
        <w:rPr>
          <w:rFonts w:ascii="Arial" w:hAnsi="Arial" w:cs="Arial"/>
          <w:sz w:val="24"/>
          <w:szCs w:val="24"/>
          <w:lang w:val="en-US"/>
        </w:rPr>
        <w:t xml:space="preserve">Hospitality business requires the need for achievement, the ability to work under conditions of high ambiguity, passion and purpose, and good networking skills (Booth et al., 2020). All these qualities provide the capability that allows entrepreneurs to overcome problems encountered in business, notice opportunities, and effectively create above-average enterprises. </w:t>
      </w:r>
    </w:p>
    <w:p w14:paraId="10B1EE44" w14:textId="10A38D4C" w:rsidR="00536C1D" w:rsidRPr="00536C1D" w:rsidRDefault="00536C1D" w:rsidP="00536C1D">
      <w:pPr>
        <w:spacing w:line="360" w:lineRule="auto"/>
        <w:jc w:val="both"/>
        <w:rPr>
          <w:rFonts w:ascii="Arial" w:hAnsi="Arial" w:cs="Arial"/>
          <w:sz w:val="24"/>
          <w:szCs w:val="24"/>
          <w:lang w:val="en-US"/>
        </w:rPr>
      </w:pPr>
      <w:r w:rsidRPr="00536C1D">
        <w:rPr>
          <w:rFonts w:ascii="Arial" w:hAnsi="Arial" w:cs="Arial"/>
          <w:sz w:val="24"/>
          <w:szCs w:val="24"/>
          <w:lang w:val="en-US"/>
        </w:rPr>
        <w:t>The need for achievement is one of the major psychographic needs, which are typical of many successful businessmen (Barringer &amp; Ireland, 2018). This is an innate hunger for success, and an ability to achieve difficult objectives that makes people work to the best of their potential and possibly beyond (Saif and Ghania, 2020). Workers, who have high-level specific goals, always seek affordable feedback and can be very proud of their work. McClelland’s Achievement Motivation theory can be used conveniently to understand this trait. According to the theory, people have the ego, the urge to achieve as well as the aversion to failing in an endeavo</w:t>
      </w:r>
      <w:r w:rsidR="00282C16">
        <w:rPr>
          <w:rFonts w:ascii="Arial" w:hAnsi="Arial" w:cs="Arial"/>
          <w:sz w:val="24"/>
          <w:szCs w:val="24"/>
          <w:lang w:val="en-US"/>
        </w:rPr>
        <w:t>u</w:t>
      </w:r>
      <w:r w:rsidRPr="00536C1D">
        <w:rPr>
          <w:rFonts w:ascii="Arial" w:hAnsi="Arial" w:cs="Arial"/>
          <w:sz w:val="24"/>
          <w:szCs w:val="24"/>
          <w:lang w:val="en-US"/>
        </w:rPr>
        <w:t xml:space="preserve">r or attaining personal gratification (Asari and Rosiana, 2021). This motivation is driven by the sense of being called to do something that you do well and to master. 'Need for achievement' is a motivated force that drives the business </w:t>
      </w:r>
      <w:r w:rsidRPr="00536C1D">
        <w:rPr>
          <w:rFonts w:ascii="Arial" w:hAnsi="Arial" w:cs="Arial"/>
          <w:sz w:val="24"/>
          <w:szCs w:val="24"/>
          <w:lang w:val="en-US"/>
        </w:rPr>
        <w:lastRenderedPageBreak/>
        <w:t xml:space="preserve">owner to anticipate the toughness of the task, accomplishment, and creating a legacy. This trait is especially needed for entrepreneurship since </w:t>
      </w:r>
      <w:r w:rsidR="00282C16" w:rsidRPr="00536C1D">
        <w:rPr>
          <w:rFonts w:ascii="Arial" w:hAnsi="Arial" w:cs="Arial"/>
          <w:sz w:val="24"/>
          <w:szCs w:val="24"/>
          <w:lang w:val="en-US"/>
        </w:rPr>
        <w:t>people</w:t>
      </w:r>
      <w:r w:rsidRPr="00536C1D">
        <w:rPr>
          <w:rFonts w:ascii="Arial" w:hAnsi="Arial" w:cs="Arial"/>
          <w:sz w:val="24"/>
          <w:szCs w:val="24"/>
          <w:lang w:val="en-US"/>
        </w:rPr>
        <w:t xml:space="preserve"> in this field have to work under conditions of risks and uncertainties. The need for achievement gives one the motivation and willpower to work towards achieving our goals, withstand failure, and search for better ways to do something (Mrusek, Ottenbacher, and Harrington, 2021). Those people in the business world who display this trait are most likely going to have a suitable work attitude as well as take risks in business because they have the tendency and perseverance to succeed.</w:t>
      </w:r>
    </w:p>
    <w:p w14:paraId="150E528A" w14:textId="77777777" w:rsidR="00536C1D" w:rsidRPr="00536C1D" w:rsidRDefault="00536C1D" w:rsidP="00536C1D">
      <w:pPr>
        <w:spacing w:line="360" w:lineRule="auto"/>
        <w:jc w:val="both"/>
        <w:rPr>
          <w:rFonts w:ascii="Arial" w:hAnsi="Arial" w:cs="Arial"/>
          <w:sz w:val="24"/>
          <w:szCs w:val="24"/>
          <w:lang w:val="en-US"/>
        </w:rPr>
      </w:pPr>
      <w:r w:rsidRPr="00536C1D">
        <w:rPr>
          <w:rFonts w:ascii="Arial" w:hAnsi="Arial" w:cs="Arial"/>
          <w:sz w:val="24"/>
          <w:szCs w:val="24"/>
          <w:lang w:val="en-US"/>
        </w:rPr>
        <w:t>The environments of the hospitality industry are unfixed and fluid, which is constantly shifting, volatile, and exposed to unique tendencies. It is widely agreed that entrants in this sector require proper framing of skills, and risk-takers since uncertainty prevails, and can make decisions despite inadequate information. Tolerance of Ambiguity is important to be able to work through bumps and deal with associated risks and rewards within the industry (Cuppello, Treglown, and Furnham, 2023). Intolerance is the exact opposite of tolerance; intolerance of ambiguity means that a person gets uncomfortable with anything new and complex. They are not hesitant in decision-making; instead, they take risks and seize uncertainties as a capacity for creativity. This trait is correlated with the theory of cognitive flexibility, the ability to respect others' points of view, and the ability to reassess and modify approaches (Arán Filippetti and Krumm, 2020). In the hospitality industry, strategic decisions are often made when there is still information that is scarce or even missing altogether. They may need to defend against competition, market booms, slumps, disasters or strikes and subsequently changing customer tastes (O’Connor et al., 2021). Ambiguity tolerance enables the entrepreneur to avoid being overwhelmed by stress and to make rational decisions using the information at hand.</w:t>
      </w:r>
    </w:p>
    <w:p w14:paraId="61813593" w14:textId="61A17594" w:rsidR="00536C1D" w:rsidRPr="00536C1D" w:rsidRDefault="00536C1D" w:rsidP="00536C1D">
      <w:pPr>
        <w:spacing w:line="360" w:lineRule="auto"/>
        <w:jc w:val="both"/>
        <w:rPr>
          <w:rFonts w:ascii="Arial" w:hAnsi="Arial" w:cs="Arial"/>
          <w:sz w:val="24"/>
          <w:szCs w:val="24"/>
          <w:lang w:val="en-US"/>
        </w:rPr>
      </w:pPr>
      <w:r w:rsidRPr="00536C1D">
        <w:rPr>
          <w:rFonts w:ascii="Arial" w:hAnsi="Arial" w:cs="Arial"/>
          <w:sz w:val="24"/>
          <w:szCs w:val="24"/>
          <w:lang w:val="en-US"/>
        </w:rPr>
        <w:t xml:space="preserve">There are certainly numerous motivations behind starting a business and rewards may include financial </w:t>
      </w:r>
      <w:r w:rsidR="00282C16" w:rsidRPr="00536C1D">
        <w:rPr>
          <w:rFonts w:ascii="Arial" w:hAnsi="Arial" w:cs="Arial"/>
          <w:sz w:val="24"/>
          <w:szCs w:val="24"/>
          <w:lang w:val="en-US"/>
        </w:rPr>
        <w:t>gains,</w:t>
      </w:r>
      <w:r w:rsidRPr="00536C1D">
        <w:rPr>
          <w:rFonts w:ascii="Arial" w:hAnsi="Arial" w:cs="Arial"/>
          <w:sz w:val="24"/>
          <w:szCs w:val="24"/>
          <w:lang w:val="en-US"/>
        </w:rPr>
        <w:t xml:space="preserve"> but it is evident that many individuals have a genuine passion for their business. These passion and purpose are tools that supply all the drive and stamina that is required to push through the difficulty, through the losses, to create sustainable and enduring businesses (Swanson et al., 2020). Another factor that enforces entrepreneurial activities is the presence of a positive attitude toward the goal, a feeling </w:t>
      </w:r>
      <w:r w:rsidRPr="00536C1D">
        <w:rPr>
          <w:rFonts w:ascii="Arial" w:hAnsi="Arial" w:cs="Arial"/>
          <w:sz w:val="24"/>
          <w:szCs w:val="24"/>
          <w:lang w:val="en-US"/>
        </w:rPr>
        <w:lastRenderedPageBreak/>
        <w:t>that their work is useful and needed. Self Determination Theory provides relevant information in understanding passion and purpose towards explaining entrepreneurship behavio</w:t>
      </w:r>
      <w:r w:rsidR="00282C16">
        <w:rPr>
          <w:rFonts w:ascii="Arial" w:hAnsi="Arial" w:cs="Arial"/>
          <w:sz w:val="24"/>
          <w:szCs w:val="24"/>
          <w:lang w:val="en-US"/>
        </w:rPr>
        <w:t>u</w:t>
      </w:r>
      <w:r w:rsidRPr="00536C1D">
        <w:rPr>
          <w:rFonts w:ascii="Arial" w:hAnsi="Arial" w:cs="Arial"/>
          <w:sz w:val="24"/>
          <w:szCs w:val="24"/>
          <w:lang w:val="en-US"/>
        </w:rPr>
        <w:t>r (Williams, 2021). This theory postulates that people are optimally autonomous, competent, and related in this case. The psychological needs can be well met by a strong sense of passion or purpose to undertake entrepreneurial activity (Newman et al., 2019). An effective and well-developed passion and calling can satisfy these psychological desires, as well as stimulate entrepreneurial activities. As much as this would be true, where there is a strong orientation toward start-ups and there is confidence in the relevance of the ventures, there would be more evidence of self-illness (Montañés-Del-Río and Medina-Garrido, 2020). This passion and purpose can also be set as a base that serves the purpose of resilience and determination. Competition and other challenges that may come the way of the business may adversely affect otherwise motivated business starters and hence we find that entrepreneurs who are motivated by passion end up being dedicated to the business endeavours (Diandra and Azmy, 2020). They are not easily discouraged by issues or challenges and are more likely to look for ways around an issue.</w:t>
      </w:r>
    </w:p>
    <w:p w14:paraId="34F12025" w14:textId="6E11B481" w:rsidR="00536C1D" w:rsidRPr="00536C1D" w:rsidRDefault="00536C1D" w:rsidP="00536C1D">
      <w:pPr>
        <w:spacing w:line="360" w:lineRule="auto"/>
        <w:jc w:val="both"/>
        <w:rPr>
          <w:rFonts w:ascii="Arial" w:hAnsi="Arial" w:cs="Arial"/>
          <w:sz w:val="24"/>
          <w:szCs w:val="24"/>
          <w:lang w:val="en-US"/>
        </w:rPr>
      </w:pPr>
      <w:r w:rsidRPr="00536C1D">
        <w:rPr>
          <w:rFonts w:ascii="Arial" w:hAnsi="Arial" w:cs="Arial"/>
          <w:sz w:val="24"/>
          <w:szCs w:val="24"/>
          <w:lang w:val="en-US"/>
        </w:rPr>
        <w:t xml:space="preserve">Some of the best practicing owners and managers in the hospitality industry understand the key role of establishing and nurturing organisational links with customers and other individuals in the business environment. They value networking and relationship-building the most. When a business person can whom the right kind of people, then he or she is certain to be put through to some of the finest resources in the market, fine business opportunities, or fine kind of support that would go a long way to contribute towards the success of any business (Albourini et al., 2020). Social Capital Theory celebrates the role of social capital in supporting economic and social results. The information, resources, or opportunities are said to be embedded in that individuals with strong social capital are more likely to have better access to them (Martin et al., 2020). Customers, industry, and other business people with whom the entrepreneur may develop a working relationship can provide him or her with information on market conditions, potential partners, and sources of capital. Networking is one of the most crucial aspects in the hospitality industry depending on the creation of brand image, customer attraction, and partnership (Pérez-Fernández et al., 2022). Some of the ways that can come in handy for the entrepreneurs </w:t>
      </w:r>
      <w:r w:rsidRPr="00536C1D">
        <w:rPr>
          <w:rFonts w:ascii="Arial" w:hAnsi="Arial" w:cs="Arial"/>
          <w:sz w:val="24"/>
          <w:szCs w:val="24"/>
          <w:lang w:val="en-US"/>
        </w:rPr>
        <w:lastRenderedPageBreak/>
        <w:t xml:space="preserve">involve networking where organisations can partner up to create new opportunities since they bring in their unique services and can access new markets, and since the organisations also have credibility within the community, their reputation will also boost the market reach (Madan and Halkias, 2020). Further, the establishment of trust with the customers </w:t>
      </w:r>
      <w:r w:rsidR="0093049E" w:rsidRPr="00536C1D">
        <w:rPr>
          <w:rFonts w:ascii="Arial" w:hAnsi="Arial" w:cs="Arial"/>
          <w:sz w:val="24"/>
          <w:szCs w:val="24"/>
          <w:lang w:val="en-US"/>
        </w:rPr>
        <w:t>means</w:t>
      </w:r>
      <w:r w:rsidRPr="00536C1D">
        <w:rPr>
          <w:rFonts w:ascii="Arial" w:hAnsi="Arial" w:cs="Arial"/>
          <w:sz w:val="24"/>
          <w:szCs w:val="24"/>
          <w:lang w:val="en-US"/>
        </w:rPr>
        <w:t xml:space="preserve"> they would make return visits, recommend their friends and family, and post positive comments online.</w:t>
      </w:r>
    </w:p>
    <w:p w14:paraId="1FFEA09E" w14:textId="77777777" w:rsidR="00536C1D" w:rsidRPr="00536C1D" w:rsidRDefault="00536C1D" w:rsidP="00536C1D">
      <w:pPr>
        <w:spacing w:line="360" w:lineRule="auto"/>
        <w:jc w:val="both"/>
        <w:rPr>
          <w:rFonts w:ascii="Arial" w:hAnsi="Arial" w:cs="Arial"/>
          <w:sz w:val="24"/>
          <w:szCs w:val="24"/>
          <w:lang w:val="en-US"/>
        </w:rPr>
      </w:pPr>
      <w:r w:rsidRPr="00536C1D">
        <w:rPr>
          <w:rFonts w:ascii="Arial" w:hAnsi="Arial" w:cs="Arial"/>
          <w:sz w:val="24"/>
          <w:szCs w:val="24"/>
          <w:lang w:val="en-US"/>
        </w:rPr>
        <w:t>In the UK hospitality industry, the motivational factors of successful entrepreneurs are conflicting needs for achievement, ambiguity, passion, purpose, and networking (Kraus, Mahto, and Walsh, 2021). Jamie Oliver is a famous British chef and the owner of his restaurants; he is one of the people who are entirely driven by the need for achievement. Amid extended dedication to his goals, it is possible to notice that Jamie Oliver was always eager to succeed in the sphere of cooking. Oliver has opened successful restaurants such as Jamie's Italian Restaurant and Union Jacks where customers enjoy a good healthy meal at a cheaper price (Phillipov and Gale, 2018). With his successful restaurant chain establishment, frequent cookery programs and promotion of improvement of people’s eating habits his intention is seen as a valuable contribution towards the change of the food sector as well as people’s wellbeing (Giousmpasoglou, Brown and Cooper, 2019). By setting these high goals, seeking help, and learning from the experiences of a work environment, Oliver confirms the trends of the need for achievement theory.</w:t>
      </w:r>
    </w:p>
    <w:p w14:paraId="06649123" w14:textId="77777777" w:rsidR="00536C1D" w:rsidRPr="00536C1D" w:rsidRDefault="00536C1D" w:rsidP="00536C1D">
      <w:pPr>
        <w:spacing w:line="360" w:lineRule="auto"/>
        <w:jc w:val="both"/>
        <w:rPr>
          <w:rFonts w:ascii="Arial" w:hAnsi="Arial" w:cs="Arial"/>
          <w:sz w:val="24"/>
          <w:szCs w:val="24"/>
          <w:lang w:val="en-US"/>
        </w:rPr>
      </w:pPr>
      <w:r w:rsidRPr="00536C1D">
        <w:rPr>
          <w:rFonts w:ascii="Arial" w:hAnsi="Arial" w:cs="Arial"/>
          <w:sz w:val="24"/>
          <w:szCs w:val="24"/>
          <w:lang w:val="en-US"/>
        </w:rPr>
        <w:t>The best example of tolerance for ambiguity is Richard Branson, who founded several companies in turn. Many of the industries Richard Branson has ventured into include aviation and music and therefore he has been faced with numerous risks and assorted (Halder, 2020). These complexities and how he has been able to wade through them and make rational choices regarding ambiguities are the founding pillars of entrepreneurship (Reis-Dennis, Gerrity, and Geller, 2021). Risk-taking and changing circumstances are two major factors that mark the entrepreneurial career of Branson. Some of the many problems that Branson faced when entering the airline industry included stiff competition from well-established airlines and economic fluctuations (Halder, 2020).</w:t>
      </w:r>
    </w:p>
    <w:p w14:paraId="5B20A6FB" w14:textId="77777777" w:rsidR="00536C1D" w:rsidRPr="00536C1D" w:rsidRDefault="00536C1D" w:rsidP="00536C1D">
      <w:pPr>
        <w:spacing w:line="360" w:lineRule="auto"/>
        <w:jc w:val="both"/>
        <w:rPr>
          <w:rFonts w:ascii="Arial" w:hAnsi="Arial" w:cs="Arial"/>
          <w:sz w:val="24"/>
          <w:szCs w:val="24"/>
          <w:lang w:val="en-US"/>
        </w:rPr>
      </w:pPr>
      <w:r w:rsidRPr="00536C1D">
        <w:rPr>
          <w:rFonts w:ascii="Arial" w:hAnsi="Arial" w:cs="Arial"/>
          <w:sz w:val="24"/>
          <w:szCs w:val="24"/>
          <w:lang w:val="en-US"/>
        </w:rPr>
        <w:lastRenderedPageBreak/>
        <w:t>Deborah Cadbury is as a prominent personality in the hospitality industry of the UK, especially known for her passion and purpose for sustainability and fair practices in business arenas. Most of the choices that she makes in the way that she runs her restaurants including the use of organic locally sourced food, environmental conservation, and soil regeneration are indications of her commitment to add value to society (Font et al., 2021). Her restaurants and hotels use locally available farm fresh produce by avoiding expansive use of greenhouse gases as much as possible (Halder, 2020). Cadbury aims at building a better hospitality business as the motivation behind being an entrepreneur.</w:t>
      </w:r>
    </w:p>
    <w:p w14:paraId="0EB2DF07" w14:textId="77777777" w:rsidR="00536C1D" w:rsidRPr="00536C1D" w:rsidRDefault="00536C1D" w:rsidP="00536C1D">
      <w:pPr>
        <w:spacing w:line="360" w:lineRule="auto"/>
        <w:jc w:val="both"/>
        <w:rPr>
          <w:rFonts w:ascii="Arial" w:hAnsi="Arial" w:cs="Arial"/>
          <w:sz w:val="24"/>
          <w:szCs w:val="24"/>
          <w:lang w:val="en-US"/>
        </w:rPr>
      </w:pPr>
      <w:r w:rsidRPr="00536C1D">
        <w:rPr>
          <w:rFonts w:ascii="Arial" w:hAnsi="Arial" w:cs="Arial"/>
          <w:sz w:val="24"/>
          <w:szCs w:val="24"/>
          <w:lang w:val="en-US"/>
        </w:rPr>
        <w:t>The Hakkasan Group founder, Alan Yau represents the best example of a master networker and a relationship builder. In assessing the factors that have contributed to the success of the hospitality industry, most of them point to the networking and relationship-building skills of Alan Yau. It has given him a chance to interact with some of the powerful people and get what he needs, opportunities and support (Elvekrok et al., 2022). Yau has held long engaging partnerships with acclaimed chefs and hospitality experts, for example, a Michelin star Dim Sum King Partnership's capacity to network and garner investors and other partners has seen Hakkasan Group open branches in cities around the world (Williams, Rodríguez Sánchez and Škokić, 2020).</w:t>
      </w:r>
    </w:p>
    <w:p w14:paraId="7F22BBF9" w14:textId="77777777" w:rsidR="00536C1D" w:rsidRPr="00536C1D" w:rsidRDefault="00536C1D" w:rsidP="00536C1D">
      <w:pPr>
        <w:spacing w:line="360" w:lineRule="auto"/>
        <w:jc w:val="both"/>
        <w:rPr>
          <w:rFonts w:ascii="Arial" w:hAnsi="Arial" w:cs="Arial"/>
          <w:sz w:val="24"/>
          <w:szCs w:val="24"/>
          <w:lang w:val="en-US"/>
        </w:rPr>
      </w:pPr>
      <w:r w:rsidRPr="00536C1D">
        <w:rPr>
          <w:rFonts w:ascii="Arial" w:hAnsi="Arial" w:cs="Arial"/>
          <w:sz w:val="24"/>
          <w:szCs w:val="24"/>
          <w:lang w:val="en-US"/>
        </w:rPr>
        <w:t>Each of the mentioned entrepreneurs has different features and reasons as to why they pursue their business careers. However, some aspects of the nature and goals of successful entrepreneurship are demonstrated in the text. Two influential people, Jamie Oliver and Deborah Cadbury, have a similar mission and a passion for what they do. From the case, Richard Branson and Alan Yau have a high tolerance to ambiguity and can take calculated risks. Further, all four entrepreneurs have particularly well achieved in relationship marketing which has been very vital in their success. This has allowed them to develop a client base of leaders within the hospitality industry since they can be easily accessed. Through nurturing customer, supplier, and other stakeholders’ fronts, these entrepreneurs have established successful organizations and value for the investors.</w:t>
      </w:r>
    </w:p>
    <w:p w14:paraId="729234A4" w14:textId="77777777" w:rsidR="00536C1D" w:rsidRPr="00536C1D" w:rsidRDefault="00536C1D" w:rsidP="00536C1D">
      <w:pPr>
        <w:spacing w:line="360" w:lineRule="auto"/>
        <w:jc w:val="both"/>
        <w:rPr>
          <w:rFonts w:ascii="Arial" w:hAnsi="Arial" w:cs="Arial"/>
          <w:sz w:val="24"/>
          <w:szCs w:val="24"/>
          <w:lang w:val="en-US"/>
        </w:rPr>
      </w:pPr>
      <w:r w:rsidRPr="00536C1D">
        <w:rPr>
          <w:rFonts w:ascii="Arial" w:hAnsi="Arial" w:cs="Arial"/>
          <w:sz w:val="24"/>
          <w:szCs w:val="24"/>
          <w:lang w:val="en-US"/>
        </w:rPr>
        <w:t xml:space="preserve">The essay delivers an analysis of the various types of the various characteristics of UK hospitality entrepreneurs as well as the motivation factors that define successful hospitality business personalities. Comparing academic papers and reflecting on the case </w:t>
      </w:r>
      <w:r w:rsidRPr="00536C1D">
        <w:rPr>
          <w:rFonts w:ascii="Arial" w:hAnsi="Arial" w:cs="Arial"/>
          <w:sz w:val="24"/>
          <w:szCs w:val="24"/>
          <w:lang w:val="en-US"/>
        </w:rPr>
        <w:lastRenderedPageBreak/>
        <w:t>of successful entrepreneurs, we were able to identify the major determinants of success in starting a successful business venture. Self-motivation, creativity, commitment and purpose, and networking skills are key factors that are important for creating own venture. It is for this reason that, any deserving and determined person willing to embark on entrepreneurship should ensure that he or she cultivates these traits together with fully capitalizing on the prospects offered by the hospitality industry to maximize his or her potential to create value in the business world.</w:t>
      </w:r>
    </w:p>
    <w:p w14:paraId="6DFA7B13" w14:textId="77777777" w:rsidR="00536C1D" w:rsidRPr="00536C1D" w:rsidRDefault="00536C1D" w:rsidP="00536C1D">
      <w:pPr>
        <w:spacing w:line="360" w:lineRule="auto"/>
        <w:jc w:val="both"/>
        <w:rPr>
          <w:rFonts w:ascii="Arial" w:hAnsi="Arial" w:cs="Arial"/>
          <w:sz w:val="24"/>
          <w:szCs w:val="24"/>
          <w:lang w:val="en-US"/>
        </w:rPr>
      </w:pPr>
      <w:r w:rsidRPr="00536C1D">
        <w:rPr>
          <w:rFonts w:ascii="Arial" w:hAnsi="Arial" w:cs="Arial"/>
          <w:sz w:val="24"/>
          <w:szCs w:val="24"/>
          <w:lang w:val="en-US"/>
        </w:rPr>
        <w:t xml:space="preserve"> </w:t>
      </w:r>
    </w:p>
    <w:p w14:paraId="2EAF63E2" w14:textId="77777777" w:rsidR="00536C1D" w:rsidRDefault="00536C1D">
      <w:pPr>
        <w:rPr>
          <w:rFonts w:ascii="Arial" w:hAnsi="Arial" w:cs="Arial"/>
          <w:sz w:val="24"/>
          <w:szCs w:val="24"/>
          <w:lang w:val="en-US"/>
        </w:rPr>
      </w:pPr>
      <w:r>
        <w:rPr>
          <w:rFonts w:ascii="Arial" w:hAnsi="Arial" w:cs="Arial"/>
          <w:sz w:val="24"/>
          <w:szCs w:val="24"/>
          <w:lang w:val="en-US"/>
        </w:rPr>
        <w:br w:type="page"/>
      </w:r>
    </w:p>
    <w:p w14:paraId="3D507FB7" w14:textId="4AC97C39" w:rsidR="00536C1D" w:rsidRPr="00536C1D" w:rsidRDefault="00536C1D" w:rsidP="0093049E">
      <w:pPr>
        <w:pStyle w:val="Heading1"/>
        <w:rPr>
          <w:lang w:val="en-US"/>
        </w:rPr>
      </w:pPr>
      <w:r w:rsidRPr="00536C1D">
        <w:rPr>
          <w:lang w:val="en-US"/>
        </w:rPr>
        <w:lastRenderedPageBreak/>
        <w:t>References</w:t>
      </w:r>
    </w:p>
    <w:p w14:paraId="5440540A" w14:textId="77777777" w:rsidR="00536C1D" w:rsidRPr="00536C1D" w:rsidRDefault="00536C1D" w:rsidP="00536C1D">
      <w:pPr>
        <w:spacing w:line="360" w:lineRule="auto"/>
        <w:jc w:val="both"/>
        <w:rPr>
          <w:rFonts w:ascii="Arial" w:hAnsi="Arial" w:cs="Arial"/>
          <w:sz w:val="24"/>
          <w:szCs w:val="24"/>
          <w:lang w:val="en-US"/>
        </w:rPr>
      </w:pPr>
      <w:r w:rsidRPr="00536C1D">
        <w:rPr>
          <w:rFonts w:ascii="Arial" w:hAnsi="Arial" w:cs="Arial"/>
          <w:sz w:val="24"/>
          <w:szCs w:val="24"/>
          <w:lang w:val="en-US"/>
        </w:rPr>
        <w:t>Albourini, F., Ahmad, A., Abuhashesh, M. and Nusairat, N. (2020). The effect of networking behaviors on the success of entrepreneurial startups. Management Science Letters, [online] 10(11), pp.2521–2532. Available at: http://growingscience.com/beta/msl/3832-the-effect-of-networking-behaviors-on-the-success-of-entrepreneurial-startups.html.</w:t>
      </w:r>
    </w:p>
    <w:p w14:paraId="42E4E531" w14:textId="77777777" w:rsidR="00536C1D" w:rsidRPr="00536C1D" w:rsidRDefault="00536C1D" w:rsidP="00536C1D">
      <w:pPr>
        <w:spacing w:line="360" w:lineRule="auto"/>
        <w:jc w:val="both"/>
        <w:rPr>
          <w:rFonts w:ascii="Arial" w:hAnsi="Arial" w:cs="Arial"/>
          <w:sz w:val="24"/>
          <w:szCs w:val="24"/>
          <w:lang w:val="en-US"/>
        </w:rPr>
      </w:pPr>
      <w:r w:rsidRPr="00536C1D">
        <w:rPr>
          <w:rFonts w:ascii="Arial" w:hAnsi="Arial" w:cs="Arial"/>
          <w:sz w:val="24"/>
          <w:szCs w:val="24"/>
          <w:lang w:val="en-US"/>
        </w:rPr>
        <w:t>Arán Filippetti, V. and Krumm, G. (2020). A hierarchical model of cognitive flexibility in children: Extending the relationship between flexibility, creativity, and academic achievement. Child Neuropsychology, 26(6), pp.1–31. doi https://doi.org/10.1080/09297049.2019.1711034.</w:t>
      </w:r>
    </w:p>
    <w:p w14:paraId="62394F4E" w14:textId="77777777" w:rsidR="00536C1D" w:rsidRPr="00536C1D" w:rsidRDefault="00536C1D" w:rsidP="00536C1D">
      <w:pPr>
        <w:spacing w:line="360" w:lineRule="auto"/>
        <w:jc w:val="both"/>
        <w:rPr>
          <w:rFonts w:ascii="Arial" w:hAnsi="Arial" w:cs="Arial"/>
          <w:sz w:val="24"/>
          <w:szCs w:val="24"/>
          <w:lang w:val="en-US"/>
        </w:rPr>
      </w:pPr>
      <w:r w:rsidRPr="00536C1D">
        <w:rPr>
          <w:rFonts w:ascii="Arial" w:hAnsi="Arial" w:cs="Arial"/>
          <w:sz w:val="24"/>
          <w:szCs w:val="24"/>
          <w:lang w:val="en-US"/>
        </w:rPr>
        <w:t>ASARI and Rosiana, A. (2021). THE DISCOURSE OF ORGANISATION CHANGE FROM THE PERSPECTIVE OF DAVID MC CLELLAND'S ACHIEVEMENT MOTIVATION THEORY. INTERNATIONAL JOURNAL OF MULTI SCIENCE, [online] 2(06), pp.56–62. Available at: https://www.multisciencejournal.com/index.php/ijm/article/view/202.</w:t>
      </w:r>
    </w:p>
    <w:p w14:paraId="4BA4609E" w14:textId="77777777" w:rsidR="00536C1D" w:rsidRPr="00536C1D" w:rsidRDefault="00536C1D" w:rsidP="00536C1D">
      <w:pPr>
        <w:spacing w:line="360" w:lineRule="auto"/>
        <w:jc w:val="both"/>
        <w:rPr>
          <w:rFonts w:ascii="Arial" w:hAnsi="Arial" w:cs="Arial"/>
          <w:sz w:val="24"/>
          <w:szCs w:val="24"/>
          <w:lang w:val="en-US"/>
        </w:rPr>
      </w:pPr>
      <w:r w:rsidRPr="00536C1D">
        <w:rPr>
          <w:rFonts w:ascii="Arial" w:hAnsi="Arial" w:cs="Arial"/>
          <w:sz w:val="24"/>
          <w:szCs w:val="24"/>
          <w:lang w:val="en-US"/>
        </w:rPr>
        <w:t>Barringer, B.R. &amp; Ireland, R.D. (2018) Entrepreneurship: Successfully Launching New Ventures. 4th ed. New Jersey: Prentice Hall.</w:t>
      </w:r>
    </w:p>
    <w:p w14:paraId="7C1B5BD8" w14:textId="77777777" w:rsidR="00536C1D" w:rsidRPr="00536C1D" w:rsidRDefault="00536C1D" w:rsidP="00536C1D">
      <w:pPr>
        <w:spacing w:line="360" w:lineRule="auto"/>
        <w:jc w:val="both"/>
        <w:rPr>
          <w:rFonts w:ascii="Arial" w:hAnsi="Arial" w:cs="Arial"/>
          <w:sz w:val="24"/>
          <w:szCs w:val="24"/>
          <w:lang w:val="en-US"/>
        </w:rPr>
      </w:pPr>
      <w:r w:rsidRPr="00536C1D">
        <w:rPr>
          <w:rFonts w:ascii="Arial" w:hAnsi="Arial" w:cs="Arial"/>
          <w:sz w:val="24"/>
          <w:szCs w:val="24"/>
          <w:lang w:val="en-US"/>
        </w:rPr>
        <w:t>Booth, P., Chaperon, S.A., Kennell, J.S. and Morrison, A.M. (2020). Entrepreneurship in island contexts: A systematic review of the tourism and hospitality literature. International Journal of Hospitality Management, 85(1), p.102438. doi:https://doi.org/10.1016/j.ijhm.2019.102438.</w:t>
      </w:r>
    </w:p>
    <w:p w14:paraId="409F747D" w14:textId="77777777" w:rsidR="00536C1D" w:rsidRPr="00536C1D" w:rsidRDefault="00536C1D" w:rsidP="00536C1D">
      <w:pPr>
        <w:spacing w:line="360" w:lineRule="auto"/>
        <w:jc w:val="both"/>
        <w:rPr>
          <w:rFonts w:ascii="Arial" w:hAnsi="Arial" w:cs="Arial"/>
          <w:sz w:val="24"/>
          <w:szCs w:val="24"/>
          <w:lang w:val="en-US"/>
        </w:rPr>
      </w:pPr>
      <w:r w:rsidRPr="00536C1D">
        <w:rPr>
          <w:rFonts w:ascii="Arial" w:hAnsi="Arial" w:cs="Arial"/>
          <w:sz w:val="24"/>
          <w:szCs w:val="24"/>
          <w:lang w:val="en-US"/>
        </w:rPr>
        <w:t>Cuppello, S., Treglown, L. and Furnham, A. (2023). Intelligence, Personality, and Tolerance of Ambiguity. Journal of Intelligence, 11(6), pp.102–102. doi https://doi.org/10.3390/jintelligence11060102.</w:t>
      </w:r>
    </w:p>
    <w:p w14:paraId="4044C58A" w14:textId="77777777" w:rsidR="00536C1D" w:rsidRPr="00536C1D" w:rsidRDefault="00536C1D" w:rsidP="00536C1D">
      <w:pPr>
        <w:spacing w:line="360" w:lineRule="auto"/>
        <w:jc w:val="both"/>
        <w:rPr>
          <w:rFonts w:ascii="Arial" w:hAnsi="Arial" w:cs="Arial"/>
          <w:sz w:val="24"/>
          <w:szCs w:val="24"/>
          <w:lang w:val="en-US"/>
        </w:rPr>
      </w:pPr>
      <w:r w:rsidRPr="00536C1D">
        <w:rPr>
          <w:rFonts w:ascii="Arial" w:hAnsi="Arial" w:cs="Arial"/>
          <w:sz w:val="24"/>
          <w:szCs w:val="24"/>
          <w:lang w:val="en-US"/>
        </w:rPr>
        <w:t>Diandra, D. and Azmy, A. (2020). Understanding the Definition of Entrepreneurship. International Journal of Management, Accounting, and Economics, [online] 7(5), pp.2020–2383. Available at: https://www.researchgate.net/profile/Ahmad-Azmy/publication/343853006_Understanding_Definition_of_Entrepreneurship/links/5f45</w:t>
      </w:r>
      <w:r w:rsidRPr="00536C1D">
        <w:rPr>
          <w:rFonts w:ascii="Arial" w:hAnsi="Arial" w:cs="Arial"/>
          <w:sz w:val="24"/>
          <w:szCs w:val="24"/>
          <w:lang w:val="en-US"/>
        </w:rPr>
        <w:lastRenderedPageBreak/>
        <w:t>0144299bf13404f1d418/Understanding-Definition-of-Entrepreneurship.pdf?origin=journalDetail&amp;_tp=eyJwYWdlIjoiam91cm5hbERldGFpbCJ9.</w:t>
      </w:r>
    </w:p>
    <w:p w14:paraId="295B08B7" w14:textId="77777777" w:rsidR="00536C1D" w:rsidRPr="00536C1D" w:rsidRDefault="00536C1D" w:rsidP="00536C1D">
      <w:pPr>
        <w:spacing w:line="360" w:lineRule="auto"/>
        <w:jc w:val="both"/>
        <w:rPr>
          <w:rFonts w:ascii="Arial" w:hAnsi="Arial" w:cs="Arial"/>
          <w:sz w:val="24"/>
          <w:szCs w:val="24"/>
          <w:lang w:val="en-US"/>
        </w:rPr>
      </w:pPr>
      <w:r w:rsidRPr="00536C1D">
        <w:rPr>
          <w:rFonts w:ascii="Arial" w:hAnsi="Arial" w:cs="Arial"/>
          <w:sz w:val="24"/>
          <w:szCs w:val="24"/>
          <w:lang w:val="en-US"/>
        </w:rPr>
        <w:t>Elvekrok, I., Veflen, N., Scholderer, J. and Sørensen, B.T. (2022). Effects of network relations on destination development and business results. Tourism Management, 88(5), p.104402. doi:https://doi.org/10.1016/j.tourman.2021.104402.</w:t>
      </w:r>
    </w:p>
    <w:p w14:paraId="246A1632" w14:textId="77777777" w:rsidR="00536C1D" w:rsidRPr="00536C1D" w:rsidRDefault="00536C1D" w:rsidP="00536C1D">
      <w:pPr>
        <w:spacing w:line="360" w:lineRule="auto"/>
        <w:jc w:val="both"/>
        <w:rPr>
          <w:rFonts w:ascii="Arial" w:hAnsi="Arial" w:cs="Arial"/>
          <w:sz w:val="24"/>
          <w:szCs w:val="24"/>
          <w:lang w:val="en-US"/>
        </w:rPr>
      </w:pPr>
      <w:r w:rsidRPr="00536C1D">
        <w:rPr>
          <w:rFonts w:ascii="Arial" w:hAnsi="Arial" w:cs="Arial"/>
          <w:sz w:val="24"/>
          <w:szCs w:val="24"/>
          <w:lang w:val="en-US"/>
        </w:rPr>
        <w:t>Giousmpasoglou, C., Brown, L. and Cooper, J. (2019). The role of the celebrity chef. International Journal of Hospitality Management, 85(5), p.102358. doi:https://doi.org/10.1016/j.ijhm.2019.102358.</w:t>
      </w:r>
    </w:p>
    <w:p w14:paraId="14E23B1B" w14:textId="77777777" w:rsidR="00536C1D" w:rsidRPr="00536C1D" w:rsidRDefault="00536C1D" w:rsidP="00536C1D">
      <w:pPr>
        <w:spacing w:line="360" w:lineRule="auto"/>
        <w:jc w:val="both"/>
        <w:rPr>
          <w:rFonts w:ascii="Arial" w:hAnsi="Arial" w:cs="Arial"/>
          <w:sz w:val="24"/>
          <w:szCs w:val="24"/>
          <w:lang w:val="en-US"/>
        </w:rPr>
      </w:pPr>
      <w:r w:rsidRPr="00536C1D">
        <w:rPr>
          <w:rFonts w:ascii="Arial" w:hAnsi="Arial" w:cs="Arial"/>
          <w:sz w:val="24"/>
          <w:szCs w:val="24"/>
          <w:lang w:val="en-US"/>
        </w:rPr>
        <w:t>Halder, A.N. (2020). Creating eWoM: perceived factors of celebrity chefs in the context of personal branding in the UK. uobrep.openrepository.com, [online] 44(5). Available at: https://uobrep.openrepository.com/handle/10547/624954.</w:t>
      </w:r>
    </w:p>
    <w:p w14:paraId="46024477" w14:textId="77777777" w:rsidR="00536C1D" w:rsidRPr="00536C1D" w:rsidRDefault="00536C1D" w:rsidP="00536C1D">
      <w:pPr>
        <w:spacing w:line="360" w:lineRule="auto"/>
        <w:jc w:val="both"/>
        <w:rPr>
          <w:rFonts w:ascii="Arial" w:hAnsi="Arial" w:cs="Arial"/>
          <w:sz w:val="24"/>
          <w:szCs w:val="24"/>
          <w:lang w:val="en-US"/>
        </w:rPr>
      </w:pPr>
      <w:r w:rsidRPr="00536C1D">
        <w:rPr>
          <w:rFonts w:ascii="Arial" w:hAnsi="Arial" w:cs="Arial"/>
          <w:sz w:val="24"/>
          <w:szCs w:val="24"/>
          <w:lang w:val="en-US"/>
        </w:rPr>
        <w:t>Kraus, S., Mahto, R.V. and Walsh, S.T. (2021). The importance of literature reviews in small business and entrepreneurship research. Journal of Small Business Management, 61(3), pp.1–12. doi https://doi.org/10.1080/00472778.2021.1955128.</w:t>
      </w:r>
    </w:p>
    <w:p w14:paraId="600951E9" w14:textId="77777777" w:rsidR="00536C1D" w:rsidRPr="00536C1D" w:rsidRDefault="00536C1D" w:rsidP="00536C1D">
      <w:pPr>
        <w:spacing w:line="360" w:lineRule="auto"/>
        <w:jc w:val="both"/>
        <w:rPr>
          <w:rFonts w:ascii="Arial" w:hAnsi="Arial" w:cs="Arial"/>
          <w:sz w:val="24"/>
          <w:szCs w:val="24"/>
          <w:lang w:val="en-US"/>
        </w:rPr>
      </w:pPr>
      <w:r w:rsidRPr="00536C1D">
        <w:rPr>
          <w:rFonts w:ascii="Arial" w:hAnsi="Arial" w:cs="Arial"/>
          <w:sz w:val="24"/>
          <w:szCs w:val="24"/>
          <w:lang w:val="en-US"/>
        </w:rPr>
        <w:t>Madan, B. and Halkias, D. (2020). Emancipated Entrepreneurship in the European Space Sector: The Case of Richard Branson’s Virgin Galactic as a Driver for Space Tourism. [online] papers.ssrn.com. Available at: https://papers.ssrn.com/sol3/papers.cfm?abstract_id=3820593.</w:t>
      </w:r>
    </w:p>
    <w:p w14:paraId="609838D3" w14:textId="77777777" w:rsidR="00536C1D" w:rsidRPr="00536C1D" w:rsidRDefault="00536C1D" w:rsidP="00536C1D">
      <w:pPr>
        <w:spacing w:line="360" w:lineRule="auto"/>
        <w:jc w:val="both"/>
        <w:rPr>
          <w:rFonts w:ascii="Arial" w:hAnsi="Arial" w:cs="Arial"/>
          <w:sz w:val="24"/>
          <w:szCs w:val="24"/>
          <w:lang w:val="en-US"/>
        </w:rPr>
      </w:pPr>
      <w:r w:rsidRPr="00536C1D">
        <w:rPr>
          <w:rFonts w:ascii="Arial" w:hAnsi="Arial" w:cs="Arial"/>
          <w:sz w:val="24"/>
          <w:szCs w:val="24"/>
          <w:lang w:val="en-US"/>
        </w:rPr>
        <w:t>Martin, J.P., Stefl, S.K., Cain, L.W. and Pfirman, A.L. (2020). Understanding first-generation undergraduate engineering students’ entry and persistence through social capital theory. International Journal of STEM Education, 7(1). doi:https://doi.org/10.1186/s40594-020-00237-0.</w:t>
      </w:r>
    </w:p>
    <w:p w14:paraId="4AC8E70B" w14:textId="77777777" w:rsidR="00536C1D" w:rsidRPr="00536C1D" w:rsidRDefault="00536C1D" w:rsidP="00536C1D">
      <w:pPr>
        <w:spacing w:line="360" w:lineRule="auto"/>
        <w:jc w:val="both"/>
        <w:rPr>
          <w:rFonts w:ascii="Arial" w:hAnsi="Arial" w:cs="Arial"/>
          <w:sz w:val="24"/>
          <w:szCs w:val="24"/>
          <w:lang w:val="en-US"/>
        </w:rPr>
      </w:pPr>
      <w:r w:rsidRPr="00536C1D">
        <w:rPr>
          <w:rFonts w:ascii="Arial" w:hAnsi="Arial" w:cs="Arial"/>
          <w:sz w:val="24"/>
          <w:szCs w:val="24"/>
          <w:lang w:val="en-US"/>
        </w:rPr>
        <w:t>Montañés-Del-Río, M.Á. and Medina-Garrido, J.A. (2020). Determinants of the Propensity for Innovation among Entrepreneurs in the Tourism Industry. Sustainability, 12(12), p.5003. doi https://doi.org/10.3390/su12125003.</w:t>
      </w:r>
    </w:p>
    <w:p w14:paraId="18547C85" w14:textId="77777777" w:rsidR="00536C1D" w:rsidRPr="00536C1D" w:rsidRDefault="00536C1D" w:rsidP="00536C1D">
      <w:pPr>
        <w:spacing w:line="360" w:lineRule="auto"/>
        <w:jc w:val="both"/>
        <w:rPr>
          <w:rFonts w:ascii="Arial" w:hAnsi="Arial" w:cs="Arial"/>
          <w:sz w:val="24"/>
          <w:szCs w:val="24"/>
          <w:lang w:val="en-US"/>
        </w:rPr>
      </w:pPr>
      <w:r w:rsidRPr="00536C1D">
        <w:rPr>
          <w:rFonts w:ascii="Arial" w:hAnsi="Arial" w:cs="Arial"/>
          <w:sz w:val="24"/>
          <w:szCs w:val="24"/>
          <w:lang w:val="en-US"/>
        </w:rPr>
        <w:lastRenderedPageBreak/>
        <w:t>Mrusek, N., Ottenbacher, M.C. and Harrington, R.J. (2021). The Impact of Sustainability and Leadership on the Innovation Management of Michelin-Starred Chefs. Sustainability, 14(1), p.330. doi:https://doi.org/10.3390/su14010330.</w:t>
      </w:r>
    </w:p>
    <w:p w14:paraId="7C39C6E4" w14:textId="77777777" w:rsidR="00536C1D" w:rsidRPr="00536C1D" w:rsidRDefault="00536C1D" w:rsidP="00536C1D">
      <w:pPr>
        <w:spacing w:line="360" w:lineRule="auto"/>
        <w:jc w:val="both"/>
        <w:rPr>
          <w:rFonts w:ascii="Arial" w:hAnsi="Arial" w:cs="Arial"/>
          <w:sz w:val="24"/>
          <w:szCs w:val="24"/>
          <w:lang w:val="en-US"/>
        </w:rPr>
      </w:pPr>
      <w:r w:rsidRPr="00536C1D">
        <w:rPr>
          <w:rFonts w:ascii="Arial" w:hAnsi="Arial" w:cs="Arial"/>
          <w:sz w:val="24"/>
          <w:szCs w:val="24"/>
          <w:lang w:val="en-US"/>
        </w:rPr>
        <w:t>Newman, A., Obschonka, M., Moeller, J., and Chandan, G.G. (2019). Entrepreneurial Passion: A Review, Synthesis, and Agenda for Future Research. Applied Psychology, 70(2). doi:https://doi.org/10.1111/apps.12236.</w:t>
      </w:r>
    </w:p>
    <w:p w14:paraId="4F900B18" w14:textId="77777777" w:rsidR="00536C1D" w:rsidRPr="00536C1D" w:rsidRDefault="00536C1D" w:rsidP="00536C1D">
      <w:pPr>
        <w:spacing w:line="360" w:lineRule="auto"/>
        <w:jc w:val="both"/>
        <w:rPr>
          <w:rFonts w:ascii="Arial" w:hAnsi="Arial" w:cs="Arial"/>
          <w:sz w:val="24"/>
          <w:szCs w:val="24"/>
          <w:lang w:val="en-US"/>
        </w:rPr>
      </w:pPr>
      <w:r w:rsidRPr="00536C1D">
        <w:rPr>
          <w:rFonts w:ascii="Arial" w:hAnsi="Arial" w:cs="Arial"/>
          <w:sz w:val="24"/>
          <w:szCs w:val="24"/>
          <w:lang w:val="en-US"/>
        </w:rPr>
        <w:t>O’Connor, P.J., Jimmieson, N.L., Bergin, A.J., Wiewiora, A. and McColl, L. (2021). Leader Tolerance of Ambiguity: Implications for Follower Performance Outcomes in High and Low Ambiguous Work Situations. The Journal of Applied Behavioral Science, 58(1), pp.65–96. doi https://doi.org/10.1177/00218863211053676.</w:t>
      </w:r>
    </w:p>
    <w:p w14:paraId="640671B5" w14:textId="77777777" w:rsidR="00536C1D" w:rsidRPr="00536C1D" w:rsidRDefault="00536C1D" w:rsidP="00536C1D">
      <w:pPr>
        <w:spacing w:line="360" w:lineRule="auto"/>
        <w:jc w:val="both"/>
        <w:rPr>
          <w:rFonts w:ascii="Arial" w:hAnsi="Arial" w:cs="Arial"/>
          <w:sz w:val="24"/>
          <w:szCs w:val="24"/>
          <w:lang w:val="en-US"/>
        </w:rPr>
      </w:pPr>
      <w:r w:rsidRPr="00536C1D">
        <w:rPr>
          <w:rFonts w:ascii="Arial" w:hAnsi="Arial" w:cs="Arial"/>
          <w:sz w:val="24"/>
          <w:szCs w:val="24"/>
          <w:lang w:val="en-US"/>
        </w:rPr>
        <w:t>Pérez-Fernández, H., Cacciotti, G., Martín-Cruz, N. and Delgado-García, J.B. (2022). Are interactions between the need for achievement and social networks the driving force behind entrepreneurial Intention? A trait activation story. Journal of Business Research, 149(3), pp.65–76. doi https://doi.org/10.1016/j.jbusres.2022.04.046.</w:t>
      </w:r>
    </w:p>
    <w:p w14:paraId="66450C5C" w14:textId="77777777" w:rsidR="00536C1D" w:rsidRPr="00536C1D" w:rsidRDefault="00536C1D" w:rsidP="00536C1D">
      <w:pPr>
        <w:spacing w:line="360" w:lineRule="auto"/>
        <w:jc w:val="both"/>
        <w:rPr>
          <w:rFonts w:ascii="Arial" w:hAnsi="Arial" w:cs="Arial"/>
          <w:sz w:val="24"/>
          <w:szCs w:val="24"/>
          <w:lang w:val="en-US"/>
        </w:rPr>
      </w:pPr>
      <w:r w:rsidRPr="00536C1D">
        <w:rPr>
          <w:rFonts w:ascii="Arial" w:hAnsi="Arial" w:cs="Arial"/>
          <w:sz w:val="24"/>
          <w:szCs w:val="24"/>
          <w:lang w:val="en-US"/>
        </w:rPr>
        <w:t>Phillipov, M. and Gale, F. (2018). Celebrity chefs, consumption politics and food labeling: Exploring the contradictions. Journal of Consumer Culture, 22(3), p.146954051877383. doi:https://doi.org/10.1177/1469540518773831.</w:t>
      </w:r>
    </w:p>
    <w:p w14:paraId="01F81CF0" w14:textId="77777777" w:rsidR="00536C1D" w:rsidRPr="00536C1D" w:rsidRDefault="00536C1D" w:rsidP="00536C1D">
      <w:pPr>
        <w:spacing w:line="360" w:lineRule="auto"/>
        <w:jc w:val="both"/>
        <w:rPr>
          <w:rFonts w:ascii="Arial" w:hAnsi="Arial" w:cs="Arial"/>
          <w:sz w:val="24"/>
          <w:szCs w:val="24"/>
          <w:lang w:val="en-US"/>
        </w:rPr>
      </w:pPr>
      <w:r w:rsidRPr="00536C1D">
        <w:rPr>
          <w:rFonts w:ascii="Arial" w:hAnsi="Arial" w:cs="Arial"/>
          <w:sz w:val="24"/>
          <w:szCs w:val="24"/>
          <w:lang w:val="en-US"/>
        </w:rPr>
        <w:t>Reis-Dennis, S., Gerrity, M.S. and Geller, G. (2021). Tolerance for Uncertainty and Professional Development: a Normative Analysis. Journal of General Internal Medicine, 22(5). doi:https://doi.org/10.1007/s11606-020-06538-y.</w:t>
      </w:r>
    </w:p>
    <w:p w14:paraId="267ACBCD" w14:textId="77777777" w:rsidR="00536C1D" w:rsidRPr="00536C1D" w:rsidRDefault="00536C1D" w:rsidP="00536C1D">
      <w:pPr>
        <w:spacing w:line="360" w:lineRule="auto"/>
        <w:jc w:val="both"/>
        <w:rPr>
          <w:rFonts w:ascii="Arial" w:hAnsi="Arial" w:cs="Arial"/>
          <w:sz w:val="24"/>
          <w:szCs w:val="24"/>
          <w:lang w:val="en-US"/>
        </w:rPr>
      </w:pPr>
      <w:r w:rsidRPr="00536C1D">
        <w:rPr>
          <w:rFonts w:ascii="Arial" w:hAnsi="Arial" w:cs="Arial"/>
          <w:sz w:val="24"/>
          <w:szCs w:val="24"/>
          <w:lang w:val="en-US"/>
        </w:rPr>
        <w:t>Saif, H.A.A. and Ghania, U. (2020). NEED FOR ACHIEVEMENT AS A PREDICTOR OF ENTREPRENEURIAL BEHAVIOR: THE MEDIATING ROLE OF ENTREPRENEURIAL PASSION FOR FOUNDING AND ENTREPRENEURIAL INTEREST. International Review of Management and Marketing, 10(1), pp.40–53. doi:https://doi.org/10.32479/irmm.8949.</w:t>
      </w:r>
    </w:p>
    <w:p w14:paraId="4FE93C2F" w14:textId="77777777" w:rsidR="00536C1D" w:rsidRPr="00536C1D" w:rsidRDefault="00536C1D" w:rsidP="00536C1D">
      <w:pPr>
        <w:spacing w:line="360" w:lineRule="auto"/>
        <w:jc w:val="both"/>
        <w:rPr>
          <w:rFonts w:ascii="Arial" w:hAnsi="Arial" w:cs="Arial"/>
          <w:sz w:val="24"/>
          <w:szCs w:val="24"/>
          <w:lang w:val="en-US"/>
        </w:rPr>
      </w:pPr>
      <w:r w:rsidRPr="00536C1D">
        <w:rPr>
          <w:rFonts w:ascii="Arial" w:hAnsi="Arial" w:cs="Arial"/>
          <w:sz w:val="24"/>
          <w:szCs w:val="24"/>
          <w:lang w:val="en-US"/>
        </w:rPr>
        <w:t>Swanson, E., Kim, S., Lee, S.-M., Yang, J.-J. and Lee, Y.-K. (2020). The effect of leader competencies on knowledge sharing and job performance: Social capital theory. Journal of Hospitality and Tourism Management, 42(1), pp.88–96.</w:t>
      </w:r>
    </w:p>
    <w:p w14:paraId="41B6B735" w14:textId="77777777" w:rsidR="00536C1D" w:rsidRPr="00536C1D" w:rsidRDefault="00536C1D" w:rsidP="00536C1D">
      <w:pPr>
        <w:spacing w:line="360" w:lineRule="auto"/>
        <w:jc w:val="both"/>
        <w:rPr>
          <w:rFonts w:ascii="Arial" w:hAnsi="Arial" w:cs="Arial"/>
          <w:sz w:val="24"/>
          <w:szCs w:val="24"/>
          <w:lang w:val="en-US"/>
        </w:rPr>
      </w:pPr>
      <w:r w:rsidRPr="00536C1D">
        <w:rPr>
          <w:rFonts w:ascii="Arial" w:hAnsi="Arial" w:cs="Arial"/>
          <w:sz w:val="24"/>
          <w:szCs w:val="24"/>
          <w:lang w:val="en-US"/>
        </w:rPr>
        <w:lastRenderedPageBreak/>
        <w:t>Williams, A.M., Rodríguez Sánchez, I. and Škokić, V. (2020). Innovation, Risk, and Uncertainty: A Study of Tourism Entrepreneurs. Journal of Travel Research, 60(2), p.004728751989601. doi:https://doi.org/10.1177/0047287519896012.</w:t>
      </w:r>
    </w:p>
    <w:p w14:paraId="3A88DE06" w14:textId="199F47D2" w:rsidR="00344896" w:rsidRPr="00536C1D" w:rsidRDefault="00536C1D" w:rsidP="00536C1D">
      <w:pPr>
        <w:spacing w:line="360" w:lineRule="auto"/>
        <w:jc w:val="both"/>
        <w:rPr>
          <w:rFonts w:ascii="Arial" w:hAnsi="Arial" w:cs="Arial"/>
          <w:sz w:val="24"/>
          <w:szCs w:val="24"/>
          <w:lang w:val="en-US"/>
        </w:rPr>
      </w:pPr>
      <w:r w:rsidRPr="00536C1D">
        <w:rPr>
          <w:rFonts w:ascii="Arial" w:hAnsi="Arial" w:cs="Arial"/>
          <w:sz w:val="24"/>
          <w:szCs w:val="24"/>
          <w:lang w:val="en-US"/>
        </w:rPr>
        <w:t>Williams, S. (2021) FT Guide to Business Start Up: The most comprehensive guide for entrepreneurs. 32nd ed. Harlow: Financial Times Press.</w:t>
      </w:r>
    </w:p>
    <w:sectPr w:rsidR="00344896" w:rsidRPr="00536C1D" w:rsidSect="00DA79D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451"/>
    <w:rsid w:val="00007565"/>
    <w:rsid w:val="00017E82"/>
    <w:rsid w:val="00083EEF"/>
    <w:rsid w:val="000B470D"/>
    <w:rsid w:val="00194865"/>
    <w:rsid w:val="001C36E4"/>
    <w:rsid w:val="001F18A4"/>
    <w:rsid w:val="002125D8"/>
    <w:rsid w:val="002147F9"/>
    <w:rsid w:val="00214A1C"/>
    <w:rsid w:val="00257D20"/>
    <w:rsid w:val="00282C16"/>
    <w:rsid w:val="002E4379"/>
    <w:rsid w:val="00344896"/>
    <w:rsid w:val="00353DA9"/>
    <w:rsid w:val="00490752"/>
    <w:rsid w:val="004E1278"/>
    <w:rsid w:val="004E7A56"/>
    <w:rsid w:val="00507772"/>
    <w:rsid w:val="00536C1D"/>
    <w:rsid w:val="005E0A76"/>
    <w:rsid w:val="00660C5D"/>
    <w:rsid w:val="00661472"/>
    <w:rsid w:val="00691DBE"/>
    <w:rsid w:val="00763AAD"/>
    <w:rsid w:val="00815E2D"/>
    <w:rsid w:val="008554F6"/>
    <w:rsid w:val="00896B70"/>
    <w:rsid w:val="00914F27"/>
    <w:rsid w:val="00927451"/>
    <w:rsid w:val="0093049E"/>
    <w:rsid w:val="00A56CC8"/>
    <w:rsid w:val="00AB0BA2"/>
    <w:rsid w:val="00AE587E"/>
    <w:rsid w:val="00AF1B33"/>
    <w:rsid w:val="00B4389C"/>
    <w:rsid w:val="00B54DE6"/>
    <w:rsid w:val="00B96E79"/>
    <w:rsid w:val="00BD3F3A"/>
    <w:rsid w:val="00BE2C2D"/>
    <w:rsid w:val="00C2111B"/>
    <w:rsid w:val="00C27BFB"/>
    <w:rsid w:val="00C9365D"/>
    <w:rsid w:val="00D01FCB"/>
    <w:rsid w:val="00DA79DA"/>
    <w:rsid w:val="00DF7EF1"/>
    <w:rsid w:val="00E2256C"/>
    <w:rsid w:val="00EA1D70"/>
    <w:rsid w:val="00EC1B5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126DA5"/>
  <w15:chartTrackingRefBased/>
  <w15:docId w15:val="{5680FCD1-6DC2-4105-9EA2-60E23AEAC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111B"/>
  </w:style>
  <w:style w:type="paragraph" w:styleId="Heading1">
    <w:name w:val="heading 1"/>
    <w:basedOn w:val="Normal"/>
    <w:next w:val="Normal"/>
    <w:link w:val="Heading1Char"/>
    <w:uiPriority w:val="9"/>
    <w:qFormat/>
    <w:rsid w:val="00927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7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7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7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7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7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7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7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7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7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7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7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7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7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7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7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7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7451"/>
    <w:rPr>
      <w:rFonts w:eastAsiaTheme="majorEastAsia" w:cstheme="majorBidi"/>
      <w:color w:val="272727" w:themeColor="text1" w:themeTint="D8"/>
    </w:rPr>
  </w:style>
  <w:style w:type="paragraph" w:styleId="Title">
    <w:name w:val="Title"/>
    <w:basedOn w:val="Normal"/>
    <w:next w:val="Normal"/>
    <w:link w:val="TitleChar"/>
    <w:uiPriority w:val="10"/>
    <w:qFormat/>
    <w:rsid w:val="00927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7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7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7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7451"/>
    <w:pPr>
      <w:spacing w:before="160"/>
      <w:jc w:val="center"/>
    </w:pPr>
    <w:rPr>
      <w:i/>
      <w:iCs/>
      <w:color w:val="404040" w:themeColor="text1" w:themeTint="BF"/>
    </w:rPr>
  </w:style>
  <w:style w:type="character" w:customStyle="1" w:styleId="QuoteChar">
    <w:name w:val="Quote Char"/>
    <w:basedOn w:val="DefaultParagraphFont"/>
    <w:link w:val="Quote"/>
    <w:uiPriority w:val="29"/>
    <w:rsid w:val="00927451"/>
    <w:rPr>
      <w:i/>
      <w:iCs/>
      <w:color w:val="404040" w:themeColor="text1" w:themeTint="BF"/>
    </w:rPr>
  </w:style>
  <w:style w:type="paragraph" w:styleId="ListParagraph">
    <w:name w:val="List Paragraph"/>
    <w:basedOn w:val="Normal"/>
    <w:uiPriority w:val="34"/>
    <w:qFormat/>
    <w:rsid w:val="00927451"/>
    <w:pPr>
      <w:ind w:left="720"/>
      <w:contextualSpacing/>
    </w:pPr>
  </w:style>
  <w:style w:type="character" w:styleId="IntenseEmphasis">
    <w:name w:val="Intense Emphasis"/>
    <w:basedOn w:val="DefaultParagraphFont"/>
    <w:uiPriority w:val="21"/>
    <w:qFormat/>
    <w:rsid w:val="00927451"/>
    <w:rPr>
      <w:i/>
      <w:iCs/>
      <w:color w:val="0F4761" w:themeColor="accent1" w:themeShade="BF"/>
    </w:rPr>
  </w:style>
  <w:style w:type="paragraph" w:styleId="IntenseQuote">
    <w:name w:val="Intense Quote"/>
    <w:basedOn w:val="Normal"/>
    <w:next w:val="Normal"/>
    <w:link w:val="IntenseQuoteChar"/>
    <w:uiPriority w:val="30"/>
    <w:qFormat/>
    <w:rsid w:val="00927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7451"/>
    <w:rPr>
      <w:i/>
      <w:iCs/>
      <w:color w:val="0F4761" w:themeColor="accent1" w:themeShade="BF"/>
    </w:rPr>
  </w:style>
  <w:style w:type="character" w:styleId="IntenseReference">
    <w:name w:val="Intense Reference"/>
    <w:basedOn w:val="DefaultParagraphFont"/>
    <w:uiPriority w:val="32"/>
    <w:qFormat/>
    <w:rsid w:val="009274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9922942">
      <w:bodyDiv w:val="1"/>
      <w:marLeft w:val="0"/>
      <w:marRight w:val="0"/>
      <w:marTop w:val="0"/>
      <w:marBottom w:val="0"/>
      <w:divBdr>
        <w:top w:val="none" w:sz="0" w:space="0" w:color="auto"/>
        <w:left w:val="none" w:sz="0" w:space="0" w:color="auto"/>
        <w:bottom w:val="none" w:sz="0" w:space="0" w:color="auto"/>
        <w:right w:val="none" w:sz="0" w:space="0" w:color="auto"/>
      </w:divBdr>
    </w:div>
    <w:div w:id="1059283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112</TotalTime>
  <Pages>11</Pages>
  <Words>2806</Words>
  <Characters>17373</Characters>
  <Application>Microsoft Office Word</Application>
  <DocSecurity>0</DocSecurity>
  <Lines>284</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Mihalcea</dc:creator>
  <cp:keywords/>
  <dc:description/>
  <cp:lastModifiedBy>Robert Mihalcea</cp:lastModifiedBy>
  <cp:revision>37</cp:revision>
  <dcterms:created xsi:type="dcterms:W3CDTF">2024-09-30T09:19:00Z</dcterms:created>
  <dcterms:modified xsi:type="dcterms:W3CDTF">2024-10-19T20:22:00Z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9cb76d67d1ead5e6362fec9a43c48981f7f6ee57a3378c3b6d07337acf6d72ee</vt:lpwstr>
  </property>
</Properties>
</file>