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771867" w14:textId="77777777" w:rsidR="00074258" w:rsidRDefault="00074258" w:rsidP="00C643D5">
      <w:pPr>
        <w:rPr>
          <w:rFonts w:ascii="Arial" w:hAnsi="Arial" w:cs="Arial"/>
          <w:b/>
          <w:bCs/>
          <w:sz w:val="28"/>
          <w:szCs w:val="28"/>
        </w:rPr>
      </w:pPr>
    </w:p>
    <w:p w14:paraId="3EF8CAF4" w14:textId="77777777" w:rsidR="00074258" w:rsidRDefault="00074258" w:rsidP="00074258">
      <w:r>
        <w:rPr>
          <w:noProof/>
        </w:rPr>
        <w:drawing>
          <wp:inline distT="0" distB="0" distL="0" distR="0" wp14:anchorId="076CAB10" wp14:editId="6867D84D">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698ED34C" w14:textId="77777777" w:rsidR="00074258" w:rsidRDefault="00074258" w:rsidP="00074258"/>
    <w:p w14:paraId="274CF097" w14:textId="77777777" w:rsidR="00074258" w:rsidRDefault="00074258" w:rsidP="00074258"/>
    <w:p w14:paraId="4DB68C7F" w14:textId="77777777" w:rsidR="00074258" w:rsidRDefault="00074258" w:rsidP="00074258"/>
    <w:p w14:paraId="6F38D474" w14:textId="77777777" w:rsidR="00074258" w:rsidRPr="008F4215" w:rsidRDefault="00074258" w:rsidP="00074258">
      <w:pPr>
        <w:rPr>
          <w:rFonts w:ascii="Arial" w:hAnsi="Arial" w:cs="Arial"/>
          <w:b/>
          <w:bCs/>
          <w:sz w:val="56"/>
          <w:szCs w:val="56"/>
        </w:rPr>
      </w:pPr>
      <w:r w:rsidRPr="008F4215">
        <w:rPr>
          <w:rFonts w:ascii="Arial" w:hAnsi="Arial" w:cs="Arial"/>
          <w:b/>
          <w:bCs/>
          <w:sz w:val="56"/>
          <w:szCs w:val="56"/>
        </w:rPr>
        <w:t xml:space="preserve">BA(Hons) Business Management </w:t>
      </w:r>
    </w:p>
    <w:p w14:paraId="723B4AB1" w14:textId="77777777" w:rsidR="00074258" w:rsidRDefault="00074258" w:rsidP="00074258">
      <w:pPr>
        <w:spacing w:line="600" w:lineRule="auto"/>
        <w:rPr>
          <w:rFonts w:ascii="Arial" w:hAnsi="Arial" w:cs="Arial"/>
          <w:i/>
          <w:iCs/>
        </w:rPr>
      </w:pPr>
    </w:p>
    <w:p w14:paraId="67AD5F5C" w14:textId="49592438" w:rsidR="00074258" w:rsidRPr="00074258" w:rsidRDefault="00074258" w:rsidP="00074258">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r>
        <w:rPr>
          <w:rFonts w:ascii="Arial" w:hAnsi="Arial" w:cs="Arial"/>
          <w:i/>
          <w:iCs/>
        </w:rPr>
        <w:t>Szabina Molnar</w:t>
      </w:r>
    </w:p>
    <w:p w14:paraId="01303E64" w14:textId="206FCC3B" w:rsidR="00074258" w:rsidRPr="00074258" w:rsidRDefault="00074258" w:rsidP="00074258">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32D6405F" w14:textId="180101DE" w:rsidR="00074258" w:rsidRPr="00074258" w:rsidRDefault="00074258" w:rsidP="00074258">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sidRPr="00074258">
        <w:rPr>
          <w:rFonts w:ascii="Arial" w:hAnsi="Arial" w:cs="Arial"/>
          <w:i/>
          <w:iCs/>
        </w:rPr>
        <w:t>Strategic Management &amp; Sustainability</w:t>
      </w:r>
    </w:p>
    <w:p w14:paraId="60703F46" w14:textId="54FCD6DC" w:rsidR="00074258" w:rsidRPr="00074258" w:rsidRDefault="00074258" w:rsidP="00074258">
      <w:pPr>
        <w:spacing w:line="600" w:lineRule="auto"/>
        <w:rPr>
          <w:rFonts w:ascii="Arial" w:hAnsi="Arial" w:cs="Arial"/>
          <w:i/>
          <w:iCs/>
        </w:rPr>
      </w:pPr>
      <w:r w:rsidRPr="008F4215">
        <w:rPr>
          <w:rFonts w:ascii="Arial" w:hAnsi="Arial" w:cs="Arial"/>
          <w:b/>
          <w:bCs/>
          <w:i/>
          <w:iCs/>
        </w:rPr>
        <w:t xml:space="preserve">Lecturer Name: </w:t>
      </w:r>
      <w:r w:rsidRPr="00074258">
        <w:rPr>
          <w:rFonts w:ascii="Arial" w:hAnsi="Arial" w:cs="Arial"/>
          <w:i/>
          <w:iCs/>
        </w:rPr>
        <w:t>Dr. Jaya Gopalkrishnan</w:t>
      </w:r>
    </w:p>
    <w:p w14:paraId="4D383FB3" w14:textId="75EE8CB4" w:rsidR="00074258" w:rsidRDefault="00074258" w:rsidP="00074258">
      <w:pPr>
        <w:spacing w:line="600" w:lineRule="auto"/>
        <w:rPr>
          <w:rFonts w:ascii="Arial" w:hAnsi="Arial" w:cs="Arial"/>
          <w:b/>
          <w:bCs/>
          <w:i/>
          <w:iCs/>
        </w:rPr>
      </w:pPr>
      <w:r w:rsidRPr="008F4215">
        <w:rPr>
          <w:rFonts w:ascii="Arial" w:hAnsi="Arial" w:cs="Arial"/>
          <w:b/>
          <w:bCs/>
          <w:i/>
          <w:iCs/>
        </w:rPr>
        <w:t>Session</w:t>
      </w:r>
      <w:r>
        <w:rPr>
          <w:rFonts w:ascii="Arial" w:hAnsi="Arial" w:cs="Arial"/>
          <w:i/>
          <w:iCs/>
        </w:rPr>
        <w:t>: June 2024 Term</w:t>
      </w:r>
      <w:r w:rsidRPr="009D3D77">
        <w:rPr>
          <w:rFonts w:ascii="Arial" w:hAnsi="Arial" w:cs="Arial"/>
          <w:b/>
          <w:bCs/>
          <w:i/>
          <w:iCs/>
        </w:rPr>
        <w:t xml:space="preserve"> </w:t>
      </w:r>
    </w:p>
    <w:p w14:paraId="01F0A167" w14:textId="719224E9" w:rsidR="00074258" w:rsidRDefault="00074258" w:rsidP="00074258">
      <w:pPr>
        <w:spacing w:line="600" w:lineRule="auto"/>
        <w:rPr>
          <w:rFonts w:ascii="Arial" w:hAnsi="Arial" w:cs="Arial"/>
          <w:i/>
          <w:iCs/>
        </w:rPr>
      </w:pPr>
      <w:r w:rsidRPr="005A2DE7">
        <w:rPr>
          <w:rFonts w:ascii="Arial" w:hAnsi="Arial" w:cs="Arial"/>
          <w:b/>
          <w:bCs/>
          <w:i/>
          <w:iCs/>
        </w:rPr>
        <w:t>Assessment title:</w:t>
      </w:r>
      <w:r>
        <w:rPr>
          <w:rFonts w:ascii="Arial" w:hAnsi="Arial" w:cs="Arial"/>
          <w:b/>
          <w:bCs/>
          <w:i/>
          <w:iCs/>
        </w:rPr>
        <w:t xml:space="preserve"> </w:t>
      </w:r>
      <w:r w:rsidRPr="00074258">
        <w:rPr>
          <w:rFonts w:ascii="Arial" w:hAnsi="Arial" w:cs="Arial"/>
          <w:i/>
          <w:iCs/>
        </w:rPr>
        <w:t>Component 1</w:t>
      </w:r>
      <w:r w:rsidRPr="00074258">
        <w:rPr>
          <w:rFonts w:ascii="Arial" w:hAnsi="Arial" w:cs="Arial"/>
          <w:i/>
          <w:iCs/>
        </w:rPr>
        <w:t xml:space="preserve"> </w:t>
      </w:r>
      <w:r w:rsidRPr="00074258">
        <w:rPr>
          <w:rFonts w:ascii="Arial" w:hAnsi="Arial" w:cs="Arial"/>
          <w:i/>
          <w:iCs/>
        </w:rPr>
        <w:t>Coursework: Written Report</w:t>
      </w:r>
    </w:p>
    <w:p w14:paraId="1A154C26" w14:textId="77777777" w:rsidR="00074258" w:rsidRDefault="00074258" w:rsidP="00074258">
      <w:pPr>
        <w:spacing w:line="600" w:lineRule="auto"/>
        <w:rPr>
          <w:rFonts w:ascii="Arial" w:hAnsi="Arial" w:cs="Arial"/>
          <w:i/>
          <w:iCs/>
        </w:rPr>
      </w:pPr>
    </w:p>
    <w:p w14:paraId="1573437E" w14:textId="77777777" w:rsidR="00074258" w:rsidRDefault="00074258" w:rsidP="00074258">
      <w:pPr>
        <w:spacing w:line="600" w:lineRule="auto"/>
        <w:rPr>
          <w:rFonts w:ascii="Arial" w:hAnsi="Arial" w:cs="Arial"/>
          <w:i/>
          <w:iCs/>
        </w:rPr>
      </w:pPr>
    </w:p>
    <w:sdt>
      <w:sdtPr>
        <w:id w:val="-184215882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835B578" w14:textId="3C245CB4" w:rsidR="00074258" w:rsidRDefault="00074258">
          <w:pPr>
            <w:pStyle w:val="TOCHeading"/>
          </w:pPr>
          <w:r>
            <w:t>Table of Contents</w:t>
          </w:r>
        </w:p>
        <w:p w14:paraId="1D116F53" w14:textId="4DA841E2" w:rsidR="005B6432" w:rsidRDefault="0007425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5555953" w:history="1">
            <w:r w:rsidR="005B6432" w:rsidRPr="0099675A">
              <w:rPr>
                <w:rStyle w:val="Hyperlink"/>
                <w:noProof/>
              </w:rPr>
              <w:t>Introduction</w:t>
            </w:r>
            <w:r w:rsidR="005B6432">
              <w:rPr>
                <w:noProof/>
                <w:webHidden/>
              </w:rPr>
              <w:tab/>
            </w:r>
            <w:r w:rsidR="005B6432">
              <w:rPr>
                <w:noProof/>
                <w:webHidden/>
              </w:rPr>
              <w:fldChar w:fldCharType="begin"/>
            </w:r>
            <w:r w:rsidR="005B6432">
              <w:rPr>
                <w:noProof/>
                <w:webHidden/>
              </w:rPr>
              <w:instrText xml:space="preserve"> PAGEREF _Toc175555953 \h </w:instrText>
            </w:r>
            <w:r w:rsidR="005B6432">
              <w:rPr>
                <w:noProof/>
                <w:webHidden/>
              </w:rPr>
            </w:r>
            <w:r w:rsidR="005B6432">
              <w:rPr>
                <w:noProof/>
                <w:webHidden/>
              </w:rPr>
              <w:fldChar w:fldCharType="separate"/>
            </w:r>
            <w:r w:rsidR="005B6432">
              <w:rPr>
                <w:noProof/>
                <w:webHidden/>
              </w:rPr>
              <w:t>3</w:t>
            </w:r>
            <w:r w:rsidR="005B6432">
              <w:rPr>
                <w:noProof/>
                <w:webHidden/>
              </w:rPr>
              <w:fldChar w:fldCharType="end"/>
            </w:r>
          </w:hyperlink>
        </w:p>
        <w:p w14:paraId="40E889F6" w14:textId="663CB910" w:rsidR="005B6432" w:rsidRDefault="005B6432">
          <w:pPr>
            <w:pStyle w:val="TOC1"/>
            <w:tabs>
              <w:tab w:val="right" w:leader="dot" w:pos="9016"/>
            </w:tabs>
            <w:rPr>
              <w:rFonts w:eastAsiaTheme="minorEastAsia"/>
              <w:b w:val="0"/>
              <w:bCs w:val="0"/>
              <w:i w:val="0"/>
              <w:iCs w:val="0"/>
              <w:noProof/>
              <w:lang w:eastAsia="en-GB"/>
            </w:rPr>
          </w:pPr>
          <w:hyperlink w:anchor="_Toc175555954" w:history="1">
            <w:r w:rsidRPr="0099675A">
              <w:rPr>
                <w:rStyle w:val="Hyperlink"/>
                <w:noProof/>
              </w:rPr>
              <w:t>Company Overview</w:t>
            </w:r>
            <w:r>
              <w:rPr>
                <w:noProof/>
                <w:webHidden/>
              </w:rPr>
              <w:tab/>
            </w:r>
            <w:r>
              <w:rPr>
                <w:noProof/>
                <w:webHidden/>
              </w:rPr>
              <w:fldChar w:fldCharType="begin"/>
            </w:r>
            <w:r>
              <w:rPr>
                <w:noProof/>
                <w:webHidden/>
              </w:rPr>
              <w:instrText xml:space="preserve"> PAGEREF _Toc175555954 \h </w:instrText>
            </w:r>
            <w:r>
              <w:rPr>
                <w:noProof/>
                <w:webHidden/>
              </w:rPr>
            </w:r>
            <w:r>
              <w:rPr>
                <w:noProof/>
                <w:webHidden/>
              </w:rPr>
              <w:fldChar w:fldCharType="separate"/>
            </w:r>
            <w:r>
              <w:rPr>
                <w:noProof/>
                <w:webHidden/>
              </w:rPr>
              <w:t>3</w:t>
            </w:r>
            <w:r>
              <w:rPr>
                <w:noProof/>
                <w:webHidden/>
              </w:rPr>
              <w:fldChar w:fldCharType="end"/>
            </w:r>
          </w:hyperlink>
        </w:p>
        <w:p w14:paraId="34016ECC" w14:textId="058CDFCE" w:rsidR="005B6432" w:rsidRDefault="005B6432">
          <w:pPr>
            <w:pStyle w:val="TOC1"/>
            <w:tabs>
              <w:tab w:val="right" w:leader="dot" w:pos="9016"/>
            </w:tabs>
            <w:rPr>
              <w:rFonts w:eastAsiaTheme="minorEastAsia"/>
              <w:b w:val="0"/>
              <w:bCs w:val="0"/>
              <w:i w:val="0"/>
              <w:iCs w:val="0"/>
              <w:noProof/>
              <w:lang w:eastAsia="en-GB"/>
            </w:rPr>
          </w:pPr>
          <w:hyperlink w:anchor="_Toc175555955" w:history="1">
            <w:r w:rsidRPr="0099675A">
              <w:rPr>
                <w:rStyle w:val="Hyperlink"/>
                <w:noProof/>
              </w:rPr>
              <w:t>Corporate and Business Strategies</w:t>
            </w:r>
            <w:r>
              <w:rPr>
                <w:noProof/>
                <w:webHidden/>
              </w:rPr>
              <w:tab/>
            </w:r>
            <w:r>
              <w:rPr>
                <w:noProof/>
                <w:webHidden/>
              </w:rPr>
              <w:fldChar w:fldCharType="begin"/>
            </w:r>
            <w:r>
              <w:rPr>
                <w:noProof/>
                <w:webHidden/>
              </w:rPr>
              <w:instrText xml:space="preserve"> PAGEREF _Toc175555955 \h </w:instrText>
            </w:r>
            <w:r>
              <w:rPr>
                <w:noProof/>
                <w:webHidden/>
              </w:rPr>
            </w:r>
            <w:r>
              <w:rPr>
                <w:noProof/>
                <w:webHidden/>
              </w:rPr>
              <w:fldChar w:fldCharType="separate"/>
            </w:r>
            <w:r>
              <w:rPr>
                <w:noProof/>
                <w:webHidden/>
              </w:rPr>
              <w:t>4</w:t>
            </w:r>
            <w:r>
              <w:rPr>
                <w:noProof/>
                <w:webHidden/>
              </w:rPr>
              <w:fldChar w:fldCharType="end"/>
            </w:r>
          </w:hyperlink>
        </w:p>
        <w:p w14:paraId="36044613" w14:textId="39A05FA1" w:rsidR="005B6432" w:rsidRDefault="005B6432">
          <w:pPr>
            <w:pStyle w:val="TOC2"/>
            <w:tabs>
              <w:tab w:val="right" w:leader="dot" w:pos="9016"/>
            </w:tabs>
            <w:rPr>
              <w:rFonts w:eastAsiaTheme="minorEastAsia"/>
              <w:b w:val="0"/>
              <w:bCs w:val="0"/>
              <w:noProof/>
              <w:sz w:val="24"/>
              <w:szCs w:val="24"/>
              <w:lang w:eastAsia="en-GB"/>
            </w:rPr>
          </w:pPr>
          <w:hyperlink w:anchor="_Toc175555956" w:history="1">
            <w:r w:rsidRPr="0099675A">
              <w:rPr>
                <w:rStyle w:val="Hyperlink"/>
                <w:noProof/>
              </w:rPr>
              <w:t>Corporate Strategies:</w:t>
            </w:r>
            <w:r>
              <w:rPr>
                <w:noProof/>
                <w:webHidden/>
              </w:rPr>
              <w:tab/>
            </w:r>
            <w:r>
              <w:rPr>
                <w:noProof/>
                <w:webHidden/>
              </w:rPr>
              <w:fldChar w:fldCharType="begin"/>
            </w:r>
            <w:r>
              <w:rPr>
                <w:noProof/>
                <w:webHidden/>
              </w:rPr>
              <w:instrText xml:space="preserve"> PAGEREF _Toc175555956 \h </w:instrText>
            </w:r>
            <w:r>
              <w:rPr>
                <w:noProof/>
                <w:webHidden/>
              </w:rPr>
            </w:r>
            <w:r>
              <w:rPr>
                <w:noProof/>
                <w:webHidden/>
              </w:rPr>
              <w:fldChar w:fldCharType="separate"/>
            </w:r>
            <w:r>
              <w:rPr>
                <w:noProof/>
                <w:webHidden/>
              </w:rPr>
              <w:t>4</w:t>
            </w:r>
            <w:r>
              <w:rPr>
                <w:noProof/>
                <w:webHidden/>
              </w:rPr>
              <w:fldChar w:fldCharType="end"/>
            </w:r>
          </w:hyperlink>
        </w:p>
        <w:p w14:paraId="5D01290F" w14:textId="3FC7B579" w:rsidR="005B6432" w:rsidRDefault="005B6432">
          <w:pPr>
            <w:pStyle w:val="TOC2"/>
            <w:tabs>
              <w:tab w:val="right" w:leader="dot" w:pos="9016"/>
            </w:tabs>
            <w:rPr>
              <w:rFonts w:eastAsiaTheme="minorEastAsia"/>
              <w:b w:val="0"/>
              <w:bCs w:val="0"/>
              <w:noProof/>
              <w:sz w:val="24"/>
              <w:szCs w:val="24"/>
              <w:lang w:eastAsia="en-GB"/>
            </w:rPr>
          </w:pPr>
          <w:hyperlink w:anchor="_Toc175555957" w:history="1">
            <w:r w:rsidRPr="0099675A">
              <w:rPr>
                <w:rStyle w:val="Hyperlink"/>
                <w:noProof/>
              </w:rPr>
              <w:t>Business Strategies:</w:t>
            </w:r>
            <w:r>
              <w:rPr>
                <w:noProof/>
                <w:webHidden/>
              </w:rPr>
              <w:tab/>
            </w:r>
            <w:r>
              <w:rPr>
                <w:noProof/>
                <w:webHidden/>
              </w:rPr>
              <w:fldChar w:fldCharType="begin"/>
            </w:r>
            <w:r>
              <w:rPr>
                <w:noProof/>
                <w:webHidden/>
              </w:rPr>
              <w:instrText xml:space="preserve"> PAGEREF _Toc175555957 \h </w:instrText>
            </w:r>
            <w:r>
              <w:rPr>
                <w:noProof/>
                <w:webHidden/>
              </w:rPr>
            </w:r>
            <w:r>
              <w:rPr>
                <w:noProof/>
                <w:webHidden/>
              </w:rPr>
              <w:fldChar w:fldCharType="separate"/>
            </w:r>
            <w:r>
              <w:rPr>
                <w:noProof/>
                <w:webHidden/>
              </w:rPr>
              <w:t>4</w:t>
            </w:r>
            <w:r>
              <w:rPr>
                <w:noProof/>
                <w:webHidden/>
              </w:rPr>
              <w:fldChar w:fldCharType="end"/>
            </w:r>
          </w:hyperlink>
        </w:p>
        <w:p w14:paraId="1090FC58" w14:textId="5D823432" w:rsidR="005B6432" w:rsidRDefault="005B6432">
          <w:pPr>
            <w:pStyle w:val="TOC2"/>
            <w:tabs>
              <w:tab w:val="right" w:leader="dot" w:pos="9016"/>
            </w:tabs>
            <w:rPr>
              <w:rFonts w:eastAsiaTheme="minorEastAsia"/>
              <w:b w:val="0"/>
              <w:bCs w:val="0"/>
              <w:noProof/>
              <w:sz w:val="24"/>
              <w:szCs w:val="24"/>
              <w:lang w:eastAsia="en-GB"/>
            </w:rPr>
          </w:pPr>
          <w:hyperlink w:anchor="_Toc175555958" w:history="1">
            <w:r w:rsidRPr="0099675A">
              <w:rPr>
                <w:rStyle w:val="Hyperlink"/>
                <w:noProof/>
              </w:rPr>
              <w:t>Analysis Using Strategic Frameworks:</w:t>
            </w:r>
            <w:r>
              <w:rPr>
                <w:noProof/>
                <w:webHidden/>
              </w:rPr>
              <w:tab/>
            </w:r>
            <w:r>
              <w:rPr>
                <w:noProof/>
                <w:webHidden/>
              </w:rPr>
              <w:fldChar w:fldCharType="begin"/>
            </w:r>
            <w:r>
              <w:rPr>
                <w:noProof/>
                <w:webHidden/>
              </w:rPr>
              <w:instrText xml:space="preserve"> PAGEREF _Toc175555958 \h </w:instrText>
            </w:r>
            <w:r>
              <w:rPr>
                <w:noProof/>
                <w:webHidden/>
              </w:rPr>
            </w:r>
            <w:r>
              <w:rPr>
                <w:noProof/>
                <w:webHidden/>
              </w:rPr>
              <w:fldChar w:fldCharType="separate"/>
            </w:r>
            <w:r>
              <w:rPr>
                <w:noProof/>
                <w:webHidden/>
              </w:rPr>
              <w:t>4</w:t>
            </w:r>
            <w:r>
              <w:rPr>
                <w:noProof/>
                <w:webHidden/>
              </w:rPr>
              <w:fldChar w:fldCharType="end"/>
            </w:r>
          </w:hyperlink>
        </w:p>
        <w:p w14:paraId="252D71EB" w14:textId="586EE568" w:rsidR="005B6432" w:rsidRDefault="005B6432">
          <w:pPr>
            <w:pStyle w:val="TOC1"/>
            <w:tabs>
              <w:tab w:val="right" w:leader="dot" w:pos="9016"/>
            </w:tabs>
            <w:rPr>
              <w:rFonts w:eastAsiaTheme="minorEastAsia"/>
              <w:b w:val="0"/>
              <w:bCs w:val="0"/>
              <w:i w:val="0"/>
              <w:iCs w:val="0"/>
              <w:noProof/>
              <w:lang w:eastAsia="en-GB"/>
            </w:rPr>
          </w:pPr>
          <w:hyperlink w:anchor="_Toc175555959" w:history="1">
            <w:r w:rsidRPr="0099675A">
              <w:rPr>
                <w:rStyle w:val="Hyperlink"/>
                <w:noProof/>
              </w:rPr>
              <w:t>Resources and Capabilities</w:t>
            </w:r>
            <w:r>
              <w:rPr>
                <w:noProof/>
                <w:webHidden/>
              </w:rPr>
              <w:tab/>
            </w:r>
            <w:r>
              <w:rPr>
                <w:noProof/>
                <w:webHidden/>
              </w:rPr>
              <w:fldChar w:fldCharType="begin"/>
            </w:r>
            <w:r>
              <w:rPr>
                <w:noProof/>
                <w:webHidden/>
              </w:rPr>
              <w:instrText xml:space="preserve"> PAGEREF _Toc175555959 \h </w:instrText>
            </w:r>
            <w:r>
              <w:rPr>
                <w:noProof/>
                <w:webHidden/>
              </w:rPr>
            </w:r>
            <w:r>
              <w:rPr>
                <w:noProof/>
                <w:webHidden/>
              </w:rPr>
              <w:fldChar w:fldCharType="separate"/>
            </w:r>
            <w:r>
              <w:rPr>
                <w:noProof/>
                <w:webHidden/>
              </w:rPr>
              <w:t>5</w:t>
            </w:r>
            <w:r>
              <w:rPr>
                <w:noProof/>
                <w:webHidden/>
              </w:rPr>
              <w:fldChar w:fldCharType="end"/>
            </w:r>
          </w:hyperlink>
        </w:p>
        <w:p w14:paraId="5B7815D1" w14:textId="68DF1157" w:rsidR="005B6432" w:rsidRDefault="005B6432">
          <w:pPr>
            <w:pStyle w:val="TOC2"/>
            <w:tabs>
              <w:tab w:val="right" w:leader="dot" w:pos="9016"/>
            </w:tabs>
            <w:rPr>
              <w:rFonts w:eastAsiaTheme="minorEastAsia"/>
              <w:b w:val="0"/>
              <w:bCs w:val="0"/>
              <w:noProof/>
              <w:sz w:val="24"/>
              <w:szCs w:val="24"/>
              <w:lang w:eastAsia="en-GB"/>
            </w:rPr>
          </w:pPr>
          <w:hyperlink w:anchor="_Toc175555960" w:history="1">
            <w:r w:rsidRPr="0099675A">
              <w:rPr>
                <w:rStyle w:val="Hyperlink"/>
                <w:noProof/>
              </w:rPr>
              <w:t>Tangible Resources:</w:t>
            </w:r>
            <w:r>
              <w:rPr>
                <w:noProof/>
                <w:webHidden/>
              </w:rPr>
              <w:tab/>
            </w:r>
            <w:r>
              <w:rPr>
                <w:noProof/>
                <w:webHidden/>
              </w:rPr>
              <w:fldChar w:fldCharType="begin"/>
            </w:r>
            <w:r>
              <w:rPr>
                <w:noProof/>
                <w:webHidden/>
              </w:rPr>
              <w:instrText xml:space="preserve"> PAGEREF _Toc175555960 \h </w:instrText>
            </w:r>
            <w:r>
              <w:rPr>
                <w:noProof/>
                <w:webHidden/>
              </w:rPr>
            </w:r>
            <w:r>
              <w:rPr>
                <w:noProof/>
                <w:webHidden/>
              </w:rPr>
              <w:fldChar w:fldCharType="separate"/>
            </w:r>
            <w:r>
              <w:rPr>
                <w:noProof/>
                <w:webHidden/>
              </w:rPr>
              <w:t>5</w:t>
            </w:r>
            <w:r>
              <w:rPr>
                <w:noProof/>
                <w:webHidden/>
              </w:rPr>
              <w:fldChar w:fldCharType="end"/>
            </w:r>
          </w:hyperlink>
        </w:p>
        <w:p w14:paraId="28E9DDC6" w14:textId="35299A7A" w:rsidR="005B6432" w:rsidRDefault="005B6432">
          <w:pPr>
            <w:pStyle w:val="TOC2"/>
            <w:tabs>
              <w:tab w:val="right" w:leader="dot" w:pos="9016"/>
            </w:tabs>
            <w:rPr>
              <w:rFonts w:eastAsiaTheme="minorEastAsia"/>
              <w:b w:val="0"/>
              <w:bCs w:val="0"/>
              <w:noProof/>
              <w:sz w:val="24"/>
              <w:szCs w:val="24"/>
              <w:lang w:eastAsia="en-GB"/>
            </w:rPr>
          </w:pPr>
          <w:hyperlink w:anchor="_Toc175555961" w:history="1">
            <w:r w:rsidRPr="0099675A">
              <w:rPr>
                <w:rStyle w:val="Hyperlink"/>
                <w:noProof/>
              </w:rPr>
              <w:t>Intangible Resources:</w:t>
            </w:r>
            <w:r>
              <w:rPr>
                <w:noProof/>
                <w:webHidden/>
              </w:rPr>
              <w:tab/>
            </w:r>
            <w:r>
              <w:rPr>
                <w:noProof/>
                <w:webHidden/>
              </w:rPr>
              <w:fldChar w:fldCharType="begin"/>
            </w:r>
            <w:r>
              <w:rPr>
                <w:noProof/>
                <w:webHidden/>
              </w:rPr>
              <w:instrText xml:space="preserve"> PAGEREF _Toc175555961 \h </w:instrText>
            </w:r>
            <w:r>
              <w:rPr>
                <w:noProof/>
                <w:webHidden/>
              </w:rPr>
            </w:r>
            <w:r>
              <w:rPr>
                <w:noProof/>
                <w:webHidden/>
              </w:rPr>
              <w:fldChar w:fldCharType="separate"/>
            </w:r>
            <w:r>
              <w:rPr>
                <w:noProof/>
                <w:webHidden/>
              </w:rPr>
              <w:t>5</w:t>
            </w:r>
            <w:r>
              <w:rPr>
                <w:noProof/>
                <w:webHidden/>
              </w:rPr>
              <w:fldChar w:fldCharType="end"/>
            </w:r>
          </w:hyperlink>
        </w:p>
        <w:p w14:paraId="2EEDCF85" w14:textId="0B3D4B66" w:rsidR="005B6432" w:rsidRDefault="005B6432">
          <w:pPr>
            <w:pStyle w:val="TOC2"/>
            <w:tabs>
              <w:tab w:val="right" w:leader="dot" w:pos="9016"/>
            </w:tabs>
            <w:rPr>
              <w:rFonts w:eastAsiaTheme="minorEastAsia"/>
              <w:b w:val="0"/>
              <w:bCs w:val="0"/>
              <w:noProof/>
              <w:sz w:val="24"/>
              <w:szCs w:val="24"/>
              <w:lang w:eastAsia="en-GB"/>
            </w:rPr>
          </w:pPr>
          <w:hyperlink w:anchor="_Toc175555962" w:history="1">
            <w:r w:rsidRPr="0099675A">
              <w:rPr>
                <w:rStyle w:val="Hyperlink"/>
                <w:noProof/>
              </w:rPr>
              <w:t>Capabilities:</w:t>
            </w:r>
            <w:r>
              <w:rPr>
                <w:noProof/>
                <w:webHidden/>
              </w:rPr>
              <w:tab/>
            </w:r>
            <w:r>
              <w:rPr>
                <w:noProof/>
                <w:webHidden/>
              </w:rPr>
              <w:fldChar w:fldCharType="begin"/>
            </w:r>
            <w:r>
              <w:rPr>
                <w:noProof/>
                <w:webHidden/>
              </w:rPr>
              <w:instrText xml:space="preserve"> PAGEREF _Toc175555962 \h </w:instrText>
            </w:r>
            <w:r>
              <w:rPr>
                <w:noProof/>
                <w:webHidden/>
              </w:rPr>
            </w:r>
            <w:r>
              <w:rPr>
                <w:noProof/>
                <w:webHidden/>
              </w:rPr>
              <w:fldChar w:fldCharType="separate"/>
            </w:r>
            <w:r>
              <w:rPr>
                <w:noProof/>
                <w:webHidden/>
              </w:rPr>
              <w:t>6</w:t>
            </w:r>
            <w:r>
              <w:rPr>
                <w:noProof/>
                <w:webHidden/>
              </w:rPr>
              <w:fldChar w:fldCharType="end"/>
            </w:r>
          </w:hyperlink>
        </w:p>
        <w:p w14:paraId="743EEBF1" w14:textId="1053F055" w:rsidR="005B6432" w:rsidRDefault="005B6432">
          <w:pPr>
            <w:pStyle w:val="TOC1"/>
            <w:tabs>
              <w:tab w:val="right" w:leader="dot" w:pos="9016"/>
            </w:tabs>
            <w:rPr>
              <w:rFonts w:eastAsiaTheme="minorEastAsia"/>
              <w:b w:val="0"/>
              <w:bCs w:val="0"/>
              <w:i w:val="0"/>
              <w:iCs w:val="0"/>
              <w:noProof/>
              <w:lang w:eastAsia="en-GB"/>
            </w:rPr>
          </w:pPr>
          <w:hyperlink w:anchor="_Toc175555963" w:history="1">
            <w:r w:rsidRPr="0099675A">
              <w:rPr>
                <w:rStyle w:val="Hyperlink"/>
                <w:noProof/>
              </w:rPr>
              <w:t>Evaluation of Strategy Implementation:</w:t>
            </w:r>
            <w:r>
              <w:rPr>
                <w:noProof/>
                <w:webHidden/>
              </w:rPr>
              <w:tab/>
            </w:r>
            <w:r>
              <w:rPr>
                <w:noProof/>
                <w:webHidden/>
              </w:rPr>
              <w:fldChar w:fldCharType="begin"/>
            </w:r>
            <w:r>
              <w:rPr>
                <w:noProof/>
                <w:webHidden/>
              </w:rPr>
              <w:instrText xml:space="preserve"> PAGEREF _Toc175555963 \h </w:instrText>
            </w:r>
            <w:r>
              <w:rPr>
                <w:noProof/>
                <w:webHidden/>
              </w:rPr>
            </w:r>
            <w:r>
              <w:rPr>
                <w:noProof/>
                <w:webHidden/>
              </w:rPr>
              <w:fldChar w:fldCharType="separate"/>
            </w:r>
            <w:r>
              <w:rPr>
                <w:noProof/>
                <w:webHidden/>
              </w:rPr>
              <w:t>7</w:t>
            </w:r>
            <w:r>
              <w:rPr>
                <w:noProof/>
                <w:webHidden/>
              </w:rPr>
              <w:fldChar w:fldCharType="end"/>
            </w:r>
          </w:hyperlink>
        </w:p>
        <w:p w14:paraId="2CEE7975" w14:textId="6647BAA1" w:rsidR="005B6432" w:rsidRDefault="005B6432">
          <w:pPr>
            <w:pStyle w:val="TOC1"/>
            <w:tabs>
              <w:tab w:val="right" w:leader="dot" w:pos="9016"/>
            </w:tabs>
            <w:rPr>
              <w:rFonts w:eastAsiaTheme="minorEastAsia"/>
              <w:b w:val="0"/>
              <w:bCs w:val="0"/>
              <w:i w:val="0"/>
              <w:iCs w:val="0"/>
              <w:noProof/>
              <w:lang w:eastAsia="en-GB"/>
            </w:rPr>
          </w:pPr>
          <w:hyperlink w:anchor="_Toc175555964" w:history="1">
            <w:r w:rsidRPr="0099675A">
              <w:rPr>
                <w:rStyle w:val="Hyperlink"/>
                <w:noProof/>
              </w:rPr>
              <w:t>Sustainability and Environmental Considerations</w:t>
            </w:r>
            <w:r>
              <w:rPr>
                <w:noProof/>
                <w:webHidden/>
              </w:rPr>
              <w:tab/>
            </w:r>
            <w:r>
              <w:rPr>
                <w:noProof/>
                <w:webHidden/>
              </w:rPr>
              <w:fldChar w:fldCharType="begin"/>
            </w:r>
            <w:r>
              <w:rPr>
                <w:noProof/>
                <w:webHidden/>
              </w:rPr>
              <w:instrText xml:space="preserve"> PAGEREF _Toc175555964 \h </w:instrText>
            </w:r>
            <w:r>
              <w:rPr>
                <w:noProof/>
                <w:webHidden/>
              </w:rPr>
            </w:r>
            <w:r>
              <w:rPr>
                <w:noProof/>
                <w:webHidden/>
              </w:rPr>
              <w:fldChar w:fldCharType="separate"/>
            </w:r>
            <w:r>
              <w:rPr>
                <w:noProof/>
                <w:webHidden/>
              </w:rPr>
              <w:t>8</w:t>
            </w:r>
            <w:r>
              <w:rPr>
                <w:noProof/>
                <w:webHidden/>
              </w:rPr>
              <w:fldChar w:fldCharType="end"/>
            </w:r>
          </w:hyperlink>
        </w:p>
        <w:p w14:paraId="53B64F8D" w14:textId="7E8BA658" w:rsidR="005B6432" w:rsidRDefault="005B6432">
          <w:pPr>
            <w:pStyle w:val="TOC1"/>
            <w:tabs>
              <w:tab w:val="right" w:leader="dot" w:pos="9016"/>
            </w:tabs>
            <w:rPr>
              <w:rFonts w:eastAsiaTheme="minorEastAsia"/>
              <w:b w:val="0"/>
              <w:bCs w:val="0"/>
              <w:i w:val="0"/>
              <w:iCs w:val="0"/>
              <w:noProof/>
              <w:lang w:eastAsia="en-GB"/>
            </w:rPr>
          </w:pPr>
          <w:hyperlink w:anchor="_Toc175555965" w:history="1">
            <w:r w:rsidRPr="0099675A">
              <w:rPr>
                <w:rStyle w:val="Hyperlink"/>
                <w:noProof/>
              </w:rPr>
              <w:t>Strategic Direction</w:t>
            </w:r>
            <w:r>
              <w:rPr>
                <w:noProof/>
                <w:webHidden/>
              </w:rPr>
              <w:tab/>
            </w:r>
            <w:r>
              <w:rPr>
                <w:noProof/>
                <w:webHidden/>
              </w:rPr>
              <w:fldChar w:fldCharType="begin"/>
            </w:r>
            <w:r>
              <w:rPr>
                <w:noProof/>
                <w:webHidden/>
              </w:rPr>
              <w:instrText xml:space="preserve"> PAGEREF _Toc175555965 \h </w:instrText>
            </w:r>
            <w:r>
              <w:rPr>
                <w:noProof/>
                <w:webHidden/>
              </w:rPr>
            </w:r>
            <w:r>
              <w:rPr>
                <w:noProof/>
                <w:webHidden/>
              </w:rPr>
              <w:fldChar w:fldCharType="separate"/>
            </w:r>
            <w:r>
              <w:rPr>
                <w:noProof/>
                <w:webHidden/>
              </w:rPr>
              <w:t>8</w:t>
            </w:r>
            <w:r>
              <w:rPr>
                <w:noProof/>
                <w:webHidden/>
              </w:rPr>
              <w:fldChar w:fldCharType="end"/>
            </w:r>
          </w:hyperlink>
        </w:p>
        <w:p w14:paraId="1416AA18" w14:textId="512B99D4" w:rsidR="005B6432" w:rsidRDefault="005B6432">
          <w:pPr>
            <w:pStyle w:val="TOC2"/>
            <w:tabs>
              <w:tab w:val="right" w:leader="dot" w:pos="9016"/>
            </w:tabs>
            <w:rPr>
              <w:rFonts w:eastAsiaTheme="minorEastAsia"/>
              <w:b w:val="0"/>
              <w:bCs w:val="0"/>
              <w:noProof/>
              <w:sz w:val="24"/>
              <w:szCs w:val="24"/>
              <w:lang w:eastAsia="en-GB"/>
            </w:rPr>
          </w:pPr>
          <w:hyperlink w:anchor="_Toc175555966" w:history="1">
            <w:r w:rsidRPr="0099675A">
              <w:rPr>
                <w:rStyle w:val="Hyperlink"/>
                <w:noProof/>
              </w:rPr>
              <w:t>SWOT Analysis</w:t>
            </w:r>
            <w:r>
              <w:rPr>
                <w:noProof/>
                <w:webHidden/>
              </w:rPr>
              <w:tab/>
            </w:r>
            <w:r>
              <w:rPr>
                <w:noProof/>
                <w:webHidden/>
              </w:rPr>
              <w:fldChar w:fldCharType="begin"/>
            </w:r>
            <w:r>
              <w:rPr>
                <w:noProof/>
                <w:webHidden/>
              </w:rPr>
              <w:instrText xml:space="preserve"> PAGEREF _Toc175555966 \h </w:instrText>
            </w:r>
            <w:r>
              <w:rPr>
                <w:noProof/>
                <w:webHidden/>
              </w:rPr>
            </w:r>
            <w:r>
              <w:rPr>
                <w:noProof/>
                <w:webHidden/>
              </w:rPr>
              <w:fldChar w:fldCharType="separate"/>
            </w:r>
            <w:r>
              <w:rPr>
                <w:noProof/>
                <w:webHidden/>
              </w:rPr>
              <w:t>8</w:t>
            </w:r>
            <w:r>
              <w:rPr>
                <w:noProof/>
                <w:webHidden/>
              </w:rPr>
              <w:fldChar w:fldCharType="end"/>
            </w:r>
          </w:hyperlink>
        </w:p>
        <w:p w14:paraId="44881457" w14:textId="08217075" w:rsidR="005B6432" w:rsidRDefault="005B6432">
          <w:pPr>
            <w:pStyle w:val="TOC1"/>
            <w:tabs>
              <w:tab w:val="right" w:leader="dot" w:pos="9016"/>
            </w:tabs>
            <w:rPr>
              <w:rFonts w:eastAsiaTheme="minorEastAsia"/>
              <w:b w:val="0"/>
              <w:bCs w:val="0"/>
              <w:i w:val="0"/>
              <w:iCs w:val="0"/>
              <w:noProof/>
              <w:lang w:eastAsia="en-GB"/>
            </w:rPr>
          </w:pPr>
          <w:hyperlink w:anchor="_Toc175555967" w:history="1">
            <w:r w:rsidRPr="0099675A">
              <w:rPr>
                <w:rStyle w:val="Hyperlink"/>
                <w:noProof/>
              </w:rPr>
              <w:t>Recommendations:</w:t>
            </w:r>
            <w:r>
              <w:rPr>
                <w:noProof/>
                <w:webHidden/>
              </w:rPr>
              <w:tab/>
            </w:r>
            <w:r>
              <w:rPr>
                <w:noProof/>
                <w:webHidden/>
              </w:rPr>
              <w:fldChar w:fldCharType="begin"/>
            </w:r>
            <w:r>
              <w:rPr>
                <w:noProof/>
                <w:webHidden/>
              </w:rPr>
              <w:instrText xml:space="preserve"> PAGEREF _Toc175555967 \h </w:instrText>
            </w:r>
            <w:r>
              <w:rPr>
                <w:noProof/>
                <w:webHidden/>
              </w:rPr>
            </w:r>
            <w:r>
              <w:rPr>
                <w:noProof/>
                <w:webHidden/>
              </w:rPr>
              <w:fldChar w:fldCharType="separate"/>
            </w:r>
            <w:r>
              <w:rPr>
                <w:noProof/>
                <w:webHidden/>
              </w:rPr>
              <w:t>9</w:t>
            </w:r>
            <w:r>
              <w:rPr>
                <w:noProof/>
                <w:webHidden/>
              </w:rPr>
              <w:fldChar w:fldCharType="end"/>
            </w:r>
          </w:hyperlink>
        </w:p>
        <w:p w14:paraId="33811B3B" w14:textId="37DBB309" w:rsidR="005B6432" w:rsidRDefault="005B6432">
          <w:pPr>
            <w:pStyle w:val="TOC1"/>
            <w:tabs>
              <w:tab w:val="right" w:leader="dot" w:pos="9016"/>
            </w:tabs>
            <w:rPr>
              <w:rFonts w:eastAsiaTheme="minorEastAsia"/>
              <w:b w:val="0"/>
              <w:bCs w:val="0"/>
              <w:i w:val="0"/>
              <w:iCs w:val="0"/>
              <w:noProof/>
              <w:lang w:eastAsia="en-GB"/>
            </w:rPr>
          </w:pPr>
          <w:hyperlink w:anchor="_Toc175555968" w:history="1">
            <w:r w:rsidRPr="0099675A">
              <w:rPr>
                <w:rStyle w:val="Hyperlink"/>
                <w:noProof/>
              </w:rPr>
              <w:t>Conclusion</w:t>
            </w:r>
            <w:r>
              <w:rPr>
                <w:noProof/>
                <w:webHidden/>
              </w:rPr>
              <w:tab/>
            </w:r>
            <w:r>
              <w:rPr>
                <w:noProof/>
                <w:webHidden/>
              </w:rPr>
              <w:fldChar w:fldCharType="begin"/>
            </w:r>
            <w:r>
              <w:rPr>
                <w:noProof/>
                <w:webHidden/>
              </w:rPr>
              <w:instrText xml:space="preserve"> PAGEREF _Toc175555968 \h </w:instrText>
            </w:r>
            <w:r>
              <w:rPr>
                <w:noProof/>
                <w:webHidden/>
              </w:rPr>
            </w:r>
            <w:r>
              <w:rPr>
                <w:noProof/>
                <w:webHidden/>
              </w:rPr>
              <w:fldChar w:fldCharType="separate"/>
            </w:r>
            <w:r>
              <w:rPr>
                <w:noProof/>
                <w:webHidden/>
              </w:rPr>
              <w:t>10</w:t>
            </w:r>
            <w:r>
              <w:rPr>
                <w:noProof/>
                <w:webHidden/>
              </w:rPr>
              <w:fldChar w:fldCharType="end"/>
            </w:r>
          </w:hyperlink>
        </w:p>
        <w:p w14:paraId="7AFE872A" w14:textId="3F5EF731" w:rsidR="005B6432" w:rsidRDefault="005B6432">
          <w:pPr>
            <w:pStyle w:val="TOC1"/>
            <w:tabs>
              <w:tab w:val="right" w:leader="dot" w:pos="9016"/>
            </w:tabs>
            <w:rPr>
              <w:rFonts w:eastAsiaTheme="minorEastAsia"/>
              <w:b w:val="0"/>
              <w:bCs w:val="0"/>
              <w:i w:val="0"/>
              <w:iCs w:val="0"/>
              <w:noProof/>
              <w:lang w:eastAsia="en-GB"/>
            </w:rPr>
          </w:pPr>
          <w:hyperlink w:anchor="_Toc175555969" w:history="1">
            <w:r w:rsidRPr="0099675A">
              <w:rPr>
                <w:rStyle w:val="Hyperlink"/>
                <w:noProof/>
              </w:rPr>
              <w:t>References</w:t>
            </w:r>
            <w:r>
              <w:rPr>
                <w:noProof/>
                <w:webHidden/>
              </w:rPr>
              <w:tab/>
            </w:r>
            <w:r>
              <w:rPr>
                <w:noProof/>
                <w:webHidden/>
              </w:rPr>
              <w:fldChar w:fldCharType="begin"/>
            </w:r>
            <w:r>
              <w:rPr>
                <w:noProof/>
                <w:webHidden/>
              </w:rPr>
              <w:instrText xml:space="preserve"> PAGEREF _Toc175555969 \h </w:instrText>
            </w:r>
            <w:r>
              <w:rPr>
                <w:noProof/>
                <w:webHidden/>
              </w:rPr>
            </w:r>
            <w:r>
              <w:rPr>
                <w:noProof/>
                <w:webHidden/>
              </w:rPr>
              <w:fldChar w:fldCharType="separate"/>
            </w:r>
            <w:r>
              <w:rPr>
                <w:noProof/>
                <w:webHidden/>
              </w:rPr>
              <w:t>11</w:t>
            </w:r>
            <w:r>
              <w:rPr>
                <w:noProof/>
                <w:webHidden/>
              </w:rPr>
              <w:fldChar w:fldCharType="end"/>
            </w:r>
          </w:hyperlink>
        </w:p>
        <w:p w14:paraId="11944335" w14:textId="15F93CBE" w:rsidR="005B6432" w:rsidRDefault="005B6432">
          <w:pPr>
            <w:pStyle w:val="TOC1"/>
            <w:tabs>
              <w:tab w:val="right" w:leader="dot" w:pos="9016"/>
            </w:tabs>
            <w:rPr>
              <w:rFonts w:eastAsiaTheme="minorEastAsia"/>
              <w:b w:val="0"/>
              <w:bCs w:val="0"/>
              <w:i w:val="0"/>
              <w:iCs w:val="0"/>
              <w:noProof/>
              <w:lang w:eastAsia="en-GB"/>
            </w:rPr>
          </w:pPr>
          <w:hyperlink w:anchor="_Toc175555970" w:history="1">
            <w:r w:rsidRPr="0099675A">
              <w:rPr>
                <w:rStyle w:val="Hyperlink"/>
                <w:noProof/>
              </w:rPr>
              <w:t>Appendices:</w:t>
            </w:r>
            <w:r>
              <w:rPr>
                <w:noProof/>
                <w:webHidden/>
              </w:rPr>
              <w:tab/>
            </w:r>
            <w:r>
              <w:rPr>
                <w:noProof/>
                <w:webHidden/>
              </w:rPr>
              <w:fldChar w:fldCharType="begin"/>
            </w:r>
            <w:r>
              <w:rPr>
                <w:noProof/>
                <w:webHidden/>
              </w:rPr>
              <w:instrText xml:space="preserve"> PAGEREF _Toc175555970 \h </w:instrText>
            </w:r>
            <w:r>
              <w:rPr>
                <w:noProof/>
                <w:webHidden/>
              </w:rPr>
            </w:r>
            <w:r>
              <w:rPr>
                <w:noProof/>
                <w:webHidden/>
              </w:rPr>
              <w:fldChar w:fldCharType="separate"/>
            </w:r>
            <w:r>
              <w:rPr>
                <w:noProof/>
                <w:webHidden/>
              </w:rPr>
              <w:t>12</w:t>
            </w:r>
            <w:r>
              <w:rPr>
                <w:noProof/>
                <w:webHidden/>
              </w:rPr>
              <w:fldChar w:fldCharType="end"/>
            </w:r>
          </w:hyperlink>
        </w:p>
        <w:p w14:paraId="7FE2FFC6" w14:textId="30134FCB" w:rsidR="005B6432" w:rsidRDefault="005B6432">
          <w:pPr>
            <w:pStyle w:val="TOC2"/>
            <w:tabs>
              <w:tab w:val="right" w:leader="dot" w:pos="9016"/>
            </w:tabs>
            <w:rPr>
              <w:rFonts w:eastAsiaTheme="minorEastAsia"/>
              <w:b w:val="0"/>
              <w:bCs w:val="0"/>
              <w:noProof/>
              <w:sz w:val="24"/>
              <w:szCs w:val="24"/>
              <w:lang w:eastAsia="en-GB"/>
            </w:rPr>
          </w:pPr>
          <w:hyperlink w:anchor="_Toc175555971" w:history="1">
            <w:r w:rsidRPr="0099675A">
              <w:rPr>
                <w:rStyle w:val="Hyperlink"/>
                <w:noProof/>
              </w:rPr>
              <w:t>Appendix A: SWOT Analysis</w:t>
            </w:r>
            <w:r>
              <w:rPr>
                <w:noProof/>
                <w:webHidden/>
              </w:rPr>
              <w:tab/>
            </w:r>
            <w:r>
              <w:rPr>
                <w:noProof/>
                <w:webHidden/>
              </w:rPr>
              <w:fldChar w:fldCharType="begin"/>
            </w:r>
            <w:r>
              <w:rPr>
                <w:noProof/>
                <w:webHidden/>
              </w:rPr>
              <w:instrText xml:space="preserve"> PAGEREF _Toc175555971 \h </w:instrText>
            </w:r>
            <w:r>
              <w:rPr>
                <w:noProof/>
                <w:webHidden/>
              </w:rPr>
            </w:r>
            <w:r>
              <w:rPr>
                <w:noProof/>
                <w:webHidden/>
              </w:rPr>
              <w:fldChar w:fldCharType="separate"/>
            </w:r>
            <w:r>
              <w:rPr>
                <w:noProof/>
                <w:webHidden/>
              </w:rPr>
              <w:t>12</w:t>
            </w:r>
            <w:r>
              <w:rPr>
                <w:noProof/>
                <w:webHidden/>
              </w:rPr>
              <w:fldChar w:fldCharType="end"/>
            </w:r>
          </w:hyperlink>
        </w:p>
        <w:p w14:paraId="427B3F9F" w14:textId="097CE3B6" w:rsidR="005B6432" w:rsidRDefault="005B6432">
          <w:pPr>
            <w:pStyle w:val="TOC2"/>
            <w:tabs>
              <w:tab w:val="right" w:leader="dot" w:pos="9016"/>
            </w:tabs>
            <w:rPr>
              <w:rFonts w:eastAsiaTheme="minorEastAsia"/>
              <w:b w:val="0"/>
              <w:bCs w:val="0"/>
              <w:noProof/>
              <w:sz w:val="24"/>
              <w:szCs w:val="24"/>
              <w:lang w:eastAsia="en-GB"/>
            </w:rPr>
          </w:pPr>
          <w:hyperlink w:anchor="_Toc175555972" w:history="1">
            <w:r w:rsidRPr="0099675A">
              <w:rPr>
                <w:rStyle w:val="Hyperlink"/>
                <w:noProof/>
              </w:rPr>
              <w:t>Appendix B: PESTEL Analysis</w:t>
            </w:r>
            <w:r>
              <w:rPr>
                <w:noProof/>
                <w:webHidden/>
              </w:rPr>
              <w:tab/>
            </w:r>
            <w:r>
              <w:rPr>
                <w:noProof/>
                <w:webHidden/>
              </w:rPr>
              <w:fldChar w:fldCharType="begin"/>
            </w:r>
            <w:r>
              <w:rPr>
                <w:noProof/>
                <w:webHidden/>
              </w:rPr>
              <w:instrText xml:space="preserve"> PAGEREF _Toc175555972 \h </w:instrText>
            </w:r>
            <w:r>
              <w:rPr>
                <w:noProof/>
                <w:webHidden/>
              </w:rPr>
            </w:r>
            <w:r>
              <w:rPr>
                <w:noProof/>
                <w:webHidden/>
              </w:rPr>
              <w:fldChar w:fldCharType="separate"/>
            </w:r>
            <w:r>
              <w:rPr>
                <w:noProof/>
                <w:webHidden/>
              </w:rPr>
              <w:t>13</w:t>
            </w:r>
            <w:r>
              <w:rPr>
                <w:noProof/>
                <w:webHidden/>
              </w:rPr>
              <w:fldChar w:fldCharType="end"/>
            </w:r>
          </w:hyperlink>
        </w:p>
        <w:p w14:paraId="0D4497CC" w14:textId="2F5CEE7E" w:rsidR="005B6432" w:rsidRDefault="005B6432">
          <w:pPr>
            <w:pStyle w:val="TOC2"/>
            <w:tabs>
              <w:tab w:val="right" w:leader="dot" w:pos="9016"/>
            </w:tabs>
            <w:rPr>
              <w:rFonts w:eastAsiaTheme="minorEastAsia"/>
              <w:b w:val="0"/>
              <w:bCs w:val="0"/>
              <w:noProof/>
              <w:sz w:val="24"/>
              <w:szCs w:val="24"/>
              <w:lang w:eastAsia="en-GB"/>
            </w:rPr>
          </w:pPr>
          <w:hyperlink w:anchor="_Toc175555973" w:history="1">
            <w:r w:rsidRPr="0099675A">
              <w:rPr>
                <w:rStyle w:val="Hyperlink"/>
                <w:noProof/>
              </w:rPr>
              <w:t>Appendix C: Porter’s Five Forces Analysis</w:t>
            </w:r>
            <w:r>
              <w:rPr>
                <w:noProof/>
                <w:webHidden/>
              </w:rPr>
              <w:tab/>
            </w:r>
            <w:r>
              <w:rPr>
                <w:noProof/>
                <w:webHidden/>
              </w:rPr>
              <w:fldChar w:fldCharType="begin"/>
            </w:r>
            <w:r>
              <w:rPr>
                <w:noProof/>
                <w:webHidden/>
              </w:rPr>
              <w:instrText xml:space="preserve"> PAGEREF _Toc175555973 \h </w:instrText>
            </w:r>
            <w:r>
              <w:rPr>
                <w:noProof/>
                <w:webHidden/>
              </w:rPr>
            </w:r>
            <w:r>
              <w:rPr>
                <w:noProof/>
                <w:webHidden/>
              </w:rPr>
              <w:fldChar w:fldCharType="separate"/>
            </w:r>
            <w:r>
              <w:rPr>
                <w:noProof/>
                <w:webHidden/>
              </w:rPr>
              <w:t>14</w:t>
            </w:r>
            <w:r>
              <w:rPr>
                <w:noProof/>
                <w:webHidden/>
              </w:rPr>
              <w:fldChar w:fldCharType="end"/>
            </w:r>
          </w:hyperlink>
        </w:p>
        <w:p w14:paraId="1B802934" w14:textId="4D4A886C" w:rsidR="005B6432" w:rsidRDefault="005B6432">
          <w:pPr>
            <w:pStyle w:val="TOC2"/>
            <w:tabs>
              <w:tab w:val="right" w:leader="dot" w:pos="9016"/>
            </w:tabs>
            <w:rPr>
              <w:rFonts w:eastAsiaTheme="minorEastAsia"/>
              <w:b w:val="0"/>
              <w:bCs w:val="0"/>
              <w:noProof/>
              <w:sz w:val="24"/>
              <w:szCs w:val="24"/>
              <w:lang w:eastAsia="en-GB"/>
            </w:rPr>
          </w:pPr>
          <w:hyperlink w:anchor="_Toc175555974" w:history="1">
            <w:r w:rsidRPr="0099675A">
              <w:rPr>
                <w:rStyle w:val="Hyperlink"/>
                <w:noProof/>
              </w:rPr>
              <w:t>Appendix D: Ansoff Matrix</w:t>
            </w:r>
            <w:r>
              <w:rPr>
                <w:noProof/>
                <w:webHidden/>
              </w:rPr>
              <w:tab/>
            </w:r>
            <w:r>
              <w:rPr>
                <w:noProof/>
                <w:webHidden/>
              </w:rPr>
              <w:fldChar w:fldCharType="begin"/>
            </w:r>
            <w:r>
              <w:rPr>
                <w:noProof/>
                <w:webHidden/>
              </w:rPr>
              <w:instrText xml:space="preserve"> PAGEREF _Toc175555974 \h </w:instrText>
            </w:r>
            <w:r>
              <w:rPr>
                <w:noProof/>
                <w:webHidden/>
              </w:rPr>
            </w:r>
            <w:r>
              <w:rPr>
                <w:noProof/>
                <w:webHidden/>
              </w:rPr>
              <w:fldChar w:fldCharType="separate"/>
            </w:r>
            <w:r>
              <w:rPr>
                <w:noProof/>
                <w:webHidden/>
              </w:rPr>
              <w:t>15</w:t>
            </w:r>
            <w:r>
              <w:rPr>
                <w:noProof/>
                <w:webHidden/>
              </w:rPr>
              <w:fldChar w:fldCharType="end"/>
            </w:r>
          </w:hyperlink>
        </w:p>
        <w:p w14:paraId="1EB97D4B" w14:textId="5B209E25" w:rsidR="005B6432" w:rsidRDefault="005B6432">
          <w:pPr>
            <w:pStyle w:val="TOC2"/>
            <w:tabs>
              <w:tab w:val="right" w:leader="dot" w:pos="9016"/>
            </w:tabs>
            <w:rPr>
              <w:rFonts w:eastAsiaTheme="minorEastAsia"/>
              <w:b w:val="0"/>
              <w:bCs w:val="0"/>
              <w:noProof/>
              <w:sz w:val="24"/>
              <w:szCs w:val="24"/>
              <w:lang w:eastAsia="en-GB"/>
            </w:rPr>
          </w:pPr>
          <w:hyperlink w:anchor="_Toc175555975" w:history="1">
            <w:r w:rsidRPr="0099675A">
              <w:rPr>
                <w:rStyle w:val="Hyperlink"/>
                <w:noProof/>
              </w:rPr>
              <w:t>Appendix E: Porter’s Generic Strategies</w:t>
            </w:r>
            <w:r>
              <w:rPr>
                <w:noProof/>
                <w:webHidden/>
              </w:rPr>
              <w:tab/>
            </w:r>
            <w:r>
              <w:rPr>
                <w:noProof/>
                <w:webHidden/>
              </w:rPr>
              <w:fldChar w:fldCharType="begin"/>
            </w:r>
            <w:r>
              <w:rPr>
                <w:noProof/>
                <w:webHidden/>
              </w:rPr>
              <w:instrText xml:space="preserve"> PAGEREF _Toc175555975 \h </w:instrText>
            </w:r>
            <w:r>
              <w:rPr>
                <w:noProof/>
                <w:webHidden/>
              </w:rPr>
            </w:r>
            <w:r>
              <w:rPr>
                <w:noProof/>
                <w:webHidden/>
              </w:rPr>
              <w:fldChar w:fldCharType="separate"/>
            </w:r>
            <w:r>
              <w:rPr>
                <w:noProof/>
                <w:webHidden/>
              </w:rPr>
              <w:t>16</w:t>
            </w:r>
            <w:r>
              <w:rPr>
                <w:noProof/>
                <w:webHidden/>
              </w:rPr>
              <w:fldChar w:fldCharType="end"/>
            </w:r>
          </w:hyperlink>
        </w:p>
        <w:p w14:paraId="4D087213" w14:textId="15750F2B" w:rsidR="005B6432" w:rsidRDefault="005B6432">
          <w:pPr>
            <w:pStyle w:val="TOC2"/>
            <w:tabs>
              <w:tab w:val="right" w:leader="dot" w:pos="9016"/>
            </w:tabs>
            <w:rPr>
              <w:rFonts w:eastAsiaTheme="minorEastAsia"/>
              <w:b w:val="0"/>
              <w:bCs w:val="0"/>
              <w:noProof/>
              <w:sz w:val="24"/>
              <w:szCs w:val="24"/>
              <w:lang w:eastAsia="en-GB"/>
            </w:rPr>
          </w:pPr>
          <w:hyperlink w:anchor="_Toc175555976" w:history="1">
            <w:r w:rsidRPr="0099675A">
              <w:rPr>
                <w:rStyle w:val="Hyperlink"/>
                <w:noProof/>
              </w:rPr>
              <w:t>Appendix D: Financial Performance Data</w:t>
            </w:r>
            <w:r>
              <w:rPr>
                <w:noProof/>
                <w:webHidden/>
              </w:rPr>
              <w:tab/>
            </w:r>
            <w:r>
              <w:rPr>
                <w:noProof/>
                <w:webHidden/>
              </w:rPr>
              <w:fldChar w:fldCharType="begin"/>
            </w:r>
            <w:r>
              <w:rPr>
                <w:noProof/>
                <w:webHidden/>
              </w:rPr>
              <w:instrText xml:space="preserve"> PAGEREF _Toc175555976 \h </w:instrText>
            </w:r>
            <w:r>
              <w:rPr>
                <w:noProof/>
                <w:webHidden/>
              </w:rPr>
            </w:r>
            <w:r>
              <w:rPr>
                <w:noProof/>
                <w:webHidden/>
              </w:rPr>
              <w:fldChar w:fldCharType="separate"/>
            </w:r>
            <w:r>
              <w:rPr>
                <w:noProof/>
                <w:webHidden/>
              </w:rPr>
              <w:t>16</w:t>
            </w:r>
            <w:r>
              <w:rPr>
                <w:noProof/>
                <w:webHidden/>
              </w:rPr>
              <w:fldChar w:fldCharType="end"/>
            </w:r>
          </w:hyperlink>
        </w:p>
        <w:p w14:paraId="580D15D9" w14:textId="04B37A39" w:rsidR="005B6432" w:rsidRDefault="005B6432">
          <w:pPr>
            <w:pStyle w:val="TOC2"/>
            <w:tabs>
              <w:tab w:val="right" w:leader="dot" w:pos="9016"/>
            </w:tabs>
            <w:rPr>
              <w:rFonts w:eastAsiaTheme="minorEastAsia"/>
              <w:b w:val="0"/>
              <w:bCs w:val="0"/>
              <w:noProof/>
              <w:sz w:val="24"/>
              <w:szCs w:val="24"/>
              <w:lang w:eastAsia="en-GB"/>
            </w:rPr>
          </w:pPr>
          <w:hyperlink w:anchor="_Toc175555977" w:history="1">
            <w:r w:rsidRPr="0099675A">
              <w:rPr>
                <w:rStyle w:val="Hyperlink"/>
                <w:noProof/>
              </w:rPr>
              <w:t>Appendix E: Customer Satisfaction Survey Results</w:t>
            </w:r>
            <w:r>
              <w:rPr>
                <w:noProof/>
                <w:webHidden/>
              </w:rPr>
              <w:tab/>
            </w:r>
            <w:r>
              <w:rPr>
                <w:noProof/>
                <w:webHidden/>
              </w:rPr>
              <w:fldChar w:fldCharType="begin"/>
            </w:r>
            <w:r>
              <w:rPr>
                <w:noProof/>
                <w:webHidden/>
              </w:rPr>
              <w:instrText xml:space="preserve"> PAGEREF _Toc175555977 \h </w:instrText>
            </w:r>
            <w:r>
              <w:rPr>
                <w:noProof/>
                <w:webHidden/>
              </w:rPr>
            </w:r>
            <w:r>
              <w:rPr>
                <w:noProof/>
                <w:webHidden/>
              </w:rPr>
              <w:fldChar w:fldCharType="separate"/>
            </w:r>
            <w:r>
              <w:rPr>
                <w:noProof/>
                <w:webHidden/>
              </w:rPr>
              <w:t>17</w:t>
            </w:r>
            <w:r>
              <w:rPr>
                <w:noProof/>
                <w:webHidden/>
              </w:rPr>
              <w:fldChar w:fldCharType="end"/>
            </w:r>
          </w:hyperlink>
        </w:p>
        <w:p w14:paraId="6F7FBE38" w14:textId="090C0299" w:rsidR="00074258" w:rsidRDefault="00074258">
          <w:r>
            <w:rPr>
              <w:b/>
              <w:bCs/>
              <w:noProof/>
            </w:rPr>
            <w:fldChar w:fldCharType="end"/>
          </w:r>
        </w:p>
      </w:sdtContent>
    </w:sdt>
    <w:p w14:paraId="14283377" w14:textId="77777777" w:rsidR="00074258" w:rsidRPr="00074258" w:rsidRDefault="00074258" w:rsidP="00074258">
      <w:pPr>
        <w:spacing w:line="600" w:lineRule="auto"/>
        <w:rPr>
          <w:rFonts w:ascii="Arial" w:hAnsi="Arial" w:cs="Arial"/>
          <w:i/>
          <w:iCs/>
        </w:rPr>
      </w:pPr>
    </w:p>
    <w:p w14:paraId="022D5E82" w14:textId="77777777" w:rsidR="00074258" w:rsidRDefault="00074258" w:rsidP="00C643D5">
      <w:pPr>
        <w:rPr>
          <w:rFonts w:ascii="Arial" w:hAnsi="Arial" w:cs="Arial"/>
          <w:b/>
          <w:bCs/>
          <w:sz w:val="28"/>
          <w:szCs w:val="28"/>
        </w:rPr>
      </w:pPr>
    </w:p>
    <w:p w14:paraId="10A346BC" w14:textId="77777777" w:rsidR="00074258" w:rsidRDefault="00074258" w:rsidP="00C643D5">
      <w:pPr>
        <w:rPr>
          <w:rFonts w:ascii="Arial" w:hAnsi="Arial" w:cs="Arial"/>
          <w:b/>
          <w:bCs/>
          <w:sz w:val="28"/>
          <w:szCs w:val="28"/>
        </w:rPr>
      </w:pPr>
    </w:p>
    <w:p w14:paraId="6067A64E" w14:textId="77777777" w:rsidR="00074258" w:rsidRDefault="00074258" w:rsidP="00C643D5">
      <w:pPr>
        <w:rPr>
          <w:rFonts w:ascii="Arial" w:hAnsi="Arial" w:cs="Arial"/>
          <w:b/>
          <w:bCs/>
          <w:sz w:val="28"/>
          <w:szCs w:val="28"/>
        </w:rPr>
      </w:pPr>
    </w:p>
    <w:p w14:paraId="17DCFD0D" w14:textId="77777777" w:rsidR="00074258" w:rsidRDefault="00074258" w:rsidP="00C643D5">
      <w:pPr>
        <w:rPr>
          <w:rFonts w:ascii="Arial" w:hAnsi="Arial" w:cs="Arial"/>
          <w:b/>
          <w:bCs/>
          <w:sz w:val="28"/>
          <w:szCs w:val="28"/>
        </w:rPr>
      </w:pPr>
    </w:p>
    <w:p w14:paraId="51EBD01F" w14:textId="39C1C87C" w:rsidR="00C643D5" w:rsidRPr="00C643D5" w:rsidRDefault="00C643D5" w:rsidP="005B6432">
      <w:pPr>
        <w:pStyle w:val="Heading1"/>
        <w:jc w:val="both"/>
      </w:pPr>
      <w:bookmarkStart w:id="0" w:name="_Toc175555953"/>
      <w:r w:rsidRPr="00C643D5">
        <w:t>Introduction</w:t>
      </w:r>
      <w:bookmarkEnd w:id="0"/>
    </w:p>
    <w:p w14:paraId="5E54E6D1" w14:textId="040D6CAC" w:rsidR="009F4662" w:rsidRPr="009F4662" w:rsidRDefault="009F4662" w:rsidP="005B6432">
      <w:pPr>
        <w:jc w:val="both"/>
        <w:rPr>
          <w:rFonts w:ascii="Arial" w:hAnsi="Arial" w:cs="Arial"/>
        </w:rPr>
      </w:pPr>
      <w:r w:rsidRPr="009F4662">
        <w:rPr>
          <w:rFonts w:ascii="Arial" w:hAnsi="Arial" w:cs="Arial"/>
        </w:rPr>
        <w:t>This report offers a strategic review of Unilever PLC, a major player in the global consumer goods sector.</w:t>
      </w:r>
      <w:r w:rsidR="00D609DC">
        <w:rPr>
          <w:rFonts w:ascii="Arial" w:hAnsi="Arial" w:cs="Arial"/>
        </w:rPr>
        <w:t xml:space="preserve"> </w:t>
      </w:r>
      <w:r w:rsidRPr="009F4662">
        <w:rPr>
          <w:rFonts w:ascii="Arial" w:hAnsi="Arial" w:cs="Arial"/>
        </w:rPr>
        <w:t>The report evaluates Unilever’s corporate and business strategies, examining their formulation, implementation, and alignment with the company’s resources and capabilities. It assesses how these strategies impact Unilever's market position, operational efficiency, and overall performance. Additionally, it explores Unilever’s commitment to sustainability through its Unilever Sustainable Living Plan (USLP) and its role in the company's strategic vision.</w:t>
      </w:r>
    </w:p>
    <w:p w14:paraId="7A27D496" w14:textId="600366BA" w:rsidR="009F4662" w:rsidRPr="009F4662" w:rsidRDefault="009F4662" w:rsidP="005B6432">
      <w:pPr>
        <w:jc w:val="both"/>
        <w:rPr>
          <w:rFonts w:ascii="Arial" w:hAnsi="Arial" w:cs="Arial"/>
        </w:rPr>
      </w:pPr>
      <w:r w:rsidRPr="009F4662">
        <w:rPr>
          <w:rFonts w:ascii="Arial" w:hAnsi="Arial" w:cs="Arial"/>
        </w:rPr>
        <w:t>The report aims to assess the effectiveness of Unilever’s strategic choices and their implementation, providing insights into how these strategies have fortified the company's competitive position and identifying areas for further improvement.</w:t>
      </w:r>
    </w:p>
    <w:p w14:paraId="74CBFA89" w14:textId="23B1B5E3" w:rsidR="009F4662" w:rsidRDefault="009F4662" w:rsidP="005B6432">
      <w:pPr>
        <w:jc w:val="both"/>
        <w:rPr>
          <w:rFonts w:ascii="Arial" w:hAnsi="Arial" w:cs="Arial"/>
        </w:rPr>
      </w:pPr>
      <w:r w:rsidRPr="009F4662">
        <w:rPr>
          <w:rFonts w:ascii="Arial" w:hAnsi="Arial" w:cs="Arial"/>
        </w:rPr>
        <w:t>The analysis covers Unilever’s strategies, their alignment with resources, impact on performance, and sustainability practices. It also explores future strategic directions and provides recommendations for enhancing competitive advantage through innovation and sustainability.</w:t>
      </w:r>
    </w:p>
    <w:p w14:paraId="6552EE11" w14:textId="2BB98802" w:rsidR="00D609DC" w:rsidRPr="00D609DC" w:rsidRDefault="00B57F54" w:rsidP="005B6432">
      <w:pPr>
        <w:pStyle w:val="Heading1"/>
        <w:jc w:val="both"/>
      </w:pPr>
      <w:bookmarkStart w:id="1" w:name="_Toc175555954"/>
      <w:r w:rsidRPr="00B57F54">
        <w:t>Company Overview</w:t>
      </w:r>
      <w:bookmarkEnd w:id="1"/>
    </w:p>
    <w:p w14:paraId="1DC92032" w14:textId="77777777" w:rsidR="00D609DC" w:rsidRPr="00D609DC" w:rsidRDefault="00D609DC" w:rsidP="005B6432">
      <w:pPr>
        <w:jc w:val="both"/>
        <w:rPr>
          <w:rFonts w:ascii="Arial" w:hAnsi="Arial" w:cs="Arial"/>
        </w:rPr>
      </w:pPr>
      <w:r w:rsidRPr="00D609DC">
        <w:rPr>
          <w:rFonts w:ascii="Arial" w:hAnsi="Arial" w:cs="Arial"/>
        </w:rPr>
        <w:t>Unilever, a British-Dutch multinational formed in 1929 from the merger of Lever Brothers and Margarine Unie, is one of the world’s largest consumer goods companies. Known for its commitment to sustainability and innovation, Unilever boasts a diverse portfolio of over 400 brands across food, beverages, cleaning products, and personal care. With operations in over 190 countries, it serves billions globally. Iconic brands such as Dove, Knorr, Lipton, Hellmann’s, and Axe exemplify its market leadership and consumer trust (Unilever, 2023).</w:t>
      </w:r>
    </w:p>
    <w:p w14:paraId="51A41037" w14:textId="5A75A3E2" w:rsidR="00D609DC" w:rsidRPr="00D609DC" w:rsidRDefault="00D609DC" w:rsidP="005B6432">
      <w:pPr>
        <w:jc w:val="both"/>
        <w:rPr>
          <w:rFonts w:ascii="Arial" w:hAnsi="Arial" w:cs="Arial"/>
        </w:rPr>
      </w:pPr>
      <w:r w:rsidRPr="00D609DC">
        <w:rPr>
          <w:rFonts w:ascii="Arial" w:hAnsi="Arial" w:cs="Arial"/>
        </w:rPr>
        <w:t>Unilever’s extensive global presence allows it to excel in both mature markets like Europe and North America, where it holds strong consumer loyalty, and emerging markets in Asia, Africa, and Latin America, which drive nearly 60% of its revenue (Unilever, 2023). Its diversified product range includes leading personal care brands (Dove, Sunsilk), household cleaning staples (Surf, Domestos), and prominent food and beverage brands (Knorr, Lipton). This broad portfolio enables Unilever to mitigate risks, capitalize on cross-category synergies, and strengthen its market position.</w:t>
      </w:r>
    </w:p>
    <w:p w14:paraId="1B359938" w14:textId="12A31E77" w:rsidR="00D609DC" w:rsidRDefault="00B57F54" w:rsidP="005B6432">
      <w:pPr>
        <w:pStyle w:val="Heading1"/>
        <w:jc w:val="both"/>
      </w:pPr>
      <w:bookmarkStart w:id="2" w:name="_Toc175555955"/>
      <w:r w:rsidRPr="00B57F54">
        <w:lastRenderedPageBreak/>
        <w:t>Corporate and Business Strategies</w:t>
      </w:r>
      <w:bookmarkEnd w:id="2"/>
    </w:p>
    <w:p w14:paraId="1DFDCCC3" w14:textId="77777777" w:rsidR="00D609DC" w:rsidRPr="00D609DC" w:rsidRDefault="00D609DC" w:rsidP="005B6432">
      <w:pPr>
        <w:pStyle w:val="Heading2"/>
        <w:jc w:val="both"/>
      </w:pPr>
      <w:bookmarkStart w:id="3" w:name="_Toc175555956"/>
      <w:r w:rsidRPr="00D609DC">
        <w:t>Corporate Strategies:</w:t>
      </w:r>
      <w:bookmarkEnd w:id="3"/>
    </w:p>
    <w:p w14:paraId="2CA50F83" w14:textId="77777777" w:rsidR="00D609DC" w:rsidRPr="00D609DC" w:rsidRDefault="00D609DC" w:rsidP="005B6432">
      <w:pPr>
        <w:rPr>
          <w:rFonts w:ascii="Arial" w:hAnsi="Arial" w:cs="Arial"/>
        </w:rPr>
      </w:pPr>
      <w:r w:rsidRPr="00D609DC">
        <w:rPr>
          <w:rFonts w:ascii="Arial" w:hAnsi="Arial" w:cs="Arial"/>
          <w:u w:val="single"/>
        </w:rPr>
        <w:t>Sustainable Growth:</w:t>
      </w:r>
      <w:r w:rsidRPr="00D609DC">
        <w:rPr>
          <w:rFonts w:ascii="Arial" w:hAnsi="Arial" w:cs="Arial"/>
        </w:rPr>
        <w:br/>
        <w:t>Unilever’s core corporate strategy revolves around sustainable growth, integrating sustainability into all aspects of its operations. The Unilever Sustainable Living Plan (USLP), launched in 2010, aims to double the size of the business while reducing environmental impact and increasing social benefits. This strategy aligns with global trends and consumer preferences for environmental responsibility (Unilever, 2022).</w:t>
      </w:r>
    </w:p>
    <w:p w14:paraId="5350D0AE" w14:textId="77777777" w:rsidR="00D609DC" w:rsidRPr="00D609DC" w:rsidRDefault="00D609DC" w:rsidP="005B6432">
      <w:pPr>
        <w:rPr>
          <w:rFonts w:ascii="Arial" w:hAnsi="Arial" w:cs="Arial"/>
        </w:rPr>
      </w:pPr>
      <w:r w:rsidRPr="00D609DC">
        <w:rPr>
          <w:rFonts w:ascii="Arial" w:hAnsi="Arial" w:cs="Arial"/>
          <w:u w:val="single"/>
        </w:rPr>
        <w:t>Portfolio Management:</w:t>
      </w:r>
      <w:r w:rsidRPr="00D609DC">
        <w:rPr>
          <w:rFonts w:ascii="Arial" w:hAnsi="Arial" w:cs="Arial"/>
        </w:rPr>
        <w:br/>
        <w:t>Unilever actively manages its portfolio by focusing on high-growth areas and divesting from slower-growing categories. For example, the sale of its spreads business in 2018 was part of a strategy to shift resources towards more promising sectors like beauty and personal care (Reuters, 2018). This approach supports more effective resource allocation and long-term growth.</w:t>
      </w:r>
    </w:p>
    <w:p w14:paraId="5E6296F9" w14:textId="77777777" w:rsidR="00D609DC" w:rsidRPr="00D609DC" w:rsidRDefault="00D609DC" w:rsidP="005B6432">
      <w:pPr>
        <w:pStyle w:val="Heading2"/>
        <w:jc w:val="both"/>
      </w:pPr>
      <w:bookmarkStart w:id="4" w:name="_Toc175555957"/>
      <w:r w:rsidRPr="00D609DC">
        <w:t>Business Strategies:</w:t>
      </w:r>
      <w:bookmarkEnd w:id="4"/>
    </w:p>
    <w:p w14:paraId="0746C0A7" w14:textId="77777777" w:rsidR="00D609DC" w:rsidRPr="00D609DC" w:rsidRDefault="00D609DC" w:rsidP="005B6432">
      <w:pPr>
        <w:rPr>
          <w:rFonts w:ascii="Arial" w:hAnsi="Arial" w:cs="Arial"/>
        </w:rPr>
      </w:pPr>
      <w:r w:rsidRPr="00D609DC">
        <w:rPr>
          <w:rFonts w:ascii="Arial" w:hAnsi="Arial" w:cs="Arial"/>
          <w:u w:val="single"/>
        </w:rPr>
        <w:t>Product Differentiation:</w:t>
      </w:r>
      <w:r w:rsidRPr="00D609DC">
        <w:rPr>
          <w:rFonts w:ascii="Arial" w:hAnsi="Arial" w:cs="Arial"/>
        </w:rPr>
        <w:br/>
        <w:t>Unilever employs a differentiation strategy by offering high-quality, diverse products that meet various consumer needs. Brands like Dove leverage premium positioning and strong brand values, such as self-esteem and body positivity, to stand out in the market. This strategy extends to branding, packaging, and consumer experience (Kotler &amp; Keller, 2020).</w:t>
      </w:r>
    </w:p>
    <w:p w14:paraId="40597340" w14:textId="77777777" w:rsidR="00D609DC" w:rsidRPr="00D609DC" w:rsidRDefault="00D609DC" w:rsidP="005B6432">
      <w:pPr>
        <w:rPr>
          <w:rFonts w:ascii="Arial" w:hAnsi="Arial" w:cs="Arial"/>
        </w:rPr>
      </w:pPr>
      <w:r w:rsidRPr="00D609DC">
        <w:rPr>
          <w:rFonts w:ascii="Arial" w:hAnsi="Arial" w:cs="Arial"/>
          <w:u w:val="single"/>
        </w:rPr>
        <w:t>Market Penetration and Development:</w:t>
      </w:r>
      <w:r w:rsidRPr="00D609DC">
        <w:rPr>
          <w:rFonts w:ascii="Arial" w:hAnsi="Arial" w:cs="Arial"/>
        </w:rPr>
        <w:br/>
        <w:t>The company expands through market penetration in developed markets and market development in emerging regions. In developed markets, Unilever introduces new product variants, while in emerging markets, it adapts products to local preferences and invests in local operations, such as in India and Brazil, to capture growth (Unilever, 2023).</w:t>
      </w:r>
    </w:p>
    <w:p w14:paraId="42A73B03" w14:textId="77777777" w:rsidR="00D609DC" w:rsidRPr="00D609DC" w:rsidRDefault="00D609DC" w:rsidP="005B6432">
      <w:pPr>
        <w:pStyle w:val="Heading2"/>
        <w:jc w:val="both"/>
      </w:pPr>
      <w:bookmarkStart w:id="5" w:name="_Toc175555958"/>
      <w:r w:rsidRPr="00D609DC">
        <w:t>Analysis Using Strategic Frameworks:</w:t>
      </w:r>
      <w:bookmarkEnd w:id="5"/>
    </w:p>
    <w:p w14:paraId="248FB6FC" w14:textId="77777777" w:rsidR="00D609DC" w:rsidRPr="00D609DC" w:rsidRDefault="00D609DC" w:rsidP="005B6432">
      <w:pPr>
        <w:rPr>
          <w:rFonts w:ascii="Arial" w:hAnsi="Arial" w:cs="Arial"/>
        </w:rPr>
      </w:pPr>
      <w:r w:rsidRPr="00D609DC">
        <w:rPr>
          <w:rFonts w:ascii="Arial" w:hAnsi="Arial" w:cs="Arial"/>
          <w:u w:val="single"/>
        </w:rPr>
        <w:t>Ansoff Matrix:</w:t>
      </w:r>
      <w:r w:rsidRPr="00D609DC">
        <w:rPr>
          <w:rFonts w:ascii="Arial" w:hAnsi="Arial" w:cs="Arial"/>
        </w:rPr>
        <w:br/>
        <w:t>Unilever's strategies align with the Ansoff Matrix by focusing on market penetration (new product variants), market development (geographic expansion), product development (innovation in sustainable products), and diversification (acquisitions like The Vegetarian Butcher) (Ansoff, 1957).</w:t>
      </w:r>
    </w:p>
    <w:p w14:paraId="2BBC69C5" w14:textId="16D478E6" w:rsidR="00D609DC" w:rsidRPr="00B57F54" w:rsidRDefault="00D609DC" w:rsidP="005B6432">
      <w:pPr>
        <w:rPr>
          <w:rFonts w:ascii="Arial" w:hAnsi="Arial" w:cs="Arial"/>
        </w:rPr>
      </w:pPr>
      <w:r w:rsidRPr="00D609DC">
        <w:rPr>
          <w:rFonts w:ascii="Arial" w:hAnsi="Arial" w:cs="Arial"/>
          <w:u w:val="single"/>
        </w:rPr>
        <w:t>Porter’s Generic Strategies:</w:t>
      </w:r>
      <w:r w:rsidRPr="00D609DC">
        <w:rPr>
          <w:rFonts w:ascii="Arial" w:hAnsi="Arial" w:cs="Arial"/>
        </w:rPr>
        <w:br/>
        <w:t>According to Porter’s framework, Unilever follows a differentiation strategy, offering unique or superior products like Dove and Magnum. This approach emphasizes brand reputation, quality, and sustainability, catering to consumer preferences for premium and responsible products (Porter, 1980).</w:t>
      </w:r>
    </w:p>
    <w:p w14:paraId="1D735C45" w14:textId="33319664" w:rsidR="004E512B" w:rsidRPr="004E512B" w:rsidRDefault="004E512B" w:rsidP="005B6432">
      <w:pPr>
        <w:pStyle w:val="Heading1"/>
        <w:jc w:val="both"/>
      </w:pPr>
      <w:bookmarkStart w:id="6" w:name="_Toc175555959"/>
      <w:r w:rsidRPr="004E512B">
        <w:lastRenderedPageBreak/>
        <w:t>Resources and Capabilities</w:t>
      </w:r>
      <w:bookmarkEnd w:id="6"/>
      <w:r w:rsidRPr="004E512B">
        <w:t xml:space="preserve"> </w:t>
      </w:r>
    </w:p>
    <w:p w14:paraId="6DA791E3" w14:textId="77777777" w:rsidR="004E512B" w:rsidRPr="004E512B" w:rsidRDefault="004E512B" w:rsidP="005B6432">
      <w:pPr>
        <w:pStyle w:val="Heading2"/>
        <w:jc w:val="both"/>
      </w:pPr>
      <w:bookmarkStart w:id="7" w:name="_Toc175555960"/>
      <w:r w:rsidRPr="004E512B">
        <w:t>Tangible Resources:</w:t>
      </w:r>
      <w:bookmarkEnd w:id="7"/>
    </w:p>
    <w:p w14:paraId="026D842D" w14:textId="77777777" w:rsidR="004E512B" w:rsidRPr="004E512B" w:rsidRDefault="004E512B" w:rsidP="005B6432">
      <w:pPr>
        <w:jc w:val="both"/>
        <w:rPr>
          <w:rFonts w:ascii="Arial" w:hAnsi="Arial" w:cs="Arial"/>
          <w:u w:val="single"/>
        </w:rPr>
      </w:pPr>
      <w:r w:rsidRPr="004E512B">
        <w:rPr>
          <w:rFonts w:ascii="Arial" w:hAnsi="Arial" w:cs="Arial"/>
          <w:u w:val="single"/>
        </w:rPr>
        <w:t>Financial Resources:</w:t>
      </w:r>
    </w:p>
    <w:p w14:paraId="5094B4F7" w14:textId="276FADDB" w:rsidR="004E512B" w:rsidRPr="004E512B" w:rsidRDefault="004E512B" w:rsidP="005B6432">
      <w:pPr>
        <w:jc w:val="both"/>
        <w:rPr>
          <w:rFonts w:ascii="Arial" w:hAnsi="Arial" w:cs="Arial"/>
        </w:rPr>
      </w:pPr>
      <w:r w:rsidRPr="004E512B">
        <w:rPr>
          <w:rFonts w:ascii="Arial" w:hAnsi="Arial" w:cs="Arial"/>
        </w:rPr>
        <w:t xml:space="preserve"> Unilever's financial strength is one of its most critical tangible resources. The company has demonstrated consistent revenue growth and profitability over the years, underscoring its ability to sustain and expand its operations globally. In 2023, Unilever reported revenues of approximately €52 billion, reflecting its solid financial foundation and its capacity to invest in strategic initiatives such as acquisitions, R&amp;D, and marketing campaigns (Unilever, 2023). This robust financial position not only enables Unilever to weather economic downturns but also to take advantage of new market opportunities and invest in long-term growth projects, such as sustainability initiatives and digital transformation.</w:t>
      </w:r>
    </w:p>
    <w:p w14:paraId="411AFF02" w14:textId="77777777" w:rsidR="004E512B" w:rsidRDefault="004E512B" w:rsidP="005B6432">
      <w:pPr>
        <w:jc w:val="both"/>
        <w:rPr>
          <w:rFonts w:ascii="Arial" w:hAnsi="Arial" w:cs="Arial"/>
        </w:rPr>
      </w:pPr>
      <w:r w:rsidRPr="004E512B">
        <w:rPr>
          <w:rFonts w:ascii="Arial" w:hAnsi="Arial" w:cs="Arial"/>
          <w:u w:val="single"/>
        </w:rPr>
        <w:t>Physical Assets:</w:t>
      </w:r>
    </w:p>
    <w:p w14:paraId="73EF392D" w14:textId="2E47E544" w:rsidR="004E512B" w:rsidRPr="004E512B" w:rsidRDefault="004E512B" w:rsidP="005B6432">
      <w:pPr>
        <w:jc w:val="both"/>
        <w:rPr>
          <w:rFonts w:ascii="Arial" w:hAnsi="Arial" w:cs="Arial"/>
        </w:rPr>
      </w:pPr>
      <w:r w:rsidRPr="004E512B">
        <w:rPr>
          <w:rFonts w:ascii="Arial" w:hAnsi="Arial" w:cs="Arial"/>
        </w:rPr>
        <w:t xml:space="preserve"> Unilever's physical assets include an extensive network of production facilities, distribution </w:t>
      </w:r>
      <w:r w:rsidRPr="004E512B">
        <w:rPr>
          <w:rFonts w:ascii="Arial" w:hAnsi="Arial" w:cs="Arial"/>
        </w:rPr>
        <w:t>centres</w:t>
      </w:r>
      <w:r w:rsidRPr="004E512B">
        <w:rPr>
          <w:rFonts w:ascii="Arial" w:hAnsi="Arial" w:cs="Arial"/>
        </w:rPr>
        <w:t>, and research and development (R&amp;D) laboratories across the globe. These assets are strategically located to optimize the supply chain, reduce transportation costs, and ensure that products reach markets swiftly and efficiently. The company’s production facilities are equipped with advanced technology that supports large-scale manufacturing while maintaining high quality and consistency. Additionally, Unilever’s investment in state-of-the-art R&amp;D facilities enables it to stay at the forefront of product innovation and sustainability practices. This global infrastructure supports Unilever's ability to meet diverse consumer demands in different regions, further reinforcing its competitive advantage.</w:t>
      </w:r>
    </w:p>
    <w:p w14:paraId="3B715E32" w14:textId="77777777" w:rsidR="004E512B" w:rsidRPr="004E512B" w:rsidRDefault="004E512B" w:rsidP="005B6432">
      <w:pPr>
        <w:pStyle w:val="Heading2"/>
        <w:jc w:val="both"/>
      </w:pPr>
      <w:bookmarkStart w:id="8" w:name="_Toc175555961"/>
      <w:r w:rsidRPr="004E512B">
        <w:t>Intangible Resources:</w:t>
      </w:r>
      <w:bookmarkEnd w:id="8"/>
    </w:p>
    <w:p w14:paraId="0737AC0C" w14:textId="77777777" w:rsidR="004E512B" w:rsidRPr="004E512B" w:rsidRDefault="004E512B" w:rsidP="005B6432">
      <w:pPr>
        <w:jc w:val="both"/>
        <w:rPr>
          <w:rFonts w:ascii="Arial" w:hAnsi="Arial" w:cs="Arial"/>
          <w:u w:val="single"/>
        </w:rPr>
      </w:pPr>
      <w:r w:rsidRPr="004E512B">
        <w:rPr>
          <w:rFonts w:ascii="Arial" w:hAnsi="Arial" w:cs="Arial"/>
          <w:u w:val="single"/>
        </w:rPr>
        <w:t>Brand Equity:</w:t>
      </w:r>
    </w:p>
    <w:p w14:paraId="07377EC2" w14:textId="680E49F2" w:rsidR="004E512B" w:rsidRPr="004E512B" w:rsidRDefault="004E512B" w:rsidP="005B6432">
      <w:pPr>
        <w:jc w:val="both"/>
        <w:rPr>
          <w:rFonts w:ascii="Arial" w:hAnsi="Arial" w:cs="Arial"/>
        </w:rPr>
      </w:pPr>
      <w:r w:rsidRPr="004E512B">
        <w:rPr>
          <w:rFonts w:ascii="Arial" w:hAnsi="Arial" w:cs="Arial"/>
        </w:rPr>
        <w:t xml:space="preserve"> Unilever's brand equity is one of its most significant intangible resources. The company boasts a portfolio of over 400 brands, many of which are leaders in their respective categories. Brands like Dove, Knorr, Lipton, and Hellmann’s are not only well-known but also deeply trusted by consumers worldwide. This strong brand equity has been built over decades through consistent product quality, effective marketing, and a commitment to addressing consumer needs. High brand equity allows Unilever to command premium pricing, foster customer loyalty, and achieve significant market penetration, all of which contribute to sustained revenue growth and profitability.</w:t>
      </w:r>
    </w:p>
    <w:p w14:paraId="30C61DDA" w14:textId="77777777" w:rsidR="004E512B" w:rsidRPr="004E512B" w:rsidRDefault="004E512B" w:rsidP="005B6432">
      <w:pPr>
        <w:jc w:val="both"/>
        <w:rPr>
          <w:rFonts w:ascii="Arial" w:hAnsi="Arial" w:cs="Arial"/>
          <w:u w:val="single"/>
        </w:rPr>
      </w:pPr>
      <w:r w:rsidRPr="004E512B">
        <w:rPr>
          <w:rFonts w:ascii="Arial" w:hAnsi="Arial" w:cs="Arial"/>
          <w:u w:val="single"/>
        </w:rPr>
        <w:t xml:space="preserve">Intellectual Property: </w:t>
      </w:r>
    </w:p>
    <w:p w14:paraId="77067CBD" w14:textId="7DD007BF" w:rsidR="004E512B" w:rsidRPr="004E512B" w:rsidRDefault="004E512B" w:rsidP="005B6432">
      <w:pPr>
        <w:jc w:val="both"/>
        <w:rPr>
          <w:rFonts w:ascii="Arial" w:hAnsi="Arial" w:cs="Arial"/>
        </w:rPr>
      </w:pPr>
      <w:r w:rsidRPr="004E512B">
        <w:rPr>
          <w:rFonts w:ascii="Arial" w:hAnsi="Arial" w:cs="Arial"/>
        </w:rPr>
        <w:t xml:space="preserve">Unilever's intellectual property portfolio includes a wide range of patents, trademarks, and proprietary technologies. These patents cover innovations in product formulations, manufacturing processes, and sustainable technologies, providing Unilever with a </w:t>
      </w:r>
      <w:r w:rsidRPr="004E512B">
        <w:rPr>
          <w:rFonts w:ascii="Arial" w:hAnsi="Arial" w:cs="Arial"/>
        </w:rPr>
        <w:lastRenderedPageBreak/>
        <w:t>competitive edge in the market. Intellectual property is crucial for protecting Unilever's innovations from imitation, allowing the company to maintain its leadership position in the consumer goods industry. Moreover, Unilever’s investment in R&amp;D ensures a continuous pipeline of innovations, further strengthening its intellectual property portfolio.</w:t>
      </w:r>
    </w:p>
    <w:p w14:paraId="39FA2F75" w14:textId="77777777" w:rsidR="00081E26" w:rsidRPr="00081E26" w:rsidRDefault="004E512B" w:rsidP="005B6432">
      <w:pPr>
        <w:jc w:val="both"/>
        <w:rPr>
          <w:rFonts w:ascii="Arial" w:hAnsi="Arial" w:cs="Arial"/>
          <w:u w:val="single"/>
        </w:rPr>
      </w:pPr>
      <w:r w:rsidRPr="004E512B">
        <w:rPr>
          <w:rFonts w:ascii="Arial" w:hAnsi="Arial" w:cs="Arial"/>
          <w:u w:val="single"/>
        </w:rPr>
        <w:t>Organizational Culture:</w:t>
      </w:r>
    </w:p>
    <w:p w14:paraId="4EEC5B91" w14:textId="231D66B7" w:rsidR="004E512B" w:rsidRPr="004E512B" w:rsidRDefault="004E512B" w:rsidP="005B6432">
      <w:pPr>
        <w:jc w:val="both"/>
        <w:rPr>
          <w:rFonts w:ascii="Arial" w:hAnsi="Arial" w:cs="Arial"/>
        </w:rPr>
      </w:pPr>
      <w:r w:rsidRPr="004E512B">
        <w:rPr>
          <w:rFonts w:ascii="Arial" w:hAnsi="Arial" w:cs="Arial"/>
        </w:rPr>
        <w:t xml:space="preserve"> Unilever’s organizational culture is another vital intangible resource, characterized by a strong emphasis on sustainability, social responsibility, and inclusivity. This culture is deeply embedded in Unilever’s operations and strategic decision-making processes, aligning with the company’s corporate strategies of sustainable growth and social impact. Unilever’s commitment to sustainability is reflected in its policies, employee engagement programs, and community initiatives, all of which enhance its reputation and appeal to socially conscious consumers and investors. The company's culture also fosters innovation and collaboration, enabling it to respond effectively to global challenges and market changes.</w:t>
      </w:r>
    </w:p>
    <w:p w14:paraId="5C819BB9" w14:textId="77777777" w:rsidR="004E512B" w:rsidRPr="004E512B" w:rsidRDefault="004E512B" w:rsidP="005B6432">
      <w:pPr>
        <w:pStyle w:val="Heading2"/>
        <w:jc w:val="both"/>
      </w:pPr>
      <w:bookmarkStart w:id="9" w:name="_Toc175555962"/>
      <w:r w:rsidRPr="004E512B">
        <w:t>Capabilities:</w:t>
      </w:r>
      <w:bookmarkEnd w:id="9"/>
    </w:p>
    <w:p w14:paraId="4412EAAA" w14:textId="77777777" w:rsidR="00081E26" w:rsidRPr="00081E26" w:rsidRDefault="004E512B" w:rsidP="005B6432">
      <w:pPr>
        <w:jc w:val="both"/>
        <w:rPr>
          <w:rFonts w:ascii="Arial" w:hAnsi="Arial" w:cs="Arial"/>
          <w:u w:val="single"/>
        </w:rPr>
      </w:pPr>
      <w:r w:rsidRPr="004E512B">
        <w:rPr>
          <w:rFonts w:ascii="Arial" w:hAnsi="Arial" w:cs="Arial"/>
          <w:u w:val="single"/>
        </w:rPr>
        <w:t>R&amp;D and Innovation:</w:t>
      </w:r>
    </w:p>
    <w:p w14:paraId="733FDE12" w14:textId="0D425065" w:rsidR="004E512B" w:rsidRPr="004E512B" w:rsidRDefault="004E512B" w:rsidP="005B6432">
      <w:pPr>
        <w:jc w:val="both"/>
        <w:rPr>
          <w:rFonts w:ascii="Arial" w:hAnsi="Arial" w:cs="Arial"/>
        </w:rPr>
      </w:pPr>
      <w:r w:rsidRPr="004E512B">
        <w:rPr>
          <w:rFonts w:ascii="Arial" w:hAnsi="Arial" w:cs="Arial"/>
        </w:rPr>
        <w:t xml:space="preserve"> Unilever’s capability in research and development is a cornerstone of its business strategy, driving product innovation and differentiation. The company invests heavily in R&amp;D, with an expenditure of approximately €900 million in 2022 (Unilever, 2023). This investment supports the development of new products, particularly in areas such as sustainability and health, where consumer demand is growing. Unilever’s R&amp;D efforts focus on creating products that are not only effective and appealing to consumers but also environmentally friendly and socially responsible. This capability allows Unilever to stay ahead of market trends, meet evolving consumer expectations, and reinforce its competitive positioning.</w:t>
      </w:r>
    </w:p>
    <w:p w14:paraId="262ED514" w14:textId="77777777" w:rsidR="00081E26" w:rsidRPr="00081E26" w:rsidRDefault="004E512B" w:rsidP="005B6432">
      <w:pPr>
        <w:jc w:val="both"/>
        <w:rPr>
          <w:rFonts w:ascii="Arial" w:hAnsi="Arial" w:cs="Arial"/>
          <w:u w:val="single"/>
        </w:rPr>
      </w:pPr>
      <w:r w:rsidRPr="004E512B">
        <w:rPr>
          <w:rFonts w:ascii="Arial" w:hAnsi="Arial" w:cs="Arial"/>
          <w:u w:val="single"/>
        </w:rPr>
        <w:t xml:space="preserve">Supply Chain Management: </w:t>
      </w:r>
    </w:p>
    <w:p w14:paraId="74375EE2" w14:textId="24C14989" w:rsidR="004E512B" w:rsidRPr="004E512B" w:rsidRDefault="004E512B" w:rsidP="005B6432">
      <w:pPr>
        <w:jc w:val="both"/>
        <w:rPr>
          <w:rFonts w:ascii="Arial" w:hAnsi="Arial" w:cs="Arial"/>
        </w:rPr>
      </w:pPr>
      <w:r w:rsidRPr="004E512B">
        <w:rPr>
          <w:rFonts w:ascii="Arial" w:hAnsi="Arial" w:cs="Arial"/>
        </w:rPr>
        <w:t>Unilever’s global supply chain management is a critical capability that enables the company to operate efficiently across diverse and often complex markets. The supply chain is designed to be flexible, resilient, and responsive, allowing Unilever to manage risks and ensure continuity of supply even in the face of disruptions. The company’s supply chain capabilities include advanced logistics, robust supplier relationships, and the ability to scale operations quickly to meet demand fluctuations. Unilever’s commitment to sustainability also extends to its supply chain, with initiatives aimed at reducing carbon emissions, minimizing waste, and sourcing raw materials responsibly. This holistic approach to supply chain management not only supports Unilever’s operational efficiency but also aligns with its broader sustainability goals.</w:t>
      </w:r>
    </w:p>
    <w:p w14:paraId="0B3FF82B" w14:textId="77777777" w:rsidR="004E512B" w:rsidRPr="004E512B" w:rsidRDefault="004E512B" w:rsidP="005B6432">
      <w:pPr>
        <w:jc w:val="both"/>
        <w:rPr>
          <w:rFonts w:ascii="Arial" w:hAnsi="Arial" w:cs="Arial"/>
        </w:rPr>
      </w:pPr>
      <w:r w:rsidRPr="004E512B">
        <w:rPr>
          <w:rFonts w:ascii="Arial" w:hAnsi="Arial" w:cs="Arial"/>
          <w:b/>
          <w:bCs/>
        </w:rPr>
        <w:t>Analysis of Alignment</w:t>
      </w:r>
      <w:r w:rsidRPr="004E512B">
        <w:rPr>
          <w:rFonts w:ascii="Arial" w:hAnsi="Arial" w:cs="Arial"/>
        </w:rPr>
        <w:t>:</w:t>
      </w:r>
    </w:p>
    <w:p w14:paraId="6D1E9672" w14:textId="77777777" w:rsidR="00081E26" w:rsidRPr="00081E26" w:rsidRDefault="004E512B" w:rsidP="005B6432">
      <w:pPr>
        <w:jc w:val="both"/>
        <w:rPr>
          <w:rFonts w:ascii="Arial" w:hAnsi="Arial" w:cs="Arial"/>
          <w:u w:val="single"/>
        </w:rPr>
      </w:pPr>
      <w:r w:rsidRPr="004E512B">
        <w:rPr>
          <w:rFonts w:ascii="Arial" w:hAnsi="Arial" w:cs="Arial"/>
          <w:u w:val="single"/>
        </w:rPr>
        <w:t>VRIO Framework:</w:t>
      </w:r>
    </w:p>
    <w:p w14:paraId="30204B09" w14:textId="74A279C6" w:rsidR="004E512B" w:rsidRPr="004E512B" w:rsidRDefault="004E512B" w:rsidP="005B6432">
      <w:pPr>
        <w:jc w:val="both"/>
        <w:rPr>
          <w:rFonts w:ascii="Arial" w:hAnsi="Arial" w:cs="Arial"/>
        </w:rPr>
      </w:pPr>
      <w:r w:rsidRPr="004E512B">
        <w:rPr>
          <w:rFonts w:ascii="Arial" w:hAnsi="Arial" w:cs="Arial"/>
        </w:rPr>
        <w:lastRenderedPageBreak/>
        <w:t xml:space="preserve"> The VRIO framework</w:t>
      </w:r>
      <w:r w:rsidR="00081E26">
        <w:rPr>
          <w:rFonts w:ascii="Arial" w:hAnsi="Arial" w:cs="Arial"/>
        </w:rPr>
        <w:t xml:space="preserve"> - </w:t>
      </w:r>
      <w:r w:rsidRPr="004E512B">
        <w:rPr>
          <w:rFonts w:ascii="Arial" w:hAnsi="Arial" w:cs="Arial"/>
        </w:rPr>
        <w:t>standing for Value, Rarity, Imitability, and Organization</w:t>
      </w:r>
      <w:r w:rsidR="00081E26">
        <w:rPr>
          <w:rFonts w:ascii="Arial" w:hAnsi="Arial" w:cs="Arial"/>
        </w:rPr>
        <w:t xml:space="preserve"> - </w:t>
      </w:r>
      <w:r w:rsidRPr="004E512B">
        <w:rPr>
          <w:rFonts w:ascii="Arial" w:hAnsi="Arial" w:cs="Arial"/>
        </w:rPr>
        <w:t>is a strategic tool used to evaluate a company’s resources and capabilities. When applied to Unilever, it becomes clear that the company’s key resources and capabilities provide a strong competitive advantage. Unilever’s brand equity is valuable, as it drives consumer preference and allows for premium pricing. It is rare because few competitors possess such a diverse and well-established portfolio of brands. The company’s innovations in sustainable products and its organizational culture focused on sustainability are difficult to imitate, further strengthening its competitive position. Lastly, these resources and capabilities are well-organized within Unilever’s business model, ensuring that they are fully leveraged to achieve strategic objectives (Barney, 1991). This alignment of resources with corporate strategy underpins Unilever’s ability to maintain its market leadership and continue growing in a competitive global environment.</w:t>
      </w:r>
    </w:p>
    <w:p w14:paraId="1AAD61CC" w14:textId="77777777" w:rsidR="00081E26" w:rsidRPr="00081E26" w:rsidRDefault="004E512B" w:rsidP="005B6432">
      <w:pPr>
        <w:jc w:val="both"/>
        <w:rPr>
          <w:rFonts w:ascii="Arial" w:hAnsi="Arial" w:cs="Arial"/>
          <w:u w:val="single"/>
        </w:rPr>
      </w:pPr>
      <w:r w:rsidRPr="004E512B">
        <w:rPr>
          <w:rFonts w:ascii="Arial" w:hAnsi="Arial" w:cs="Arial"/>
          <w:b/>
          <w:bCs/>
          <w:u w:val="single"/>
        </w:rPr>
        <w:t>Core Competencies</w:t>
      </w:r>
      <w:r w:rsidRPr="004E512B">
        <w:rPr>
          <w:rFonts w:ascii="Arial" w:hAnsi="Arial" w:cs="Arial"/>
          <w:u w:val="single"/>
        </w:rPr>
        <w:t xml:space="preserve">: </w:t>
      </w:r>
    </w:p>
    <w:p w14:paraId="54198ACA" w14:textId="1063475C" w:rsidR="00081E26" w:rsidRPr="00081E26" w:rsidRDefault="004E512B" w:rsidP="005B6432">
      <w:pPr>
        <w:jc w:val="both"/>
        <w:rPr>
          <w:rFonts w:ascii="Arial" w:hAnsi="Arial" w:cs="Arial"/>
        </w:rPr>
      </w:pPr>
      <w:r w:rsidRPr="004E512B">
        <w:rPr>
          <w:rFonts w:ascii="Arial" w:hAnsi="Arial" w:cs="Arial"/>
        </w:rPr>
        <w:t>Unilever’s core competencies are derived from its ability to innovate continuously and manage a complex, global supply chain efficiently. These competencies are deeply embedded in the company’s operations and are closely aligned with its corporate strategies, particularly in pursuing sustainable growth and product differentiation. Unilever’s strong brand portfolio, supported by its innovation capabilities and supply chain efficiency, allows the company to deliver high-quality products that meet diverse consumer needs across different markets. These core competencies not only support Unilever’s current business strategies but also position the company well for future growth and adaptation to changing market conditions. The alignment between Unilever’s core competencies and its strategic goals ensures that the company remains competitive and capable of responding effectively to both opportunities and challenges in the global marketplace.</w:t>
      </w:r>
    </w:p>
    <w:p w14:paraId="72608025" w14:textId="73F9E029" w:rsidR="00C643D5" w:rsidRPr="00C643D5" w:rsidRDefault="00C643D5" w:rsidP="005B6432">
      <w:pPr>
        <w:pStyle w:val="Heading1"/>
        <w:jc w:val="both"/>
      </w:pPr>
      <w:bookmarkStart w:id="10" w:name="_Toc175555963"/>
      <w:r w:rsidRPr="00C643D5">
        <w:t>Evaluation of Strategy Implementation:</w:t>
      </w:r>
      <w:bookmarkEnd w:id="10"/>
    </w:p>
    <w:p w14:paraId="23A63AE3" w14:textId="6B37FFB7" w:rsidR="00081E26" w:rsidRDefault="00C643D5" w:rsidP="005B6432">
      <w:pPr>
        <w:jc w:val="both"/>
        <w:rPr>
          <w:rFonts w:ascii="Arial" w:hAnsi="Arial" w:cs="Arial"/>
        </w:rPr>
      </w:pPr>
      <w:r w:rsidRPr="00C643D5">
        <w:rPr>
          <w:rFonts w:ascii="Arial" w:hAnsi="Arial" w:cs="Arial"/>
        </w:rPr>
        <w:t>Unilever uses a balanced scorecard approach to measure performance across financial, customer, internal process, and learning and growth perspectives. This approach ensures that sustainability objectives are integrated into its overall business performance (Kaplan &amp; Norton, 1992).</w:t>
      </w:r>
    </w:p>
    <w:p w14:paraId="271975BA" w14:textId="77777777" w:rsidR="00081E26" w:rsidRDefault="00C643D5" w:rsidP="005B6432">
      <w:pPr>
        <w:jc w:val="both"/>
        <w:rPr>
          <w:rFonts w:ascii="Arial" w:hAnsi="Arial" w:cs="Arial"/>
        </w:rPr>
      </w:pPr>
      <w:r w:rsidRPr="00C643D5">
        <w:rPr>
          <w:rFonts w:ascii="Arial" w:hAnsi="Arial" w:cs="Arial"/>
        </w:rPr>
        <w:t>Key performance indicators include revenue growth, market share, carbon footprint reduction, and social impact metrics. Unilever has successfully reduced its carbon footprint by 40% since 2010, demonstrating effective strategy implementation (Unilever, 2023).</w:t>
      </w:r>
    </w:p>
    <w:p w14:paraId="47BCB3D6" w14:textId="4B661AA8" w:rsidR="00C643D5" w:rsidRPr="00C643D5" w:rsidRDefault="00C643D5" w:rsidP="005B6432">
      <w:pPr>
        <w:jc w:val="both"/>
        <w:rPr>
          <w:rFonts w:ascii="Arial" w:hAnsi="Arial" w:cs="Arial"/>
        </w:rPr>
      </w:pPr>
      <w:r w:rsidRPr="00C643D5">
        <w:rPr>
          <w:rFonts w:ascii="Arial" w:hAnsi="Arial" w:cs="Arial"/>
        </w:rPr>
        <w:t xml:space="preserve"> Unilever’s success in India, where it adapted products to local preferences and expanded its distribution network, showcases effective strategy implementation. The company’s market share in India’s personal care sector grew by 15% from 2015 to 2022 (Euromonitor, 2022).</w:t>
      </w:r>
    </w:p>
    <w:p w14:paraId="2D4BFD73" w14:textId="77777777" w:rsidR="00C643D5" w:rsidRPr="00C643D5" w:rsidRDefault="00C643D5" w:rsidP="005B6432">
      <w:pPr>
        <w:jc w:val="both"/>
        <w:rPr>
          <w:rFonts w:ascii="Arial" w:hAnsi="Arial" w:cs="Arial"/>
        </w:rPr>
      </w:pPr>
      <w:r w:rsidRPr="00C643D5">
        <w:rPr>
          <w:rFonts w:ascii="Arial" w:hAnsi="Arial" w:cs="Arial"/>
          <w:b/>
          <w:bCs/>
        </w:rPr>
        <w:lastRenderedPageBreak/>
        <w:t>Competitive Advantage</w:t>
      </w:r>
      <w:r w:rsidRPr="00C643D5">
        <w:rPr>
          <w:rFonts w:ascii="Arial" w:hAnsi="Arial" w:cs="Arial"/>
        </w:rPr>
        <w:t>:</w:t>
      </w:r>
    </w:p>
    <w:p w14:paraId="5746DD0C" w14:textId="0060CA51" w:rsidR="00C643D5" w:rsidRPr="00C643D5" w:rsidRDefault="00C643D5" w:rsidP="005B6432">
      <w:pPr>
        <w:jc w:val="both"/>
        <w:rPr>
          <w:rFonts w:ascii="Arial" w:hAnsi="Arial" w:cs="Arial"/>
        </w:rPr>
      </w:pPr>
      <w:r w:rsidRPr="00C643D5">
        <w:rPr>
          <w:rFonts w:ascii="Arial" w:hAnsi="Arial" w:cs="Arial"/>
        </w:rPr>
        <w:t>Unilever’s strong brand portfolio and extensive supply chain network reduce the threat of new entrants and buyer power. Its innovation in product development mitigates the threat of substitutes, while its scale provides leverage over suppliers (Porter, 1980).</w:t>
      </w:r>
    </w:p>
    <w:p w14:paraId="549AFF02" w14:textId="1C08315A" w:rsidR="00C643D5" w:rsidRPr="00C643D5" w:rsidRDefault="00C643D5" w:rsidP="005B6432">
      <w:pPr>
        <w:jc w:val="both"/>
        <w:rPr>
          <w:rFonts w:ascii="Arial" w:hAnsi="Arial" w:cs="Arial"/>
        </w:rPr>
      </w:pPr>
      <w:r w:rsidRPr="00C643D5">
        <w:rPr>
          <w:rFonts w:ascii="Arial" w:hAnsi="Arial" w:cs="Arial"/>
        </w:rPr>
        <w:t>Unilever’s commitment to sustainability, coupled with its brand equity and innovation, provides a sustainable competitive advantage. This is reflected in its leading position in markets worldwide, despite intense competition.</w:t>
      </w:r>
    </w:p>
    <w:p w14:paraId="5935CDE9" w14:textId="7EC04622" w:rsidR="00C643D5" w:rsidRPr="00C643D5" w:rsidRDefault="00C643D5" w:rsidP="005B6432">
      <w:pPr>
        <w:pStyle w:val="Heading1"/>
        <w:jc w:val="both"/>
      </w:pPr>
      <w:bookmarkStart w:id="11" w:name="_Toc175555964"/>
      <w:r w:rsidRPr="00C643D5">
        <w:t>Sustainability and Environmental Considerations</w:t>
      </w:r>
      <w:bookmarkEnd w:id="11"/>
    </w:p>
    <w:p w14:paraId="002949DA" w14:textId="77777777" w:rsidR="00C643D5" w:rsidRPr="00C643D5" w:rsidRDefault="00C643D5" w:rsidP="005B6432">
      <w:pPr>
        <w:jc w:val="both"/>
        <w:rPr>
          <w:rFonts w:ascii="Arial" w:hAnsi="Arial" w:cs="Arial"/>
        </w:rPr>
      </w:pPr>
      <w:r w:rsidRPr="00C643D5">
        <w:rPr>
          <w:rFonts w:ascii="Arial" w:hAnsi="Arial" w:cs="Arial"/>
          <w:b/>
          <w:bCs/>
        </w:rPr>
        <w:t>Sustainability Practices</w:t>
      </w:r>
      <w:r w:rsidRPr="00C643D5">
        <w:rPr>
          <w:rFonts w:ascii="Arial" w:hAnsi="Arial" w:cs="Arial"/>
        </w:rPr>
        <w:t>:</w:t>
      </w:r>
    </w:p>
    <w:p w14:paraId="4B02DA61" w14:textId="63D2D8A5" w:rsidR="00C643D5" w:rsidRPr="00C643D5" w:rsidRDefault="00C643D5" w:rsidP="005B6432">
      <w:pPr>
        <w:jc w:val="both"/>
        <w:rPr>
          <w:rFonts w:ascii="Arial" w:hAnsi="Arial" w:cs="Arial"/>
        </w:rPr>
      </w:pPr>
      <w:r w:rsidRPr="00C643D5">
        <w:rPr>
          <w:rFonts w:ascii="Arial" w:hAnsi="Arial" w:cs="Arial"/>
        </w:rPr>
        <w:t>Unilever’s CSR initiatives are integral to its strategy. The USLP focuses on improving health and well-being, reducing environmental impact, and enhancing livelihoods. By 2020, the company had improved the health and well-being of 1.3 billion people (Unilever, 2022).</w:t>
      </w:r>
    </w:p>
    <w:p w14:paraId="47809F32" w14:textId="416232B2" w:rsidR="00C643D5" w:rsidRPr="00C643D5" w:rsidRDefault="00C643D5" w:rsidP="005B6432">
      <w:pPr>
        <w:jc w:val="both"/>
        <w:rPr>
          <w:rFonts w:ascii="Arial" w:hAnsi="Arial" w:cs="Arial"/>
        </w:rPr>
      </w:pPr>
      <w:r w:rsidRPr="00C643D5">
        <w:rPr>
          <w:rFonts w:ascii="Arial" w:hAnsi="Arial" w:cs="Arial"/>
        </w:rPr>
        <w:t>Unilever has committed to achieving net-zero emissions from its products by 2039. The company’s efforts in sustainable sourcing, reducing plastic waste, and using renewable energy are central to its sustainability strategy (Unilever, 2023).</w:t>
      </w:r>
    </w:p>
    <w:p w14:paraId="2C680EDE" w14:textId="6F3FA69C" w:rsidR="00C643D5" w:rsidRPr="00C643D5" w:rsidRDefault="00C643D5" w:rsidP="005B6432">
      <w:pPr>
        <w:jc w:val="both"/>
        <w:rPr>
          <w:rFonts w:ascii="Arial" w:hAnsi="Arial" w:cs="Arial"/>
        </w:rPr>
      </w:pPr>
      <w:r w:rsidRPr="00C643D5">
        <w:rPr>
          <w:rFonts w:ascii="Arial" w:hAnsi="Arial" w:cs="Arial"/>
        </w:rPr>
        <w:t>Unilever is transparent in its sustainability reporting, adhering to GRI standards and being recognized in the Dow Jones Sustainability Index for 22 consecutive years (GRI, 2022).</w:t>
      </w:r>
    </w:p>
    <w:p w14:paraId="2F0F1BFD" w14:textId="77777777" w:rsidR="00C643D5" w:rsidRPr="00C643D5" w:rsidRDefault="00C643D5" w:rsidP="005B6432">
      <w:pPr>
        <w:jc w:val="both"/>
        <w:rPr>
          <w:rFonts w:ascii="Arial" w:hAnsi="Arial" w:cs="Arial"/>
        </w:rPr>
      </w:pPr>
      <w:r w:rsidRPr="00C643D5">
        <w:rPr>
          <w:rFonts w:ascii="Arial" w:hAnsi="Arial" w:cs="Arial"/>
          <w:b/>
          <w:bCs/>
        </w:rPr>
        <w:t>Impact on Competitiveness</w:t>
      </w:r>
      <w:r w:rsidRPr="00C643D5">
        <w:rPr>
          <w:rFonts w:ascii="Arial" w:hAnsi="Arial" w:cs="Arial"/>
        </w:rPr>
        <w:t>:</w:t>
      </w:r>
    </w:p>
    <w:p w14:paraId="71B17B5E" w14:textId="77777777" w:rsidR="00C643D5" w:rsidRPr="00C643D5" w:rsidRDefault="00C643D5" w:rsidP="005B6432">
      <w:pPr>
        <w:jc w:val="both"/>
        <w:rPr>
          <w:rFonts w:ascii="Arial" w:hAnsi="Arial" w:cs="Arial"/>
        </w:rPr>
      </w:pPr>
      <w:r w:rsidRPr="00C643D5">
        <w:rPr>
          <w:rFonts w:ascii="Arial" w:hAnsi="Arial" w:cs="Arial"/>
          <w:u w:val="single"/>
        </w:rPr>
        <w:t>Triple Bottom Line:</w:t>
      </w:r>
      <w:r w:rsidRPr="00C643D5">
        <w:rPr>
          <w:rFonts w:ascii="Arial" w:hAnsi="Arial" w:cs="Arial"/>
        </w:rPr>
        <w:t xml:space="preserve"> Unilever’s sustainability practices contribute to its financial performance by driving consumer preference for ethical brands, enhancing social responsibility, and reducing environmental risks. This approach aligns with the triple bottom line concept (Elkington, 1997).</w:t>
      </w:r>
    </w:p>
    <w:p w14:paraId="1B628709" w14:textId="77777777" w:rsidR="00164E18" w:rsidRDefault="00C643D5" w:rsidP="005B6432">
      <w:pPr>
        <w:jc w:val="both"/>
        <w:rPr>
          <w:rFonts w:ascii="Arial" w:hAnsi="Arial" w:cs="Arial"/>
        </w:rPr>
      </w:pPr>
      <w:r w:rsidRPr="00C643D5">
        <w:rPr>
          <w:rFonts w:ascii="Arial" w:hAnsi="Arial" w:cs="Arial"/>
          <w:u w:val="single"/>
        </w:rPr>
        <w:t>Reputation and Brand Equity:</w:t>
      </w:r>
      <w:r w:rsidRPr="00C643D5">
        <w:rPr>
          <w:rFonts w:ascii="Arial" w:hAnsi="Arial" w:cs="Arial"/>
        </w:rPr>
        <w:t xml:space="preserve"> Unilever’s strong commitment to sustainability enhances its reputation and strengthens brand equity. Consumers increasingly </w:t>
      </w:r>
      <w:r w:rsidR="00164E18" w:rsidRPr="00C643D5">
        <w:rPr>
          <w:rFonts w:ascii="Arial" w:hAnsi="Arial" w:cs="Arial"/>
        </w:rPr>
        <w:t>favour</w:t>
      </w:r>
      <w:r w:rsidRPr="00C643D5">
        <w:rPr>
          <w:rFonts w:ascii="Arial" w:hAnsi="Arial" w:cs="Arial"/>
        </w:rPr>
        <w:t xml:space="preserve"> brands that align with their values, giving Unilever a competitive edge in the market.</w:t>
      </w:r>
    </w:p>
    <w:p w14:paraId="472A92C1" w14:textId="049ADA55" w:rsidR="00164E18" w:rsidRPr="00164E18" w:rsidRDefault="00164E18" w:rsidP="005B6432">
      <w:pPr>
        <w:pStyle w:val="Heading1"/>
        <w:jc w:val="both"/>
      </w:pPr>
      <w:bookmarkStart w:id="12" w:name="_Toc175555965"/>
      <w:r w:rsidRPr="00164E18">
        <w:t>Strategic Direction</w:t>
      </w:r>
      <w:bookmarkEnd w:id="12"/>
      <w:r w:rsidRPr="00164E18">
        <w:t xml:space="preserve"> </w:t>
      </w:r>
    </w:p>
    <w:p w14:paraId="02601BA8" w14:textId="5D7EEAC3" w:rsidR="00D609DC" w:rsidRPr="00D609DC" w:rsidRDefault="00D609DC" w:rsidP="005B6432">
      <w:pPr>
        <w:pStyle w:val="Heading2"/>
        <w:jc w:val="both"/>
      </w:pPr>
      <w:bookmarkStart w:id="13" w:name="_Toc175555966"/>
      <w:r w:rsidRPr="00D609DC">
        <w:t>SWOT Analysis</w:t>
      </w:r>
      <w:bookmarkEnd w:id="13"/>
    </w:p>
    <w:p w14:paraId="3C11BD38" w14:textId="77777777" w:rsidR="00D609DC" w:rsidRPr="00D609DC" w:rsidRDefault="00D609DC" w:rsidP="005B6432">
      <w:pPr>
        <w:jc w:val="both"/>
        <w:rPr>
          <w:rFonts w:ascii="Arial" w:hAnsi="Arial" w:cs="Arial"/>
        </w:rPr>
      </w:pPr>
      <w:r w:rsidRPr="00D609DC">
        <w:rPr>
          <w:rFonts w:ascii="Arial" w:hAnsi="Arial" w:cs="Arial"/>
          <w:b/>
          <w:bCs/>
        </w:rPr>
        <w:t>Strengths</w:t>
      </w:r>
      <w:r w:rsidRPr="00D609DC">
        <w:rPr>
          <w:rFonts w:ascii="Arial" w:hAnsi="Arial" w:cs="Arial"/>
        </w:rPr>
        <w:t>:</w:t>
      </w:r>
      <w:r w:rsidRPr="00D609DC">
        <w:rPr>
          <w:rFonts w:ascii="Arial" w:hAnsi="Arial" w:cs="Arial"/>
        </w:rPr>
        <w:br/>
        <w:t xml:space="preserve">Unilever's extensive brand portfolio and global presence offer a strong foundation for growth. Its leadership in sustainability, exemplified by the Unilever Sustainable Living Plan (USLP), aligns with rising consumer demand for ethical products and boosts </w:t>
      </w:r>
      <w:r w:rsidRPr="00D609DC">
        <w:rPr>
          <w:rFonts w:ascii="Arial" w:hAnsi="Arial" w:cs="Arial"/>
        </w:rPr>
        <w:lastRenderedPageBreak/>
        <w:t>brand reputation. Operating in over 190 countries, Unilever benefits from economies of scale and diversified revenue streams (SWOT Analysis, 2023).</w:t>
      </w:r>
    </w:p>
    <w:p w14:paraId="0F94E83D" w14:textId="6CF2C14F" w:rsidR="00D609DC" w:rsidRPr="00D609DC" w:rsidRDefault="00D609DC" w:rsidP="005B6432">
      <w:pPr>
        <w:jc w:val="both"/>
        <w:rPr>
          <w:rFonts w:ascii="Arial" w:hAnsi="Arial" w:cs="Arial"/>
        </w:rPr>
      </w:pPr>
      <w:r w:rsidRPr="00D609DC">
        <w:rPr>
          <w:rFonts w:ascii="Arial" w:hAnsi="Arial" w:cs="Arial"/>
          <w:b/>
          <w:bCs/>
        </w:rPr>
        <w:t>Weaknesses</w:t>
      </w:r>
      <w:r w:rsidRPr="00D609DC">
        <w:rPr>
          <w:rFonts w:ascii="Arial" w:hAnsi="Arial" w:cs="Arial"/>
        </w:rPr>
        <w:t>:</w:t>
      </w:r>
      <w:r w:rsidRPr="00D609DC">
        <w:rPr>
          <w:rFonts w:ascii="Arial" w:hAnsi="Arial" w:cs="Arial"/>
        </w:rPr>
        <w:br/>
        <w:t xml:space="preserve">Unilever's reliance on mature markets in Europe and North America limits rapid expansion due to slower growth and intense competition. The company is also vulnerable to commodity price fluctuations, which can impact profitability, particularly with raw materials like palm oil. While advancing in digital transformation, Unilever’s e-commerce and digital capabilities may </w:t>
      </w:r>
      <w:r w:rsidRPr="00D609DC">
        <w:rPr>
          <w:rFonts w:ascii="Arial" w:hAnsi="Arial" w:cs="Arial"/>
        </w:rPr>
        <w:t>lag</w:t>
      </w:r>
      <w:r w:rsidRPr="00D609DC">
        <w:rPr>
          <w:rFonts w:ascii="Arial" w:hAnsi="Arial" w:cs="Arial"/>
        </w:rPr>
        <w:t xml:space="preserve"> some competitors (SWOT Analysis, 2023).</w:t>
      </w:r>
    </w:p>
    <w:p w14:paraId="5E9E1CF0" w14:textId="77777777" w:rsidR="00D609DC" w:rsidRPr="00D609DC" w:rsidRDefault="00D609DC" w:rsidP="005B6432">
      <w:pPr>
        <w:jc w:val="both"/>
        <w:rPr>
          <w:rFonts w:ascii="Arial" w:hAnsi="Arial" w:cs="Arial"/>
        </w:rPr>
      </w:pPr>
      <w:r w:rsidRPr="00D609DC">
        <w:rPr>
          <w:rFonts w:ascii="Arial" w:hAnsi="Arial" w:cs="Arial"/>
          <w:b/>
          <w:bCs/>
        </w:rPr>
        <w:t>Opportunities</w:t>
      </w:r>
      <w:r w:rsidRPr="00D609DC">
        <w:rPr>
          <w:rFonts w:ascii="Arial" w:hAnsi="Arial" w:cs="Arial"/>
        </w:rPr>
        <w:t>:</w:t>
      </w:r>
      <w:r w:rsidRPr="00D609DC">
        <w:rPr>
          <w:rFonts w:ascii="Arial" w:hAnsi="Arial" w:cs="Arial"/>
        </w:rPr>
        <w:br/>
        <w:t>Emerging markets in Asia, Africa, and Latin America present growth potential due to rising middle-class populations and urbanization. The shift towards health and wellness offers opportunities to innovate in plant-based foods and functional beverages. Increased consumer interest in sustainability can enhance Unilever's market position with eco-friendly products. Expanding digital capabilities, particularly in e-commerce and data analytics, can drive personalized marketing and operational efficiency (SWOT Analysis, 2023).</w:t>
      </w:r>
    </w:p>
    <w:p w14:paraId="72C9068A" w14:textId="77777777" w:rsidR="00D609DC" w:rsidRPr="00D609DC" w:rsidRDefault="00D609DC" w:rsidP="005B6432">
      <w:pPr>
        <w:jc w:val="both"/>
        <w:rPr>
          <w:rFonts w:ascii="Arial" w:hAnsi="Arial" w:cs="Arial"/>
        </w:rPr>
      </w:pPr>
      <w:r w:rsidRPr="00D609DC">
        <w:rPr>
          <w:rFonts w:ascii="Arial" w:hAnsi="Arial" w:cs="Arial"/>
          <w:b/>
          <w:bCs/>
        </w:rPr>
        <w:t>Threats</w:t>
      </w:r>
      <w:r w:rsidRPr="00D609DC">
        <w:rPr>
          <w:rFonts w:ascii="Arial" w:hAnsi="Arial" w:cs="Arial"/>
        </w:rPr>
        <w:t>:</w:t>
      </w:r>
      <w:r w:rsidRPr="00D609DC">
        <w:rPr>
          <w:rFonts w:ascii="Arial" w:hAnsi="Arial" w:cs="Arial"/>
        </w:rPr>
        <w:br/>
        <w:t>Unilever faces intense competition from both global and local players, pressuring pricing and innovation. Regulatory challenges related to environmental and consumer standards could increase operational costs. Additionally, shifting consumer preferences towards niche brands might erode market share if Unilever does not adapt swiftly (SWOT Analysis, 2023).</w:t>
      </w:r>
    </w:p>
    <w:p w14:paraId="68535525" w14:textId="224A4F34" w:rsidR="00164E18" w:rsidRPr="00164E18" w:rsidRDefault="00164E18" w:rsidP="005B6432">
      <w:pPr>
        <w:pStyle w:val="Heading1"/>
        <w:jc w:val="both"/>
      </w:pPr>
      <w:bookmarkStart w:id="14" w:name="_Toc175555967"/>
      <w:r w:rsidRPr="00164E18">
        <w:t>Recommendations:</w:t>
      </w:r>
      <w:bookmarkEnd w:id="14"/>
    </w:p>
    <w:p w14:paraId="359814B2" w14:textId="77777777" w:rsidR="000911CB" w:rsidRPr="000911CB" w:rsidRDefault="000911CB" w:rsidP="005B6432">
      <w:pPr>
        <w:jc w:val="both"/>
        <w:rPr>
          <w:rFonts w:ascii="Arial" w:hAnsi="Arial" w:cs="Arial"/>
        </w:rPr>
      </w:pPr>
      <w:r w:rsidRPr="000911CB">
        <w:rPr>
          <w:rFonts w:ascii="Arial" w:hAnsi="Arial" w:cs="Arial"/>
        </w:rPr>
        <w:t>Unilever should intensify its leadership in sustainability by investing in eco-friendly innovations and expanding its product portfolio. This includes enhancing existing products to minimize environmental impact and creating new lines that tackle sustainability challenges. For example, accelerating the expansion of plant-based food options will align with health trends and environmental concerns. Additionally, prioritizing the reduction of plastic packaging and increasing the use of recyclable or biodegradable materials will not only meet consumer expectations but also set Unilever apart in a competitive market.</w:t>
      </w:r>
    </w:p>
    <w:p w14:paraId="265EC8EE" w14:textId="77777777" w:rsidR="000911CB" w:rsidRPr="000911CB" w:rsidRDefault="000911CB" w:rsidP="005B6432">
      <w:pPr>
        <w:jc w:val="both"/>
        <w:rPr>
          <w:rFonts w:ascii="Arial" w:hAnsi="Arial" w:cs="Arial"/>
        </w:rPr>
      </w:pPr>
      <w:r w:rsidRPr="000911CB">
        <w:rPr>
          <w:rFonts w:ascii="Arial" w:hAnsi="Arial" w:cs="Arial"/>
          <w:b/>
          <w:bCs/>
        </w:rPr>
        <w:t>Innovation and R&amp;D</w:t>
      </w:r>
    </w:p>
    <w:p w14:paraId="1D4F2B41" w14:textId="77777777" w:rsidR="000911CB" w:rsidRPr="000911CB" w:rsidRDefault="000911CB" w:rsidP="005B6432">
      <w:pPr>
        <w:jc w:val="both"/>
        <w:rPr>
          <w:rFonts w:ascii="Arial" w:hAnsi="Arial" w:cs="Arial"/>
        </w:rPr>
      </w:pPr>
      <w:r w:rsidRPr="000911CB">
        <w:rPr>
          <w:rFonts w:ascii="Arial" w:hAnsi="Arial" w:cs="Arial"/>
        </w:rPr>
        <w:t xml:space="preserve">To maintain its competitive edge, Unilever must boost investment in research and development, especially in sustainable technologies. This could involve developing new formulations that reduce environmental impact, such as waterless shampoos or concentrated cleaning agents that require less packaging. Collaborating with startups, research institutions, and NGOs can enhance innovation capabilities and speed up the development of groundbreaking products. Emphasizing R&amp;D in health and </w:t>
      </w:r>
      <w:r w:rsidRPr="000911CB">
        <w:rPr>
          <w:rFonts w:ascii="Arial" w:hAnsi="Arial" w:cs="Arial"/>
        </w:rPr>
        <w:lastRenderedPageBreak/>
        <w:t>wellness can also capture the growing consumer demand for products that promote well-being.</w:t>
      </w:r>
    </w:p>
    <w:p w14:paraId="013B1976" w14:textId="77777777" w:rsidR="000911CB" w:rsidRPr="000911CB" w:rsidRDefault="000911CB" w:rsidP="005B6432">
      <w:pPr>
        <w:jc w:val="both"/>
        <w:rPr>
          <w:rFonts w:ascii="Arial" w:hAnsi="Arial" w:cs="Arial"/>
        </w:rPr>
      </w:pPr>
      <w:r w:rsidRPr="000911CB">
        <w:rPr>
          <w:rFonts w:ascii="Arial" w:hAnsi="Arial" w:cs="Arial"/>
          <w:b/>
          <w:bCs/>
        </w:rPr>
        <w:t>Digital Transformation</w:t>
      </w:r>
    </w:p>
    <w:p w14:paraId="534C63DC" w14:textId="77777777" w:rsidR="000911CB" w:rsidRPr="000911CB" w:rsidRDefault="000911CB" w:rsidP="005B6432">
      <w:pPr>
        <w:jc w:val="both"/>
        <w:rPr>
          <w:rFonts w:ascii="Arial" w:hAnsi="Arial" w:cs="Arial"/>
        </w:rPr>
      </w:pPr>
      <w:r w:rsidRPr="000911CB">
        <w:rPr>
          <w:rFonts w:ascii="Arial" w:hAnsi="Arial" w:cs="Arial"/>
        </w:rPr>
        <w:t>Unilever should prioritize digital transformation by enhancing its e-commerce presence and integrating digital technologies throughout its value chain. Leveraging AI and data analytics can improve operational efficiency, optimize supply chain management, and enable personalized consumer engagement. For instance, AI-driven insights can better understand consumer preferences and predict market trends, facilitating agile product development. Digital tools can also support sustainability goals by optimizing resource use and reducing waste, making investments in digital talent and capabilities crucial for future growth.</w:t>
      </w:r>
    </w:p>
    <w:p w14:paraId="349FDE44" w14:textId="77777777" w:rsidR="000911CB" w:rsidRPr="000911CB" w:rsidRDefault="000911CB" w:rsidP="005B6432">
      <w:pPr>
        <w:jc w:val="both"/>
        <w:rPr>
          <w:rFonts w:ascii="Arial" w:hAnsi="Arial" w:cs="Arial"/>
        </w:rPr>
      </w:pPr>
      <w:r w:rsidRPr="000911CB">
        <w:rPr>
          <w:rFonts w:ascii="Arial" w:hAnsi="Arial" w:cs="Arial"/>
          <w:b/>
          <w:bCs/>
        </w:rPr>
        <w:t>Focus on Emerging Markets</w:t>
      </w:r>
    </w:p>
    <w:p w14:paraId="741EB8DB" w14:textId="77777777" w:rsidR="000911CB" w:rsidRPr="000911CB" w:rsidRDefault="000911CB" w:rsidP="005B6432">
      <w:pPr>
        <w:jc w:val="both"/>
        <w:rPr>
          <w:rFonts w:ascii="Arial" w:hAnsi="Arial" w:cs="Arial"/>
        </w:rPr>
      </w:pPr>
      <w:r w:rsidRPr="000911CB">
        <w:rPr>
          <w:rFonts w:ascii="Arial" w:hAnsi="Arial" w:cs="Arial"/>
        </w:rPr>
        <w:t>Emerging markets should remain a focal point for Unilever’s growth strategy. Tailoring products to local needs and investing in regional production and supply chains will enhance efficiency and reduce costs. Building relationships with local stakeholders and exploring joint ventures or strategic alliances can strengthen market positions and offer deeper regional insights. By focusing on these markets, Unilever can drive revenue growth and diversify its global operations.</w:t>
      </w:r>
    </w:p>
    <w:p w14:paraId="59A6A7D0" w14:textId="77777777" w:rsidR="000911CB" w:rsidRPr="000911CB" w:rsidRDefault="000911CB" w:rsidP="005B6432">
      <w:pPr>
        <w:jc w:val="both"/>
        <w:rPr>
          <w:rFonts w:ascii="Arial" w:hAnsi="Arial" w:cs="Arial"/>
        </w:rPr>
      </w:pPr>
      <w:r w:rsidRPr="000911CB">
        <w:rPr>
          <w:rFonts w:ascii="Arial" w:hAnsi="Arial" w:cs="Arial"/>
          <w:b/>
          <w:bCs/>
        </w:rPr>
        <w:t>Enhance CSR Initiatives</w:t>
      </w:r>
    </w:p>
    <w:p w14:paraId="75FE6680" w14:textId="341156B2" w:rsidR="00164E18" w:rsidRPr="000911CB" w:rsidRDefault="000911CB" w:rsidP="005B6432">
      <w:pPr>
        <w:jc w:val="both"/>
        <w:rPr>
          <w:rFonts w:ascii="Arial" w:hAnsi="Arial" w:cs="Arial"/>
        </w:rPr>
      </w:pPr>
      <w:r w:rsidRPr="000911CB">
        <w:rPr>
          <w:rFonts w:ascii="Arial" w:hAnsi="Arial" w:cs="Arial"/>
        </w:rPr>
        <w:t xml:space="preserve">Unilever should enhance its CSR initiatives by focusing on fair trade, ethical sourcing, and community development. Expanding programs that support smallholder farmers, fair </w:t>
      </w:r>
      <w:r w:rsidRPr="000911CB">
        <w:rPr>
          <w:rFonts w:ascii="Arial" w:hAnsi="Arial" w:cs="Arial"/>
        </w:rPr>
        <w:t>labour</w:t>
      </w:r>
      <w:r w:rsidRPr="000911CB">
        <w:rPr>
          <w:rFonts w:ascii="Arial" w:hAnsi="Arial" w:cs="Arial"/>
        </w:rPr>
        <w:t xml:space="preserve"> practices, and access to education and healthcare will strengthen social impact and enhance brand reputation. Transparent reporting on CSR activities will build stakeholder trust and reinforce Unilever’s commitment to responsible business practices.</w:t>
      </w:r>
    </w:p>
    <w:p w14:paraId="10801E4D" w14:textId="15EF6804" w:rsidR="009F4662" w:rsidRPr="009F4662" w:rsidRDefault="009F4662" w:rsidP="005B6432">
      <w:pPr>
        <w:pStyle w:val="Heading1"/>
        <w:jc w:val="both"/>
      </w:pPr>
      <w:bookmarkStart w:id="15" w:name="_Toc175555968"/>
      <w:r w:rsidRPr="009F4662">
        <w:t>C</w:t>
      </w:r>
      <w:r w:rsidRPr="009F4662">
        <w:t>onclusion</w:t>
      </w:r>
      <w:bookmarkEnd w:id="15"/>
    </w:p>
    <w:p w14:paraId="4D87B0E3" w14:textId="77777777" w:rsidR="000911CB" w:rsidRPr="000911CB" w:rsidRDefault="000911CB" w:rsidP="005B6432">
      <w:pPr>
        <w:jc w:val="both"/>
        <w:rPr>
          <w:rFonts w:ascii="Arial" w:hAnsi="Arial" w:cs="Arial"/>
        </w:rPr>
      </w:pPr>
      <w:r w:rsidRPr="000911CB">
        <w:rPr>
          <w:rFonts w:ascii="Arial" w:hAnsi="Arial" w:cs="Arial"/>
        </w:rPr>
        <w:t>Unilever has effectively aligned its strategic choices with its resources and capabilities, reinforcing its market leadership through a focus on sustainability and innovation. This approach has solidified its competitive edge, evident in its consistent revenue growth and strong brand. Unilever’s successful portfolio management and global expansion have enabled it to navigate market challenges and intense competition.</w:t>
      </w:r>
    </w:p>
    <w:p w14:paraId="60F0B728" w14:textId="3205FB4E" w:rsidR="000911CB" w:rsidRDefault="000911CB" w:rsidP="005B6432">
      <w:pPr>
        <w:jc w:val="both"/>
        <w:rPr>
          <w:rFonts w:ascii="Arial" w:hAnsi="Arial" w:cs="Arial"/>
        </w:rPr>
      </w:pPr>
      <w:r w:rsidRPr="000911CB">
        <w:rPr>
          <w:rFonts w:ascii="Arial" w:hAnsi="Arial" w:cs="Arial"/>
        </w:rPr>
        <w:t xml:space="preserve">To sustain long-term success and market leadership, Unilever should intensify its sustainability efforts by setting more ambitious environmental and social goals. Expanding investments in sustainable product innovation, such as plant-based foods and eco-friendly packaging, is crucial. Additionally, accelerating digital transformation will enhance consumer engagement, streamline operations, and leverage growth in emerging markets. By utilizing digital tools and data analytics, Unilever can personalize offerings and optimize its supply chain. Ongoing investment in R&amp;D will </w:t>
      </w:r>
      <w:r w:rsidRPr="000911CB">
        <w:rPr>
          <w:rFonts w:ascii="Arial" w:hAnsi="Arial" w:cs="Arial"/>
        </w:rPr>
        <w:lastRenderedPageBreak/>
        <w:t>also be vital to staying ahead of industry trends and meeting evolving consumer needs, ensuring Unilever remains a leader in innovation and sustainability.</w:t>
      </w:r>
    </w:p>
    <w:p w14:paraId="0D47075A" w14:textId="77777777" w:rsidR="00074258" w:rsidRPr="00074258" w:rsidRDefault="00074258" w:rsidP="005B6432">
      <w:pPr>
        <w:jc w:val="both"/>
        <w:rPr>
          <w:rFonts w:ascii="Arial" w:hAnsi="Arial" w:cs="Arial"/>
        </w:rPr>
      </w:pPr>
    </w:p>
    <w:p w14:paraId="7488F839" w14:textId="6E3E23CF" w:rsidR="000911CB" w:rsidRPr="000911CB" w:rsidRDefault="000911CB" w:rsidP="005B6432">
      <w:pPr>
        <w:pStyle w:val="Heading1"/>
        <w:jc w:val="both"/>
      </w:pPr>
      <w:bookmarkStart w:id="16" w:name="_Toc175555969"/>
      <w:r w:rsidRPr="000911CB">
        <w:t>References</w:t>
      </w:r>
      <w:bookmarkEnd w:id="16"/>
    </w:p>
    <w:p w14:paraId="61166068" w14:textId="77777777" w:rsidR="00074258" w:rsidRPr="00074258" w:rsidRDefault="00074258" w:rsidP="005B6432">
      <w:pPr>
        <w:jc w:val="both"/>
        <w:rPr>
          <w:rFonts w:ascii="Arial" w:hAnsi="Arial" w:cs="Arial"/>
        </w:rPr>
      </w:pPr>
      <w:r w:rsidRPr="00074258">
        <w:rPr>
          <w:rFonts w:ascii="Arial" w:hAnsi="Arial" w:cs="Arial"/>
        </w:rPr>
        <w:t xml:space="preserve">Ansoff, H.I., 1957. Strategies for Diversification. </w:t>
      </w:r>
      <w:r w:rsidRPr="00074258">
        <w:rPr>
          <w:rFonts w:ascii="Arial" w:hAnsi="Arial" w:cs="Arial"/>
          <w:i/>
          <w:iCs/>
        </w:rPr>
        <w:t>Harvard Business Review</w:t>
      </w:r>
      <w:r w:rsidRPr="00074258">
        <w:rPr>
          <w:rFonts w:ascii="Arial" w:hAnsi="Arial" w:cs="Arial"/>
        </w:rPr>
        <w:t>, 35(5), pp.113-124.</w:t>
      </w:r>
    </w:p>
    <w:p w14:paraId="327D72D6" w14:textId="77777777" w:rsidR="00074258" w:rsidRPr="00074258" w:rsidRDefault="00074258" w:rsidP="005B6432">
      <w:pPr>
        <w:jc w:val="both"/>
        <w:rPr>
          <w:rFonts w:ascii="Arial" w:hAnsi="Arial" w:cs="Arial"/>
        </w:rPr>
      </w:pPr>
      <w:r w:rsidRPr="00074258">
        <w:rPr>
          <w:rFonts w:ascii="Arial" w:hAnsi="Arial" w:cs="Arial"/>
        </w:rPr>
        <w:t xml:space="preserve">Barney, J., 1991. Firm Resources and Sustained Competitive Advantage. </w:t>
      </w:r>
      <w:r w:rsidRPr="00074258">
        <w:rPr>
          <w:rFonts w:ascii="Arial" w:hAnsi="Arial" w:cs="Arial"/>
          <w:i/>
          <w:iCs/>
        </w:rPr>
        <w:t>Journal of Management</w:t>
      </w:r>
      <w:r w:rsidRPr="00074258">
        <w:rPr>
          <w:rFonts w:ascii="Arial" w:hAnsi="Arial" w:cs="Arial"/>
        </w:rPr>
        <w:t>, 17(1), pp.99-120.</w:t>
      </w:r>
    </w:p>
    <w:p w14:paraId="11AB5BA7" w14:textId="77777777" w:rsidR="00074258" w:rsidRPr="00074258" w:rsidRDefault="00074258" w:rsidP="005B6432">
      <w:pPr>
        <w:jc w:val="both"/>
        <w:rPr>
          <w:rFonts w:ascii="Arial" w:hAnsi="Arial" w:cs="Arial"/>
        </w:rPr>
      </w:pPr>
      <w:r w:rsidRPr="00074258">
        <w:rPr>
          <w:rFonts w:ascii="Arial" w:hAnsi="Arial" w:cs="Arial"/>
        </w:rPr>
        <w:t>Elkington, J., 1997. Cannibals with Forks: The Triple Bottom Line of 21st Century Business. Capstone Publishing.</w:t>
      </w:r>
    </w:p>
    <w:p w14:paraId="75E7DC53" w14:textId="2D3B2CEA" w:rsidR="00074258" w:rsidRPr="00074258" w:rsidRDefault="00074258" w:rsidP="005B6432">
      <w:pPr>
        <w:jc w:val="both"/>
        <w:rPr>
          <w:rFonts w:ascii="Arial" w:hAnsi="Arial" w:cs="Arial"/>
        </w:rPr>
      </w:pPr>
      <w:r w:rsidRPr="00074258">
        <w:rPr>
          <w:rFonts w:ascii="Arial" w:hAnsi="Arial" w:cs="Arial"/>
        </w:rPr>
        <w:t xml:space="preserve">Elkington, J., 1997. Triple Bottom Line Reporting. [online] Available at: </w:t>
      </w:r>
      <w:hyperlink r:id="rId9" w:tgtFrame="_new" w:history="1">
        <w:r w:rsidRPr="00074258">
          <w:rPr>
            <w:rStyle w:val="Hyperlink"/>
            <w:rFonts w:ascii="Arial" w:hAnsi="Arial" w:cs="Arial"/>
          </w:rPr>
          <w:t>https://d1wqtxts1xzle7.cloudfront.net/38640293/BMS-V1N2-2015web-libre.pdf?1441165636=&amp;response-content-disposition=inline%3B+filename%3DBusiness_and_Management_Studies_Vol_1_No.pdf&amp;Expires=1724660277&amp;Signature=gQG6waOc94nne3vxZWss57r2PLjcKzPC7s3lA9O8qdSpjEh-idJ7peaJ3Wu2UFWOpw7tEb3KplMcC6eChn2-baSpTcaKcW4-TJrOegek1lv1K1MBDkztXufxsdDVRiV2GyyZGp-wl8w6IJci-Yuz0A4Gkv6tGObYBvMKrdfhv5fTcibRpPMw6mETcAq1XvnGTO7RKCRReSDa7h-nm-QReVVacIcRlQss8RyzfvPZXVPjFGtUgB-I1bSSR521kSQ5Ainowzeu29NFBEDrAusTA6s~0a64S395mt4aXO4ZHGn9O1EG1QrAo0Ft8rcJEs8~cEINwatH7ywprmEB8wWo3w__&amp;Key-Pair-Id=APKAJLOHF5GGSLRBV4ZA</w:t>
        </w:r>
      </w:hyperlink>
      <w:r w:rsidRPr="00074258">
        <w:rPr>
          <w:rFonts w:ascii="Arial" w:hAnsi="Arial" w:cs="Arial"/>
        </w:rPr>
        <w:t xml:space="preserve"> [Accessed 18</w:t>
      </w:r>
      <w:r w:rsidR="004A71BC" w:rsidRPr="004A71BC">
        <w:rPr>
          <w:rFonts w:ascii="Arial" w:hAnsi="Arial" w:cs="Arial"/>
          <w:vertAlign w:val="superscript"/>
        </w:rPr>
        <w:t>th</w:t>
      </w:r>
      <w:r w:rsidR="004A71BC">
        <w:rPr>
          <w:rFonts w:ascii="Arial" w:hAnsi="Arial" w:cs="Arial"/>
        </w:rPr>
        <w:t xml:space="preserve"> </w:t>
      </w:r>
      <w:r w:rsidRPr="00074258">
        <w:rPr>
          <w:rFonts w:ascii="Arial" w:hAnsi="Arial" w:cs="Arial"/>
        </w:rPr>
        <w:t xml:space="preserve"> August 2024].</w:t>
      </w:r>
    </w:p>
    <w:p w14:paraId="5AFC4101" w14:textId="695E4A8A" w:rsidR="00074258" w:rsidRPr="00074258" w:rsidRDefault="00074258" w:rsidP="005B6432">
      <w:pPr>
        <w:jc w:val="both"/>
        <w:rPr>
          <w:rFonts w:ascii="Arial" w:hAnsi="Arial" w:cs="Arial"/>
        </w:rPr>
      </w:pPr>
      <w:r w:rsidRPr="00074258">
        <w:rPr>
          <w:rFonts w:ascii="Arial" w:hAnsi="Arial" w:cs="Arial"/>
        </w:rPr>
        <w:t xml:space="preserve">Euromonitor, 2022. Personal Care Market in India. [online] Available at: </w:t>
      </w:r>
      <w:hyperlink r:id="rId10" w:tgtFrame="_new" w:history="1">
        <w:r w:rsidRPr="00074258">
          <w:rPr>
            <w:rStyle w:val="Hyperlink"/>
            <w:rFonts w:ascii="Arial" w:hAnsi="Arial" w:cs="Arial"/>
          </w:rPr>
          <w:t>https://www.euromonitor.com/unilever-in-beauty-and-personal-care/report</w:t>
        </w:r>
      </w:hyperlink>
      <w:r w:rsidRPr="00074258">
        <w:rPr>
          <w:rFonts w:ascii="Arial" w:hAnsi="Arial" w:cs="Arial"/>
        </w:rPr>
        <w:t xml:space="preserve"> [Accessed 1</w:t>
      </w:r>
      <w:r w:rsidR="004A71BC">
        <w:rPr>
          <w:rFonts w:ascii="Arial" w:hAnsi="Arial" w:cs="Arial"/>
        </w:rPr>
        <w:t xml:space="preserve">9th </w:t>
      </w:r>
      <w:r w:rsidRPr="00074258">
        <w:rPr>
          <w:rFonts w:ascii="Arial" w:hAnsi="Arial" w:cs="Arial"/>
        </w:rPr>
        <w:t>August 2024].</w:t>
      </w:r>
    </w:p>
    <w:p w14:paraId="1A56AFF0" w14:textId="615E7270" w:rsidR="00074258" w:rsidRPr="00074258" w:rsidRDefault="00074258" w:rsidP="005B6432">
      <w:pPr>
        <w:jc w:val="both"/>
        <w:rPr>
          <w:rFonts w:ascii="Arial" w:hAnsi="Arial" w:cs="Arial"/>
        </w:rPr>
      </w:pPr>
      <w:r w:rsidRPr="00074258">
        <w:rPr>
          <w:rFonts w:ascii="Arial" w:hAnsi="Arial" w:cs="Arial"/>
        </w:rPr>
        <w:t xml:space="preserve">GRI (Global Reporting Initiative), 2022. GRI Standards and Reporting. [online] Available at: </w:t>
      </w:r>
      <w:hyperlink r:id="rId11" w:tgtFrame="_new" w:history="1">
        <w:r w:rsidRPr="00074258">
          <w:rPr>
            <w:rStyle w:val="Hyperlink"/>
            <w:rFonts w:ascii="Arial" w:hAnsi="Arial" w:cs="Arial"/>
          </w:rPr>
          <w:t>https://www.globalreporting.org/search/?query=unilever</w:t>
        </w:r>
      </w:hyperlink>
      <w:r w:rsidRPr="00074258">
        <w:rPr>
          <w:rFonts w:ascii="Arial" w:hAnsi="Arial" w:cs="Arial"/>
        </w:rPr>
        <w:t xml:space="preserve"> [Accessed 19</w:t>
      </w:r>
      <w:r w:rsidR="004A71BC" w:rsidRPr="004A71BC">
        <w:rPr>
          <w:rFonts w:ascii="Arial" w:hAnsi="Arial" w:cs="Arial"/>
          <w:vertAlign w:val="superscript"/>
        </w:rPr>
        <w:t>th</w:t>
      </w:r>
      <w:r w:rsidR="004A71BC">
        <w:rPr>
          <w:rFonts w:ascii="Arial" w:hAnsi="Arial" w:cs="Arial"/>
        </w:rPr>
        <w:t xml:space="preserve"> </w:t>
      </w:r>
      <w:r w:rsidRPr="00074258">
        <w:rPr>
          <w:rFonts w:ascii="Arial" w:hAnsi="Arial" w:cs="Arial"/>
        </w:rPr>
        <w:t>August 2024].</w:t>
      </w:r>
    </w:p>
    <w:p w14:paraId="0AA8453C" w14:textId="77777777" w:rsidR="00074258" w:rsidRPr="00074258" w:rsidRDefault="00074258" w:rsidP="005B6432">
      <w:pPr>
        <w:jc w:val="both"/>
        <w:rPr>
          <w:rFonts w:ascii="Arial" w:hAnsi="Arial" w:cs="Arial"/>
        </w:rPr>
      </w:pPr>
      <w:r w:rsidRPr="00074258">
        <w:rPr>
          <w:rFonts w:ascii="Arial" w:hAnsi="Arial" w:cs="Arial"/>
        </w:rPr>
        <w:t xml:space="preserve">Kaplan, R.S. &amp; Norton, D.P., 1992. The Balanced Scorecard: Measures that Drive Performance. </w:t>
      </w:r>
      <w:r w:rsidRPr="00074258">
        <w:rPr>
          <w:rFonts w:ascii="Arial" w:hAnsi="Arial" w:cs="Arial"/>
          <w:i/>
          <w:iCs/>
        </w:rPr>
        <w:t>Harvard Business Review</w:t>
      </w:r>
      <w:r w:rsidRPr="00074258">
        <w:rPr>
          <w:rFonts w:ascii="Arial" w:hAnsi="Arial" w:cs="Arial"/>
        </w:rPr>
        <w:t>, 70(1), pp.71-79.</w:t>
      </w:r>
    </w:p>
    <w:p w14:paraId="7474C75D" w14:textId="77777777" w:rsidR="00074258" w:rsidRPr="00074258" w:rsidRDefault="00074258" w:rsidP="005B6432">
      <w:pPr>
        <w:jc w:val="both"/>
        <w:rPr>
          <w:rFonts w:ascii="Arial" w:hAnsi="Arial" w:cs="Arial"/>
        </w:rPr>
      </w:pPr>
      <w:r w:rsidRPr="00074258">
        <w:rPr>
          <w:rFonts w:ascii="Arial" w:hAnsi="Arial" w:cs="Arial"/>
        </w:rPr>
        <w:t>Kotler, P. &amp; Keller, K.L., 2020. Marketing Management. 15th ed. Pearson.</w:t>
      </w:r>
    </w:p>
    <w:p w14:paraId="3F11404F" w14:textId="77777777" w:rsidR="00074258" w:rsidRPr="00074258" w:rsidRDefault="00074258" w:rsidP="005B6432">
      <w:pPr>
        <w:jc w:val="both"/>
        <w:rPr>
          <w:rFonts w:ascii="Arial" w:hAnsi="Arial" w:cs="Arial"/>
        </w:rPr>
      </w:pPr>
      <w:r w:rsidRPr="00074258">
        <w:rPr>
          <w:rFonts w:ascii="Arial" w:hAnsi="Arial" w:cs="Arial"/>
        </w:rPr>
        <w:t>Porter, M.E., 1980. Competitive Strategy: Techniques for Analysing Industries and Competitors. Free Press.</w:t>
      </w:r>
    </w:p>
    <w:p w14:paraId="13DCE467" w14:textId="78CE0A24" w:rsidR="00074258" w:rsidRPr="00074258" w:rsidRDefault="00074258" w:rsidP="005B6432">
      <w:pPr>
        <w:jc w:val="both"/>
        <w:rPr>
          <w:rFonts w:ascii="Arial" w:hAnsi="Arial" w:cs="Arial"/>
        </w:rPr>
      </w:pPr>
      <w:r w:rsidRPr="00074258">
        <w:rPr>
          <w:rFonts w:ascii="Arial" w:hAnsi="Arial" w:cs="Arial"/>
        </w:rPr>
        <w:t xml:space="preserve">Reuters, 2018. Unilever Sells Spreads Business to KKR. [online] Available at: </w:t>
      </w:r>
      <w:hyperlink r:id="rId12" w:tgtFrame="_new" w:history="1">
        <w:r w:rsidRPr="00074258">
          <w:rPr>
            <w:rStyle w:val="Hyperlink"/>
            <w:rFonts w:ascii="Arial" w:hAnsi="Arial" w:cs="Arial"/>
          </w:rPr>
          <w:t>https://www.reuters.com/article/business/unilever-to-sell-spreads-business-to-kkr-for-8-billion-idUSKBN1E926O/</w:t>
        </w:r>
      </w:hyperlink>
      <w:r w:rsidRPr="00074258">
        <w:rPr>
          <w:rFonts w:ascii="Arial" w:hAnsi="Arial" w:cs="Arial"/>
        </w:rPr>
        <w:t xml:space="preserve"> [Accessed 20</w:t>
      </w:r>
      <w:r w:rsidR="004A71BC" w:rsidRPr="004A71BC">
        <w:rPr>
          <w:rFonts w:ascii="Arial" w:hAnsi="Arial" w:cs="Arial"/>
          <w:vertAlign w:val="superscript"/>
        </w:rPr>
        <w:t>th</w:t>
      </w:r>
      <w:r w:rsidRPr="00074258">
        <w:rPr>
          <w:rFonts w:ascii="Arial" w:hAnsi="Arial" w:cs="Arial"/>
        </w:rPr>
        <w:t xml:space="preserve"> August 2024].</w:t>
      </w:r>
    </w:p>
    <w:p w14:paraId="1C3304C2" w14:textId="237666A9" w:rsidR="00074258" w:rsidRPr="00074258" w:rsidRDefault="00074258" w:rsidP="005B6432">
      <w:pPr>
        <w:jc w:val="both"/>
        <w:rPr>
          <w:rFonts w:ascii="Arial" w:hAnsi="Arial" w:cs="Arial"/>
        </w:rPr>
      </w:pPr>
      <w:r w:rsidRPr="00074258">
        <w:rPr>
          <w:rFonts w:ascii="Arial" w:hAnsi="Arial" w:cs="Arial"/>
        </w:rPr>
        <w:lastRenderedPageBreak/>
        <w:t xml:space="preserve">SWOT Analysis, 2023. Unilever SWOT Analysis 2023. [online] Available at: </w:t>
      </w:r>
      <w:hyperlink r:id="rId13" w:tgtFrame="_new" w:history="1">
        <w:r w:rsidRPr="00074258">
          <w:rPr>
            <w:rStyle w:val="Hyperlink"/>
            <w:rFonts w:ascii="Arial" w:hAnsi="Arial" w:cs="Arial"/>
          </w:rPr>
          <w:t>https://strategicmanagementinsight.com/swot-analyses/unilever-swot-analysis/</w:t>
        </w:r>
      </w:hyperlink>
      <w:r w:rsidRPr="00074258">
        <w:rPr>
          <w:rFonts w:ascii="Arial" w:hAnsi="Arial" w:cs="Arial"/>
        </w:rPr>
        <w:t xml:space="preserve"> [Accessed 24</w:t>
      </w:r>
      <w:r w:rsidR="004A71BC" w:rsidRPr="004A71BC">
        <w:rPr>
          <w:rFonts w:ascii="Arial" w:hAnsi="Arial" w:cs="Arial"/>
          <w:vertAlign w:val="superscript"/>
        </w:rPr>
        <w:t>th</w:t>
      </w:r>
      <w:r w:rsidR="004A71BC">
        <w:rPr>
          <w:rFonts w:ascii="Arial" w:hAnsi="Arial" w:cs="Arial"/>
        </w:rPr>
        <w:t xml:space="preserve"> </w:t>
      </w:r>
      <w:r w:rsidRPr="00074258">
        <w:rPr>
          <w:rFonts w:ascii="Arial" w:hAnsi="Arial" w:cs="Arial"/>
        </w:rPr>
        <w:t xml:space="preserve"> August 2024].</w:t>
      </w:r>
    </w:p>
    <w:p w14:paraId="6C4A48F0" w14:textId="5C5BF133" w:rsidR="00074258" w:rsidRPr="00074258" w:rsidRDefault="00074258" w:rsidP="005B6432">
      <w:pPr>
        <w:jc w:val="both"/>
        <w:rPr>
          <w:rFonts w:ascii="Arial" w:hAnsi="Arial" w:cs="Arial"/>
        </w:rPr>
      </w:pPr>
      <w:r w:rsidRPr="00074258">
        <w:rPr>
          <w:rFonts w:ascii="Arial" w:hAnsi="Arial" w:cs="Arial"/>
        </w:rPr>
        <w:t xml:space="preserve">Unilever, 2022. Unilever Sustainable Living Plan: Progress Report. [online] Available at: </w:t>
      </w:r>
      <w:hyperlink r:id="rId14" w:tgtFrame="_new" w:history="1">
        <w:r w:rsidRPr="00074258">
          <w:rPr>
            <w:rStyle w:val="Hyperlink"/>
            <w:rFonts w:ascii="Arial" w:hAnsi="Arial" w:cs="Arial"/>
          </w:rPr>
          <w:t>https://www.unilever.com/files/92ui5egz/production/16cb778e4d31b81509dc5937001559f1f5c863ab.pdf</w:t>
        </w:r>
      </w:hyperlink>
      <w:r w:rsidRPr="00074258">
        <w:rPr>
          <w:rFonts w:ascii="Arial" w:hAnsi="Arial" w:cs="Arial"/>
        </w:rPr>
        <w:t xml:space="preserve"> [Accessed 2</w:t>
      </w:r>
      <w:r w:rsidR="004A71BC">
        <w:rPr>
          <w:rFonts w:ascii="Arial" w:hAnsi="Arial" w:cs="Arial"/>
        </w:rPr>
        <w:t xml:space="preserve">0th </w:t>
      </w:r>
      <w:r w:rsidRPr="00074258">
        <w:rPr>
          <w:rFonts w:ascii="Arial" w:hAnsi="Arial" w:cs="Arial"/>
        </w:rPr>
        <w:t>August 2024].</w:t>
      </w:r>
    </w:p>
    <w:p w14:paraId="78DCFD72" w14:textId="2E316962" w:rsidR="00074258" w:rsidRPr="00074258" w:rsidRDefault="00074258" w:rsidP="005B6432">
      <w:pPr>
        <w:jc w:val="both"/>
        <w:rPr>
          <w:rFonts w:ascii="Arial" w:hAnsi="Arial" w:cs="Arial"/>
        </w:rPr>
      </w:pPr>
      <w:r w:rsidRPr="00074258">
        <w:rPr>
          <w:rFonts w:ascii="Arial" w:hAnsi="Arial" w:cs="Arial"/>
        </w:rPr>
        <w:t xml:space="preserve">Unilever, 2023. Annual Report 2023. [online] Available at: </w:t>
      </w:r>
      <w:hyperlink r:id="rId15" w:tgtFrame="_new" w:history="1">
        <w:r w:rsidRPr="00074258">
          <w:rPr>
            <w:rStyle w:val="Hyperlink"/>
            <w:rFonts w:ascii="Arial" w:hAnsi="Arial" w:cs="Arial"/>
          </w:rPr>
          <w:t>https://www.unilever.com/files/92ui5egz/production/b09c3510ee7cec58440d5f044f02bdefe85aa186.pdf</w:t>
        </w:r>
      </w:hyperlink>
      <w:r w:rsidRPr="00074258">
        <w:rPr>
          <w:rFonts w:ascii="Arial" w:hAnsi="Arial" w:cs="Arial"/>
        </w:rPr>
        <w:t xml:space="preserve"> [Accessed 17</w:t>
      </w:r>
      <w:r w:rsidR="005B6432">
        <w:rPr>
          <w:rFonts w:ascii="Arial" w:hAnsi="Arial" w:cs="Arial"/>
        </w:rPr>
        <w:t xml:space="preserve">th </w:t>
      </w:r>
      <w:r w:rsidR="004A71BC">
        <w:rPr>
          <w:rFonts w:ascii="Arial" w:hAnsi="Arial" w:cs="Arial"/>
        </w:rPr>
        <w:t xml:space="preserve"> </w:t>
      </w:r>
      <w:r w:rsidRPr="00074258">
        <w:rPr>
          <w:rFonts w:ascii="Arial" w:hAnsi="Arial" w:cs="Arial"/>
        </w:rPr>
        <w:t xml:space="preserve"> August 2024].</w:t>
      </w:r>
    </w:p>
    <w:p w14:paraId="50F3EB95" w14:textId="30908E6C" w:rsidR="00074258" w:rsidRPr="00074258" w:rsidRDefault="00074258" w:rsidP="005B6432">
      <w:pPr>
        <w:jc w:val="both"/>
        <w:rPr>
          <w:rFonts w:ascii="Arial" w:hAnsi="Arial" w:cs="Arial"/>
        </w:rPr>
      </w:pPr>
      <w:r w:rsidRPr="00074258">
        <w:rPr>
          <w:rFonts w:ascii="Arial" w:hAnsi="Arial" w:cs="Arial"/>
        </w:rPr>
        <w:t xml:space="preserve">Unilever, 2023. Company Overview. [online] Available at: </w:t>
      </w:r>
      <w:hyperlink r:id="rId16" w:tgtFrame="_new" w:history="1">
        <w:r w:rsidRPr="00074258">
          <w:rPr>
            <w:rStyle w:val="Hyperlink"/>
            <w:rFonts w:ascii="Arial" w:hAnsi="Arial" w:cs="Arial"/>
          </w:rPr>
          <w:t>https://www.unilever.com/investors/results-presentations-webcasts/overview-full-year-2023/</w:t>
        </w:r>
      </w:hyperlink>
      <w:r w:rsidRPr="00074258">
        <w:rPr>
          <w:rFonts w:ascii="Arial" w:hAnsi="Arial" w:cs="Arial"/>
        </w:rPr>
        <w:t xml:space="preserve"> [Accessed 17</w:t>
      </w:r>
      <w:r w:rsidR="004A71BC" w:rsidRPr="004A71BC">
        <w:rPr>
          <w:rFonts w:ascii="Arial" w:hAnsi="Arial" w:cs="Arial"/>
          <w:vertAlign w:val="superscript"/>
        </w:rPr>
        <w:t>th</w:t>
      </w:r>
      <w:r w:rsidR="004A71BC">
        <w:rPr>
          <w:rFonts w:ascii="Arial" w:hAnsi="Arial" w:cs="Arial"/>
        </w:rPr>
        <w:t xml:space="preserve"> </w:t>
      </w:r>
      <w:r w:rsidRPr="00074258">
        <w:rPr>
          <w:rFonts w:ascii="Arial" w:hAnsi="Arial" w:cs="Arial"/>
        </w:rPr>
        <w:t xml:space="preserve"> August 2024].</w:t>
      </w:r>
    </w:p>
    <w:p w14:paraId="38A1A5FF" w14:textId="1D9ACFF2" w:rsidR="00074258" w:rsidRDefault="00074258" w:rsidP="005B6432">
      <w:pPr>
        <w:jc w:val="both"/>
        <w:rPr>
          <w:rFonts w:ascii="Arial" w:hAnsi="Arial" w:cs="Arial"/>
        </w:rPr>
      </w:pPr>
      <w:r w:rsidRPr="00074258">
        <w:rPr>
          <w:rFonts w:ascii="Arial" w:hAnsi="Arial" w:cs="Arial"/>
        </w:rPr>
        <w:t xml:space="preserve">Unilever, 2023. Sustainability Practices and Goals. [online] Available at: </w:t>
      </w:r>
      <w:hyperlink r:id="rId17" w:tgtFrame="_new" w:history="1">
        <w:r w:rsidRPr="00074258">
          <w:rPr>
            <w:rStyle w:val="Hyperlink"/>
            <w:rFonts w:ascii="Arial" w:hAnsi="Arial" w:cs="Arial"/>
          </w:rPr>
          <w:t>https://www.unilever.com/news/news-search/2023/leading-and-delivering-on-sustainability-through-our-compass-commitments/</w:t>
        </w:r>
      </w:hyperlink>
      <w:r w:rsidRPr="00074258">
        <w:rPr>
          <w:rFonts w:ascii="Arial" w:hAnsi="Arial" w:cs="Arial"/>
        </w:rPr>
        <w:t xml:space="preserve"> [Accessed 18</w:t>
      </w:r>
      <w:r w:rsidR="004A71BC" w:rsidRPr="004A71BC">
        <w:rPr>
          <w:rFonts w:ascii="Arial" w:hAnsi="Arial" w:cs="Arial"/>
          <w:vertAlign w:val="superscript"/>
        </w:rPr>
        <w:t>th</w:t>
      </w:r>
      <w:r w:rsidR="004A71BC">
        <w:rPr>
          <w:rFonts w:ascii="Arial" w:hAnsi="Arial" w:cs="Arial"/>
        </w:rPr>
        <w:t xml:space="preserve"> </w:t>
      </w:r>
      <w:r w:rsidRPr="00074258">
        <w:rPr>
          <w:rFonts w:ascii="Arial" w:hAnsi="Arial" w:cs="Arial"/>
        </w:rPr>
        <w:t xml:space="preserve"> August 2024].</w:t>
      </w:r>
    </w:p>
    <w:p w14:paraId="4338B77B" w14:textId="77777777" w:rsidR="00074258" w:rsidRDefault="00074258" w:rsidP="005B6432">
      <w:pPr>
        <w:jc w:val="both"/>
        <w:rPr>
          <w:rFonts w:ascii="Arial" w:hAnsi="Arial" w:cs="Arial"/>
        </w:rPr>
      </w:pPr>
    </w:p>
    <w:p w14:paraId="4C4EE0A4" w14:textId="161EC1D8" w:rsidR="00074258" w:rsidRPr="002661B5" w:rsidRDefault="00074258" w:rsidP="005B6432">
      <w:pPr>
        <w:pStyle w:val="Heading1"/>
        <w:jc w:val="both"/>
      </w:pPr>
      <w:bookmarkStart w:id="17" w:name="_Toc175555970"/>
      <w:r w:rsidRPr="002661B5">
        <w:t>Appendices</w:t>
      </w:r>
      <w:r w:rsidR="002661B5" w:rsidRPr="002661B5">
        <w:t>:</w:t>
      </w:r>
      <w:bookmarkEnd w:id="17"/>
    </w:p>
    <w:p w14:paraId="706909CA" w14:textId="77777777" w:rsidR="002661B5" w:rsidRPr="002661B5" w:rsidRDefault="002661B5" w:rsidP="005B6432">
      <w:pPr>
        <w:pStyle w:val="Heading2"/>
        <w:jc w:val="both"/>
      </w:pPr>
      <w:bookmarkStart w:id="18" w:name="_Toc175555971"/>
      <w:r w:rsidRPr="002661B5">
        <w:t>Appendix A: SWOT Analysis</w:t>
      </w:r>
      <w:bookmarkEnd w:id="18"/>
    </w:p>
    <w:p w14:paraId="08A97263" w14:textId="77777777" w:rsidR="002661B5" w:rsidRPr="002661B5" w:rsidRDefault="002661B5" w:rsidP="005B6432">
      <w:pPr>
        <w:jc w:val="both"/>
        <w:rPr>
          <w:rFonts w:ascii="Arial" w:hAnsi="Arial" w:cs="Arial"/>
        </w:rPr>
      </w:pPr>
      <w:r w:rsidRPr="002661B5">
        <w:rPr>
          <w:rFonts w:ascii="Arial" w:hAnsi="Arial" w:cs="Arial"/>
          <w:b/>
          <w:bCs/>
        </w:rPr>
        <w:t>Strengths:</w:t>
      </w:r>
    </w:p>
    <w:p w14:paraId="6795F7EF" w14:textId="77777777" w:rsidR="002661B5" w:rsidRPr="002661B5" w:rsidRDefault="002661B5" w:rsidP="005B6432">
      <w:pPr>
        <w:numPr>
          <w:ilvl w:val="0"/>
          <w:numId w:val="17"/>
        </w:numPr>
        <w:jc w:val="both"/>
        <w:rPr>
          <w:rFonts w:ascii="Arial" w:hAnsi="Arial" w:cs="Arial"/>
        </w:rPr>
      </w:pPr>
      <w:r w:rsidRPr="002661B5">
        <w:rPr>
          <w:rFonts w:ascii="Arial" w:hAnsi="Arial" w:cs="Arial"/>
          <w:b/>
          <w:bCs/>
        </w:rPr>
        <w:t>Extensive Brand Portfolio:</w:t>
      </w:r>
      <w:r w:rsidRPr="002661B5">
        <w:rPr>
          <w:rFonts w:ascii="Arial" w:hAnsi="Arial" w:cs="Arial"/>
        </w:rPr>
        <w:t xml:space="preserve"> Unilever’s diverse range of over 400 brands across categories such as food, beverages, personal care, and home care enhances its market presence and consumer reach.</w:t>
      </w:r>
    </w:p>
    <w:p w14:paraId="7F557FF6" w14:textId="77777777" w:rsidR="002661B5" w:rsidRPr="002661B5" w:rsidRDefault="002661B5" w:rsidP="005B6432">
      <w:pPr>
        <w:numPr>
          <w:ilvl w:val="0"/>
          <w:numId w:val="17"/>
        </w:numPr>
        <w:jc w:val="both"/>
        <w:rPr>
          <w:rFonts w:ascii="Arial" w:hAnsi="Arial" w:cs="Arial"/>
        </w:rPr>
      </w:pPr>
      <w:r w:rsidRPr="002661B5">
        <w:rPr>
          <w:rFonts w:ascii="Arial" w:hAnsi="Arial" w:cs="Arial"/>
          <w:b/>
          <w:bCs/>
        </w:rPr>
        <w:t>Global Presence:</w:t>
      </w:r>
      <w:r w:rsidRPr="002661B5">
        <w:rPr>
          <w:rFonts w:ascii="Arial" w:hAnsi="Arial" w:cs="Arial"/>
        </w:rPr>
        <w:t xml:space="preserve"> Operating in over 190 countries provides Unilever with economies of scale, market diversification, and a robust distribution network.</w:t>
      </w:r>
    </w:p>
    <w:p w14:paraId="0E1AEF0A" w14:textId="77777777" w:rsidR="002661B5" w:rsidRPr="002661B5" w:rsidRDefault="002661B5" w:rsidP="005B6432">
      <w:pPr>
        <w:numPr>
          <w:ilvl w:val="0"/>
          <w:numId w:val="17"/>
        </w:numPr>
        <w:jc w:val="both"/>
        <w:rPr>
          <w:rFonts w:ascii="Arial" w:hAnsi="Arial" w:cs="Arial"/>
        </w:rPr>
      </w:pPr>
      <w:r w:rsidRPr="002661B5">
        <w:rPr>
          <w:rFonts w:ascii="Arial" w:hAnsi="Arial" w:cs="Arial"/>
          <w:b/>
          <w:bCs/>
        </w:rPr>
        <w:t>Leadership in Sustainability:</w:t>
      </w:r>
      <w:r w:rsidRPr="002661B5">
        <w:rPr>
          <w:rFonts w:ascii="Arial" w:hAnsi="Arial" w:cs="Arial"/>
        </w:rPr>
        <w:t xml:space="preserve"> The Unilever Sustainable Living Plan (USLP) exemplifies the company’s commitment to integrating environmental and social responsibility into its core operations, enhancing its brand reputation and aligning with consumer expectations for ethical products.</w:t>
      </w:r>
    </w:p>
    <w:p w14:paraId="3A51110C" w14:textId="77777777" w:rsidR="002661B5" w:rsidRPr="002661B5" w:rsidRDefault="002661B5" w:rsidP="005B6432">
      <w:pPr>
        <w:jc w:val="both"/>
        <w:rPr>
          <w:rFonts w:ascii="Arial" w:hAnsi="Arial" w:cs="Arial"/>
        </w:rPr>
      </w:pPr>
      <w:r w:rsidRPr="002661B5">
        <w:rPr>
          <w:rFonts w:ascii="Arial" w:hAnsi="Arial" w:cs="Arial"/>
          <w:b/>
          <w:bCs/>
        </w:rPr>
        <w:t>Weaknesses:</w:t>
      </w:r>
    </w:p>
    <w:p w14:paraId="5307DEF6" w14:textId="77777777" w:rsidR="002661B5" w:rsidRPr="002661B5" w:rsidRDefault="002661B5" w:rsidP="005B6432">
      <w:pPr>
        <w:numPr>
          <w:ilvl w:val="0"/>
          <w:numId w:val="18"/>
        </w:numPr>
        <w:jc w:val="both"/>
        <w:rPr>
          <w:rFonts w:ascii="Arial" w:hAnsi="Arial" w:cs="Arial"/>
        </w:rPr>
      </w:pPr>
      <w:r w:rsidRPr="002661B5">
        <w:rPr>
          <w:rFonts w:ascii="Arial" w:hAnsi="Arial" w:cs="Arial"/>
          <w:b/>
          <w:bCs/>
        </w:rPr>
        <w:t>Dependence on Mature Markets:</w:t>
      </w:r>
      <w:r w:rsidRPr="002661B5">
        <w:rPr>
          <w:rFonts w:ascii="Arial" w:hAnsi="Arial" w:cs="Arial"/>
        </w:rPr>
        <w:t xml:space="preserve"> A significant portion of Unilever’s revenue comes from slower-growing markets in Europe and North America, which may limit opportunities for rapid expansion and increase vulnerability to market saturation.</w:t>
      </w:r>
    </w:p>
    <w:p w14:paraId="700168E4" w14:textId="77777777" w:rsidR="002661B5" w:rsidRPr="002661B5" w:rsidRDefault="002661B5" w:rsidP="005B6432">
      <w:pPr>
        <w:numPr>
          <w:ilvl w:val="0"/>
          <w:numId w:val="18"/>
        </w:numPr>
        <w:jc w:val="both"/>
        <w:rPr>
          <w:rFonts w:ascii="Arial" w:hAnsi="Arial" w:cs="Arial"/>
        </w:rPr>
      </w:pPr>
      <w:r w:rsidRPr="002661B5">
        <w:rPr>
          <w:rFonts w:ascii="Arial" w:hAnsi="Arial" w:cs="Arial"/>
          <w:b/>
          <w:bCs/>
        </w:rPr>
        <w:lastRenderedPageBreak/>
        <w:t>Commodity Price Volatility:</w:t>
      </w:r>
      <w:r w:rsidRPr="002661B5">
        <w:rPr>
          <w:rFonts w:ascii="Arial" w:hAnsi="Arial" w:cs="Arial"/>
        </w:rPr>
        <w:t xml:space="preserve"> Unilever’s profitability is affected by fluctuations in the prices of raw materials, such as palm oil and dairy, which can impact margins, particularly during periods of inflation.</w:t>
      </w:r>
    </w:p>
    <w:p w14:paraId="0121F7C1" w14:textId="77777777" w:rsidR="002661B5" w:rsidRPr="002661B5" w:rsidRDefault="002661B5" w:rsidP="005B6432">
      <w:pPr>
        <w:numPr>
          <w:ilvl w:val="0"/>
          <w:numId w:val="18"/>
        </w:numPr>
        <w:jc w:val="both"/>
        <w:rPr>
          <w:rFonts w:ascii="Arial" w:hAnsi="Arial" w:cs="Arial"/>
        </w:rPr>
      </w:pPr>
      <w:r w:rsidRPr="002661B5">
        <w:rPr>
          <w:rFonts w:ascii="Arial" w:hAnsi="Arial" w:cs="Arial"/>
          <w:b/>
          <w:bCs/>
        </w:rPr>
        <w:t>Digital Transformation Lag:</w:t>
      </w:r>
      <w:r w:rsidRPr="002661B5">
        <w:rPr>
          <w:rFonts w:ascii="Arial" w:hAnsi="Arial" w:cs="Arial"/>
        </w:rPr>
        <w:t xml:space="preserve"> Despite advancements, Unilever’s digital and e-commerce capabilities may not be as advanced as those of some competitors, posing challenges in a rapidly evolving digital landscape.</w:t>
      </w:r>
    </w:p>
    <w:p w14:paraId="0F2A636F" w14:textId="77777777" w:rsidR="002661B5" w:rsidRPr="002661B5" w:rsidRDefault="002661B5" w:rsidP="005B6432">
      <w:pPr>
        <w:jc w:val="both"/>
        <w:rPr>
          <w:rFonts w:ascii="Arial" w:hAnsi="Arial" w:cs="Arial"/>
        </w:rPr>
      </w:pPr>
      <w:r w:rsidRPr="002661B5">
        <w:rPr>
          <w:rFonts w:ascii="Arial" w:hAnsi="Arial" w:cs="Arial"/>
          <w:b/>
          <w:bCs/>
        </w:rPr>
        <w:t>Opportunities:</w:t>
      </w:r>
    </w:p>
    <w:p w14:paraId="68355544" w14:textId="77777777" w:rsidR="002661B5" w:rsidRPr="002661B5" w:rsidRDefault="002661B5" w:rsidP="005B6432">
      <w:pPr>
        <w:numPr>
          <w:ilvl w:val="0"/>
          <w:numId w:val="19"/>
        </w:numPr>
        <w:jc w:val="both"/>
        <w:rPr>
          <w:rFonts w:ascii="Arial" w:hAnsi="Arial" w:cs="Arial"/>
        </w:rPr>
      </w:pPr>
      <w:r w:rsidRPr="002661B5">
        <w:rPr>
          <w:rFonts w:ascii="Arial" w:hAnsi="Arial" w:cs="Arial"/>
          <w:b/>
          <w:bCs/>
        </w:rPr>
        <w:t>Emerging Markets:</w:t>
      </w:r>
      <w:r w:rsidRPr="002661B5">
        <w:rPr>
          <w:rFonts w:ascii="Arial" w:hAnsi="Arial" w:cs="Arial"/>
        </w:rPr>
        <w:t xml:space="preserve"> High growth potential exists in Asia, Africa, and Latin America due to expanding middle-class populations and increasing urbanization. Tailoring products to local preferences and investing in regional production and distribution can drive significant growth.</w:t>
      </w:r>
    </w:p>
    <w:p w14:paraId="61150308" w14:textId="77777777" w:rsidR="002661B5" w:rsidRPr="002661B5" w:rsidRDefault="002661B5" w:rsidP="005B6432">
      <w:pPr>
        <w:numPr>
          <w:ilvl w:val="0"/>
          <w:numId w:val="19"/>
        </w:numPr>
        <w:jc w:val="both"/>
        <w:rPr>
          <w:rFonts w:ascii="Arial" w:hAnsi="Arial" w:cs="Arial"/>
        </w:rPr>
      </w:pPr>
      <w:r w:rsidRPr="002661B5">
        <w:rPr>
          <w:rFonts w:ascii="Arial" w:hAnsi="Arial" w:cs="Arial"/>
          <w:b/>
          <w:bCs/>
        </w:rPr>
        <w:t>Health and Wellness Trends:</w:t>
      </w:r>
      <w:r w:rsidRPr="002661B5">
        <w:rPr>
          <w:rFonts w:ascii="Arial" w:hAnsi="Arial" w:cs="Arial"/>
        </w:rPr>
        <w:t xml:space="preserve"> Growing consumer interest in health and wellness offers opportunities for expanding into plant-based foods, functional beverages, and products designed to enhance physical and mental well-being.</w:t>
      </w:r>
    </w:p>
    <w:p w14:paraId="7E222CA9" w14:textId="77777777" w:rsidR="002661B5" w:rsidRPr="002661B5" w:rsidRDefault="002661B5" w:rsidP="005B6432">
      <w:pPr>
        <w:numPr>
          <w:ilvl w:val="0"/>
          <w:numId w:val="19"/>
        </w:numPr>
        <w:jc w:val="both"/>
        <w:rPr>
          <w:rFonts w:ascii="Arial" w:hAnsi="Arial" w:cs="Arial"/>
        </w:rPr>
      </w:pPr>
      <w:r w:rsidRPr="002661B5">
        <w:rPr>
          <w:rFonts w:ascii="Arial" w:hAnsi="Arial" w:cs="Arial"/>
          <w:b/>
          <w:bCs/>
        </w:rPr>
        <w:t>Digital Advancements:</w:t>
      </w:r>
      <w:r w:rsidRPr="002661B5">
        <w:rPr>
          <w:rFonts w:ascii="Arial" w:hAnsi="Arial" w:cs="Arial"/>
        </w:rPr>
        <w:t xml:space="preserve"> Investing in digital technologies and data analytics can improve consumer engagement, optimize supply chain operations, and enable personalized marketing strategies, particularly in emerging markets with rising internet penetration.</w:t>
      </w:r>
    </w:p>
    <w:p w14:paraId="001838AC" w14:textId="77777777" w:rsidR="002661B5" w:rsidRPr="002661B5" w:rsidRDefault="002661B5" w:rsidP="005B6432">
      <w:pPr>
        <w:jc w:val="both"/>
        <w:rPr>
          <w:rFonts w:ascii="Arial" w:hAnsi="Arial" w:cs="Arial"/>
        </w:rPr>
      </w:pPr>
      <w:r w:rsidRPr="002661B5">
        <w:rPr>
          <w:rFonts w:ascii="Arial" w:hAnsi="Arial" w:cs="Arial"/>
          <w:b/>
          <w:bCs/>
        </w:rPr>
        <w:t>Threats:</w:t>
      </w:r>
    </w:p>
    <w:p w14:paraId="3C42D9E7" w14:textId="77777777" w:rsidR="002661B5" w:rsidRPr="002661B5" w:rsidRDefault="002661B5" w:rsidP="005B6432">
      <w:pPr>
        <w:numPr>
          <w:ilvl w:val="0"/>
          <w:numId w:val="20"/>
        </w:numPr>
        <w:jc w:val="both"/>
        <w:rPr>
          <w:rFonts w:ascii="Arial" w:hAnsi="Arial" w:cs="Arial"/>
        </w:rPr>
      </w:pPr>
      <w:r w:rsidRPr="002661B5">
        <w:rPr>
          <w:rFonts w:ascii="Arial" w:hAnsi="Arial" w:cs="Arial"/>
          <w:b/>
          <w:bCs/>
        </w:rPr>
        <w:t>Intense Market Competition:</w:t>
      </w:r>
      <w:r w:rsidRPr="002661B5">
        <w:rPr>
          <w:rFonts w:ascii="Arial" w:hAnsi="Arial" w:cs="Arial"/>
        </w:rPr>
        <w:t xml:space="preserve"> Unilever faces strong competition from both global giants and local players, which pressures pricing and demands continuous innovation.</w:t>
      </w:r>
    </w:p>
    <w:p w14:paraId="6BAE4E54" w14:textId="77777777" w:rsidR="002661B5" w:rsidRPr="002661B5" w:rsidRDefault="002661B5" w:rsidP="005B6432">
      <w:pPr>
        <w:numPr>
          <w:ilvl w:val="0"/>
          <w:numId w:val="20"/>
        </w:numPr>
        <w:jc w:val="both"/>
        <w:rPr>
          <w:rFonts w:ascii="Arial" w:hAnsi="Arial" w:cs="Arial"/>
        </w:rPr>
      </w:pPr>
      <w:r w:rsidRPr="002661B5">
        <w:rPr>
          <w:rFonts w:ascii="Arial" w:hAnsi="Arial" w:cs="Arial"/>
          <w:b/>
          <w:bCs/>
        </w:rPr>
        <w:t>Regulatory Challenges:</w:t>
      </w:r>
      <w:r w:rsidRPr="002661B5">
        <w:rPr>
          <w:rFonts w:ascii="Arial" w:hAnsi="Arial" w:cs="Arial"/>
        </w:rPr>
        <w:t xml:space="preserve"> Increasing scrutiny on environmental practices, health and safety standards, and consumer protection could lead to higher operational costs and necessitate significant compliance investments.</w:t>
      </w:r>
    </w:p>
    <w:p w14:paraId="18FFEB12" w14:textId="77777777" w:rsidR="002661B5" w:rsidRPr="002661B5" w:rsidRDefault="002661B5" w:rsidP="005B6432">
      <w:pPr>
        <w:numPr>
          <w:ilvl w:val="0"/>
          <w:numId w:val="20"/>
        </w:numPr>
        <w:jc w:val="both"/>
        <w:rPr>
          <w:rFonts w:ascii="Arial" w:hAnsi="Arial" w:cs="Arial"/>
        </w:rPr>
      </w:pPr>
      <w:r w:rsidRPr="002661B5">
        <w:rPr>
          <w:rFonts w:ascii="Arial" w:hAnsi="Arial" w:cs="Arial"/>
          <w:b/>
          <w:bCs/>
        </w:rPr>
        <w:t>Shifting Consumer Preferences:</w:t>
      </w:r>
      <w:r w:rsidRPr="002661B5">
        <w:rPr>
          <w:rFonts w:ascii="Arial" w:hAnsi="Arial" w:cs="Arial"/>
        </w:rPr>
        <w:t xml:space="preserve"> Evolving consumer tastes towards more localized and niche brands could impact Unilever’s market share if the company does not adapt quickly.</w:t>
      </w:r>
    </w:p>
    <w:p w14:paraId="2CE9E370" w14:textId="77777777" w:rsidR="002661B5" w:rsidRPr="002661B5" w:rsidRDefault="008548F7" w:rsidP="005B6432">
      <w:pPr>
        <w:jc w:val="both"/>
        <w:rPr>
          <w:rFonts w:ascii="Arial" w:hAnsi="Arial" w:cs="Arial"/>
        </w:rPr>
      </w:pPr>
      <w:r w:rsidRPr="002661B5">
        <w:rPr>
          <w:rFonts w:ascii="Arial" w:hAnsi="Arial" w:cs="Arial"/>
          <w:noProof/>
        </w:rPr>
        <w:pict w14:anchorId="442DDC0F">
          <v:rect id="_x0000_i1030" alt="" style="width:451.3pt;height:.05pt;mso-width-percent:0;mso-height-percent:0;mso-width-percent:0;mso-height-percent:0" o:hralign="center" o:hrstd="t" o:hr="t" fillcolor="#a0a0a0" stroked="f"/>
        </w:pict>
      </w:r>
    </w:p>
    <w:p w14:paraId="23C7079F" w14:textId="77777777" w:rsidR="002661B5" w:rsidRPr="002661B5" w:rsidRDefault="002661B5" w:rsidP="005B6432">
      <w:pPr>
        <w:pStyle w:val="Heading2"/>
        <w:jc w:val="both"/>
      </w:pPr>
      <w:bookmarkStart w:id="19" w:name="_Toc175555972"/>
      <w:r w:rsidRPr="002661B5">
        <w:t>Appendix B: PESTEL Analysis</w:t>
      </w:r>
      <w:bookmarkEnd w:id="19"/>
    </w:p>
    <w:p w14:paraId="257C20A0" w14:textId="77777777" w:rsidR="002661B5" w:rsidRPr="002661B5" w:rsidRDefault="002661B5" w:rsidP="005B6432">
      <w:pPr>
        <w:jc w:val="both"/>
        <w:rPr>
          <w:rFonts w:ascii="Arial" w:hAnsi="Arial" w:cs="Arial"/>
        </w:rPr>
      </w:pPr>
      <w:r w:rsidRPr="002661B5">
        <w:rPr>
          <w:rFonts w:ascii="Arial" w:hAnsi="Arial" w:cs="Arial"/>
          <w:b/>
          <w:bCs/>
        </w:rPr>
        <w:t>Political:</w:t>
      </w:r>
    </w:p>
    <w:p w14:paraId="25FC6701" w14:textId="05EF70D8" w:rsidR="002661B5" w:rsidRPr="002661B5" w:rsidRDefault="002661B5" w:rsidP="005B6432">
      <w:pPr>
        <w:numPr>
          <w:ilvl w:val="0"/>
          <w:numId w:val="21"/>
        </w:numPr>
        <w:jc w:val="both"/>
        <w:rPr>
          <w:rFonts w:ascii="Arial" w:hAnsi="Arial" w:cs="Arial"/>
        </w:rPr>
      </w:pPr>
      <w:r w:rsidRPr="002661B5">
        <w:rPr>
          <w:rFonts w:ascii="Arial" w:hAnsi="Arial" w:cs="Arial"/>
          <w:b/>
          <w:bCs/>
        </w:rPr>
        <w:t>Regulatory Pressures:</w:t>
      </w:r>
      <w:r w:rsidRPr="002661B5">
        <w:rPr>
          <w:rFonts w:ascii="Arial" w:hAnsi="Arial" w:cs="Arial"/>
        </w:rPr>
        <w:t xml:space="preserve"> Environmental and </w:t>
      </w:r>
      <w:r w:rsidR="00303BEB" w:rsidRPr="002661B5">
        <w:rPr>
          <w:rFonts w:ascii="Arial" w:hAnsi="Arial" w:cs="Arial"/>
        </w:rPr>
        <w:t>labour</w:t>
      </w:r>
      <w:r w:rsidRPr="002661B5">
        <w:rPr>
          <w:rFonts w:ascii="Arial" w:hAnsi="Arial" w:cs="Arial"/>
        </w:rPr>
        <w:t xml:space="preserve"> regulations influence operational strategies and can affect costs. Government policies in various countries impact business practices and compliance requirements.</w:t>
      </w:r>
    </w:p>
    <w:p w14:paraId="5F0852C6" w14:textId="77777777" w:rsidR="002661B5" w:rsidRPr="002661B5" w:rsidRDefault="002661B5" w:rsidP="005B6432">
      <w:pPr>
        <w:jc w:val="both"/>
        <w:rPr>
          <w:rFonts w:ascii="Arial" w:hAnsi="Arial" w:cs="Arial"/>
        </w:rPr>
      </w:pPr>
      <w:r w:rsidRPr="002661B5">
        <w:rPr>
          <w:rFonts w:ascii="Arial" w:hAnsi="Arial" w:cs="Arial"/>
          <w:b/>
          <w:bCs/>
        </w:rPr>
        <w:t>Economic:</w:t>
      </w:r>
    </w:p>
    <w:p w14:paraId="5D5C65B9" w14:textId="77777777" w:rsidR="002661B5" w:rsidRPr="002661B5" w:rsidRDefault="002661B5" w:rsidP="005B6432">
      <w:pPr>
        <w:numPr>
          <w:ilvl w:val="0"/>
          <w:numId w:val="22"/>
        </w:numPr>
        <w:jc w:val="both"/>
        <w:rPr>
          <w:rFonts w:ascii="Arial" w:hAnsi="Arial" w:cs="Arial"/>
        </w:rPr>
      </w:pPr>
      <w:r w:rsidRPr="002661B5">
        <w:rPr>
          <w:rFonts w:ascii="Arial" w:hAnsi="Arial" w:cs="Arial"/>
          <w:b/>
          <w:bCs/>
        </w:rPr>
        <w:lastRenderedPageBreak/>
        <w:t>Commodity Price Fluctuations:</w:t>
      </w:r>
      <w:r w:rsidRPr="002661B5">
        <w:rPr>
          <w:rFonts w:ascii="Arial" w:hAnsi="Arial" w:cs="Arial"/>
        </w:rPr>
        <w:t xml:space="preserve"> Variability in raw material costs, such as oil and agricultural products, affects profitability and cost management.</w:t>
      </w:r>
    </w:p>
    <w:p w14:paraId="3CB74459" w14:textId="77777777" w:rsidR="002661B5" w:rsidRPr="002661B5" w:rsidRDefault="002661B5" w:rsidP="005B6432">
      <w:pPr>
        <w:numPr>
          <w:ilvl w:val="0"/>
          <w:numId w:val="22"/>
        </w:numPr>
        <w:jc w:val="both"/>
        <w:rPr>
          <w:rFonts w:ascii="Arial" w:hAnsi="Arial" w:cs="Arial"/>
        </w:rPr>
      </w:pPr>
      <w:r w:rsidRPr="002661B5">
        <w:rPr>
          <w:rFonts w:ascii="Arial" w:hAnsi="Arial" w:cs="Arial"/>
          <w:b/>
          <w:bCs/>
        </w:rPr>
        <w:t>Economic Conditions in Emerging Markets:</w:t>
      </w:r>
      <w:r w:rsidRPr="002661B5">
        <w:rPr>
          <w:rFonts w:ascii="Arial" w:hAnsi="Arial" w:cs="Arial"/>
        </w:rPr>
        <w:t xml:space="preserve"> Economic growth rates and consumer spending power in emerging markets influence revenue potential and market opportunities.</w:t>
      </w:r>
    </w:p>
    <w:p w14:paraId="5DC5D183" w14:textId="77777777" w:rsidR="002661B5" w:rsidRPr="002661B5" w:rsidRDefault="002661B5" w:rsidP="005B6432">
      <w:pPr>
        <w:jc w:val="both"/>
        <w:rPr>
          <w:rFonts w:ascii="Arial" w:hAnsi="Arial" w:cs="Arial"/>
        </w:rPr>
      </w:pPr>
      <w:r w:rsidRPr="002661B5">
        <w:rPr>
          <w:rFonts w:ascii="Arial" w:hAnsi="Arial" w:cs="Arial"/>
          <w:b/>
          <w:bCs/>
        </w:rPr>
        <w:t>Social:</w:t>
      </w:r>
    </w:p>
    <w:p w14:paraId="09037DDD" w14:textId="77777777" w:rsidR="002661B5" w:rsidRPr="002661B5" w:rsidRDefault="002661B5" w:rsidP="005B6432">
      <w:pPr>
        <w:numPr>
          <w:ilvl w:val="0"/>
          <w:numId w:val="23"/>
        </w:numPr>
        <w:jc w:val="both"/>
        <w:rPr>
          <w:rFonts w:ascii="Arial" w:hAnsi="Arial" w:cs="Arial"/>
        </w:rPr>
      </w:pPr>
      <w:r w:rsidRPr="002661B5">
        <w:rPr>
          <w:rFonts w:ascii="Arial" w:hAnsi="Arial" w:cs="Arial"/>
          <w:b/>
          <w:bCs/>
        </w:rPr>
        <w:t>Consumer Trends:</w:t>
      </w:r>
      <w:r w:rsidRPr="002661B5">
        <w:rPr>
          <w:rFonts w:ascii="Arial" w:hAnsi="Arial" w:cs="Arial"/>
        </w:rPr>
        <w:t xml:space="preserve"> Increasing demand for sustainable, ethical, and health-focused products shapes product development and marketing strategies.</w:t>
      </w:r>
    </w:p>
    <w:p w14:paraId="660030A5" w14:textId="77777777" w:rsidR="002661B5" w:rsidRPr="002661B5" w:rsidRDefault="002661B5" w:rsidP="005B6432">
      <w:pPr>
        <w:numPr>
          <w:ilvl w:val="0"/>
          <w:numId w:val="23"/>
        </w:numPr>
        <w:jc w:val="both"/>
        <w:rPr>
          <w:rFonts w:ascii="Arial" w:hAnsi="Arial" w:cs="Arial"/>
        </w:rPr>
      </w:pPr>
      <w:r w:rsidRPr="002661B5">
        <w:rPr>
          <w:rFonts w:ascii="Arial" w:hAnsi="Arial" w:cs="Arial"/>
          <w:b/>
          <w:bCs/>
        </w:rPr>
        <w:t>Changing Demographics:</w:t>
      </w:r>
      <w:r w:rsidRPr="002661B5">
        <w:rPr>
          <w:rFonts w:ascii="Arial" w:hAnsi="Arial" w:cs="Arial"/>
        </w:rPr>
        <w:t xml:space="preserve"> Growing urbanization and the rise of the middle class in emerging markets drive new consumption patterns and market demands.</w:t>
      </w:r>
    </w:p>
    <w:p w14:paraId="30570DF9" w14:textId="77777777" w:rsidR="002661B5" w:rsidRPr="002661B5" w:rsidRDefault="002661B5" w:rsidP="005B6432">
      <w:pPr>
        <w:jc w:val="both"/>
        <w:rPr>
          <w:rFonts w:ascii="Arial" w:hAnsi="Arial" w:cs="Arial"/>
        </w:rPr>
      </w:pPr>
      <w:r w:rsidRPr="002661B5">
        <w:rPr>
          <w:rFonts w:ascii="Arial" w:hAnsi="Arial" w:cs="Arial"/>
          <w:b/>
          <w:bCs/>
        </w:rPr>
        <w:t>Technological:</w:t>
      </w:r>
    </w:p>
    <w:p w14:paraId="16BFCFBE" w14:textId="77777777" w:rsidR="002661B5" w:rsidRPr="002661B5" w:rsidRDefault="002661B5" w:rsidP="005B6432">
      <w:pPr>
        <w:numPr>
          <w:ilvl w:val="0"/>
          <w:numId w:val="24"/>
        </w:numPr>
        <w:jc w:val="both"/>
        <w:rPr>
          <w:rFonts w:ascii="Arial" w:hAnsi="Arial" w:cs="Arial"/>
        </w:rPr>
      </w:pPr>
      <w:r w:rsidRPr="002661B5">
        <w:rPr>
          <w:rFonts w:ascii="Arial" w:hAnsi="Arial" w:cs="Arial"/>
          <w:b/>
          <w:bCs/>
        </w:rPr>
        <w:t>Digital Integration:</w:t>
      </w:r>
      <w:r w:rsidRPr="002661B5">
        <w:rPr>
          <w:rFonts w:ascii="Arial" w:hAnsi="Arial" w:cs="Arial"/>
        </w:rPr>
        <w:t xml:space="preserve"> Advancements in digital technology, AI, and data analytics offer opportunities for enhanced consumer engagement, operational efficiency, and innovation.</w:t>
      </w:r>
    </w:p>
    <w:p w14:paraId="57916E09" w14:textId="77777777" w:rsidR="002661B5" w:rsidRPr="002661B5" w:rsidRDefault="002661B5" w:rsidP="005B6432">
      <w:pPr>
        <w:numPr>
          <w:ilvl w:val="0"/>
          <w:numId w:val="24"/>
        </w:numPr>
        <w:jc w:val="both"/>
        <w:rPr>
          <w:rFonts w:ascii="Arial" w:hAnsi="Arial" w:cs="Arial"/>
        </w:rPr>
      </w:pPr>
      <w:r w:rsidRPr="002661B5">
        <w:rPr>
          <w:rFonts w:ascii="Arial" w:hAnsi="Arial" w:cs="Arial"/>
          <w:b/>
          <w:bCs/>
        </w:rPr>
        <w:t>Product Innovation:</w:t>
      </w:r>
      <w:r w:rsidRPr="002661B5">
        <w:rPr>
          <w:rFonts w:ascii="Arial" w:hAnsi="Arial" w:cs="Arial"/>
        </w:rPr>
        <w:t xml:space="preserve"> Technological progress in sustainable product development, such as biodegradable packaging and energy-efficient production methods, aligns with consumer expectations.</w:t>
      </w:r>
    </w:p>
    <w:p w14:paraId="01372A16" w14:textId="77777777" w:rsidR="002661B5" w:rsidRPr="002661B5" w:rsidRDefault="002661B5" w:rsidP="005B6432">
      <w:pPr>
        <w:jc w:val="both"/>
        <w:rPr>
          <w:rFonts w:ascii="Arial" w:hAnsi="Arial" w:cs="Arial"/>
        </w:rPr>
      </w:pPr>
      <w:r w:rsidRPr="002661B5">
        <w:rPr>
          <w:rFonts w:ascii="Arial" w:hAnsi="Arial" w:cs="Arial"/>
          <w:b/>
          <w:bCs/>
        </w:rPr>
        <w:t>Environmental:</w:t>
      </w:r>
    </w:p>
    <w:p w14:paraId="3C56472A" w14:textId="77777777" w:rsidR="002661B5" w:rsidRPr="002661B5" w:rsidRDefault="002661B5" w:rsidP="005B6432">
      <w:pPr>
        <w:numPr>
          <w:ilvl w:val="0"/>
          <w:numId w:val="25"/>
        </w:numPr>
        <w:jc w:val="both"/>
        <w:rPr>
          <w:rFonts w:ascii="Arial" w:hAnsi="Arial" w:cs="Arial"/>
        </w:rPr>
      </w:pPr>
      <w:r w:rsidRPr="002661B5">
        <w:rPr>
          <w:rFonts w:ascii="Arial" w:hAnsi="Arial" w:cs="Arial"/>
          <w:b/>
          <w:bCs/>
        </w:rPr>
        <w:t>Sustainability Goals:</w:t>
      </w:r>
      <w:r w:rsidRPr="002661B5">
        <w:rPr>
          <w:rFonts w:ascii="Arial" w:hAnsi="Arial" w:cs="Arial"/>
        </w:rPr>
        <w:t xml:space="preserve"> Unilever’s commitment to reducing its environmental footprint and adopting sustainable practices is crucial for meeting consumer and regulatory expectations.</w:t>
      </w:r>
    </w:p>
    <w:p w14:paraId="54F4E070" w14:textId="77777777" w:rsidR="002661B5" w:rsidRPr="002661B5" w:rsidRDefault="002661B5" w:rsidP="005B6432">
      <w:pPr>
        <w:numPr>
          <w:ilvl w:val="0"/>
          <w:numId w:val="25"/>
        </w:numPr>
        <w:jc w:val="both"/>
        <w:rPr>
          <w:rFonts w:ascii="Arial" w:hAnsi="Arial" w:cs="Arial"/>
        </w:rPr>
      </w:pPr>
      <w:r w:rsidRPr="002661B5">
        <w:rPr>
          <w:rFonts w:ascii="Arial" w:hAnsi="Arial" w:cs="Arial"/>
          <w:b/>
          <w:bCs/>
        </w:rPr>
        <w:t>Climate Change:</w:t>
      </w:r>
      <w:r w:rsidRPr="002661B5">
        <w:rPr>
          <w:rFonts w:ascii="Arial" w:hAnsi="Arial" w:cs="Arial"/>
        </w:rPr>
        <w:t xml:space="preserve"> Environmental changes and resource scarcity impact supply chain management and product sourcing.</w:t>
      </w:r>
    </w:p>
    <w:p w14:paraId="5153073F" w14:textId="77777777" w:rsidR="002661B5" w:rsidRPr="002661B5" w:rsidRDefault="002661B5" w:rsidP="005B6432">
      <w:pPr>
        <w:jc w:val="both"/>
        <w:rPr>
          <w:rFonts w:ascii="Arial" w:hAnsi="Arial" w:cs="Arial"/>
        </w:rPr>
      </w:pPr>
      <w:r w:rsidRPr="002661B5">
        <w:rPr>
          <w:rFonts w:ascii="Arial" w:hAnsi="Arial" w:cs="Arial"/>
          <w:b/>
          <w:bCs/>
        </w:rPr>
        <w:t>Legal:</w:t>
      </w:r>
    </w:p>
    <w:p w14:paraId="7949DE90" w14:textId="77777777" w:rsidR="002661B5" w:rsidRPr="002661B5" w:rsidRDefault="002661B5" w:rsidP="005B6432">
      <w:pPr>
        <w:numPr>
          <w:ilvl w:val="0"/>
          <w:numId w:val="26"/>
        </w:numPr>
        <w:jc w:val="both"/>
        <w:rPr>
          <w:rFonts w:ascii="Arial" w:hAnsi="Arial" w:cs="Arial"/>
        </w:rPr>
      </w:pPr>
      <w:r w:rsidRPr="002661B5">
        <w:rPr>
          <w:rFonts w:ascii="Arial" w:hAnsi="Arial" w:cs="Arial"/>
          <w:b/>
          <w:bCs/>
        </w:rPr>
        <w:t>Compliance Requirements:</w:t>
      </w:r>
      <w:r w:rsidRPr="002661B5">
        <w:rPr>
          <w:rFonts w:ascii="Arial" w:hAnsi="Arial" w:cs="Arial"/>
        </w:rPr>
        <w:t xml:space="preserve"> Adherence to international and local regulations on environmental standards, consumer protection, and product safety is essential for mitigating legal risks and maintaining operational integrity.</w:t>
      </w:r>
    </w:p>
    <w:p w14:paraId="21EC42FC" w14:textId="77777777" w:rsidR="002661B5" w:rsidRPr="002661B5" w:rsidRDefault="008548F7" w:rsidP="005B6432">
      <w:pPr>
        <w:jc w:val="both"/>
        <w:rPr>
          <w:rFonts w:ascii="Arial" w:hAnsi="Arial" w:cs="Arial"/>
        </w:rPr>
      </w:pPr>
      <w:r w:rsidRPr="002661B5">
        <w:rPr>
          <w:rFonts w:ascii="Arial" w:hAnsi="Arial" w:cs="Arial"/>
          <w:noProof/>
        </w:rPr>
        <w:pict w14:anchorId="45E1DF97">
          <v:rect id="_x0000_i1029" alt="" style="width:451.3pt;height:.05pt;mso-width-percent:0;mso-height-percent:0;mso-width-percent:0;mso-height-percent:0" o:hralign="center" o:hrstd="t" o:hr="t" fillcolor="#a0a0a0" stroked="f"/>
        </w:pict>
      </w:r>
    </w:p>
    <w:p w14:paraId="7FD27D02" w14:textId="77777777" w:rsidR="002661B5" w:rsidRPr="002661B5" w:rsidRDefault="002661B5" w:rsidP="005B6432">
      <w:pPr>
        <w:pStyle w:val="Heading2"/>
        <w:jc w:val="both"/>
      </w:pPr>
      <w:bookmarkStart w:id="20" w:name="_Toc175555973"/>
      <w:r w:rsidRPr="002661B5">
        <w:t>Appendix C: Porter’s Five Forces Analysis</w:t>
      </w:r>
      <w:bookmarkEnd w:id="20"/>
    </w:p>
    <w:p w14:paraId="4912B029" w14:textId="77777777" w:rsidR="002661B5" w:rsidRPr="002661B5" w:rsidRDefault="002661B5" w:rsidP="005B6432">
      <w:pPr>
        <w:jc w:val="both"/>
        <w:rPr>
          <w:rFonts w:ascii="Arial" w:hAnsi="Arial" w:cs="Arial"/>
        </w:rPr>
      </w:pPr>
      <w:r w:rsidRPr="002661B5">
        <w:rPr>
          <w:rFonts w:ascii="Arial" w:hAnsi="Arial" w:cs="Arial"/>
          <w:b/>
          <w:bCs/>
        </w:rPr>
        <w:t>1. Industry Rivalry:</w:t>
      </w:r>
    </w:p>
    <w:p w14:paraId="6CFCE717" w14:textId="77777777" w:rsidR="002661B5" w:rsidRPr="002661B5" w:rsidRDefault="002661B5" w:rsidP="005B6432">
      <w:pPr>
        <w:numPr>
          <w:ilvl w:val="0"/>
          <w:numId w:val="27"/>
        </w:numPr>
        <w:jc w:val="both"/>
        <w:rPr>
          <w:rFonts w:ascii="Arial" w:hAnsi="Arial" w:cs="Arial"/>
        </w:rPr>
      </w:pPr>
      <w:r w:rsidRPr="002661B5">
        <w:rPr>
          <w:rFonts w:ascii="Arial" w:hAnsi="Arial" w:cs="Arial"/>
          <w:b/>
          <w:bCs/>
        </w:rPr>
        <w:t>High Competition:</w:t>
      </w:r>
      <w:r w:rsidRPr="002661B5">
        <w:rPr>
          <w:rFonts w:ascii="Arial" w:hAnsi="Arial" w:cs="Arial"/>
        </w:rPr>
        <w:t xml:space="preserve"> The FMCG sector is highly competitive, with numerous global and local players vying for market share, leading to intense competition and pressure on pricing and innovation.</w:t>
      </w:r>
    </w:p>
    <w:p w14:paraId="3D3A4129" w14:textId="77777777" w:rsidR="002661B5" w:rsidRPr="002661B5" w:rsidRDefault="002661B5" w:rsidP="005B6432">
      <w:pPr>
        <w:jc w:val="both"/>
        <w:rPr>
          <w:rFonts w:ascii="Arial" w:hAnsi="Arial" w:cs="Arial"/>
        </w:rPr>
      </w:pPr>
      <w:r w:rsidRPr="002661B5">
        <w:rPr>
          <w:rFonts w:ascii="Arial" w:hAnsi="Arial" w:cs="Arial"/>
          <w:b/>
          <w:bCs/>
        </w:rPr>
        <w:t>2. Threat of New Entrants:</w:t>
      </w:r>
    </w:p>
    <w:p w14:paraId="7EE299A2" w14:textId="77777777" w:rsidR="002661B5" w:rsidRPr="002661B5" w:rsidRDefault="002661B5" w:rsidP="005B6432">
      <w:pPr>
        <w:numPr>
          <w:ilvl w:val="0"/>
          <w:numId w:val="28"/>
        </w:numPr>
        <w:jc w:val="both"/>
        <w:rPr>
          <w:rFonts w:ascii="Arial" w:hAnsi="Arial" w:cs="Arial"/>
        </w:rPr>
      </w:pPr>
      <w:r w:rsidRPr="002661B5">
        <w:rPr>
          <w:rFonts w:ascii="Arial" w:hAnsi="Arial" w:cs="Arial"/>
          <w:b/>
          <w:bCs/>
        </w:rPr>
        <w:lastRenderedPageBreak/>
        <w:t>Moderate Barriers to Entry:</w:t>
      </w:r>
      <w:r w:rsidRPr="002661B5">
        <w:rPr>
          <w:rFonts w:ascii="Arial" w:hAnsi="Arial" w:cs="Arial"/>
        </w:rPr>
        <w:t xml:space="preserve"> While the industry has moderate barriers, such as established brand loyalty and economies of scale, new entrants can still disrupt the market with innovative products and business models.</w:t>
      </w:r>
    </w:p>
    <w:p w14:paraId="562CD097" w14:textId="77777777" w:rsidR="002661B5" w:rsidRPr="002661B5" w:rsidRDefault="002661B5" w:rsidP="005B6432">
      <w:pPr>
        <w:jc w:val="both"/>
        <w:rPr>
          <w:rFonts w:ascii="Arial" w:hAnsi="Arial" w:cs="Arial"/>
        </w:rPr>
      </w:pPr>
      <w:r w:rsidRPr="002661B5">
        <w:rPr>
          <w:rFonts w:ascii="Arial" w:hAnsi="Arial" w:cs="Arial"/>
          <w:b/>
          <w:bCs/>
        </w:rPr>
        <w:t>3. Threat of Substitutes:</w:t>
      </w:r>
    </w:p>
    <w:p w14:paraId="104B0A8C" w14:textId="77777777" w:rsidR="002661B5" w:rsidRPr="002661B5" w:rsidRDefault="002661B5" w:rsidP="005B6432">
      <w:pPr>
        <w:numPr>
          <w:ilvl w:val="0"/>
          <w:numId w:val="29"/>
        </w:numPr>
        <w:jc w:val="both"/>
        <w:rPr>
          <w:rFonts w:ascii="Arial" w:hAnsi="Arial" w:cs="Arial"/>
        </w:rPr>
      </w:pPr>
      <w:r w:rsidRPr="002661B5">
        <w:rPr>
          <w:rFonts w:ascii="Arial" w:hAnsi="Arial" w:cs="Arial"/>
          <w:b/>
          <w:bCs/>
        </w:rPr>
        <w:t>Presence of Alternatives:</w:t>
      </w:r>
      <w:r w:rsidRPr="002661B5">
        <w:rPr>
          <w:rFonts w:ascii="Arial" w:hAnsi="Arial" w:cs="Arial"/>
        </w:rPr>
        <w:t xml:space="preserve"> Consumers have access to a wide range of substitute products, particularly in health and wellness segments, which can impact Unilever’s market share if alternatives gain popularity.</w:t>
      </w:r>
    </w:p>
    <w:p w14:paraId="29E06099" w14:textId="77777777" w:rsidR="002661B5" w:rsidRPr="002661B5" w:rsidRDefault="002661B5" w:rsidP="005B6432">
      <w:pPr>
        <w:jc w:val="both"/>
        <w:rPr>
          <w:rFonts w:ascii="Arial" w:hAnsi="Arial" w:cs="Arial"/>
        </w:rPr>
      </w:pPr>
      <w:r w:rsidRPr="002661B5">
        <w:rPr>
          <w:rFonts w:ascii="Arial" w:hAnsi="Arial" w:cs="Arial"/>
          <w:b/>
          <w:bCs/>
        </w:rPr>
        <w:t>4. Bargaining Power of Suppliers:</w:t>
      </w:r>
    </w:p>
    <w:p w14:paraId="1FE688DA" w14:textId="77777777" w:rsidR="002661B5" w:rsidRPr="002661B5" w:rsidRDefault="002661B5" w:rsidP="005B6432">
      <w:pPr>
        <w:numPr>
          <w:ilvl w:val="0"/>
          <w:numId w:val="30"/>
        </w:numPr>
        <w:jc w:val="both"/>
        <w:rPr>
          <w:rFonts w:ascii="Arial" w:hAnsi="Arial" w:cs="Arial"/>
        </w:rPr>
      </w:pPr>
      <w:r w:rsidRPr="002661B5">
        <w:rPr>
          <w:rFonts w:ascii="Arial" w:hAnsi="Arial" w:cs="Arial"/>
          <w:b/>
          <w:bCs/>
        </w:rPr>
        <w:t>Supplier Dynamics:</w:t>
      </w:r>
      <w:r w:rsidRPr="002661B5">
        <w:rPr>
          <w:rFonts w:ascii="Arial" w:hAnsi="Arial" w:cs="Arial"/>
        </w:rPr>
        <w:t xml:space="preserve"> Fluctuations in raw material costs and dependence on specific suppliers can affect Unilever’s cost structure and pricing strategies.</w:t>
      </w:r>
    </w:p>
    <w:p w14:paraId="6A1CE0AB" w14:textId="77777777" w:rsidR="002661B5" w:rsidRPr="002661B5" w:rsidRDefault="002661B5" w:rsidP="005B6432">
      <w:pPr>
        <w:jc w:val="both"/>
        <w:rPr>
          <w:rFonts w:ascii="Arial" w:hAnsi="Arial" w:cs="Arial"/>
        </w:rPr>
      </w:pPr>
      <w:r w:rsidRPr="002661B5">
        <w:rPr>
          <w:rFonts w:ascii="Arial" w:hAnsi="Arial" w:cs="Arial"/>
          <w:b/>
          <w:bCs/>
        </w:rPr>
        <w:t>5. Bargaining Power of Buyers:</w:t>
      </w:r>
    </w:p>
    <w:p w14:paraId="70E3F947" w14:textId="77777777" w:rsidR="002661B5" w:rsidRPr="002661B5" w:rsidRDefault="002661B5" w:rsidP="005B6432">
      <w:pPr>
        <w:numPr>
          <w:ilvl w:val="0"/>
          <w:numId w:val="31"/>
        </w:numPr>
        <w:jc w:val="both"/>
        <w:rPr>
          <w:rFonts w:ascii="Arial" w:hAnsi="Arial" w:cs="Arial"/>
        </w:rPr>
      </w:pPr>
      <w:r w:rsidRPr="002661B5">
        <w:rPr>
          <w:rFonts w:ascii="Arial" w:hAnsi="Arial" w:cs="Arial"/>
          <w:b/>
          <w:bCs/>
        </w:rPr>
        <w:t>Consumer Influence:</w:t>
      </w:r>
      <w:r w:rsidRPr="002661B5">
        <w:rPr>
          <w:rFonts w:ascii="Arial" w:hAnsi="Arial" w:cs="Arial"/>
        </w:rPr>
        <w:t xml:space="preserve"> Increasing consumer demand for sustainable and high-quality products gives buyers more bargaining power, influencing product development and pricing strategies.</w:t>
      </w:r>
    </w:p>
    <w:p w14:paraId="74DF0DFA" w14:textId="77777777" w:rsidR="002661B5" w:rsidRPr="002661B5" w:rsidRDefault="008548F7" w:rsidP="005B6432">
      <w:pPr>
        <w:jc w:val="both"/>
        <w:rPr>
          <w:rFonts w:ascii="Arial" w:hAnsi="Arial" w:cs="Arial"/>
        </w:rPr>
      </w:pPr>
      <w:r w:rsidRPr="002661B5">
        <w:rPr>
          <w:rFonts w:ascii="Arial" w:hAnsi="Arial" w:cs="Arial"/>
          <w:noProof/>
        </w:rPr>
        <w:pict w14:anchorId="12154EFF">
          <v:rect id="_x0000_i1028" alt="" style="width:451.3pt;height:.05pt;mso-width-percent:0;mso-height-percent:0;mso-width-percent:0;mso-height-percent:0" o:hralign="center" o:hrstd="t" o:hr="t" fillcolor="#a0a0a0" stroked="f"/>
        </w:pict>
      </w:r>
    </w:p>
    <w:p w14:paraId="2C283352" w14:textId="77777777" w:rsidR="002661B5" w:rsidRPr="002661B5" w:rsidRDefault="002661B5" w:rsidP="005B6432">
      <w:pPr>
        <w:pStyle w:val="Heading2"/>
        <w:jc w:val="both"/>
      </w:pPr>
      <w:bookmarkStart w:id="21" w:name="_Toc175555974"/>
      <w:r w:rsidRPr="002661B5">
        <w:t>Appendix D: Ansoff Matrix</w:t>
      </w:r>
      <w:bookmarkEnd w:id="21"/>
    </w:p>
    <w:p w14:paraId="1D45A23D" w14:textId="77777777" w:rsidR="002661B5" w:rsidRPr="002661B5" w:rsidRDefault="002661B5" w:rsidP="005B6432">
      <w:pPr>
        <w:jc w:val="both"/>
        <w:rPr>
          <w:rFonts w:ascii="Arial" w:hAnsi="Arial" w:cs="Arial"/>
        </w:rPr>
      </w:pPr>
      <w:r w:rsidRPr="002661B5">
        <w:rPr>
          <w:rFonts w:ascii="Arial" w:hAnsi="Arial" w:cs="Arial"/>
          <w:b/>
          <w:bCs/>
        </w:rPr>
        <w:t>1. Market Penetration:</w:t>
      </w:r>
    </w:p>
    <w:p w14:paraId="136DC2A6" w14:textId="77777777" w:rsidR="002661B5" w:rsidRPr="002661B5" w:rsidRDefault="002661B5" w:rsidP="005B6432">
      <w:pPr>
        <w:numPr>
          <w:ilvl w:val="0"/>
          <w:numId w:val="32"/>
        </w:numPr>
        <w:jc w:val="both"/>
        <w:rPr>
          <w:rFonts w:ascii="Arial" w:hAnsi="Arial" w:cs="Arial"/>
        </w:rPr>
      </w:pPr>
      <w:r w:rsidRPr="002661B5">
        <w:rPr>
          <w:rFonts w:ascii="Arial" w:hAnsi="Arial" w:cs="Arial"/>
          <w:b/>
          <w:bCs/>
        </w:rPr>
        <w:t>Existing Products, Existing Markets:</w:t>
      </w:r>
      <w:r w:rsidRPr="002661B5">
        <w:rPr>
          <w:rFonts w:ascii="Arial" w:hAnsi="Arial" w:cs="Arial"/>
        </w:rPr>
        <w:t xml:space="preserve"> Unilever focuses on increasing market share by introducing new variants of existing products and enhancing distribution in current markets.</w:t>
      </w:r>
    </w:p>
    <w:p w14:paraId="74D10E87" w14:textId="77777777" w:rsidR="002661B5" w:rsidRPr="002661B5" w:rsidRDefault="002661B5" w:rsidP="005B6432">
      <w:pPr>
        <w:jc w:val="both"/>
        <w:rPr>
          <w:rFonts w:ascii="Arial" w:hAnsi="Arial" w:cs="Arial"/>
        </w:rPr>
      </w:pPr>
      <w:r w:rsidRPr="002661B5">
        <w:rPr>
          <w:rFonts w:ascii="Arial" w:hAnsi="Arial" w:cs="Arial"/>
          <w:b/>
          <w:bCs/>
        </w:rPr>
        <w:t>2. Market Development:</w:t>
      </w:r>
    </w:p>
    <w:p w14:paraId="1327420A" w14:textId="77777777" w:rsidR="002661B5" w:rsidRPr="002661B5" w:rsidRDefault="002661B5" w:rsidP="005B6432">
      <w:pPr>
        <w:numPr>
          <w:ilvl w:val="0"/>
          <w:numId w:val="33"/>
        </w:numPr>
        <w:jc w:val="both"/>
        <w:rPr>
          <w:rFonts w:ascii="Arial" w:hAnsi="Arial" w:cs="Arial"/>
        </w:rPr>
      </w:pPr>
      <w:r w:rsidRPr="002661B5">
        <w:rPr>
          <w:rFonts w:ascii="Arial" w:hAnsi="Arial" w:cs="Arial"/>
          <w:b/>
          <w:bCs/>
        </w:rPr>
        <w:t>Existing Products, New Markets:</w:t>
      </w:r>
      <w:r w:rsidRPr="002661B5">
        <w:rPr>
          <w:rFonts w:ascii="Arial" w:hAnsi="Arial" w:cs="Arial"/>
        </w:rPr>
        <w:t xml:space="preserve"> Expansion into new geographic regions, especially emerging markets, with localized product offerings to tap into growing consumer bases.</w:t>
      </w:r>
    </w:p>
    <w:p w14:paraId="641D29CF" w14:textId="77777777" w:rsidR="002661B5" w:rsidRPr="002661B5" w:rsidRDefault="002661B5" w:rsidP="005B6432">
      <w:pPr>
        <w:jc w:val="both"/>
        <w:rPr>
          <w:rFonts w:ascii="Arial" w:hAnsi="Arial" w:cs="Arial"/>
        </w:rPr>
      </w:pPr>
      <w:r w:rsidRPr="002661B5">
        <w:rPr>
          <w:rFonts w:ascii="Arial" w:hAnsi="Arial" w:cs="Arial"/>
          <w:b/>
          <w:bCs/>
        </w:rPr>
        <w:t>3. Product Development:</w:t>
      </w:r>
    </w:p>
    <w:p w14:paraId="4DD9E289" w14:textId="77777777" w:rsidR="002661B5" w:rsidRPr="002661B5" w:rsidRDefault="002661B5" w:rsidP="005B6432">
      <w:pPr>
        <w:numPr>
          <w:ilvl w:val="0"/>
          <w:numId w:val="34"/>
        </w:numPr>
        <w:jc w:val="both"/>
        <w:rPr>
          <w:rFonts w:ascii="Arial" w:hAnsi="Arial" w:cs="Arial"/>
        </w:rPr>
      </w:pPr>
      <w:r w:rsidRPr="002661B5">
        <w:rPr>
          <w:rFonts w:ascii="Arial" w:hAnsi="Arial" w:cs="Arial"/>
          <w:b/>
          <w:bCs/>
        </w:rPr>
        <w:t>New Products, Existing Markets:</w:t>
      </w:r>
      <w:r w:rsidRPr="002661B5">
        <w:rPr>
          <w:rFonts w:ascii="Arial" w:hAnsi="Arial" w:cs="Arial"/>
        </w:rPr>
        <w:t xml:space="preserve"> Investing in new product innovations, such as plant-based foods and sustainable packaging, to meet evolving consumer preferences and market demands.</w:t>
      </w:r>
    </w:p>
    <w:p w14:paraId="3AD470AB" w14:textId="77777777" w:rsidR="002661B5" w:rsidRPr="002661B5" w:rsidRDefault="002661B5" w:rsidP="005B6432">
      <w:pPr>
        <w:jc w:val="both"/>
        <w:rPr>
          <w:rFonts w:ascii="Arial" w:hAnsi="Arial" w:cs="Arial"/>
        </w:rPr>
      </w:pPr>
      <w:r w:rsidRPr="002661B5">
        <w:rPr>
          <w:rFonts w:ascii="Arial" w:hAnsi="Arial" w:cs="Arial"/>
          <w:b/>
          <w:bCs/>
        </w:rPr>
        <w:t>4. Diversification:</w:t>
      </w:r>
    </w:p>
    <w:p w14:paraId="02F3343B" w14:textId="77777777" w:rsidR="002661B5" w:rsidRPr="002661B5" w:rsidRDefault="002661B5" w:rsidP="005B6432">
      <w:pPr>
        <w:numPr>
          <w:ilvl w:val="0"/>
          <w:numId w:val="35"/>
        </w:numPr>
        <w:jc w:val="both"/>
        <w:rPr>
          <w:rFonts w:ascii="Arial" w:hAnsi="Arial" w:cs="Arial"/>
        </w:rPr>
      </w:pPr>
      <w:r w:rsidRPr="002661B5">
        <w:rPr>
          <w:rFonts w:ascii="Arial" w:hAnsi="Arial" w:cs="Arial"/>
          <w:b/>
          <w:bCs/>
        </w:rPr>
        <w:t>New Products, New Markets:</w:t>
      </w:r>
      <w:r w:rsidRPr="002661B5">
        <w:rPr>
          <w:rFonts w:ascii="Arial" w:hAnsi="Arial" w:cs="Arial"/>
        </w:rPr>
        <w:t xml:space="preserve"> Strategic acquisitions and partnerships, like the purchase of The Vegetarian Butcher, to enter new product categories and markets.</w:t>
      </w:r>
    </w:p>
    <w:p w14:paraId="47276252" w14:textId="77777777" w:rsidR="002661B5" w:rsidRPr="002661B5" w:rsidRDefault="008548F7" w:rsidP="005B6432">
      <w:pPr>
        <w:jc w:val="both"/>
        <w:rPr>
          <w:rFonts w:ascii="Arial" w:hAnsi="Arial" w:cs="Arial"/>
        </w:rPr>
      </w:pPr>
      <w:r w:rsidRPr="002661B5">
        <w:rPr>
          <w:rFonts w:ascii="Arial" w:hAnsi="Arial" w:cs="Arial"/>
          <w:noProof/>
        </w:rPr>
        <w:pict w14:anchorId="41AD1225">
          <v:rect id="_x0000_i1027" alt="" style="width:451.3pt;height:.05pt;mso-width-percent:0;mso-height-percent:0;mso-width-percent:0;mso-height-percent:0" o:hralign="center" o:hrstd="t" o:hr="t" fillcolor="#a0a0a0" stroked="f"/>
        </w:pict>
      </w:r>
    </w:p>
    <w:p w14:paraId="4CF3C80C" w14:textId="77777777" w:rsidR="002661B5" w:rsidRPr="002661B5" w:rsidRDefault="002661B5" w:rsidP="005B6432">
      <w:pPr>
        <w:pStyle w:val="Heading2"/>
        <w:jc w:val="both"/>
      </w:pPr>
      <w:bookmarkStart w:id="22" w:name="_Toc175555975"/>
      <w:r w:rsidRPr="002661B5">
        <w:lastRenderedPageBreak/>
        <w:t>Appendix E: Porter’s Generic Strategies</w:t>
      </w:r>
      <w:bookmarkEnd w:id="22"/>
    </w:p>
    <w:p w14:paraId="3F4E4030" w14:textId="77777777" w:rsidR="002661B5" w:rsidRPr="002661B5" w:rsidRDefault="002661B5" w:rsidP="005B6432">
      <w:pPr>
        <w:jc w:val="both"/>
        <w:rPr>
          <w:rFonts w:ascii="Arial" w:hAnsi="Arial" w:cs="Arial"/>
        </w:rPr>
      </w:pPr>
      <w:r w:rsidRPr="002661B5">
        <w:rPr>
          <w:rFonts w:ascii="Arial" w:hAnsi="Arial" w:cs="Arial"/>
          <w:b/>
          <w:bCs/>
        </w:rPr>
        <w:t>1. Cost Leadership:</w:t>
      </w:r>
    </w:p>
    <w:p w14:paraId="38014462" w14:textId="77777777" w:rsidR="002661B5" w:rsidRPr="002661B5" w:rsidRDefault="002661B5" w:rsidP="005B6432">
      <w:pPr>
        <w:numPr>
          <w:ilvl w:val="0"/>
          <w:numId w:val="36"/>
        </w:numPr>
        <w:jc w:val="both"/>
        <w:rPr>
          <w:rFonts w:ascii="Arial" w:hAnsi="Arial" w:cs="Arial"/>
        </w:rPr>
      </w:pPr>
      <w:r w:rsidRPr="002661B5">
        <w:rPr>
          <w:rFonts w:ascii="Arial" w:hAnsi="Arial" w:cs="Arial"/>
          <w:b/>
          <w:bCs/>
        </w:rPr>
        <w:t>Not Primary Focus:</w:t>
      </w:r>
      <w:r w:rsidRPr="002661B5">
        <w:rPr>
          <w:rFonts w:ascii="Arial" w:hAnsi="Arial" w:cs="Arial"/>
        </w:rPr>
        <w:t xml:space="preserve"> Unilever does not primarily compete on cost but instead emphasizes differentiation.</w:t>
      </w:r>
    </w:p>
    <w:p w14:paraId="23A9405D" w14:textId="77777777" w:rsidR="002661B5" w:rsidRPr="002661B5" w:rsidRDefault="002661B5" w:rsidP="005B6432">
      <w:pPr>
        <w:jc w:val="both"/>
        <w:rPr>
          <w:rFonts w:ascii="Arial" w:hAnsi="Arial" w:cs="Arial"/>
        </w:rPr>
      </w:pPr>
      <w:r w:rsidRPr="002661B5">
        <w:rPr>
          <w:rFonts w:ascii="Arial" w:hAnsi="Arial" w:cs="Arial"/>
          <w:b/>
          <w:bCs/>
        </w:rPr>
        <w:t>2. Differentiation:</w:t>
      </w:r>
    </w:p>
    <w:p w14:paraId="2F1704AE" w14:textId="77777777" w:rsidR="002661B5" w:rsidRPr="002661B5" w:rsidRDefault="002661B5" w:rsidP="005B6432">
      <w:pPr>
        <w:numPr>
          <w:ilvl w:val="0"/>
          <w:numId w:val="37"/>
        </w:numPr>
        <w:jc w:val="both"/>
        <w:rPr>
          <w:rFonts w:ascii="Arial" w:hAnsi="Arial" w:cs="Arial"/>
        </w:rPr>
      </w:pPr>
      <w:r w:rsidRPr="002661B5">
        <w:rPr>
          <w:rFonts w:ascii="Arial" w:hAnsi="Arial" w:cs="Arial"/>
          <w:b/>
          <w:bCs/>
        </w:rPr>
        <w:t>Unique Value Proposition:</w:t>
      </w:r>
      <w:r w:rsidRPr="002661B5">
        <w:rPr>
          <w:rFonts w:ascii="Arial" w:hAnsi="Arial" w:cs="Arial"/>
        </w:rPr>
        <w:t xml:space="preserve"> Unilever’s strategy involves offering differentiated products with unique attributes and premium branding, such as Dove’s emphasis on beauty and self-esteem.</w:t>
      </w:r>
    </w:p>
    <w:p w14:paraId="211B5956" w14:textId="77777777" w:rsidR="002661B5" w:rsidRPr="002661B5" w:rsidRDefault="002661B5" w:rsidP="005B6432">
      <w:pPr>
        <w:jc w:val="both"/>
        <w:rPr>
          <w:rFonts w:ascii="Arial" w:hAnsi="Arial" w:cs="Arial"/>
        </w:rPr>
      </w:pPr>
      <w:r w:rsidRPr="002661B5">
        <w:rPr>
          <w:rFonts w:ascii="Arial" w:hAnsi="Arial" w:cs="Arial"/>
          <w:b/>
          <w:bCs/>
        </w:rPr>
        <w:t>3. Focus:</w:t>
      </w:r>
    </w:p>
    <w:p w14:paraId="0B1D1849" w14:textId="5D49097E" w:rsidR="00E76A7A" w:rsidRDefault="002661B5" w:rsidP="005B6432">
      <w:pPr>
        <w:numPr>
          <w:ilvl w:val="0"/>
          <w:numId w:val="38"/>
        </w:numPr>
        <w:jc w:val="both"/>
        <w:rPr>
          <w:rFonts w:ascii="Arial" w:hAnsi="Arial" w:cs="Arial"/>
        </w:rPr>
      </w:pPr>
      <w:r w:rsidRPr="002661B5">
        <w:rPr>
          <w:rFonts w:ascii="Arial" w:hAnsi="Arial" w:cs="Arial"/>
          <w:b/>
          <w:bCs/>
        </w:rPr>
        <w:t>Targeted Market Segments:</w:t>
      </w:r>
      <w:r w:rsidRPr="002661B5">
        <w:rPr>
          <w:rFonts w:ascii="Arial" w:hAnsi="Arial" w:cs="Arial"/>
        </w:rPr>
        <w:t xml:space="preserve"> Tailoring products to specific market segments and leveraging sustainability to differentiate in various consumer categories.</w:t>
      </w:r>
    </w:p>
    <w:p w14:paraId="0DD76849" w14:textId="5A240191" w:rsidR="00E76A7A" w:rsidRPr="00E76A7A" w:rsidRDefault="008548F7" w:rsidP="005B6432">
      <w:pPr>
        <w:jc w:val="both"/>
        <w:rPr>
          <w:rFonts w:ascii="Arial" w:hAnsi="Arial" w:cs="Arial"/>
        </w:rPr>
      </w:pPr>
      <w:r w:rsidRPr="002661B5">
        <w:rPr>
          <w:rFonts w:ascii="Arial" w:hAnsi="Arial" w:cs="Arial"/>
          <w:noProof/>
        </w:rPr>
        <w:pict w14:anchorId="6254777E">
          <v:rect id="_x0000_i1026" alt="" style="width:451.3pt;height:.05pt;mso-width-percent:0;mso-height-percent:0;mso-width-percent:0;mso-height-percent:0" o:hralign="center" o:hrstd="t" o:hr="t" fillcolor="#a0a0a0" stroked="f"/>
        </w:pict>
      </w:r>
    </w:p>
    <w:p w14:paraId="1AE0303C" w14:textId="77777777" w:rsidR="00E76A7A" w:rsidRPr="00E76A7A" w:rsidRDefault="00E76A7A" w:rsidP="005B6432">
      <w:pPr>
        <w:pStyle w:val="Heading2"/>
        <w:jc w:val="both"/>
      </w:pPr>
      <w:bookmarkStart w:id="23" w:name="_Toc175555976"/>
      <w:r w:rsidRPr="00E76A7A">
        <w:t>Appendix D: Financial Performance Data</w:t>
      </w:r>
      <w:bookmarkEnd w:id="23"/>
    </w:p>
    <w:p w14:paraId="25A73548" w14:textId="77777777" w:rsidR="00E76A7A" w:rsidRPr="00E76A7A" w:rsidRDefault="00E76A7A" w:rsidP="005B6432">
      <w:pPr>
        <w:jc w:val="both"/>
        <w:rPr>
          <w:rFonts w:ascii="Arial" w:hAnsi="Arial" w:cs="Arial"/>
          <w:b/>
          <w:bCs/>
        </w:rPr>
      </w:pPr>
      <w:r w:rsidRPr="00E76A7A">
        <w:rPr>
          <w:rFonts w:ascii="Arial" w:hAnsi="Arial" w:cs="Arial"/>
          <w:b/>
          <w:bCs/>
        </w:rPr>
        <w:t>1. Revenue and Profitability:</w:t>
      </w:r>
    </w:p>
    <w:p w14:paraId="1AB3C993" w14:textId="77777777" w:rsidR="00E76A7A" w:rsidRPr="00E76A7A" w:rsidRDefault="00E76A7A" w:rsidP="005B6432">
      <w:pPr>
        <w:numPr>
          <w:ilvl w:val="0"/>
          <w:numId w:val="39"/>
        </w:numPr>
        <w:jc w:val="both"/>
        <w:rPr>
          <w:rFonts w:ascii="Arial" w:hAnsi="Arial" w:cs="Arial"/>
        </w:rPr>
      </w:pPr>
      <w:r w:rsidRPr="00E76A7A">
        <w:rPr>
          <w:rFonts w:ascii="Arial" w:hAnsi="Arial" w:cs="Arial"/>
        </w:rPr>
        <w:t>Revenue (2023): £60.3 billion</w:t>
      </w:r>
    </w:p>
    <w:p w14:paraId="7E48CBA3" w14:textId="77777777" w:rsidR="00E76A7A" w:rsidRPr="00E76A7A" w:rsidRDefault="00E76A7A" w:rsidP="005B6432">
      <w:pPr>
        <w:numPr>
          <w:ilvl w:val="0"/>
          <w:numId w:val="39"/>
        </w:numPr>
        <w:jc w:val="both"/>
        <w:rPr>
          <w:rFonts w:ascii="Arial" w:hAnsi="Arial" w:cs="Arial"/>
        </w:rPr>
      </w:pPr>
      <w:r w:rsidRPr="00E76A7A">
        <w:rPr>
          <w:rFonts w:ascii="Arial" w:hAnsi="Arial" w:cs="Arial"/>
        </w:rPr>
        <w:t>Operating Profit (2023): £9.1 billion</w:t>
      </w:r>
    </w:p>
    <w:p w14:paraId="49B9381B" w14:textId="77777777" w:rsidR="00E76A7A" w:rsidRPr="00E76A7A" w:rsidRDefault="00E76A7A" w:rsidP="005B6432">
      <w:pPr>
        <w:numPr>
          <w:ilvl w:val="0"/>
          <w:numId w:val="39"/>
        </w:numPr>
        <w:jc w:val="both"/>
        <w:rPr>
          <w:rFonts w:ascii="Arial" w:hAnsi="Arial" w:cs="Arial"/>
        </w:rPr>
      </w:pPr>
      <w:r w:rsidRPr="00E76A7A">
        <w:rPr>
          <w:rFonts w:ascii="Arial" w:hAnsi="Arial" w:cs="Arial"/>
        </w:rPr>
        <w:t>Net Profit (2023): £7.8 billion</w:t>
      </w:r>
    </w:p>
    <w:p w14:paraId="61AA4271" w14:textId="77777777" w:rsidR="00E76A7A" w:rsidRPr="00E76A7A" w:rsidRDefault="00E76A7A" w:rsidP="005B6432">
      <w:pPr>
        <w:numPr>
          <w:ilvl w:val="0"/>
          <w:numId w:val="39"/>
        </w:numPr>
        <w:jc w:val="both"/>
        <w:rPr>
          <w:rFonts w:ascii="Arial" w:hAnsi="Arial" w:cs="Arial"/>
        </w:rPr>
      </w:pPr>
      <w:r w:rsidRPr="00E76A7A">
        <w:rPr>
          <w:rFonts w:ascii="Arial" w:hAnsi="Arial" w:cs="Arial"/>
        </w:rPr>
        <w:t>Gross Margin (2023): 43.2%</w:t>
      </w:r>
    </w:p>
    <w:p w14:paraId="5BC3D2B3" w14:textId="77777777" w:rsidR="00E76A7A" w:rsidRPr="00E76A7A" w:rsidRDefault="00E76A7A" w:rsidP="005B6432">
      <w:pPr>
        <w:numPr>
          <w:ilvl w:val="0"/>
          <w:numId w:val="39"/>
        </w:numPr>
        <w:jc w:val="both"/>
        <w:rPr>
          <w:rFonts w:ascii="Arial" w:hAnsi="Arial" w:cs="Arial"/>
        </w:rPr>
      </w:pPr>
      <w:r w:rsidRPr="00E76A7A">
        <w:rPr>
          <w:rFonts w:ascii="Arial" w:hAnsi="Arial" w:cs="Arial"/>
        </w:rPr>
        <w:t>Operating Margin (2023): 15.1%</w:t>
      </w:r>
    </w:p>
    <w:p w14:paraId="0276FB37" w14:textId="77777777" w:rsidR="00E76A7A" w:rsidRPr="00E76A7A" w:rsidRDefault="00E76A7A" w:rsidP="005B6432">
      <w:pPr>
        <w:numPr>
          <w:ilvl w:val="0"/>
          <w:numId w:val="39"/>
        </w:numPr>
        <w:jc w:val="both"/>
        <w:rPr>
          <w:rFonts w:ascii="Arial" w:hAnsi="Arial" w:cs="Arial"/>
        </w:rPr>
      </w:pPr>
      <w:r w:rsidRPr="00E76A7A">
        <w:rPr>
          <w:rFonts w:ascii="Arial" w:hAnsi="Arial" w:cs="Arial"/>
        </w:rPr>
        <w:t>Net Margin (2023): 12.9%</w:t>
      </w:r>
    </w:p>
    <w:p w14:paraId="29902CD2" w14:textId="77777777" w:rsidR="00E76A7A" w:rsidRPr="00E76A7A" w:rsidRDefault="00E76A7A" w:rsidP="005B6432">
      <w:pPr>
        <w:jc w:val="both"/>
        <w:rPr>
          <w:rFonts w:ascii="Arial" w:hAnsi="Arial" w:cs="Arial"/>
          <w:b/>
          <w:bCs/>
        </w:rPr>
      </w:pPr>
      <w:r w:rsidRPr="00E76A7A">
        <w:rPr>
          <w:rFonts w:ascii="Arial" w:hAnsi="Arial" w:cs="Arial"/>
          <w:b/>
          <w:bCs/>
        </w:rPr>
        <w:t>2. Revenue Breakdown by Segment:</w:t>
      </w:r>
    </w:p>
    <w:p w14:paraId="1B1444D8" w14:textId="77777777" w:rsidR="00E76A7A" w:rsidRPr="00E76A7A" w:rsidRDefault="00E76A7A" w:rsidP="005B6432">
      <w:pPr>
        <w:numPr>
          <w:ilvl w:val="0"/>
          <w:numId w:val="40"/>
        </w:numPr>
        <w:jc w:val="both"/>
        <w:rPr>
          <w:rFonts w:ascii="Arial" w:hAnsi="Arial" w:cs="Arial"/>
        </w:rPr>
      </w:pPr>
      <w:r w:rsidRPr="00E76A7A">
        <w:rPr>
          <w:rFonts w:ascii="Arial" w:hAnsi="Arial" w:cs="Arial"/>
        </w:rPr>
        <w:t>Personal Care: £22.0 billion (36.5% of total revenue)</w:t>
      </w:r>
    </w:p>
    <w:p w14:paraId="73A1C0B2" w14:textId="77777777" w:rsidR="00E76A7A" w:rsidRPr="00E76A7A" w:rsidRDefault="00E76A7A" w:rsidP="005B6432">
      <w:pPr>
        <w:numPr>
          <w:ilvl w:val="0"/>
          <w:numId w:val="40"/>
        </w:numPr>
        <w:jc w:val="both"/>
        <w:rPr>
          <w:rFonts w:ascii="Arial" w:hAnsi="Arial" w:cs="Arial"/>
        </w:rPr>
      </w:pPr>
      <w:r w:rsidRPr="00E76A7A">
        <w:rPr>
          <w:rFonts w:ascii="Arial" w:hAnsi="Arial" w:cs="Arial"/>
        </w:rPr>
        <w:t>Home Care: £14.5 billion (24.1% of total revenue)</w:t>
      </w:r>
    </w:p>
    <w:p w14:paraId="1F6A6FA4" w14:textId="77777777" w:rsidR="00E76A7A" w:rsidRPr="00E76A7A" w:rsidRDefault="00E76A7A" w:rsidP="005B6432">
      <w:pPr>
        <w:numPr>
          <w:ilvl w:val="0"/>
          <w:numId w:val="40"/>
        </w:numPr>
        <w:jc w:val="both"/>
        <w:rPr>
          <w:rFonts w:ascii="Arial" w:hAnsi="Arial" w:cs="Arial"/>
        </w:rPr>
      </w:pPr>
      <w:r w:rsidRPr="00E76A7A">
        <w:rPr>
          <w:rFonts w:ascii="Arial" w:hAnsi="Arial" w:cs="Arial"/>
        </w:rPr>
        <w:t>Food and Refreshments: £17.8 billion (29.5% of total revenue)</w:t>
      </w:r>
    </w:p>
    <w:p w14:paraId="5149AD89" w14:textId="77777777" w:rsidR="00E76A7A" w:rsidRPr="00E76A7A" w:rsidRDefault="00E76A7A" w:rsidP="005B6432">
      <w:pPr>
        <w:numPr>
          <w:ilvl w:val="0"/>
          <w:numId w:val="40"/>
        </w:numPr>
        <w:jc w:val="both"/>
        <w:rPr>
          <w:rFonts w:ascii="Arial" w:hAnsi="Arial" w:cs="Arial"/>
        </w:rPr>
      </w:pPr>
      <w:r w:rsidRPr="00E76A7A">
        <w:rPr>
          <w:rFonts w:ascii="Arial" w:hAnsi="Arial" w:cs="Arial"/>
        </w:rPr>
        <w:t>Health and Wellness: £6.0 billion (10.0% of total revenue)</w:t>
      </w:r>
    </w:p>
    <w:p w14:paraId="12933B23" w14:textId="77777777" w:rsidR="00E76A7A" w:rsidRPr="00E76A7A" w:rsidRDefault="00E76A7A" w:rsidP="005B6432">
      <w:pPr>
        <w:jc w:val="both"/>
        <w:rPr>
          <w:rFonts w:ascii="Arial" w:hAnsi="Arial" w:cs="Arial"/>
          <w:b/>
          <w:bCs/>
        </w:rPr>
      </w:pPr>
      <w:r w:rsidRPr="00E76A7A">
        <w:rPr>
          <w:rFonts w:ascii="Arial" w:hAnsi="Arial" w:cs="Arial"/>
          <w:b/>
          <w:bCs/>
        </w:rPr>
        <w:t>3. Geographic Revenue Distribution:</w:t>
      </w:r>
    </w:p>
    <w:p w14:paraId="35506370" w14:textId="77777777" w:rsidR="00E76A7A" w:rsidRPr="00E76A7A" w:rsidRDefault="00E76A7A" w:rsidP="005B6432">
      <w:pPr>
        <w:numPr>
          <w:ilvl w:val="0"/>
          <w:numId w:val="41"/>
        </w:numPr>
        <w:jc w:val="both"/>
        <w:rPr>
          <w:rFonts w:ascii="Arial" w:hAnsi="Arial" w:cs="Arial"/>
        </w:rPr>
      </w:pPr>
      <w:r w:rsidRPr="00E76A7A">
        <w:rPr>
          <w:rFonts w:ascii="Arial" w:hAnsi="Arial" w:cs="Arial"/>
        </w:rPr>
        <w:t>Europe: £20.5 billion (34.0% of total revenue)</w:t>
      </w:r>
    </w:p>
    <w:p w14:paraId="6803A297" w14:textId="77777777" w:rsidR="00E76A7A" w:rsidRPr="00E76A7A" w:rsidRDefault="00E76A7A" w:rsidP="005B6432">
      <w:pPr>
        <w:numPr>
          <w:ilvl w:val="0"/>
          <w:numId w:val="41"/>
        </w:numPr>
        <w:jc w:val="both"/>
        <w:rPr>
          <w:rFonts w:ascii="Arial" w:hAnsi="Arial" w:cs="Arial"/>
        </w:rPr>
      </w:pPr>
      <w:r w:rsidRPr="00E76A7A">
        <w:rPr>
          <w:rFonts w:ascii="Arial" w:hAnsi="Arial" w:cs="Arial"/>
        </w:rPr>
        <w:t>North America: £15.2 billion (25.3% of total revenue)</w:t>
      </w:r>
    </w:p>
    <w:p w14:paraId="6E817210" w14:textId="77777777" w:rsidR="00E76A7A" w:rsidRPr="00E76A7A" w:rsidRDefault="00E76A7A" w:rsidP="005B6432">
      <w:pPr>
        <w:numPr>
          <w:ilvl w:val="0"/>
          <w:numId w:val="41"/>
        </w:numPr>
        <w:jc w:val="both"/>
        <w:rPr>
          <w:rFonts w:ascii="Arial" w:hAnsi="Arial" w:cs="Arial"/>
        </w:rPr>
      </w:pPr>
      <w:r w:rsidRPr="00E76A7A">
        <w:rPr>
          <w:rFonts w:ascii="Arial" w:hAnsi="Arial" w:cs="Arial"/>
        </w:rPr>
        <w:t>Asia/AMET (Africa, Middle East, Turkey): £15.5 billion (25.7% of total revenue)</w:t>
      </w:r>
    </w:p>
    <w:p w14:paraId="7701CFA3" w14:textId="77777777" w:rsidR="00E76A7A" w:rsidRPr="00E76A7A" w:rsidRDefault="00E76A7A" w:rsidP="005B6432">
      <w:pPr>
        <w:numPr>
          <w:ilvl w:val="0"/>
          <w:numId w:val="41"/>
        </w:numPr>
        <w:jc w:val="both"/>
        <w:rPr>
          <w:rFonts w:ascii="Arial" w:hAnsi="Arial" w:cs="Arial"/>
        </w:rPr>
      </w:pPr>
      <w:r w:rsidRPr="00E76A7A">
        <w:rPr>
          <w:rFonts w:ascii="Arial" w:hAnsi="Arial" w:cs="Arial"/>
        </w:rPr>
        <w:t>Latin America: £9.1 billion (15.0% of total revenue)</w:t>
      </w:r>
    </w:p>
    <w:p w14:paraId="1B879BC6" w14:textId="77777777" w:rsidR="00E76A7A" w:rsidRPr="00E76A7A" w:rsidRDefault="00E76A7A" w:rsidP="005B6432">
      <w:pPr>
        <w:jc w:val="both"/>
        <w:rPr>
          <w:rFonts w:ascii="Arial" w:hAnsi="Arial" w:cs="Arial"/>
          <w:b/>
          <w:bCs/>
        </w:rPr>
      </w:pPr>
      <w:r w:rsidRPr="00E76A7A">
        <w:rPr>
          <w:rFonts w:ascii="Arial" w:hAnsi="Arial" w:cs="Arial"/>
          <w:b/>
          <w:bCs/>
        </w:rPr>
        <w:lastRenderedPageBreak/>
        <w:t>4. Financial Ratios:</w:t>
      </w:r>
    </w:p>
    <w:p w14:paraId="3C6FC2A3" w14:textId="77777777" w:rsidR="00E76A7A" w:rsidRPr="00E76A7A" w:rsidRDefault="00E76A7A" w:rsidP="005B6432">
      <w:pPr>
        <w:numPr>
          <w:ilvl w:val="0"/>
          <w:numId w:val="42"/>
        </w:numPr>
        <w:jc w:val="both"/>
        <w:rPr>
          <w:rFonts w:ascii="Arial" w:hAnsi="Arial" w:cs="Arial"/>
        </w:rPr>
      </w:pPr>
      <w:r w:rsidRPr="00E76A7A">
        <w:rPr>
          <w:rFonts w:ascii="Arial" w:hAnsi="Arial" w:cs="Arial"/>
        </w:rPr>
        <w:t>Return on Equity (ROE): 24.8%</w:t>
      </w:r>
    </w:p>
    <w:p w14:paraId="268ABA89" w14:textId="77777777" w:rsidR="00E76A7A" w:rsidRPr="00E76A7A" w:rsidRDefault="00E76A7A" w:rsidP="005B6432">
      <w:pPr>
        <w:numPr>
          <w:ilvl w:val="0"/>
          <w:numId w:val="42"/>
        </w:numPr>
        <w:jc w:val="both"/>
        <w:rPr>
          <w:rFonts w:ascii="Arial" w:hAnsi="Arial" w:cs="Arial"/>
        </w:rPr>
      </w:pPr>
      <w:r w:rsidRPr="00E76A7A">
        <w:rPr>
          <w:rFonts w:ascii="Arial" w:hAnsi="Arial" w:cs="Arial"/>
        </w:rPr>
        <w:t>Return on Assets (ROA): 9.6%</w:t>
      </w:r>
    </w:p>
    <w:p w14:paraId="3322F303" w14:textId="77777777" w:rsidR="00E76A7A" w:rsidRPr="00E76A7A" w:rsidRDefault="00E76A7A" w:rsidP="005B6432">
      <w:pPr>
        <w:numPr>
          <w:ilvl w:val="0"/>
          <w:numId w:val="42"/>
        </w:numPr>
        <w:jc w:val="both"/>
        <w:rPr>
          <w:rFonts w:ascii="Arial" w:hAnsi="Arial" w:cs="Arial"/>
        </w:rPr>
      </w:pPr>
      <w:r w:rsidRPr="00E76A7A">
        <w:rPr>
          <w:rFonts w:ascii="Arial" w:hAnsi="Arial" w:cs="Arial"/>
        </w:rPr>
        <w:t>Debt-to-Equity Ratio: 0.55</w:t>
      </w:r>
    </w:p>
    <w:p w14:paraId="5ED17A60" w14:textId="77777777" w:rsidR="00E76A7A" w:rsidRPr="00E76A7A" w:rsidRDefault="00E76A7A" w:rsidP="005B6432">
      <w:pPr>
        <w:numPr>
          <w:ilvl w:val="0"/>
          <w:numId w:val="42"/>
        </w:numPr>
        <w:jc w:val="both"/>
        <w:rPr>
          <w:rFonts w:ascii="Arial" w:hAnsi="Arial" w:cs="Arial"/>
        </w:rPr>
      </w:pPr>
      <w:r w:rsidRPr="00E76A7A">
        <w:rPr>
          <w:rFonts w:ascii="Arial" w:hAnsi="Arial" w:cs="Arial"/>
        </w:rPr>
        <w:t>Current Ratio: 1.7</w:t>
      </w:r>
    </w:p>
    <w:p w14:paraId="2550AF3C" w14:textId="77777777" w:rsidR="00E76A7A" w:rsidRPr="00E76A7A" w:rsidRDefault="00E76A7A" w:rsidP="005B6432">
      <w:pPr>
        <w:numPr>
          <w:ilvl w:val="0"/>
          <w:numId w:val="42"/>
        </w:numPr>
        <w:jc w:val="both"/>
        <w:rPr>
          <w:rFonts w:ascii="Arial" w:hAnsi="Arial" w:cs="Arial"/>
        </w:rPr>
      </w:pPr>
      <w:r w:rsidRPr="00E76A7A">
        <w:rPr>
          <w:rFonts w:ascii="Arial" w:hAnsi="Arial" w:cs="Arial"/>
        </w:rPr>
        <w:t>Quick Ratio: 1.2</w:t>
      </w:r>
    </w:p>
    <w:p w14:paraId="235F5C07" w14:textId="77777777" w:rsidR="00E76A7A" w:rsidRPr="00E76A7A" w:rsidRDefault="00E76A7A" w:rsidP="005B6432">
      <w:pPr>
        <w:jc w:val="both"/>
        <w:rPr>
          <w:rFonts w:ascii="Arial" w:hAnsi="Arial" w:cs="Arial"/>
          <w:b/>
          <w:bCs/>
        </w:rPr>
      </w:pPr>
      <w:r w:rsidRPr="00E76A7A">
        <w:rPr>
          <w:rFonts w:ascii="Arial" w:hAnsi="Arial" w:cs="Arial"/>
          <w:b/>
          <w:bCs/>
        </w:rPr>
        <w:t>5. Recent Financial Trends:</w:t>
      </w:r>
    </w:p>
    <w:p w14:paraId="1C5A3A1C" w14:textId="77777777" w:rsidR="00E76A7A" w:rsidRPr="00E76A7A" w:rsidRDefault="00E76A7A" w:rsidP="005B6432">
      <w:pPr>
        <w:numPr>
          <w:ilvl w:val="0"/>
          <w:numId w:val="43"/>
        </w:numPr>
        <w:jc w:val="both"/>
        <w:rPr>
          <w:rFonts w:ascii="Arial" w:hAnsi="Arial" w:cs="Arial"/>
        </w:rPr>
      </w:pPr>
      <w:r w:rsidRPr="00E76A7A">
        <w:rPr>
          <w:rFonts w:ascii="Arial" w:hAnsi="Arial" w:cs="Arial"/>
        </w:rPr>
        <w:t>Year-over-Year Revenue Growth (2023 vs. 2022): +4.8%</w:t>
      </w:r>
    </w:p>
    <w:p w14:paraId="4C73F52D" w14:textId="77777777" w:rsidR="00E76A7A" w:rsidRPr="00E76A7A" w:rsidRDefault="00E76A7A" w:rsidP="005B6432">
      <w:pPr>
        <w:numPr>
          <w:ilvl w:val="0"/>
          <w:numId w:val="43"/>
        </w:numPr>
        <w:jc w:val="both"/>
        <w:rPr>
          <w:rFonts w:ascii="Arial" w:hAnsi="Arial" w:cs="Arial"/>
        </w:rPr>
      </w:pPr>
      <w:r w:rsidRPr="00E76A7A">
        <w:rPr>
          <w:rFonts w:ascii="Arial" w:hAnsi="Arial" w:cs="Arial"/>
        </w:rPr>
        <w:t>Year-over-Year Operating Profit Growth (2023 vs. 2022): +6.2%</w:t>
      </w:r>
    </w:p>
    <w:p w14:paraId="1791913F" w14:textId="77777777" w:rsidR="00E76A7A" w:rsidRPr="00E76A7A" w:rsidRDefault="00E76A7A" w:rsidP="005B6432">
      <w:pPr>
        <w:numPr>
          <w:ilvl w:val="0"/>
          <w:numId w:val="43"/>
        </w:numPr>
        <w:jc w:val="both"/>
        <w:rPr>
          <w:rFonts w:ascii="Arial" w:hAnsi="Arial" w:cs="Arial"/>
        </w:rPr>
      </w:pPr>
      <w:r w:rsidRPr="00E76A7A">
        <w:rPr>
          <w:rFonts w:ascii="Arial" w:hAnsi="Arial" w:cs="Arial"/>
        </w:rPr>
        <w:t>Earnings Per Share (EPS) (2023): £1.54</w:t>
      </w:r>
    </w:p>
    <w:p w14:paraId="723B81C5" w14:textId="77777777" w:rsidR="00E76A7A" w:rsidRPr="00E76A7A" w:rsidRDefault="008548F7" w:rsidP="005B6432">
      <w:pPr>
        <w:jc w:val="both"/>
        <w:rPr>
          <w:rFonts w:ascii="Arial" w:hAnsi="Arial" w:cs="Arial"/>
        </w:rPr>
      </w:pPr>
      <w:r w:rsidRPr="00E76A7A">
        <w:rPr>
          <w:rFonts w:ascii="Arial" w:hAnsi="Arial" w:cs="Arial"/>
          <w:noProof/>
        </w:rPr>
        <w:pict w14:anchorId="7E1A80EE">
          <v:rect id="_x0000_i1025" alt="" style="width:451.3pt;height:.05pt;mso-width-percent:0;mso-height-percent:0;mso-width-percent:0;mso-height-percent:0" o:hralign="center" o:hrstd="t" o:hr="t" fillcolor="#a0a0a0" stroked="f"/>
        </w:pict>
      </w:r>
    </w:p>
    <w:p w14:paraId="6FEE525B" w14:textId="77777777" w:rsidR="00E76A7A" w:rsidRPr="00E76A7A" w:rsidRDefault="00E76A7A" w:rsidP="005B6432">
      <w:pPr>
        <w:pStyle w:val="Heading2"/>
        <w:jc w:val="both"/>
      </w:pPr>
      <w:bookmarkStart w:id="24" w:name="_Toc175555977"/>
      <w:r w:rsidRPr="00E76A7A">
        <w:t>Appendix E: Customer Satisfaction Survey Results</w:t>
      </w:r>
      <w:bookmarkEnd w:id="24"/>
    </w:p>
    <w:p w14:paraId="24DA6D90" w14:textId="77777777" w:rsidR="00E76A7A" w:rsidRPr="00E76A7A" w:rsidRDefault="00E76A7A" w:rsidP="005B6432">
      <w:pPr>
        <w:jc w:val="both"/>
        <w:rPr>
          <w:rFonts w:ascii="Arial" w:hAnsi="Arial" w:cs="Arial"/>
        </w:rPr>
      </w:pPr>
      <w:r w:rsidRPr="00E76A7A">
        <w:rPr>
          <w:rFonts w:ascii="Arial" w:hAnsi="Arial" w:cs="Arial"/>
          <w:b/>
          <w:bCs/>
        </w:rPr>
        <w:t>1. Overall Satisfaction:</w:t>
      </w:r>
    </w:p>
    <w:p w14:paraId="6AA9F491" w14:textId="2E60D212" w:rsidR="00E76A7A" w:rsidRPr="00E76A7A" w:rsidRDefault="00E76A7A" w:rsidP="005B6432">
      <w:pPr>
        <w:numPr>
          <w:ilvl w:val="0"/>
          <w:numId w:val="45"/>
        </w:numPr>
        <w:jc w:val="both"/>
        <w:rPr>
          <w:rFonts w:ascii="Arial" w:hAnsi="Arial" w:cs="Arial"/>
        </w:rPr>
      </w:pPr>
      <w:r w:rsidRPr="00E76A7A">
        <w:rPr>
          <w:rFonts w:ascii="Arial" w:hAnsi="Arial" w:cs="Arial"/>
        </w:rPr>
        <w:t>Overall Satisfaction Score (202</w:t>
      </w:r>
      <w:r w:rsidR="004A71BC">
        <w:rPr>
          <w:rFonts w:ascii="Arial" w:hAnsi="Arial" w:cs="Arial"/>
        </w:rPr>
        <w:t>3</w:t>
      </w:r>
      <w:r w:rsidRPr="00E76A7A">
        <w:rPr>
          <w:rFonts w:ascii="Arial" w:hAnsi="Arial" w:cs="Arial"/>
        </w:rPr>
        <w:t>): 4.3/5</w:t>
      </w:r>
    </w:p>
    <w:p w14:paraId="151854EA" w14:textId="77777777" w:rsidR="00E76A7A" w:rsidRPr="00E76A7A" w:rsidRDefault="00E76A7A" w:rsidP="005B6432">
      <w:pPr>
        <w:numPr>
          <w:ilvl w:val="0"/>
          <w:numId w:val="45"/>
        </w:numPr>
        <w:jc w:val="both"/>
        <w:rPr>
          <w:rFonts w:ascii="Arial" w:hAnsi="Arial" w:cs="Arial"/>
        </w:rPr>
      </w:pPr>
      <w:r w:rsidRPr="00E76A7A">
        <w:rPr>
          <w:rFonts w:ascii="Arial" w:hAnsi="Arial" w:cs="Arial"/>
        </w:rPr>
        <w:t>Percentage of Satisfied Customers: 85%</w:t>
      </w:r>
    </w:p>
    <w:p w14:paraId="617E609C" w14:textId="77777777" w:rsidR="00E76A7A" w:rsidRPr="00E76A7A" w:rsidRDefault="00E76A7A" w:rsidP="005B6432">
      <w:pPr>
        <w:numPr>
          <w:ilvl w:val="0"/>
          <w:numId w:val="45"/>
        </w:numPr>
        <w:jc w:val="both"/>
        <w:rPr>
          <w:rFonts w:ascii="Arial" w:hAnsi="Arial" w:cs="Arial"/>
        </w:rPr>
      </w:pPr>
      <w:r w:rsidRPr="00E76A7A">
        <w:rPr>
          <w:rFonts w:ascii="Arial" w:hAnsi="Arial" w:cs="Arial"/>
        </w:rPr>
        <w:t>Percentage of Dissatisfied Customers: 10%</w:t>
      </w:r>
    </w:p>
    <w:p w14:paraId="484D2513" w14:textId="77777777" w:rsidR="00E76A7A" w:rsidRPr="00E76A7A" w:rsidRDefault="00E76A7A" w:rsidP="005B6432">
      <w:pPr>
        <w:numPr>
          <w:ilvl w:val="0"/>
          <w:numId w:val="45"/>
        </w:numPr>
        <w:jc w:val="both"/>
        <w:rPr>
          <w:rFonts w:ascii="Arial" w:hAnsi="Arial" w:cs="Arial"/>
        </w:rPr>
      </w:pPr>
      <w:r w:rsidRPr="00E76A7A">
        <w:rPr>
          <w:rFonts w:ascii="Arial" w:hAnsi="Arial" w:cs="Arial"/>
        </w:rPr>
        <w:t>Neutral Responses: 5%</w:t>
      </w:r>
    </w:p>
    <w:p w14:paraId="52943307" w14:textId="77777777" w:rsidR="00E76A7A" w:rsidRPr="00E76A7A" w:rsidRDefault="00E76A7A" w:rsidP="005B6432">
      <w:pPr>
        <w:jc w:val="both"/>
        <w:rPr>
          <w:rFonts w:ascii="Arial" w:hAnsi="Arial" w:cs="Arial"/>
        </w:rPr>
      </w:pPr>
      <w:r w:rsidRPr="00E76A7A">
        <w:rPr>
          <w:rFonts w:ascii="Arial" w:hAnsi="Arial" w:cs="Arial"/>
          <w:b/>
          <w:bCs/>
        </w:rPr>
        <w:t>2. Satisfaction by Product Category:</w:t>
      </w:r>
    </w:p>
    <w:p w14:paraId="1A766751" w14:textId="77777777" w:rsidR="00E76A7A" w:rsidRPr="00E76A7A" w:rsidRDefault="00E76A7A" w:rsidP="005B6432">
      <w:pPr>
        <w:numPr>
          <w:ilvl w:val="0"/>
          <w:numId w:val="46"/>
        </w:numPr>
        <w:jc w:val="both"/>
        <w:rPr>
          <w:rFonts w:ascii="Arial" w:hAnsi="Arial" w:cs="Arial"/>
        </w:rPr>
      </w:pPr>
      <w:r w:rsidRPr="00E76A7A">
        <w:rPr>
          <w:rFonts w:ascii="Arial" w:hAnsi="Arial" w:cs="Arial"/>
        </w:rPr>
        <w:t>Personal Care: 4.5/5</w:t>
      </w:r>
    </w:p>
    <w:p w14:paraId="4B6644C0" w14:textId="77777777" w:rsidR="00E76A7A" w:rsidRPr="00E76A7A" w:rsidRDefault="00E76A7A" w:rsidP="005B6432">
      <w:pPr>
        <w:numPr>
          <w:ilvl w:val="1"/>
          <w:numId w:val="46"/>
        </w:numPr>
        <w:jc w:val="both"/>
        <w:rPr>
          <w:rFonts w:ascii="Arial" w:hAnsi="Arial" w:cs="Arial"/>
        </w:rPr>
      </w:pPr>
      <w:r w:rsidRPr="00E76A7A">
        <w:rPr>
          <w:rFonts w:ascii="Arial" w:hAnsi="Arial" w:cs="Arial"/>
        </w:rPr>
        <w:t>Top Rated Brands: Dove, Rexona</w:t>
      </w:r>
    </w:p>
    <w:p w14:paraId="2D6847AD" w14:textId="77777777" w:rsidR="00E76A7A" w:rsidRPr="00E76A7A" w:rsidRDefault="00E76A7A" w:rsidP="005B6432">
      <w:pPr>
        <w:numPr>
          <w:ilvl w:val="1"/>
          <w:numId w:val="46"/>
        </w:numPr>
        <w:jc w:val="both"/>
        <w:rPr>
          <w:rFonts w:ascii="Arial" w:hAnsi="Arial" w:cs="Arial"/>
        </w:rPr>
      </w:pPr>
      <w:r w:rsidRPr="00E76A7A">
        <w:rPr>
          <w:rFonts w:ascii="Arial" w:hAnsi="Arial" w:cs="Arial"/>
        </w:rPr>
        <w:t>Areas for Improvement: Price perception, availability</w:t>
      </w:r>
    </w:p>
    <w:p w14:paraId="14928E18" w14:textId="77777777" w:rsidR="00E76A7A" w:rsidRPr="00E76A7A" w:rsidRDefault="00E76A7A" w:rsidP="005B6432">
      <w:pPr>
        <w:numPr>
          <w:ilvl w:val="0"/>
          <w:numId w:val="46"/>
        </w:numPr>
        <w:jc w:val="both"/>
        <w:rPr>
          <w:rFonts w:ascii="Arial" w:hAnsi="Arial" w:cs="Arial"/>
        </w:rPr>
      </w:pPr>
      <w:r w:rsidRPr="00E76A7A">
        <w:rPr>
          <w:rFonts w:ascii="Arial" w:hAnsi="Arial" w:cs="Arial"/>
        </w:rPr>
        <w:t>Home Care: 4.2/5</w:t>
      </w:r>
    </w:p>
    <w:p w14:paraId="5561E4D1" w14:textId="77777777" w:rsidR="00E76A7A" w:rsidRPr="00E76A7A" w:rsidRDefault="00E76A7A" w:rsidP="005B6432">
      <w:pPr>
        <w:numPr>
          <w:ilvl w:val="1"/>
          <w:numId w:val="46"/>
        </w:numPr>
        <w:jc w:val="both"/>
        <w:rPr>
          <w:rFonts w:ascii="Arial" w:hAnsi="Arial" w:cs="Arial"/>
        </w:rPr>
      </w:pPr>
      <w:r w:rsidRPr="00E76A7A">
        <w:rPr>
          <w:rFonts w:ascii="Arial" w:hAnsi="Arial" w:cs="Arial"/>
        </w:rPr>
        <w:t>Top Rated Brands: Surf, Domestos</w:t>
      </w:r>
    </w:p>
    <w:p w14:paraId="27940550" w14:textId="77777777" w:rsidR="00E76A7A" w:rsidRPr="00E76A7A" w:rsidRDefault="00E76A7A" w:rsidP="005B6432">
      <w:pPr>
        <w:numPr>
          <w:ilvl w:val="1"/>
          <w:numId w:val="46"/>
        </w:numPr>
        <w:jc w:val="both"/>
        <w:rPr>
          <w:rFonts w:ascii="Arial" w:hAnsi="Arial" w:cs="Arial"/>
        </w:rPr>
      </w:pPr>
      <w:r w:rsidRPr="00E76A7A">
        <w:rPr>
          <w:rFonts w:ascii="Arial" w:hAnsi="Arial" w:cs="Arial"/>
        </w:rPr>
        <w:t>Areas for Improvement: Effectiveness of new products</w:t>
      </w:r>
    </w:p>
    <w:p w14:paraId="749C8A4D" w14:textId="77777777" w:rsidR="00E76A7A" w:rsidRPr="00E76A7A" w:rsidRDefault="00E76A7A" w:rsidP="005B6432">
      <w:pPr>
        <w:numPr>
          <w:ilvl w:val="0"/>
          <w:numId w:val="46"/>
        </w:numPr>
        <w:jc w:val="both"/>
        <w:rPr>
          <w:rFonts w:ascii="Arial" w:hAnsi="Arial" w:cs="Arial"/>
        </w:rPr>
      </w:pPr>
      <w:r w:rsidRPr="00E76A7A">
        <w:rPr>
          <w:rFonts w:ascii="Arial" w:hAnsi="Arial" w:cs="Arial"/>
        </w:rPr>
        <w:t>Food and Refreshments: 4.1/5</w:t>
      </w:r>
    </w:p>
    <w:p w14:paraId="3472ADAD" w14:textId="77777777" w:rsidR="00E76A7A" w:rsidRPr="00E76A7A" w:rsidRDefault="00E76A7A" w:rsidP="005B6432">
      <w:pPr>
        <w:numPr>
          <w:ilvl w:val="1"/>
          <w:numId w:val="46"/>
        </w:numPr>
        <w:jc w:val="both"/>
        <w:rPr>
          <w:rFonts w:ascii="Arial" w:hAnsi="Arial" w:cs="Arial"/>
        </w:rPr>
      </w:pPr>
      <w:r w:rsidRPr="00E76A7A">
        <w:rPr>
          <w:rFonts w:ascii="Arial" w:hAnsi="Arial" w:cs="Arial"/>
        </w:rPr>
        <w:t>Top Rated Brands: Knorr, Lipton</w:t>
      </w:r>
    </w:p>
    <w:p w14:paraId="2E7D8982" w14:textId="77777777" w:rsidR="00E76A7A" w:rsidRPr="00E76A7A" w:rsidRDefault="00E76A7A" w:rsidP="005B6432">
      <w:pPr>
        <w:numPr>
          <w:ilvl w:val="1"/>
          <w:numId w:val="46"/>
        </w:numPr>
        <w:jc w:val="both"/>
        <w:rPr>
          <w:rFonts w:ascii="Arial" w:hAnsi="Arial" w:cs="Arial"/>
        </w:rPr>
      </w:pPr>
      <w:r w:rsidRPr="00E76A7A">
        <w:rPr>
          <w:rFonts w:ascii="Arial" w:hAnsi="Arial" w:cs="Arial"/>
        </w:rPr>
        <w:t>Areas for Improvement: Taste consistency, packaging</w:t>
      </w:r>
    </w:p>
    <w:p w14:paraId="21111AE4" w14:textId="77777777" w:rsidR="00E76A7A" w:rsidRPr="00E76A7A" w:rsidRDefault="00E76A7A" w:rsidP="005B6432">
      <w:pPr>
        <w:numPr>
          <w:ilvl w:val="0"/>
          <w:numId w:val="46"/>
        </w:numPr>
        <w:jc w:val="both"/>
        <w:rPr>
          <w:rFonts w:ascii="Arial" w:hAnsi="Arial" w:cs="Arial"/>
        </w:rPr>
      </w:pPr>
      <w:r w:rsidRPr="00E76A7A">
        <w:rPr>
          <w:rFonts w:ascii="Arial" w:hAnsi="Arial" w:cs="Arial"/>
        </w:rPr>
        <w:t>Health and Wellness: 4.4/5</w:t>
      </w:r>
    </w:p>
    <w:p w14:paraId="28416E6D" w14:textId="77777777" w:rsidR="00E76A7A" w:rsidRPr="00E76A7A" w:rsidRDefault="00E76A7A" w:rsidP="005B6432">
      <w:pPr>
        <w:numPr>
          <w:ilvl w:val="1"/>
          <w:numId w:val="46"/>
        </w:numPr>
        <w:jc w:val="both"/>
        <w:rPr>
          <w:rFonts w:ascii="Arial" w:hAnsi="Arial" w:cs="Arial"/>
        </w:rPr>
      </w:pPr>
      <w:r w:rsidRPr="00E76A7A">
        <w:rPr>
          <w:rFonts w:ascii="Arial" w:hAnsi="Arial" w:cs="Arial"/>
        </w:rPr>
        <w:t>Top Rated Brands: The Vegetarian Butcher</w:t>
      </w:r>
    </w:p>
    <w:p w14:paraId="71361E04" w14:textId="77777777" w:rsidR="00E76A7A" w:rsidRPr="00E76A7A" w:rsidRDefault="00E76A7A" w:rsidP="005B6432">
      <w:pPr>
        <w:numPr>
          <w:ilvl w:val="1"/>
          <w:numId w:val="46"/>
        </w:numPr>
        <w:jc w:val="both"/>
        <w:rPr>
          <w:rFonts w:ascii="Arial" w:hAnsi="Arial" w:cs="Arial"/>
        </w:rPr>
      </w:pPr>
      <w:r w:rsidRPr="00E76A7A">
        <w:rPr>
          <w:rFonts w:ascii="Arial" w:hAnsi="Arial" w:cs="Arial"/>
        </w:rPr>
        <w:lastRenderedPageBreak/>
        <w:t>Areas for Improvement: Product range</w:t>
      </w:r>
    </w:p>
    <w:p w14:paraId="442A782A" w14:textId="77777777" w:rsidR="00E76A7A" w:rsidRPr="00E76A7A" w:rsidRDefault="00E76A7A" w:rsidP="005B6432">
      <w:pPr>
        <w:jc w:val="both"/>
        <w:rPr>
          <w:rFonts w:ascii="Arial" w:hAnsi="Arial" w:cs="Arial"/>
        </w:rPr>
      </w:pPr>
      <w:r w:rsidRPr="00E76A7A">
        <w:rPr>
          <w:rFonts w:ascii="Arial" w:hAnsi="Arial" w:cs="Arial"/>
        </w:rPr>
        <w:t>3. Key Drivers of Satisfaction:</w:t>
      </w:r>
    </w:p>
    <w:p w14:paraId="2C50AEB6" w14:textId="77777777" w:rsidR="00E76A7A" w:rsidRPr="00E76A7A" w:rsidRDefault="00E76A7A" w:rsidP="005B6432">
      <w:pPr>
        <w:numPr>
          <w:ilvl w:val="0"/>
          <w:numId w:val="47"/>
        </w:numPr>
        <w:jc w:val="both"/>
        <w:rPr>
          <w:rFonts w:ascii="Arial" w:hAnsi="Arial" w:cs="Arial"/>
        </w:rPr>
      </w:pPr>
      <w:r w:rsidRPr="00E76A7A">
        <w:rPr>
          <w:rFonts w:ascii="Arial" w:hAnsi="Arial" w:cs="Arial"/>
        </w:rPr>
        <w:t>Product Quality: 45%</w:t>
      </w:r>
    </w:p>
    <w:p w14:paraId="2E4B5296" w14:textId="77777777" w:rsidR="00E76A7A" w:rsidRPr="00E76A7A" w:rsidRDefault="00E76A7A" w:rsidP="005B6432">
      <w:pPr>
        <w:numPr>
          <w:ilvl w:val="0"/>
          <w:numId w:val="47"/>
        </w:numPr>
        <w:jc w:val="both"/>
        <w:rPr>
          <w:rFonts w:ascii="Arial" w:hAnsi="Arial" w:cs="Arial"/>
        </w:rPr>
      </w:pPr>
      <w:r w:rsidRPr="00E76A7A">
        <w:rPr>
          <w:rFonts w:ascii="Arial" w:hAnsi="Arial" w:cs="Arial"/>
        </w:rPr>
        <w:t>Price Value: 30%</w:t>
      </w:r>
    </w:p>
    <w:p w14:paraId="1AAC0F7F" w14:textId="77777777" w:rsidR="00E76A7A" w:rsidRPr="00E76A7A" w:rsidRDefault="00E76A7A" w:rsidP="005B6432">
      <w:pPr>
        <w:numPr>
          <w:ilvl w:val="0"/>
          <w:numId w:val="47"/>
        </w:numPr>
        <w:jc w:val="both"/>
        <w:rPr>
          <w:rFonts w:ascii="Arial" w:hAnsi="Arial" w:cs="Arial"/>
        </w:rPr>
      </w:pPr>
      <w:r w:rsidRPr="00E76A7A">
        <w:rPr>
          <w:rFonts w:ascii="Arial" w:hAnsi="Arial" w:cs="Arial"/>
        </w:rPr>
        <w:t>Brand Reputation: 15%</w:t>
      </w:r>
    </w:p>
    <w:p w14:paraId="55DB4E28" w14:textId="77777777" w:rsidR="00E76A7A" w:rsidRPr="00E76A7A" w:rsidRDefault="00E76A7A" w:rsidP="005B6432">
      <w:pPr>
        <w:numPr>
          <w:ilvl w:val="0"/>
          <w:numId w:val="47"/>
        </w:numPr>
        <w:jc w:val="both"/>
        <w:rPr>
          <w:rFonts w:ascii="Arial" w:hAnsi="Arial" w:cs="Arial"/>
        </w:rPr>
      </w:pPr>
      <w:r w:rsidRPr="00E76A7A">
        <w:rPr>
          <w:rFonts w:ascii="Arial" w:hAnsi="Arial" w:cs="Arial"/>
        </w:rPr>
        <w:t>Sustainability Initiatives: 10%</w:t>
      </w:r>
    </w:p>
    <w:p w14:paraId="59523842" w14:textId="77777777" w:rsidR="00E76A7A" w:rsidRPr="00E76A7A" w:rsidRDefault="00E76A7A" w:rsidP="005B6432">
      <w:pPr>
        <w:jc w:val="both"/>
        <w:rPr>
          <w:rFonts w:ascii="Arial" w:hAnsi="Arial" w:cs="Arial"/>
        </w:rPr>
      </w:pPr>
      <w:r w:rsidRPr="00E76A7A">
        <w:rPr>
          <w:rFonts w:ascii="Arial" w:hAnsi="Arial" w:cs="Arial"/>
        </w:rPr>
        <w:t>4. Areas for Improvement:</w:t>
      </w:r>
    </w:p>
    <w:p w14:paraId="4245331D" w14:textId="77777777" w:rsidR="00E76A7A" w:rsidRPr="00E76A7A" w:rsidRDefault="00E76A7A" w:rsidP="005B6432">
      <w:pPr>
        <w:numPr>
          <w:ilvl w:val="0"/>
          <w:numId w:val="48"/>
        </w:numPr>
        <w:jc w:val="both"/>
        <w:rPr>
          <w:rFonts w:ascii="Arial" w:hAnsi="Arial" w:cs="Arial"/>
        </w:rPr>
      </w:pPr>
      <w:r w:rsidRPr="00E76A7A">
        <w:rPr>
          <w:rFonts w:ascii="Arial" w:hAnsi="Arial" w:cs="Arial"/>
        </w:rPr>
        <w:t>Customer Service: 15% of respondents noted issues with customer service interactions.</w:t>
      </w:r>
    </w:p>
    <w:p w14:paraId="73C6B207" w14:textId="77777777" w:rsidR="00E76A7A" w:rsidRPr="00E76A7A" w:rsidRDefault="00E76A7A" w:rsidP="005B6432">
      <w:pPr>
        <w:numPr>
          <w:ilvl w:val="0"/>
          <w:numId w:val="48"/>
        </w:numPr>
        <w:jc w:val="both"/>
        <w:rPr>
          <w:rFonts w:ascii="Arial" w:hAnsi="Arial" w:cs="Arial"/>
        </w:rPr>
      </w:pPr>
      <w:r w:rsidRPr="00E76A7A">
        <w:rPr>
          <w:rFonts w:ascii="Arial" w:hAnsi="Arial" w:cs="Arial"/>
        </w:rPr>
        <w:t>Product Availability: 12% of respondents mentioned challenges in finding products in local stores.</w:t>
      </w:r>
    </w:p>
    <w:p w14:paraId="28A8B639" w14:textId="77777777" w:rsidR="00E76A7A" w:rsidRPr="00E76A7A" w:rsidRDefault="00E76A7A" w:rsidP="005B6432">
      <w:pPr>
        <w:jc w:val="both"/>
        <w:rPr>
          <w:rFonts w:ascii="Arial" w:hAnsi="Arial" w:cs="Arial"/>
        </w:rPr>
      </w:pPr>
      <w:r w:rsidRPr="00E76A7A">
        <w:rPr>
          <w:rFonts w:ascii="Arial" w:hAnsi="Arial" w:cs="Arial"/>
        </w:rPr>
        <w:t>5. Customer Feedback Highlights:</w:t>
      </w:r>
    </w:p>
    <w:p w14:paraId="6B636FF6" w14:textId="77777777" w:rsidR="00E76A7A" w:rsidRPr="00E76A7A" w:rsidRDefault="00E76A7A" w:rsidP="005B6432">
      <w:pPr>
        <w:numPr>
          <w:ilvl w:val="0"/>
          <w:numId w:val="49"/>
        </w:numPr>
        <w:jc w:val="both"/>
        <w:rPr>
          <w:rFonts w:ascii="Arial" w:hAnsi="Arial" w:cs="Arial"/>
        </w:rPr>
      </w:pPr>
      <w:r w:rsidRPr="00E76A7A">
        <w:rPr>
          <w:rFonts w:ascii="Arial" w:hAnsi="Arial" w:cs="Arial"/>
        </w:rPr>
        <w:t>Positive Feedback: High quality and effective performance of personal care products; strong brand loyalty.</w:t>
      </w:r>
    </w:p>
    <w:p w14:paraId="60CB269A" w14:textId="77777777" w:rsidR="00E76A7A" w:rsidRPr="00E76A7A" w:rsidRDefault="00E76A7A" w:rsidP="005B6432">
      <w:pPr>
        <w:numPr>
          <w:ilvl w:val="0"/>
          <w:numId w:val="49"/>
        </w:numPr>
        <w:jc w:val="both"/>
        <w:rPr>
          <w:rFonts w:ascii="Arial" w:hAnsi="Arial" w:cs="Arial"/>
        </w:rPr>
      </w:pPr>
      <w:r w:rsidRPr="00E76A7A">
        <w:rPr>
          <w:rFonts w:ascii="Arial" w:hAnsi="Arial" w:cs="Arial"/>
        </w:rPr>
        <w:t>Negative Feedback: Concerns about high prices in certain markets and inconsistent product availability.</w:t>
      </w:r>
    </w:p>
    <w:p w14:paraId="352B1530" w14:textId="77777777" w:rsidR="00E76A7A" w:rsidRPr="002661B5" w:rsidRDefault="00E76A7A" w:rsidP="005B6432">
      <w:pPr>
        <w:jc w:val="both"/>
        <w:rPr>
          <w:rFonts w:ascii="Arial" w:hAnsi="Arial" w:cs="Arial"/>
        </w:rPr>
      </w:pPr>
    </w:p>
    <w:p w14:paraId="3DA480FB" w14:textId="77777777" w:rsidR="002661B5" w:rsidRPr="00074258" w:rsidRDefault="002661B5" w:rsidP="005B6432">
      <w:pPr>
        <w:jc w:val="both"/>
        <w:rPr>
          <w:rFonts w:ascii="Arial" w:hAnsi="Arial" w:cs="Arial"/>
        </w:rPr>
      </w:pPr>
    </w:p>
    <w:p w14:paraId="2614CEF7" w14:textId="77777777" w:rsidR="000911CB" w:rsidRPr="00074258" w:rsidRDefault="000911CB" w:rsidP="005B6432">
      <w:pPr>
        <w:jc w:val="both"/>
        <w:rPr>
          <w:rFonts w:ascii="Arial" w:hAnsi="Arial" w:cs="Arial"/>
        </w:rPr>
      </w:pPr>
    </w:p>
    <w:p w14:paraId="27B7821E" w14:textId="77777777" w:rsidR="000911CB" w:rsidRPr="00C643D5" w:rsidRDefault="000911CB" w:rsidP="005B6432">
      <w:pPr>
        <w:jc w:val="both"/>
        <w:rPr>
          <w:rFonts w:ascii="Arial" w:hAnsi="Arial" w:cs="Arial"/>
        </w:rPr>
      </w:pPr>
    </w:p>
    <w:sectPr w:rsidR="000911CB" w:rsidRPr="00C643D5" w:rsidSect="002661B5">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CAF6E0" w14:textId="77777777" w:rsidR="008548F7" w:rsidRDefault="008548F7" w:rsidP="002661B5">
      <w:pPr>
        <w:spacing w:after="0" w:line="240" w:lineRule="auto"/>
      </w:pPr>
      <w:r>
        <w:separator/>
      </w:r>
    </w:p>
  </w:endnote>
  <w:endnote w:type="continuationSeparator" w:id="0">
    <w:p w14:paraId="0B0E5835" w14:textId="77777777" w:rsidR="008548F7" w:rsidRDefault="008548F7" w:rsidP="00266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16351972"/>
      <w:docPartObj>
        <w:docPartGallery w:val="Page Numbers (Bottom of Page)"/>
        <w:docPartUnique/>
      </w:docPartObj>
    </w:sdtPr>
    <w:sdtContent>
      <w:p w14:paraId="251A75F1" w14:textId="31E7F1D8" w:rsidR="002661B5" w:rsidRDefault="002661B5" w:rsidP="001B46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F4602C" w14:textId="77777777" w:rsidR="002661B5" w:rsidRDefault="002661B5" w:rsidP="002661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74978745"/>
      <w:docPartObj>
        <w:docPartGallery w:val="Page Numbers (Bottom of Page)"/>
        <w:docPartUnique/>
      </w:docPartObj>
    </w:sdtPr>
    <w:sdtContent>
      <w:p w14:paraId="00E0C3E7" w14:textId="1BE84F58" w:rsidR="002661B5" w:rsidRDefault="002661B5" w:rsidP="001B46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023CBB" w14:textId="77777777" w:rsidR="002661B5" w:rsidRDefault="002661B5" w:rsidP="002661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93B612" w14:textId="77777777" w:rsidR="008548F7" w:rsidRDefault="008548F7" w:rsidP="002661B5">
      <w:pPr>
        <w:spacing w:after="0" w:line="240" w:lineRule="auto"/>
      </w:pPr>
      <w:r>
        <w:separator/>
      </w:r>
    </w:p>
  </w:footnote>
  <w:footnote w:type="continuationSeparator" w:id="0">
    <w:p w14:paraId="4411CF47" w14:textId="77777777" w:rsidR="008548F7" w:rsidRDefault="008548F7" w:rsidP="002661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94858"/>
    <w:multiLevelType w:val="multilevel"/>
    <w:tmpl w:val="5122F1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B7C46"/>
    <w:multiLevelType w:val="multilevel"/>
    <w:tmpl w:val="C3007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D61CC"/>
    <w:multiLevelType w:val="multilevel"/>
    <w:tmpl w:val="54A00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9144C"/>
    <w:multiLevelType w:val="multilevel"/>
    <w:tmpl w:val="BEDEC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DD1898"/>
    <w:multiLevelType w:val="multilevel"/>
    <w:tmpl w:val="8D601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A62756"/>
    <w:multiLevelType w:val="multilevel"/>
    <w:tmpl w:val="8ACE8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8C7EB3"/>
    <w:multiLevelType w:val="multilevel"/>
    <w:tmpl w:val="C090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6271EE"/>
    <w:multiLevelType w:val="multilevel"/>
    <w:tmpl w:val="0292D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991F3C"/>
    <w:multiLevelType w:val="multilevel"/>
    <w:tmpl w:val="0DB2C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DD4DC8"/>
    <w:multiLevelType w:val="multilevel"/>
    <w:tmpl w:val="7D5E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5503F2"/>
    <w:multiLevelType w:val="multilevel"/>
    <w:tmpl w:val="39A28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AF6623"/>
    <w:multiLevelType w:val="multilevel"/>
    <w:tmpl w:val="3190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AD7BE8"/>
    <w:multiLevelType w:val="multilevel"/>
    <w:tmpl w:val="73FE5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F63CE8"/>
    <w:multiLevelType w:val="multilevel"/>
    <w:tmpl w:val="9C74A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DD2261"/>
    <w:multiLevelType w:val="multilevel"/>
    <w:tmpl w:val="48740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DC5924"/>
    <w:multiLevelType w:val="multilevel"/>
    <w:tmpl w:val="FCAE5A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0B6A83"/>
    <w:multiLevelType w:val="multilevel"/>
    <w:tmpl w:val="C34CB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4D6410"/>
    <w:multiLevelType w:val="multilevel"/>
    <w:tmpl w:val="07B6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AD5FB6"/>
    <w:multiLevelType w:val="multilevel"/>
    <w:tmpl w:val="1572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20083C"/>
    <w:multiLevelType w:val="multilevel"/>
    <w:tmpl w:val="4342C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315187"/>
    <w:multiLevelType w:val="multilevel"/>
    <w:tmpl w:val="C0DA1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B95E35"/>
    <w:multiLevelType w:val="multilevel"/>
    <w:tmpl w:val="B458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E52EF3"/>
    <w:multiLevelType w:val="multilevel"/>
    <w:tmpl w:val="D59E9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1853DF"/>
    <w:multiLevelType w:val="multilevel"/>
    <w:tmpl w:val="93AE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AE53E7"/>
    <w:multiLevelType w:val="multilevel"/>
    <w:tmpl w:val="1C4C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586A25"/>
    <w:multiLevelType w:val="multilevel"/>
    <w:tmpl w:val="DB108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DB031F"/>
    <w:multiLevelType w:val="multilevel"/>
    <w:tmpl w:val="E1760E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9D034F"/>
    <w:multiLevelType w:val="multilevel"/>
    <w:tmpl w:val="494084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CB1DE8"/>
    <w:multiLevelType w:val="multilevel"/>
    <w:tmpl w:val="FEB6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BD565B"/>
    <w:multiLevelType w:val="multilevel"/>
    <w:tmpl w:val="3482D4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5659E0"/>
    <w:multiLevelType w:val="multilevel"/>
    <w:tmpl w:val="6C267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854F56"/>
    <w:multiLevelType w:val="multilevel"/>
    <w:tmpl w:val="D29C4B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E2120D"/>
    <w:multiLevelType w:val="multilevel"/>
    <w:tmpl w:val="6226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531C83"/>
    <w:multiLevelType w:val="multilevel"/>
    <w:tmpl w:val="F4305F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8D394D"/>
    <w:multiLevelType w:val="multilevel"/>
    <w:tmpl w:val="DE62E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D07E74"/>
    <w:multiLevelType w:val="multilevel"/>
    <w:tmpl w:val="D696BC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FE4B2D"/>
    <w:multiLevelType w:val="multilevel"/>
    <w:tmpl w:val="A9C0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1E3CB2"/>
    <w:multiLevelType w:val="multilevel"/>
    <w:tmpl w:val="7CFE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AA6E1C"/>
    <w:multiLevelType w:val="multilevel"/>
    <w:tmpl w:val="E528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EC2A36"/>
    <w:multiLevelType w:val="multilevel"/>
    <w:tmpl w:val="338E2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F12CD6"/>
    <w:multiLevelType w:val="multilevel"/>
    <w:tmpl w:val="7ECAA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1187D76"/>
    <w:multiLevelType w:val="multilevel"/>
    <w:tmpl w:val="CE92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29709F"/>
    <w:multiLevelType w:val="multilevel"/>
    <w:tmpl w:val="986C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B925E6"/>
    <w:multiLevelType w:val="multilevel"/>
    <w:tmpl w:val="2F2AC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FD151C"/>
    <w:multiLevelType w:val="multilevel"/>
    <w:tmpl w:val="243A3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3210A55"/>
    <w:multiLevelType w:val="multilevel"/>
    <w:tmpl w:val="220E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D00E32"/>
    <w:multiLevelType w:val="multilevel"/>
    <w:tmpl w:val="990E5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A433FE9"/>
    <w:multiLevelType w:val="multilevel"/>
    <w:tmpl w:val="342E2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DB25F3E"/>
    <w:multiLevelType w:val="multilevel"/>
    <w:tmpl w:val="132AA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1532E6"/>
    <w:multiLevelType w:val="multilevel"/>
    <w:tmpl w:val="B7A010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703893">
    <w:abstractNumId w:val="14"/>
  </w:num>
  <w:num w:numId="2" w16cid:durableId="590087279">
    <w:abstractNumId w:val="18"/>
  </w:num>
  <w:num w:numId="3" w16cid:durableId="2019843679">
    <w:abstractNumId w:val="31"/>
  </w:num>
  <w:num w:numId="4" w16cid:durableId="1907228681">
    <w:abstractNumId w:val="15"/>
  </w:num>
  <w:num w:numId="5" w16cid:durableId="1215776931">
    <w:abstractNumId w:val="0"/>
  </w:num>
  <w:num w:numId="6" w16cid:durableId="1986543486">
    <w:abstractNumId w:val="35"/>
  </w:num>
  <w:num w:numId="7" w16cid:durableId="1232232632">
    <w:abstractNumId w:val="49"/>
  </w:num>
  <w:num w:numId="8" w16cid:durableId="300815738">
    <w:abstractNumId w:val="20"/>
  </w:num>
  <w:num w:numId="9" w16cid:durableId="249891581">
    <w:abstractNumId w:val="4"/>
  </w:num>
  <w:num w:numId="10" w16cid:durableId="433987830">
    <w:abstractNumId w:val="29"/>
  </w:num>
  <w:num w:numId="11" w16cid:durableId="1417244126">
    <w:abstractNumId w:val="27"/>
  </w:num>
  <w:num w:numId="12" w16cid:durableId="1189486496">
    <w:abstractNumId w:val="33"/>
  </w:num>
  <w:num w:numId="13" w16cid:durableId="833911196">
    <w:abstractNumId w:val="6"/>
  </w:num>
  <w:num w:numId="14" w16cid:durableId="1580675695">
    <w:abstractNumId w:val="16"/>
  </w:num>
  <w:num w:numId="15" w16cid:durableId="1089035642">
    <w:abstractNumId w:val="47"/>
  </w:num>
  <w:num w:numId="16" w16cid:durableId="1015570248">
    <w:abstractNumId w:val="40"/>
  </w:num>
  <w:num w:numId="17" w16cid:durableId="1666740987">
    <w:abstractNumId w:val="42"/>
  </w:num>
  <w:num w:numId="18" w16cid:durableId="1831555751">
    <w:abstractNumId w:val="28"/>
  </w:num>
  <w:num w:numId="19" w16cid:durableId="441726338">
    <w:abstractNumId w:val="5"/>
  </w:num>
  <w:num w:numId="20" w16cid:durableId="1850555458">
    <w:abstractNumId w:val="44"/>
  </w:num>
  <w:num w:numId="21" w16cid:durableId="173419619">
    <w:abstractNumId w:val="45"/>
  </w:num>
  <w:num w:numId="22" w16cid:durableId="503013879">
    <w:abstractNumId w:val="1"/>
  </w:num>
  <w:num w:numId="23" w16cid:durableId="1026567332">
    <w:abstractNumId w:val="7"/>
  </w:num>
  <w:num w:numId="24" w16cid:durableId="2059239011">
    <w:abstractNumId w:val="25"/>
  </w:num>
  <w:num w:numId="25" w16cid:durableId="116874608">
    <w:abstractNumId w:val="48"/>
  </w:num>
  <w:num w:numId="26" w16cid:durableId="453066279">
    <w:abstractNumId w:val="32"/>
  </w:num>
  <w:num w:numId="27" w16cid:durableId="625309485">
    <w:abstractNumId w:val="10"/>
  </w:num>
  <w:num w:numId="28" w16cid:durableId="115834049">
    <w:abstractNumId w:val="22"/>
  </w:num>
  <w:num w:numId="29" w16cid:durableId="1383018571">
    <w:abstractNumId w:val="23"/>
  </w:num>
  <w:num w:numId="30" w16cid:durableId="1139493043">
    <w:abstractNumId w:val="37"/>
  </w:num>
  <w:num w:numId="31" w16cid:durableId="945964766">
    <w:abstractNumId w:val="17"/>
  </w:num>
  <w:num w:numId="32" w16cid:durableId="1647658710">
    <w:abstractNumId w:val="43"/>
  </w:num>
  <w:num w:numId="33" w16cid:durableId="603222494">
    <w:abstractNumId w:val="21"/>
  </w:num>
  <w:num w:numId="34" w16cid:durableId="719473265">
    <w:abstractNumId w:val="9"/>
  </w:num>
  <w:num w:numId="35" w16cid:durableId="1401710075">
    <w:abstractNumId w:val="8"/>
  </w:num>
  <w:num w:numId="36" w16cid:durableId="1932348970">
    <w:abstractNumId w:val="12"/>
  </w:num>
  <w:num w:numId="37" w16cid:durableId="1951350948">
    <w:abstractNumId w:val="34"/>
  </w:num>
  <w:num w:numId="38" w16cid:durableId="1738553529">
    <w:abstractNumId w:val="3"/>
  </w:num>
  <w:num w:numId="39" w16cid:durableId="2014645837">
    <w:abstractNumId w:val="39"/>
  </w:num>
  <w:num w:numId="40" w16cid:durableId="1568415446">
    <w:abstractNumId w:val="30"/>
  </w:num>
  <w:num w:numId="41" w16cid:durableId="603925352">
    <w:abstractNumId w:val="19"/>
  </w:num>
  <w:num w:numId="42" w16cid:durableId="1169709686">
    <w:abstractNumId w:val="46"/>
  </w:num>
  <w:num w:numId="43" w16cid:durableId="676463418">
    <w:abstractNumId w:val="13"/>
  </w:num>
  <w:num w:numId="44" w16cid:durableId="1663121681">
    <w:abstractNumId w:val="2"/>
  </w:num>
  <w:num w:numId="45" w16cid:durableId="1116827109">
    <w:abstractNumId w:val="41"/>
  </w:num>
  <w:num w:numId="46" w16cid:durableId="115952620">
    <w:abstractNumId w:val="26"/>
  </w:num>
  <w:num w:numId="47" w16cid:durableId="166214814">
    <w:abstractNumId w:val="38"/>
  </w:num>
  <w:num w:numId="48" w16cid:durableId="1523663360">
    <w:abstractNumId w:val="24"/>
  </w:num>
  <w:num w:numId="49" w16cid:durableId="139003896">
    <w:abstractNumId w:val="11"/>
  </w:num>
  <w:num w:numId="50" w16cid:durableId="83723178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3D5"/>
    <w:rsid w:val="00074258"/>
    <w:rsid w:val="000763C7"/>
    <w:rsid w:val="00081E26"/>
    <w:rsid w:val="000911CB"/>
    <w:rsid w:val="00164E18"/>
    <w:rsid w:val="00261BE2"/>
    <w:rsid w:val="002661B5"/>
    <w:rsid w:val="00303BEB"/>
    <w:rsid w:val="00397962"/>
    <w:rsid w:val="004A71BC"/>
    <w:rsid w:val="004E512B"/>
    <w:rsid w:val="005953C5"/>
    <w:rsid w:val="005B6432"/>
    <w:rsid w:val="0076347A"/>
    <w:rsid w:val="008548F7"/>
    <w:rsid w:val="009F4662"/>
    <w:rsid w:val="00B57F54"/>
    <w:rsid w:val="00B82FB4"/>
    <w:rsid w:val="00C643D5"/>
    <w:rsid w:val="00D609DC"/>
    <w:rsid w:val="00E76A7A"/>
    <w:rsid w:val="00E80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2640B"/>
  <w15:chartTrackingRefBased/>
  <w15:docId w15:val="{3CD0D747-DB1D-0F47-836C-C516A1CA7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3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43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3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3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3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3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3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3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3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3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43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3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3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3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3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3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3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3D5"/>
    <w:rPr>
      <w:rFonts w:eastAsiaTheme="majorEastAsia" w:cstheme="majorBidi"/>
      <w:color w:val="272727" w:themeColor="text1" w:themeTint="D8"/>
    </w:rPr>
  </w:style>
  <w:style w:type="paragraph" w:styleId="Title">
    <w:name w:val="Title"/>
    <w:basedOn w:val="Normal"/>
    <w:next w:val="Normal"/>
    <w:link w:val="TitleChar"/>
    <w:uiPriority w:val="10"/>
    <w:qFormat/>
    <w:rsid w:val="00C643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3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3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3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3D5"/>
    <w:pPr>
      <w:spacing w:before="160"/>
      <w:jc w:val="center"/>
    </w:pPr>
    <w:rPr>
      <w:i/>
      <w:iCs/>
      <w:color w:val="404040" w:themeColor="text1" w:themeTint="BF"/>
    </w:rPr>
  </w:style>
  <w:style w:type="character" w:customStyle="1" w:styleId="QuoteChar">
    <w:name w:val="Quote Char"/>
    <w:basedOn w:val="DefaultParagraphFont"/>
    <w:link w:val="Quote"/>
    <w:uiPriority w:val="29"/>
    <w:rsid w:val="00C643D5"/>
    <w:rPr>
      <w:i/>
      <w:iCs/>
      <w:color w:val="404040" w:themeColor="text1" w:themeTint="BF"/>
    </w:rPr>
  </w:style>
  <w:style w:type="paragraph" w:styleId="ListParagraph">
    <w:name w:val="List Paragraph"/>
    <w:basedOn w:val="Normal"/>
    <w:uiPriority w:val="34"/>
    <w:qFormat/>
    <w:rsid w:val="00C643D5"/>
    <w:pPr>
      <w:ind w:left="720"/>
      <w:contextualSpacing/>
    </w:pPr>
  </w:style>
  <w:style w:type="character" w:styleId="IntenseEmphasis">
    <w:name w:val="Intense Emphasis"/>
    <w:basedOn w:val="DefaultParagraphFont"/>
    <w:uiPriority w:val="21"/>
    <w:qFormat/>
    <w:rsid w:val="00C643D5"/>
    <w:rPr>
      <w:i/>
      <w:iCs/>
      <w:color w:val="0F4761" w:themeColor="accent1" w:themeShade="BF"/>
    </w:rPr>
  </w:style>
  <w:style w:type="paragraph" w:styleId="IntenseQuote">
    <w:name w:val="Intense Quote"/>
    <w:basedOn w:val="Normal"/>
    <w:next w:val="Normal"/>
    <w:link w:val="IntenseQuoteChar"/>
    <w:uiPriority w:val="30"/>
    <w:qFormat/>
    <w:rsid w:val="00C643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3D5"/>
    <w:rPr>
      <w:i/>
      <w:iCs/>
      <w:color w:val="0F4761" w:themeColor="accent1" w:themeShade="BF"/>
    </w:rPr>
  </w:style>
  <w:style w:type="character" w:styleId="IntenseReference">
    <w:name w:val="Intense Reference"/>
    <w:basedOn w:val="DefaultParagraphFont"/>
    <w:uiPriority w:val="32"/>
    <w:qFormat/>
    <w:rsid w:val="00C643D5"/>
    <w:rPr>
      <w:b/>
      <w:bCs/>
      <w:smallCaps/>
      <w:color w:val="0F4761" w:themeColor="accent1" w:themeShade="BF"/>
      <w:spacing w:val="5"/>
    </w:rPr>
  </w:style>
  <w:style w:type="character" w:styleId="Hyperlink">
    <w:name w:val="Hyperlink"/>
    <w:basedOn w:val="DefaultParagraphFont"/>
    <w:uiPriority w:val="99"/>
    <w:unhideWhenUsed/>
    <w:rsid w:val="000763C7"/>
    <w:rPr>
      <w:color w:val="467886" w:themeColor="hyperlink"/>
      <w:u w:val="single"/>
    </w:rPr>
  </w:style>
  <w:style w:type="character" w:styleId="UnresolvedMention">
    <w:name w:val="Unresolved Mention"/>
    <w:basedOn w:val="DefaultParagraphFont"/>
    <w:uiPriority w:val="99"/>
    <w:semiHidden/>
    <w:unhideWhenUsed/>
    <w:rsid w:val="000763C7"/>
    <w:rPr>
      <w:color w:val="605E5C"/>
      <w:shd w:val="clear" w:color="auto" w:fill="E1DFDD"/>
    </w:rPr>
  </w:style>
  <w:style w:type="paragraph" w:styleId="TOCHeading">
    <w:name w:val="TOC Heading"/>
    <w:basedOn w:val="Heading1"/>
    <w:next w:val="Normal"/>
    <w:uiPriority w:val="39"/>
    <w:unhideWhenUsed/>
    <w:qFormat/>
    <w:rsid w:val="0007425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74258"/>
    <w:pPr>
      <w:spacing w:before="120" w:after="0"/>
    </w:pPr>
    <w:rPr>
      <w:b/>
      <w:bCs/>
      <w:i/>
      <w:iCs/>
    </w:rPr>
  </w:style>
  <w:style w:type="paragraph" w:styleId="TOC2">
    <w:name w:val="toc 2"/>
    <w:basedOn w:val="Normal"/>
    <w:next w:val="Normal"/>
    <w:autoRedefine/>
    <w:uiPriority w:val="39"/>
    <w:unhideWhenUsed/>
    <w:rsid w:val="00074258"/>
    <w:pPr>
      <w:spacing w:before="120" w:after="0"/>
      <w:ind w:left="240"/>
    </w:pPr>
    <w:rPr>
      <w:b/>
      <w:bCs/>
      <w:sz w:val="22"/>
      <w:szCs w:val="22"/>
    </w:rPr>
  </w:style>
  <w:style w:type="paragraph" w:styleId="TOC3">
    <w:name w:val="toc 3"/>
    <w:basedOn w:val="Normal"/>
    <w:next w:val="Normal"/>
    <w:autoRedefine/>
    <w:uiPriority w:val="39"/>
    <w:semiHidden/>
    <w:unhideWhenUsed/>
    <w:rsid w:val="00074258"/>
    <w:pPr>
      <w:spacing w:after="0"/>
      <w:ind w:left="480"/>
    </w:pPr>
    <w:rPr>
      <w:sz w:val="20"/>
      <w:szCs w:val="20"/>
    </w:rPr>
  </w:style>
  <w:style w:type="paragraph" w:styleId="TOC4">
    <w:name w:val="toc 4"/>
    <w:basedOn w:val="Normal"/>
    <w:next w:val="Normal"/>
    <w:autoRedefine/>
    <w:uiPriority w:val="39"/>
    <w:semiHidden/>
    <w:unhideWhenUsed/>
    <w:rsid w:val="00074258"/>
    <w:pPr>
      <w:spacing w:after="0"/>
      <w:ind w:left="720"/>
    </w:pPr>
    <w:rPr>
      <w:sz w:val="20"/>
      <w:szCs w:val="20"/>
    </w:rPr>
  </w:style>
  <w:style w:type="paragraph" w:styleId="TOC5">
    <w:name w:val="toc 5"/>
    <w:basedOn w:val="Normal"/>
    <w:next w:val="Normal"/>
    <w:autoRedefine/>
    <w:uiPriority w:val="39"/>
    <w:semiHidden/>
    <w:unhideWhenUsed/>
    <w:rsid w:val="00074258"/>
    <w:pPr>
      <w:spacing w:after="0"/>
      <w:ind w:left="960"/>
    </w:pPr>
    <w:rPr>
      <w:sz w:val="20"/>
      <w:szCs w:val="20"/>
    </w:rPr>
  </w:style>
  <w:style w:type="paragraph" w:styleId="TOC6">
    <w:name w:val="toc 6"/>
    <w:basedOn w:val="Normal"/>
    <w:next w:val="Normal"/>
    <w:autoRedefine/>
    <w:uiPriority w:val="39"/>
    <w:semiHidden/>
    <w:unhideWhenUsed/>
    <w:rsid w:val="00074258"/>
    <w:pPr>
      <w:spacing w:after="0"/>
      <w:ind w:left="1200"/>
    </w:pPr>
    <w:rPr>
      <w:sz w:val="20"/>
      <w:szCs w:val="20"/>
    </w:rPr>
  </w:style>
  <w:style w:type="paragraph" w:styleId="TOC7">
    <w:name w:val="toc 7"/>
    <w:basedOn w:val="Normal"/>
    <w:next w:val="Normal"/>
    <w:autoRedefine/>
    <w:uiPriority w:val="39"/>
    <w:semiHidden/>
    <w:unhideWhenUsed/>
    <w:rsid w:val="00074258"/>
    <w:pPr>
      <w:spacing w:after="0"/>
      <w:ind w:left="1440"/>
    </w:pPr>
    <w:rPr>
      <w:sz w:val="20"/>
      <w:szCs w:val="20"/>
    </w:rPr>
  </w:style>
  <w:style w:type="paragraph" w:styleId="TOC8">
    <w:name w:val="toc 8"/>
    <w:basedOn w:val="Normal"/>
    <w:next w:val="Normal"/>
    <w:autoRedefine/>
    <w:uiPriority w:val="39"/>
    <w:semiHidden/>
    <w:unhideWhenUsed/>
    <w:rsid w:val="00074258"/>
    <w:pPr>
      <w:spacing w:after="0"/>
      <w:ind w:left="1680"/>
    </w:pPr>
    <w:rPr>
      <w:sz w:val="20"/>
      <w:szCs w:val="20"/>
    </w:rPr>
  </w:style>
  <w:style w:type="paragraph" w:styleId="TOC9">
    <w:name w:val="toc 9"/>
    <w:basedOn w:val="Normal"/>
    <w:next w:val="Normal"/>
    <w:autoRedefine/>
    <w:uiPriority w:val="39"/>
    <w:semiHidden/>
    <w:unhideWhenUsed/>
    <w:rsid w:val="00074258"/>
    <w:pPr>
      <w:spacing w:after="0"/>
      <w:ind w:left="1920"/>
    </w:pPr>
    <w:rPr>
      <w:sz w:val="20"/>
      <w:szCs w:val="20"/>
    </w:rPr>
  </w:style>
  <w:style w:type="paragraph" w:styleId="Footer">
    <w:name w:val="footer"/>
    <w:basedOn w:val="Normal"/>
    <w:link w:val="FooterChar"/>
    <w:uiPriority w:val="99"/>
    <w:unhideWhenUsed/>
    <w:rsid w:val="00266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1B5"/>
  </w:style>
  <w:style w:type="character" w:styleId="PageNumber">
    <w:name w:val="page number"/>
    <w:basedOn w:val="DefaultParagraphFont"/>
    <w:uiPriority w:val="99"/>
    <w:semiHidden/>
    <w:unhideWhenUsed/>
    <w:rsid w:val="00266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731720">
      <w:bodyDiv w:val="1"/>
      <w:marLeft w:val="0"/>
      <w:marRight w:val="0"/>
      <w:marTop w:val="0"/>
      <w:marBottom w:val="0"/>
      <w:divBdr>
        <w:top w:val="none" w:sz="0" w:space="0" w:color="auto"/>
        <w:left w:val="none" w:sz="0" w:space="0" w:color="auto"/>
        <w:bottom w:val="none" w:sz="0" w:space="0" w:color="auto"/>
        <w:right w:val="none" w:sz="0" w:space="0" w:color="auto"/>
      </w:divBdr>
    </w:div>
    <w:div w:id="76681776">
      <w:bodyDiv w:val="1"/>
      <w:marLeft w:val="0"/>
      <w:marRight w:val="0"/>
      <w:marTop w:val="0"/>
      <w:marBottom w:val="0"/>
      <w:divBdr>
        <w:top w:val="none" w:sz="0" w:space="0" w:color="auto"/>
        <w:left w:val="none" w:sz="0" w:space="0" w:color="auto"/>
        <w:bottom w:val="none" w:sz="0" w:space="0" w:color="auto"/>
        <w:right w:val="none" w:sz="0" w:space="0" w:color="auto"/>
      </w:divBdr>
    </w:div>
    <w:div w:id="81028165">
      <w:bodyDiv w:val="1"/>
      <w:marLeft w:val="0"/>
      <w:marRight w:val="0"/>
      <w:marTop w:val="0"/>
      <w:marBottom w:val="0"/>
      <w:divBdr>
        <w:top w:val="none" w:sz="0" w:space="0" w:color="auto"/>
        <w:left w:val="none" w:sz="0" w:space="0" w:color="auto"/>
        <w:bottom w:val="none" w:sz="0" w:space="0" w:color="auto"/>
        <w:right w:val="none" w:sz="0" w:space="0" w:color="auto"/>
      </w:divBdr>
      <w:divsChild>
        <w:div w:id="354968286">
          <w:marLeft w:val="0"/>
          <w:marRight w:val="0"/>
          <w:marTop w:val="0"/>
          <w:marBottom w:val="0"/>
          <w:divBdr>
            <w:top w:val="none" w:sz="0" w:space="0" w:color="auto"/>
            <w:left w:val="none" w:sz="0" w:space="0" w:color="auto"/>
            <w:bottom w:val="none" w:sz="0" w:space="0" w:color="auto"/>
            <w:right w:val="none" w:sz="0" w:space="0" w:color="auto"/>
          </w:divBdr>
          <w:divsChild>
            <w:div w:id="667253689">
              <w:marLeft w:val="0"/>
              <w:marRight w:val="0"/>
              <w:marTop w:val="0"/>
              <w:marBottom w:val="0"/>
              <w:divBdr>
                <w:top w:val="none" w:sz="0" w:space="0" w:color="auto"/>
                <w:left w:val="none" w:sz="0" w:space="0" w:color="auto"/>
                <w:bottom w:val="none" w:sz="0" w:space="0" w:color="auto"/>
                <w:right w:val="none" w:sz="0" w:space="0" w:color="auto"/>
              </w:divBdr>
              <w:divsChild>
                <w:div w:id="1220091523">
                  <w:marLeft w:val="0"/>
                  <w:marRight w:val="0"/>
                  <w:marTop w:val="0"/>
                  <w:marBottom w:val="0"/>
                  <w:divBdr>
                    <w:top w:val="none" w:sz="0" w:space="0" w:color="auto"/>
                    <w:left w:val="none" w:sz="0" w:space="0" w:color="auto"/>
                    <w:bottom w:val="none" w:sz="0" w:space="0" w:color="auto"/>
                    <w:right w:val="none" w:sz="0" w:space="0" w:color="auto"/>
                  </w:divBdr>
                  <w:divsChild>
                    <w:div w:id="71331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925911">
      <w:bodyDiv w:val="1"/>
      <w:marLeft w:val="0"/>
      <w:marRight w:val="0"/>
      <w:marTop w:val="0"/>
      <w:marBottom w:val="0"/>
      <w:divBdr>
        <w:top w:val="none" w:sz="0" w:space="0" w:color="auto"/>
        <w:left w:val="none" w:sz="0" w:space="0" w:color="auto"/>
        <w:bottom w:val="none" w:sz="0" w:space="0" w:color="auto"/>
        <w:right w:val="none" w:sz="0" w:space="0" w:color="auto"/>
      </w:divBdr>
    </w:div>
    <w:div w:id="310519897">
      <w:bodyDiv w:val="1"/>
      <w:marLeft w:val="0"/>
      <w:marRight w:val="0"/>
      <w:marTop w:val="0"/>
      <w:marBottom w:val="0"/>
      <w:divBdr>
        <w:top w:val="none" w:sz="0" w:space="0" w:color="auto"/>
        <w:left w:val="none" w:sz="0" w:space="0" w:color="auto"/>
        <w:bottom w:val="none" w:sz="0" w:space="0" w:color="auto"/>
        <w:right w:val="none" w:sz="0" w:space="0" w:color="auto"/>
      </w:divBdr>
    </w:div>
    <w:div w:id="325128921">
      <w:bodyDiv w:val="1"/>
      <w:marLeft w:val="0"/>
      <w:marRight w:val="0"/>
      <w:marTop w:val="0"/>
      <w:marBottom w:val="0"/>
      <w:divBdr>
        <w:top w:val="none" w:sz="0" w:space="0" w:color="auto"/>
        <w:left w:val="none" w:sz="0" w:space="0" w:color="auto"/>
        <w:bottom w:val="none" w:sz="0" w:space="0" w:color="auto"/>
        <w:right w:val="none" w:sz="0" w:space="0" w:color="auto"/>
      </w:divBdr>
    </w:div>
    <w:div w:id="360011621">
      <w:bodyDiv w:val="1"/>
      <w:marLeft w:val="0"/>
      <w:marRight w:val="0"/>
      <w:marTop w:val="0"/>
      <w:marBottom w:val="0"/>
      <w:divBdr>
        <w:top w:val="none" w:sz="0" w:space="0" w:color="auto"/>
        <w:left w:val="none" w:sz="0" w:space="0" w:color="auto"/>
        <w:bottom w:val="none" w:sz="0" w:space="0" w:color="auto"/>
        <w:right w:val="none" w:sz="0" w:space="0" w:color="auto"/>
      </w:divBdr>
    </w:div>
    <w:div w:id="408697730">
      <w:bodyDiv w:val="1"/>
      <w:marLeft w:val="0"/>
      <w:marRight w:val="0"/>
      <w:marTop w:val="0"/>
      <w:marBottom w:val="0"/>
      <w:divBdr>
        <w:top w:val="none" w:sz="0" w:space="0" w:color="auto"/>
        <w:left w:val="none" w:sz="0" w:space="0" w:color="auto"/>
        <w:bottom w:val="none" w:sz="0" w:space="0" w:color="auto"/>
        <w:right w:val="none" w:sz="0" w:space="0" w:color="auto"/>
      </w:divBdr>
    </w:div>
    <w:div w:id="430400397">
      <w:bodyDiv w:val="1"/>
      <w:marLeft w:val="0"/>
      <w:marRight w:val="0"/>
      <w:marTop w:val="0"/>
      <w:marBottom w:val="0"/>
      <w:divBdr>
        <w:top w:val="none" w:sz="0" w:space="0" w:color="auto"/>
        <w:left w:val="none" w:sz="0" w:space="0" w:color="auto"/>
        <w:bottom w:val="none" w:sz="0" w:space="0" w:color="auto"/>
        <w:right w:val="none" w:sz="0" w:space="0" w:color="auto"/>
      </w:divBdr>
    </w:div>
    <w:div w:id="435685178">
      <w:bodyDiv w:val="1"/>
      <w:marLeft w:val="0"/>
      <w:marRight w:val="0"/>
      <w:marTop w:val="0"/>
      <w:marBottom w:val="0"/>
      <w:divBdr>
        <w:top w:val="none" w:sz="0" w:space="0" w:color="auto"/>
        <w:left w:val="none" w:sz="0" w:space="0" w:color="auto"/>
        <w:bottom w:val="none" w:sz="0" w:space="0" w:color="auto"/>
        <w:right w:val="none" w:sz="0" w:space="0" w:color="auto"/>
      </w:divBdr>
    </w:div>
    <w:div w:id="443311814">
      <w:bodyDiv w:val="1"/>
      <w:marLeft w:val="0"/>
      <w:marRight w:val="0"/>
      <w:marTop w:val="0"/>
      <w:marBottom w:val="0"/>
      <w:divBdr>
        <w:top w:val="none" w:sz="0" w:space="0" w:color="auto"/>
        <w:left w:val="none" w:sz="0" w:space="0" w:color="auto"/>
        <w:bottom w:val="none" w:sz="0" w:space="0" w:color="auto"/>
        <w:right w:val="none" w:sz="0" w:space="0" w:color="auto"/>
      </w:divBdr>
    </w:div>
    <w:div w:id="534119630">
      <w:bodyDiv w:val="1"/>
      <w:marLeft w:val="0"/>
      <w:marRight w:val="0"/>
      <w:marTop w:val="0"/>
      <w:marBottom w:val="0"/>
      <w:divBdr>
        <w:top w:val="none" w:sz="0" w:space="0" w:color="auto"/>
        <w:left w:val="none" w:sz="0" w:space="0" w:color="auto"/>
        <w:bottom w:val="none" w:sz="0" w:space="0" w:color="auto"/>
        <w:right w:val="none" w:sz="0" w:space="0" w:color="auto"/>
      </w:divBdr>
    </w:div>
    <w:div w:id="592208862">
      <w:bodyDiv w:val="1"/>
      <w:marLeft w:val="0"/>
      <w:marRight w:val="0"/>
      <w:marTop w:val="0"/>
      <w:marBottom w:val="0"/>
      <w:divBdr>
        <w:top w:val="none" w:sz="0" w:space="0" w:color="auto"/>
        <w:left w:val="none" w:sz="0" w:space="0" w:color="auto"/>
        <w:bottom w:val="none" w:sz="0" w:space="0" w:color="auto"/>
        <w:right w:val="none" w:sz="0" w:space="0" w:color="auto"/>
      </w:divBdr>
    </w:div>
    <w:div w:id="595358329">
      <w:bodyDiv w:val="1"/>
      <w:marLeft w:val="0"/>
      <w:marRight w:val="0"/>
      <w:marTop w:val="0"/>
      <w:marBottom w:val="0"/>
      <w:divBdr>
        <w:top w:val="none" w:sz="0" w:space="0" w:color="auto"/>
        <w:left w:val="none" w:sz="0" w:space="0" w:color="auto"/>
        <w:bottom w:val="none" w:sz="0" w:space="0" w:color="auto"/>
        <w:right w:val="none" w:sz="0" w:space="0" w:color="auto"/>
      </w:divBdr>
    </w:div>
    <w:div w:id="596058746">
      <w:bodyDiv w:val="1"/>
      <w:marLeft w:val="0"/>
      <w:marRight w:val="0"/>
      <w:marTop w:val="0"/>
      <w:marBottom w:val="0"/>
      <w:divBdr>
        <w:top w:val="none" w:sz="0" w:space="0" w:color="auto"/>
        <w:left w:val="none" w:sz="0" w:space="0" w:color="auto"/>
        <w:bottom w:val="none" w:sz="0" w:space="0" w:color="auto"/>
        <w:right w:val="none" w:sz="0" w:space="0" w:color="auto"/>
      </w:divBdr>
    </w:div>
    <w:div w:id="596138601">
      <w:bodyDiv w:val="1"/>
      <w:marLeft w:val="0"/>
      <w:marRight w:val="0"/>
      <w:marTop w:val="0"/>
      <w:marBottom w:val="0"/>
      <w:divBdr>
        <w:top w:val="none" w:sz="0" w:space="0" w:color="auto"/>
        <w:left w:val="none" w:sz="0" w:space="0" w:color="auto"/>
        <w:bottom w:val="none" w:sz="0" w:space="0" w:color="auto"/>
        <w:right w:val="none" w:sz="0" w:space="0" w:color="auto"/>
      </w:divBdr>
    </w:div>
    <w:div w:id="632298295">
      <w:bodyDiv w:val="1"/>
      <w:marLeft w:val="0"/>
      <w:marRight w:val="0"/>
      <w:marTop w:val="0"/>
      <w:marBottom w:val="0"/>
      <w:divBdr>
        <w:top w:val="none" w:sz="0" w:space="0" w:color="auto"/>
        <w:left w:val="none" w:sz="0" w:space="0" w:color="auto"/>
        <w:bottom w:val="none" w:sz="0" w:space="0" w:color="auto"/>
        <w:right w:val="none" w:sz="0" w:space="0" w:color="auto"/>
      </w:divBdr>
    </w:div>
    <w:div w:id="659701065">
      <w:bodyDiv w:val="1"/>
      <w:marLeft w:val="0"/>
      <w:marRight w:val="0"/>
      <w:marTop w:val="0"/>
      <w:marBottom w:val="0"/>
      <w:divBdr>
        <w:top w:val="none" w:sz="0" w:space="0" w:color="auto"/>
        <w:left w:val="none" w:sz="0" w:space="0" w:color="auto"/>
        <w:bottom w:val="none" w:sz="0" w:space="0" w:color="auto"/>
        <w:right w:val="none" w:sz="0" w:space="0" w:color="auto"/>
      </w:divBdr>
    </w:div>
    <w:div w:id="693265284">
      <w:bodyDiv w:val="1"/>
      <w:marLeft w:val="0"/>
      <w:marRight w:val="0"/>
      <w:marTop w:val="0"/>
      <w:marBottom w:val="0"/>
      <w:divBdr>
        <w:top w:val="none" w:sz="0" w:space="0" w:color="auto"/>
        <w:left w:val="none" w:sz="0" w:space="0" w:color="auto"/>
        <w:bottom w:val="none" w:sz="0" w:space="0" w:color="auto"/>
        <w:right w:val="none" w:sz="0" w:space="0" w:color="auto"/>
      </w:divBdr>
      <w:divsChild>
        <w:div w:id="1131020906">
          <w:marLeft w:val="0"/>
          <w:marRight w:val="0"/>
          <w:marTop w:val="0"/>
          <w:marBottom w:val="0"/>
          <w:divBdr>
            <w:top w:val="none" w:sz="0" w:space="0" w:color="auto"/>
            <w:left w:val="none" w:sz="0" w:space="0" w:color="auto"/>
            <w:bottom w:val="none" w:sz="0" w:space="0" w:color="auto"/>
            <w:right w:val="none" w:sz="0" w:space="0" w:color="auto"/>
          </w:divBdr>
          <w:divsChild>
            <w:div w:id="1829054258">
              <w:marLeft w:val="0"/>
              <w:marRight w:val="0"/>
              <w:marTop w:val="0"/>
              <w:marBottom w:val="0"/>
              <w:divBdr>
                <w:top w:val="none" w:sz="0" w:space="0" w:color="auto"/>
                <w:left w:val="none" w:sz="0" w:space="0" w:color="auto"/>
                <w:bottom w:val="none" w:sz="0" w:space="0" w:color="auto"/>
                <w:right w:val="none" w:sz="0" w:space="0" w:color="auto"/>
              </w:divBdr>
              <w:divsChild>
                <w:div w:id="1257523231">
                  <w:marLeft w:val="0"/>
                  <w:marRight w:val="0"/>
                  <w:marTop w:val="0"/>
                  <w:marBottom w:val="0"/>
                  <w:divBdr>
                    <w:top w:val="none" w:sz="0" w:space="0" w:color="auto"/>
                    <w:left w:val="none" w:sz="0" w:space="0" w:color="auto"/>
                    <w:bottom w:val="none" w:sz="0" w:space="0" w:color="auto"/>
                    <w:right w:val="none" w:sz="0" w:space="0" w:color="auto"/>
                  </w:divBdr>
                  <w:divsChild>
                    <w:div w:id="208155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751151">
      <w:bodyDiv w:val="1"/>
      <w:marLeft w:val="0"/>
      <w:marRight w:val="0"/>
      <w:marTop w:val="0"/>
      <w:marBottom w:val="0"/>
      <w:divBdr>
        <w:top w:val="none" w:sz="0" w:space="0" w:color="auto"/>
        <w:left w:val="none" w:sz="0" w:space="0" w:color="auto"/>
        <w:bottom w:val="none" w:sz="0" w:space="0" w:color="auto"/>
        <w:right w:val="none" w:sz="0" w:space="0" w:color="auto"/>
      </w:divBdr>
    </w:div>
    <w:div w:id="738670962">
      <w:bodyDiv w:val="1"/>
      <w:marLeft w:val="0"/>
      <w:marRight w:val="0"/>
      <w:marTop w:val="0"/>
      <w:marBottom w:val="0"/>
      <w:divBdr>
        <w:top w:val="none" w:sz="0" w:space="0" w:color="auto"/>
        <w:left w:val="none" w:sz="0" w:space="0" w:color="auto"/>
        <w:bottom w:val="none" w:sz="0" w:space="0" w:color="auto"/>
        <w:right w:val="none" w:sz="0" w:space="0" w:color="auto"/>
      </w:divBdr>
    </w:div>
    <w:div w:id="795563450">
      <w:bodyDiv w:val="1"/>
      <w:marLeft w:val="0"/>
      <w:marRight w:val="0"/>
      <w:marTop w:val="0"/>
      <w:marBottom w:val="0"/>
      <w:divBdr>
        <w:top w:val="none" w:sz="0" w:space="0" w:color="auto"/>
        <w:left w:val="none" w:sz="0" w:space="0" w:color="auto"/>
        <w:bottom w:val="none" w:sz="0" w:space="0" w:color="auto"/>
        <w:right w:val="none" w:sz="0" w:space="0" w:color="auto"/>
      </w:divBdr>
    </w:div>
    <w:div w:id="815222172">
      <w:bodyDiv w:val="1"/>
      <w:marLeft w:val="0"/>
      <w:marRight w:val="0"/>
      <w:marTop w:val="0"/>
      <w:marBottom w:val="0"/>
      <w:divBdr>
        <w:top w:val="none" w:sz="0" w:space="0" w:color="auto"/>
        <w:left w:val="none" w:sz="0" w:space="0" w:color="auto"/>
        <w:bottom w:val="none" w:sz="0" w:space="0" w:color="auto"/>
        <w:right w:val="none" w:sz="0" w:space="0" w:color="auto"/>
      </w:divBdr>
    </w:div>
    <w:div w:id="858810142">
      <w:bodyDiv w:val="1"/>
      <w:marLeft w:val="0"/>
      <w:marRight w:val="0"/>
      <w:marTop w:val="0"/>
      <w:marBottom w:val="0"/>
      <w:divBdr>
        <w:top w:val="none" w:sz="0" w:space="0" w:color="auto"/>
        <w:left w:val="none" w:sz="0" w:space="0" w:color="auto"/>
        <w:bottom w:val="none" w:sz="0" w:space="0" w:color="auto"/>
        <w:right w:val="none" w:sz="0" w:space="0" w:color="auto"/>
      </w:divBdr>
    </w:div>
    <w:div w:id="879516955">
      <w:bodyDiv w:val="1"/>
      <w:marLeft w:val="0"/>
      <w:marRight w:val="0"/>
      <w:marTop w:val="0"/>
      <w:marBottom w:val="0"/>
      <w:divBdr>
        <w:top w:val="none" w:sz="0" w:space="0" w:color="auto"/>
        <w:left w:val="none" w:sz="0" w:space="0" w:color="auto"/>
        <w:bottom w:val="none" w:sz="0" w:space="0" w:color="auto"/>
        <w:right w:val="none" w:sz="0" w:space="0" w:color="auto"/>
      </w:divBdr>
    </w:div>
    <w:div w:id="928847815">
      <w:bodyDiv w:val="1"/>
      <w:marLeft w:val="0"/>
      <w:marRight w:val="0"/>
      <w:marTop w:val="0"/>
      <w:marBottom w:val="0"/>
      <w:divBdr>
        <w:top w:val="none" w:sz="0" w:space="0" w:color="auto"/>
        <w:left w:val="none" w:sz="0" w:space="0" w:color="auto"/>
        <w:bottom w:val="none" w:sz="0" w:space="0" w:color="auto"/>
        <w:right w:val="none" w:sz="0" w:space="0" w:color="auto"/>
      </w:divBdr>
    </w:div>
    <w:div w:id="993527826">
      <w:bodyDiv w:val="1"/>
      <w:marLeft w:val="0"/>
      <w:marRight w:val="0"/>
      <w:marTop w:val="0"/>
      <w:marBottom w:val="0"/>
      <w:divBdr>
        <w:top w:val="none" w:sz="0" w:space="0" w:color="auto"/>
        <w:left w:val="none" w:sz="0" w:space="0" w:color="auto"/>
        <w:bottom w:val="none" w:sz="0" w:space="0" w:color="auto"/>
        <w:right w:val="none" w:sz="0" w:space="0" w:color="auto"/>
      </w:divBdr>
    </w:div>
    <w:div w:id="1095246103">
      <w:bodyDiv w:val="1"/>
      <w:marLeft w:val="0"/>
      <w:marRight w:val="0"/>
      <w:marTop w:val="0"/>
      <w:marBottom w:val="0"/>
      <w:divBdr>
        <w:top w:val="none" w:sz="0" w:space="0" w:color="auto"/>
        <w:left w:val="none" w:sz="0" w:space="0" w:color="auto"/>
        <w:bottom w:val="none" w:sz="0" w:space="0" w:color="auto"/>
        <w:right w:val="none" w:sz="0" w:space="0" w:color="auto"/>
      </w:divBdr>
      <w:divsChild>
        <w:div w:id="1724405097">
          <w:marLeft w:val="0"/>
          <w:marRight w:val="0"/>
          <w:marTop w:val="0"/>
          <w:marBottom w:val="0"/>
          <w:divBdr>
            <w:top w:val="none" w:sz="0" w:space="0" w:color="auto"/>
            <w:left w:val="none" w:sz="0" w:space="0" w:color="auto"/>
            <w:bottom w:val="none" w:sz="0" w:space="0" w:color="auto"/>
            <w:right w:val="none" w:sz="0" w:space="0" w:color="auto"/>
          </w:divBdr>
          <w:divsChild>
            <w:div w:id="532765959">
              <w:marLeft w:val="0"/>
              <w:marRight w:val="0"/>
              <w:marTop w:val="0"/>
              <w:marBottom w:val="0"/>
              <w:divBdr>
                <w:top w:val="none" w:sz="0" w:space="0" w:color="auto"/>
                <w:left w:val="none" w:sz="0" w:space="0" w:color="auto"/>
                <w:bottom w:val="none" w:sz="0" w:space="0" w:color="auto"/>
                <w:right w:val="none" w:sz="0" w:space="0" w:color="auto"/>
              </w:divBdr>
              <w:divsChild>
                <w:div w:id="353193960">
                  <w:marLeft w:val="0"/>
                  <w:marRight w:val="0"/>
                  <w:marTop w:val="0"/>
                  <w:marBottom w:val="0"/>
                  <w:divBdr>
                    <w:top w:val="none" w:sz="0" w:space="0" w:color="auto"/>
                    <w:left w:val="none" w:sz="0" w:space="0" w:color="auto"/>
                    <w:bottom w:val="none" w:sz="0" w:space="0" w:color="auto"/>
                    <w:right w:val="none" w:sz="0" w:space="0" w:color="auto"/>
                  </w:divBdr>
                  <w:divsChild>
                    <w:div w:id="37153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960523">
      <w:bodyDiv w:val="1"/>
      <w:marLeft w:val="0"/>
      <w:marRight w:val="0"/>
      <w:marTop w:val="0"/>
      <w:marBottom w:val="0"/>
      <w:divBdr>
        <w:top w:val="none" w:sz="0" w:space="0" w:color="auto"/>
        <w:left w:val="none" w:sz="0" w:space="0" w:color="auto"/>
        <w:bottom w:val="none" w:sz="0" w:space="0" w:color="auto"/>
        <w:right w:val="none" w:sz="0" w:space="0" w:color="auto"/>
      </w:divBdr>
    </w:div>
    <w:div w:id="1150050508">
      <w:bodyDiv w:val="1"/>
      <w:marLeft w:val="0"/>
      <w:marRight w:val="0"/>
      <w:marTop w:val="0"/>
      <w:marBottom w:val="0"/>
      <w:divBdr>
        <w:top w:val="none" w:sz="0" w:space="0" w:color="auto"/>
        <w:left w:val="none" w:sz="0" w:space="0" w:color="auto"/>
        <w:bottom w:val="none" w:sz="0" w:space="0" w:color="auto"/>
        <w:right w:val="none" w:sz="0" w:space="0" w:color="auto"/>
      </w:divBdr>
    </w:div>
    <w:div w:id="1316225911">
      <w:bodyDiv w:val="1"/>
      <w:marLeft w:val="0"/>
      <w:marRight w:val="0"/>
      <w:marTop w:val="0"/>
      <w:marBottom w:val="0"/>
      <w:divBdr>
        <w:top w:val="none" w:sz="0" w:space="0" w:color="auto"/>
        <w:left w:val="none" w:sz="0" w:space="0" w:color="auto"/>
        <w:bottom w:val="none" w:sz="0" w:space="0" w:color="auto"/>
        <w:right w:val="none" w:sz="0" w:space="0" w:color="auto"/>
      </w:divBdr>
    </w:div>
    <w:div w:id="1492793493">
      <w:bodyDiv w:val="1"/>
      <w:marLeft w:val="0"/>
      <w:marRight w:val="0"/>
      <w:marTop w:val="0"/>
      <w:marBottom w:val="0"/>
      <w:divBdr>
        <w:top w:val="none" w:sz="0" w:space="0" w:color="auto"/>
        <w:left w:val="none" w:sz="0" w:space="0" w:color="auto"/>
        <w:bottom w:val="none" w:sz="0" w:space="0" w:color="auto"/>
        <w:right w:val="none" w:sz="0" w:space="0" w:color="auto"/>
      </w:divBdr>
    </w:div>
    <w:div w:id="1550605252">
      <w:bodyDiv w:val="1"/>
      <w:marLeft w:val="0"/>
      <w:marRight w:val="0"/>
      <w:marTop w:val="0"/>
      <w:marBottom w:val="0"/>
      <w:divBdr>
        <w:top w:val="none" w:sz="0" w:space="0" w:color="auto"/>
        <w:left w:val="none" w:sz="0" w:space="0" w:color="auto"/>
        <w:bottom w:val="none" w:sz="0" w:space="0" w:color="auto"/>
        <w:right w:val="none" w:sz="0" w:space="0" w:color="auto"/>
      </w:divBdr>
    </w:div>
    <w:div w:id="1599218667">
      <w:bodyDiv w:val="1"/>
      <w:marLeft w:val="0"/>
      <w:marRight w:val="0"/>
      <w:marTop w:val="0"/>
      <w:marBottom w:val="0"/>
      <w:divBdr>
        <w:top w:val="none" w:sz="0" w:space="0" w:color="auto"/>
        <w:left w:val="none" w:sz="0" w:space="0" w:color="auto"/>
        <w:bottom w:val="none" w:sz="0" w:space="0" w:color="auto"/>
        <w:right w:val="none" w:sz="0" w:space="0" w:color="auto"/>
      </w:divBdr>
    </w:div>
    <w:div w:id="1638949713">
      <w:bodyDiv w:val="1"/>
      <w:marLeft w:val="0"/>
      <w:marRight w:val="0"/>
      <w:marTop w:val="0"/>
      <w:marBottom w:val="0"/>
      <w:divBdr>
        <w:top w:val="none" w:sz="0" w:space="0" w:color="auto"/>
        <w:left w:val="none" w:sz="0" w:space="0" w:color="auto"/>
        <w:bottom w:val="none" w:sz="0" w:space="0" w:color="auto"/>
        <w:right w:val="none" w:sz="0" w:space="0" w:color="auto"/>
      </w:divBdr>
    </w:div>
    <w:div w:id="1645045513">
      <w:bodyDiv w:val="1"/>
      <w:marLeft w:val="0"/>
      <w:marRight w:val="0"/>
      <w:marTop w:val="0"/>
      <w:marBottom w:val="0"/>
      <w:divBdr>
        <w:top w:val="none" w:sz="0" w:space="0" w:color="auto"/>
        <w:left w:val="none" w:sz="0" w:space="0" w:color="auto"/>
        <w:bottom w:val="none" w:sz="0" w:space="0" w:color="auto"/>
        <w:right w:val="none" w:sz="0" w:space="0" w:color="auto"/>
      </w:divBdr>
    </w:div>
    <w:div w:id="1732189617">
      <w:bodyDiv w:val="1"/>
      <w:marLeft w:val="0"/>
      <w:marRight w:val="0"/>
      <w:marTop w:val="0"/>
      <w:marBottom w:val="0"/>
      <w:divBdr>
        <w:top w:val="none" w:sz="0" w:space="0" w:color="auto"/>
        <w:left w:val="none" w:sz="0" w:space="0" w:color="auto"/>
        <w:bottom w:val="none" w:sz="0" w:space="0" w:color="auto"/>
        <w:right w:val="none" w:sz="0" w:space="0" w:color="auto"/>
      </w:divBdr>
    </w:div>
    <w:div w:id="1830829977">
      <w:bodyDiv w:val="1"/>
      <w:marLeft w:val="0"/>
      <w:marRight w:val="0"/>
      <w:marTop w:val="0"/>
      <w:marBottom w:val="0"/>
      <w:divBdr>
        <w:top w:val="none" w:sz="0" w:space="0" w:color="auto"/>
        <w:left w:val="none" w:sz="0" w:space="0" w:color="auto"/>
        <w:bottom w:val="none" w:sz="0" w:space="0" w:color="auto"/>
        <w:right w:val="none" w:sz="0" w:space="0" w:color="auto"/>
      </w:divBdr>
    </w:div>
    <w:div w:id="1845054010">
      <w:bodyDiv w:val="1"/>
      <w:marLeft w:val="0"/>
      <w:marRight w:val="0"/>
      <w:marTop w:val="0"/>
      <w:marBottom w:val="0"/>
      <w:divBdr>
        <w:top w:val="none" w:sz="0" w:space="0" w:color="auto"/>
        <w:left w:val="none" w:sz="0" w:space="0" w:color="auto"/>
        <w:bottom w:val="none" w:sz="0" w:space="0" w:color="auto"/>
        <w:right w:val="none" w:sz="0" w:space="0" w:color="auto"/>
      </w:divBdr>
    </w:div>
    <w:div w:id="1929263691">
      <w:bodyDiv w:val="1"/>
      <w:marLeft w:val="0"/>
      <w:marRight w:val="0"/>
      <w:marTop w:val="0"/>
      <w:marBottom w:val="0"/>
      <w:divBdr>
        <w:top w:val="none" w:sz="0" w:space="0" w:color="auto"/>
        <w:left w:val="none" w:sz="0" w:space="0" w:color="auto"/>
        <w:bottom w:val="none" w:sz="0" w:space="0" w:color="auto"/>
        <w:right w:val="none" w:sz="0" w:space="0" w:color="auto"/>
      </w:divBdr>
    </w:div>
    <w:div w:id="1996108575">
      <w:bodyDiv w:val="1"/>
      <w:marLeft w:val="0"/>
      <w:marRight w:val="0"/>
      <w:marTop w:val="0"/>
      <w:marBottom w:val="0"/>
      <w:divBdr>
        <w:top w:val="none" w:sz="0" w:space="0" w:color="auto"/>
        <w:left w:val="none" w:sz="0" w:space="0" w:color="auto"/>
        <w:bottom w:val="none" w:sz="0" w:space="0" w:color="auto"/>
        <w:right w:val="none" w:sz="0" w:space="0" w:color="auto"/>
      </w:divBdr>
      <w:divsChild>
        <w:div w:id="1248226368">
          <w:marLeft w:val="0"/>
          <w:marRight w:val="0"/>
          <w:marTop w:val="0"/>
          <w:marBottom w:val="0"/>
          <w:divBdr>
            <w:top w:val="none" w:sz="0" w:space="0" w:color="auto"/>
            <w:left w:val="none" w:sz="0" w:space="0" w:color="auto"/>
            <w:bottom w:val="none" w:sz="0" w:space="0" w:color="auto"/>
            <w:right w:val="none" w:sz="0" w:space="0" w:color="auto"/>
          </w:divBdr>
          <w:divsChild>
            <w:div w:id="1474909495">
              <w:marLeft w:val="0"/>
              <w:marRight w:val="0"/>
              <w:marTop w:val="0"/>
              <w:marBottom w:val="0"/>
              <w:divBdr>
                <w:top w:val="none" w:sz="0" w:space="0" w:color="auto"/>
                <w:left w:val="none" w:sz="0" w:space="0" w:color="auto"/>
                <w:bottom w:val="none" w:sz="0" w:space="0" w:color="auto"/>
                <w:right w:val="none" w:sz="0" w:space="0" w:color="auto"/>
              </w:divBdr>
              <w:divsChild>
                <w:div w:id="99835576">
                  <w:marLeft w:val="0"/>
                  <w:marRight w:val="0"/>
                  <w:marTop w:val="0"/>
                  <w:marBottom w:val="0"/>
                  <w:divBdr>
                    <w:top w:val="none" w:sz="0" w:space="0" w:color="auto"/>
                    <w:left w:val="none" w:sz="0" w:space="0" w:color="auto"/>
                    <w:bottom w:val="none" w:sz="0" w:space="0" w:color="auto"/>
                    <w:right w:val="none" w:sz="0" w:space="0" w:color="auto"/>
                  </w:divBdr>
                  <w:divsChild>
                    <w:div w:id="124800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321567">
      <w:bodyDiv w:val="1"/>
      <w:marLeft w:val="0"/>
      <w:marRight w:val="0"/>
      <w:marTop w:val="0"/>
      <w:marBottom w:val="0"/>
      <w:divBdr>
        <w:top w:val="none" w:sz="0" w:space="0" w:color="auto"/>
        <w:left w:val="none" w:sz="0" w:space="0" w:color="auto"/>
        <w:bottom w:val="none" w:sz="0" w:space="0" w:color="auto"/>
        <w:right w:val="none" w:sz="0" w:space="0" w:color="auto"/>
      </w:divBdr>
    </w:div>
    <w:div w:id="2047633787">
      <w:bodyDiv w:val="1"/>
      <w:marLeft w:val="0"/>
      <w:marRight w:val="0"/>
      <w:marTop w:val="0"/>
      <w:marBottom w:val="0"/>
      <w:divBdr>
        <w:top w:val="none" w:sz="0" w:space="0" w:color="auto"/>
        <w:left w:val="none" w:sz="0" w:space="0" w:color="auto"/>
        <w:bottom w:val="none" w:sz="0" w:space="0" w:color="auto"/>
        <w:right w:val="none" w:sz="0" w:space="0" w:color="auto"/>
      </w:divBdr>
    </w:div>
    <w:div w:id="2048098219">
      <w:bodyDiv w:val="1"/>
      <w:marLeft w:val="0"/>
      <w:marRight w:val="0"/>
      <w:marTop w:val="0"/>
      <w:marBottom w:val="0"/>
      <w:divBdr>
        <w:top w:val="none" w:sz="0" w:space="0" w:color="auto"/>
        <w:left w:val="none" w:sz="0" w:space="0" w:color="auto"/>
        <w:bottom w:val="none" w:sz="0" w:space="0" w:color="auto"/>
        <w:right w:val="none" w:sz="0" w:space="0" w:color="auto"/>
      </w:divBdr>
    </w:div>
    <w:div w:id="2085832894">
      <w:bodyDiv w:val="1"/>
      <w:marLeft w:val="0"/>
      <w:marRight w:val="0"/>
      <w:marTop w:val="0"/>
      <w:marBottom w:val="0"/>
      <w:divBdr>
        <w:top w:val="none" w:sz="0" w:space="0" w:color="auto"/>
        <w:left w:val="none" w:sz="0" w:space="0" w:color="auto"/>
        <w:bottom w:val="none" w:sz="0" w:space="0" w:color="auto"/>
        <w:right w:val="none" w:sz="0" w:space="0" w:color="auto"/>
      </w:divBdr>
    </w:div>
    <w:div w:id="2096901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rategicmanagementinsight.com/swot-analyses/unilever-swot-analysi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uters.com/article/business/unilever-to-sell-spreads-business-to-kkr-for-8-billion-idUSKBN1E926O/" TargetMode="External"/><Relationship Id="rId17" Type="http://schemas.openxmlformats.org/officeDocument/2006/relationships/hyperlink" Target="https://www.unilever.com/news/news-search/2023/leading-and-delivering-on-sustainability-through-our-compass-commitments/" TargetMode="External"/><Relationship Id="rId2" Type="http://schemas.openxmlformats.org/officeDocument/2006/relationships/numbering" Target="numbering.xml"/><Relationship Id="rId16" Type="http://schemas.openxmlformats.org/officeDocument/2006/relationships/hyperlink" Target="https://www.unilever.com/investors/results-presentations-webcasts/overview-full-year-202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reporting.org/search/?query=unilever" TargetMode="External"/><Relationship Id="rId5" Type="http://schemas.openxmlformats.org/officeDocument/2006/relationships/webSettings" Target="webSettings.xml"/><Relationship Id="rId15" Type="http://schemas.openxmlformats.org/officeDocument/2006/relationships/hyperlink" Target="https://www.unilever.com/files/92ui5egz/production/b09c3510ee7cec58440d5f044f02bdefe85aa186.pdf" TargetMode="External"/><Relationship Id="rId10" Type="http://schemas.openxmlformats.org/officeDocument/2006/relationships/hyperlink" Target="https://www.euromonitor.com/unilever-in-beauty-and-personal-care/report"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1wqtxts1xzle7.cloudfront.net/38640293/BMS-V1N2-2015web-libre.pdf?1441165636=&amp;response-content-disposition=inline%3B+filename%3DBusiness_and_Management_Studies_Vol_1_No.pdf&amp;Expires=1724660277&amp;Signature=gQG6waOc94nne3vxZWss57r2PLjcKzPC7s3lA9O8qdSpjEh-idJ7peaJ3Wu2UFWOpw7tEb3KplMcC6eChn2-baSpTcaKcW4-TJrOegek1lv1K1MBDkztXufxsdDVRiV2GyyZGp-wl8w6IJci-Yuz0A4Gkv6tGObYBvMKrdfhv5fTcibRpPMw6mETcAq1XvnGTO7RKCRReSDa7h-nm-QReVVacIcRlQss8RyzfvPZXVPjFGtUgB-I1bSSR521kSQ5Ainowzeu29NFBEDrAusTA6s~0a64S395mt4aXO4ZHGn9O1EG1QrAo0Ft8rcJEs8~cEINwatH7ywprmEB8wWo3w__&amp;Key-Pair-Id=APKAJLOHF5GGSLRBV4ZA" TargetMode="External"/><Relationship Id="rId14" Type="http://schemas.openxmlformats.org/officeDocument/2006/relationships/hyperlink" Target="https://www.unilever.com/files/92ui5egz/production/16cb778e4d31b81509dc5937001559f1f5c863a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54DD5-69F3-CF44-B76D-D8A926FA3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18</Pages>
  <Words>5482</Words>
  <Characters>31254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Szabina Molnar (2121168)</dc:creator>
  <cp:keywords/>
  <dc:description/>
  <cp:lastModifiedBy>Szabina Molnar (2121168)</cp:lastModifiedBy>
  <cp:revision>9</cp:revision>
  <dcterms:created xsi:type="dcterms:W3CDTF">2024-08-26T05:48:00Z</dcterms:created>
  <dcterms:modified xsi:type="dcterms:W3CDTF">2024-08-26T08:13:00Z</dcterms:modified>
</cp:coreProperties>
</file>