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9C0DE" w14:textId="77777777" w:rsidR="00ED064F" w:rsidRDefault="00ED064F">
      <w:pPr>
        <w:spacing w:after="80"/>
      </w:pPr>
    </w:p>
    <w:p w14:paraId="5448F7F6" w14:textId="77777777" w:rsidR="00ED064F" w:rsidRDefault="00ED064F">
      <w:pPr>
        <w:spacing w:after="80"/>
      </w:pPr>
    </w:p>
    <w:p w14:paraId="0E5D8731" w14:textId="77777777" w:rsidR="00ED064F" w:rsidRDefault="00ED064F">
      <w:pPr>
        <w:spacing w:after="80"/>
      </w:pPr>
    </w:p>
    <w:p w14:paraId="7A14DB38" w14:textId="60F4E92B" w:rsidR="00330EAD" w:rsidRPr="00330EAD" w:rsidRDefault="00000000" w:rsidP="00330EAD">
      <w:pPr>
        <w:spacing w:after="200"/>
        <w:jc w:val="center"/>
        <w:rPr>
          <w:b/>
          <w:bCs/>
          <w:sz w:val="32"/>
          <w:szCs w:val="32"/>
        </w:rPr>
      </w:pPr>
      <w:r>
        <w:rPr>
          <w:b/>
          <w:bCs/>
          <w:sz w:val="32"/>
          <w:szCs w:val="32"/>
        </w:rPr>
        <w:t>COMPONENT 2: ANALYTICAL REPORT</w:t>
      </w:r>
    </w:p>
    <w:p w14:paraId="76132ADF" w14:textId="77777777" w:rsidR="00ED064F" w:rsidRDefault="00000000">
      <w:pPr>
        <w:spacing w:after="100"/>
        <w:jc w:val="center"/>
      </w:pPr>
      <w:r>
        <w:rPr>
          <w:b/>
          <w:bCs/>
          <w:sz w:val="28"/>
          <w:szCs w:val="28"/>
        </w:rPr>
        <w:t>Ethnicity and Health Inequalities in the United Kingdom:</w:t>
      </w:r>
    </w:p>
    <w:p w14:paraId="58609769" w14:textId="1E08D643" w:rsidR="00ED064F" w:rsidRDefault="00000000">
      <w:pPr>
        <w:spacing w:after="300"/>
        <w:jc w:val="center"/>
        <w:rPr>
          <w:b/>
          <w:bCs/>
          <w:sz w:val="28"/>
          <w:szCs w:val="28"/>
        </w:rPr>
      </w:pPr>
      <w:r>
        <w:rPr>
          <w:b/>
          <w:bCs/>
          <w:sz w:val="28"/>
          <w:szCs w:val="28"/>
        </w:rPr>
        <w:t xml:space="preserve">A Social Epidemiological Analysis </w:t>
      </w:r>
    </w:p>
    <w:p w14:paraId="41585489" w14:textId="77777777" w:rsidR="00330EAD" w:rsidRDefault="00330EAD" w:rsidP="00330EAD">
      <w:pPr>
        <w:spacing w:after="300"/>
        <w:rPr>
          <w:b/>
          <w:bCs/>
          <w:sz w:val="28"/>
          <w:szCs w:val="28"/>
        </w:rPr>
      </w:pPr>
    </w:p>
    <w:p w14:paraId="1B58DFBA" w14:textId="77777777" w:rsidR="00330EAD" w:rsidRDefault="00330EAD" w:rsidP="00330EAD">
      <w:pPr>
        <w:spacing w:after="300"/>
        <w:rPr>
          <w:b/>
          <w:bCs/>
          <w:sz w:val="28"/>
          <w:szCs w:val="28"/>
        </w:rPr>
      </w:pPr>
    </w:p>
    <w:p w14:paraId="74F11D10" w14:textId="77777777" w:rsidR="00330EAD" w:rsidRDefault="00330EAD" w:rsidP="00330EAD">
      <w:pPr>
        <w:spacing w:after="300"/>
      </w:pPr>
    </w:p>
    <w:p w14:paraId="4003DB97" w14:textId="77777777" w:rsidR="00330EAD" w:rsidRDefault="00330EAD" w:rsidP="00330EAD">
      <w:pPr>
        <w:spacing w:after="300"/>
      </w:pPr>
    </w:p>
    <w:p w14:paraId="3B6CA861" w14:textId="77777777" w:rsidR="00330EAD" w:rsidRDefault="00330EAD" w:rsidP="00330EAD">
      <w:pPr>
        <w:spacing w:after="300"/>
      </w:pPr>
    </w:p>
    <w:p w14:paraId="3E15240A" w14:textId="77777777" w:rsidR="00330EAD" w:rsidRDefault="00330EAD" w:rsidP="00330EAD">
      <w:pPr>
        <w:spacing w:after="300"/>
      </w:pPr>
    </w:p>
    <w:p w14:paraId="4753C5A5" w14:textId="77777777" w:rsidR="00330EAD" w:rsidRDefault="00330EAD" w:rsidP="00330EAD">
      <w:pPr>
        <w:spacing w:after="300"/>
      </w:pPr>
    </w:p>
    <w:p w14:paraId="60EDD1E9" w14:textId="77777777" w:rsidR="00330EAD" w:rsidRDefault="00330EAD" w:rsidP="00330EAD">
      <w:pPr>
        <w:spacing w:after="300"/>
      </w:pPr>
    </w:p>
    <w:p w14:paraId="338006B7" w14:textId="77777777" w:rsidR="00330EAD" w:rsidRDefault="00330EAD" w:rsidP="00330EAD">
      <w:pPr>
        <w:spacing w:after="300"/>
      </w:pPr>
    </w:p>
    <w:p w14:paraId="5ECC9995" w14:textId="77777777" w:rsidR="00330EAD" w:rsidRDefault="00330EAD" w:rsidP="00330EAD">
      <w:pPr>
        <w:spacing w:after="300"/>
      </w:pPr>
    </w:p>
    <w:p w14:paraId="5634483E" w14:textId="77777777" w:rsidR="00330EAD" w:rsidRDefault="00330EAD" w:rsidP="00330EAD">
      <w:pPr>
        <w:spacing w:after="300"/>
      </w:pPr>
    </w:p>
    <w:p w14:paraId="3CB511D1" w14:textId="77777777" w:rsidR="00330EAD" w:rsidRDefault="00330EAD" w:rsidP="00330EAD">
      <w:pPr>
        <w:spacing w:after="300"/>
      </w:pPr>
    </w:p>
    <w:p w14:paraId="112693AB" w14:textId="77777777" w:rsidR="00330EAD" w:rsidRDefault="00330EAD" w:rsidP="00330EAD">
      <w:pPr>
        <w:spacing w:after="300"/>
      </w:pPr>
    </w:p>
    <w:p w14:paraId="4FE0AB4C" w14:textId="77777777" w:rsidR="00330EAD" w:rsidRPr="00330EAD" w:rsidRDefault="00330EAD" w:rsidP="00330EAD">
      <w:pPr>
        <w:pStyle w:val="IntenseQuote"/>
        <w:rPr>
          <w:i w:val="0"/>
          <w:iCs w:val="0"/>
          <w:color w:val="000000" w:themeColor="text1"/>
        </w:rPr>
      </w:pPr>
      <w:r w:rsidRPr="00330EAD">
        <w:rPr>
          <w:i w:val="0"/>
          <w:iCs w:val="0"/>
          <w:color w:val="000000" w:themeColor="text1"/>
        </w:rPr>
        <w:t>Student name: Ardra Sudhan</w:t>
      </w:r>
    </w:p>
    <w:p w14:paraId="385A2589" w14:textId="4923A35C" w:rsidR="00330EAD" w:rsidRPr="00330EAD" w:rsidRDefault="00330EAD" w:rsidP="00330EAD">
      <w:pPr>
        <w:pStyle w:val="IntenseQuote"/>
        <w:rPr>
          <w:i w:val="0"/>
          <w:iCs w:val="0"/>
          <w:color w:val="000000" w:themeColor="text1"/>
        </w:rPr>
      </w:pPr>
      <w:r w:rsidRPr="00330EAD">
        <w:rPr>
          <w:i w:val="0"/>
          <w:iCs w:val="0"/>
          <w:color w:val="000000" w:themeColor="text1"/>
        </w:rPr>
        <w:t xml:space="preserve">Student number: </w:t>
      </w:r>
      <w:r w:rsidRPr="00330EAD">
        <w:rPr>
          <w:i w:val="0"/>
          <w:iCs w:val="0"/>
          <w:color w:val="000000" w:themeColor="text1"/>
        </w:rPr>
        <w:t>2529434</w:t>
      </w:r>
    </w:p>
    <w:p w14:paraId="0C9D6E4A" w14:textId="0CD6422D" w:rsidR="00ED064F" w:rsidRPr="00330EAD" w:rsidRDefault="00000000" w:rsidP="00330EAD">
      <w:pPr>
        <w:pStyle w:val="IntenseQuote"/>
        <w:rPr>
          <w:i w:val="0"/>
          <w:iCs w:val="0"/>
          <w:color w:val="000000" w:themeColor="text1"/>
        </w:rPr>
      </w:pPr>
      <w:r w:rsidRPr="00330EAD">
        <w:rPr>
          <w:i w:val="0"/>
          <w:iCs w:val="0"/>
          <w:color w:val="000000" w:themeColor="text1"/>
        </w:rPr>
        <w:t xml:space="preserve">Module: </w:t>
      </w:r>
      <w:r w:rsidR="00330EAD" w:rsidRPr="00330EAD">
        <w:rPr>
          <w:i w:val="0"/>
          <w:iCs w:val="0"/>
          <w:color w:val="000000" w:themeColor="text1"/>
        </w:rPr>
        <w:t>Social Epidemiology and Public Health Development</w:t>
      </w:r>
    </w:p>
    <w:p w14:paraId="765D8A53" w14:textId="6ED950C9" w:rsidR="00330EAD" w:rsidRPr="00330EAD" w:rsidRDefault="00330EAD" w:rsidP="00330EAD">
      <w:pPr>
        <w:pStyle w:val="IntenseQuote"/>
        <w:rPr>
          <w:i w:val="0"/>
          <w:iCs w:val="0"/>
          <w:color w:val="000000" w:themeColor="text1"/>
        </w:rPr>
      </w:pPr>
      <w:r w:rsidRPr="00330EAD">
        <w:rPr>
          <w:i w:val="0"/>
          <w:iCs w:val="0"/>
          <w:color w:val="000000" w:themeColor="text1"/>
        </w:rPr>
        <w:t>Module code: LCHS7000</w:t>
      </w:r>
    </w:p>
    <w:p w14:paraId="0E9CC9E1" w14:textId="77777777" w:rsidR="00ED064F" w:rsidRPr="00330EAD" w:rsidRDefault="00000000" w:rsidP="00330EAD">
      <w:pPr>
        <w:pStyle w:val="IntenseQuote"/>
        <w:rPr>
          <w:i w:val="0"/>
          <w:iCs w:val="0"/>
          <w:color w:val="000000" w:themeColor="text1"/>
        </w:rPr>
      </w:pPr>
      <w:r w:rsidRPr="00330EAD">
        <w:rPr>
          <w:i w:val="0"/>
          <w:iCs w:val="0"/>
          <w:color w:val="000000" w:themeColor="text1"/>
        </w:rPr>
        <w:t>Programme: MSc Public Health and Social Care in Practice</w:t>
      </w:r>
    </w:p>
    <w:p w14:paraId="052F7BBE" w14:textId="0DD41588" w:rsidR="00330EAD" w:rsidRPr="00330EAD" w:rsidRDefault="00330EAD" w:rsidP="00330EAD">
      <w:pPr>
        <w:pStyle w:val="IntenseQuote"/>
        <w:rPr>
          <w:i w:val="0"/>
          <w:iCs w:val="0"/>
          <w:color w:val="000000" w:themeColor="text1"/>
        </w:rPr>
      </w:pPr>
      <w:r w:rsidRPr="00330EAD">
        <w:rPr>
          <w:i w:val="0"/>
          <w:iCs w:val="0"/>
          <w:color w:val="000000" w:themeColor="text1"/>
        </w:rPr>
        <w:t xml:space="preserve">Lecturer: </w:t>
      </w:r>
      <w:proofErr w:type="spellStart"/>
      <w:r w:rsidRPr="00330EAD">
        <w:rPr>
          <w:i w:val="0"/>
          <w:iCs w:val="0"/>
          <w:color w:val="000000" w:themeColor="text1"/>
        </w:rPr>
        <w:t>Itse</w:t>
      </w:r>
      <w:proofErr w:type="spellEnd"/>
      <w:r w:rsidRPr="00330EAD">
        <w:rPr>
          <w:i w:val="0"/>
          <w:iCs w:val="0"/>
          <w:color w:val="000000" w:themeColor="text1"/>
        </w:rPr>
        <w:t xml:space="preserve"> Olaoye</w:t>
      </w:r>
    </w:p>
    <w:p w14:paraId="4483E4D9" w14:textId="5D12CC5A" w:rsidR="00ED064F" w:rsidRDefault="00000000">
      <w:pPr>
        <w:pStyle w:val="Heading1"/>
      </w:pPr>
      <w:r>
        <w:lastRenderedPageBreak/>
        <w:t>TASK 1: SOCIAL EPIDEMIOLOGICAL ANALYSIS</w:t>
      </w:r>
    </w:p>
    <w:p w14:paraId="12EF2231" w14:textId="77777777" w:rsidR="00ED064F" w:rsidRDefault="00000000">
      <w:pPr>
        <w:pStyle w:val="Heading1"/>
      </w:pPr>
      <w:r>
        <w:t>Ethnicity and Health Inequality in the United Kingdom: An Epidemiological Perspective</w:t>
      </w:r>
    </w:p>
    <w:p w14:paraId="7AFF5E9B" w14:textId="77777777" w:rsidR="00ED064F" w:rsidRDefault="00000000">
      <w:pPr>
        <w:pStyle w:val="Heading2"/>
        <w:spacing w:before="280"/>
      </w:pPr>
      <w:r>
        <w:t>Introduction</w:t>
      </w:r>
    </w:p>
    <w:p w14:paraId="31DD51FA" w14:textId="1E614446" w:rsidR="00ED064F" w:rsidRDefault="00000000">
      <w:pPr>
        <w:spacing w:after="160" w:line="360" w:lineRule="auto"/>
        <w:jc w:val="both"/>
      </w:pPr>
      <w:r>
        <w:t>Ethnicity is a multidimensional concept encompassing shared cultural practices, ancestry, language, and identity, and it represents one of the most persistent axes of health inequality in the United Kingdom (Bhopal, 2014). Ethnic minority groups, including South Asian, Black, Mixed, and other non-White communities, collectively constituted approximately 18% of the population of England and Wales according to the 2021 Census (Office for National Statistics [ONS], 2022a). These populations experience systematically worse health outcomes than the White British majority, a disparity that cannot be attributed solely to genetic differences but is rather shaped by complex interplays of socioeconomic disadvantage, structural racism, cultural barriers, and differential access to healthcare (</w:t>
      </w:r>
      <w:proofErr w:type="spellStart"/>
      <w:r>
        <w:t>Nazroo</w:t>
      </w:r>
      <w:proofErr w:type="spellEnd"/>
      <w:r>
        <w:t xml:space="preserve">, 2003; Williams and Mohammed, 2009). The Marmot Review (2010) established that health inequalities are largely preventable and are rooted in the social determinants of health, a framework of considerable relevance when examining ethnicity. Understanding why ethnic minority communities are disproportionately at risk of ill health is therefore both a moral imperative and a public health </w:t>
      </w:r>
      <w:r w:rsidRPr="00330EAD">
        <w:t>priority</w:t>
      </w:r>
      <w:r w:rsidR="00330EAD" w:rsidRPr="00330EAD">
        <w:t xml:space="preserve"> (</w:t>
      </w:r>
      <w:r w:rsidR="00330EAD" w:rsidRPr="00330EAD">
        <w:t>Marmot, M</w:t>
      </w:r>
      <w:r w:rsidR="00330EAD" w:rsidRPr="00330EAD">
        <w:t xml:space="preserve">, </w:t>
      </w:r>
      <w:r w:rsidR="00330EAD" w:rsidRPr="00330EAD">
        <w:t>2010)</w:t>
      </w:r>
      <w:r w:rsidRPr="00330EAD">
        <w:t>.</w:t>
      </w:r>
    </w:p>
    <w:p w14:paraId="129EAC6E" w14:textId="77777777" w:rsidR="00ED064F" w:rsidRDefault="00000000">
      <w:pPr>
        <w:pStyle w:val="Heading2"/>
        <w:spacing w:before="280"/>
      </w:pPr>
      <w:r>
        <w:t>Contextual Background and Underlying Factors: Six Most Important Health Inequality Issues</w:t>
      </w:r>
    </w:p>
    <w:p w14:paraId="6C49ABCF" w14:textId="7725000D" w:rsidR="00ED064F" w:rsidRDefault="00000000">
      <w:pPr>
        <w:pStyle w:val="Heading2"/>
        <w:spacing w:before="280"/>
      </w:pPr>
      <w:r>
        <w:t xml:space="preserve">Disease/Illness </w:t>
      </w:r>
      <w:r w:rsidR="00DD22AD">
        <w:t xml:space="preserve">- </w:t>
      </w:r>
      <w:r>
        <w:t>Issue 1: Cardiovascular Disease</w:t>
      </w:r>
    </w:p>
    <w:p w14:paraId="615118B6" w14:textId="612D6557" w:rsidR="00ED064F" w:rsidRDefault="00000000">
      <w:pPr>
        <w:spacing w:after="160" w:line="360" w:lineRule="auto"/>
        <w:jc w:val="both"/>
      </w:pPr>
      <w:r>
        <w:t>Cardiovascular disease (CVD) represents the leading cause of premature death in the United Kingdom and imposes a disproportionate burden on South Asian communities. Individuals of South Asian origin (Indian, Pakistani, Bangladeshi) are 40–50% more likely to develop coronary heart disease and to die from it at a younger age than their White British counterparts (British Heart Foundation [BHF], 2023). NHS Digital (2021) reported higher rates of hypertension and dyslipidaemia in these groups, compounded by culturally specific dietary patterns high in saturated fat and a genetic predisposition to insulin resistance</w:t>
      </w:r>
      <w:r w:rsidR="001C37AA">
        <w:t xml:space="preserve"> </w:t>
      </w:r>
      <w:r w:rsidR="001C37AA">
        <w:t>(NHS Digital, 2021)</w:t>
      </w:r>
      <w:r>
        <w:t>. Furthermore, modifiable risk factors such as type 2 diabetes—itself prevalent at two to four times the rate of the general population—substantially increase cardiovascular risk (Diabetes UK, 2022). Structural barriers to preventive care, including language difficulties and mistrust of healthcare services rooted in historical experiences of discrimination, exacerbate the disparity (PHE, 2020a).</w:t>
      </w:r>
    </w:p>
    <w:p w14:paraId="7F2DE956" w14:textId="031BD0EB" w:rsidR="00ED064F" w:rsidRDefault="00000000">
      <w:pPr>
        <w:pStyle w:val="Heading2"/>
        <w:spacing w:before="280"/>
      </w:pPr>
      <w:r>
        <w:lastRenderedPageBreak/>
        <w:t xml:space="preserve">Disease/Illness </w:t>
      </w:r>
      <w:r w:rsidR="00DD22AD">
        <w:t xml:space="preserve">- </w:t>
      </w:r>
      <w:r>
        <w:t>Issue 2: Mental Health Disorders</w:t>
      </w:r>
    </w:p>
    <w:p w14:paraId="1F5D85AD" w14:textId="3642FF66" w:rsidR="00ED064F" w:rsidRDefault="00000000">
      <w:pPr>
        <w:spacing w:after="160" w:line="360" w:lineRule="auto"/>
        <w:jc w:val="both"/>
      </w:pPr>
      <w:r>
        <w:t>Mental health inequalities among ethnic minority groups are both widespread and inadequately addressed within the National Health Service (NHS). Black Caribbean and Black African individuals are four times more likely to be detained under the Mental Health Act 1983 than White British individuals (Care Quality Commission [CQC], 2023). NHS Mental Health Dashboard data indicate that Black communities are less likely to receive talking therapies and more likely to be subject to compulsory treatment, reflecting systemic racial bias in clinical decision-making</w:t>
      </w:r>
      <w:r w:rsidR="001C37AA">
        <w:t xml:space="preserve"> </w:t>
      </w:r>
      <w:r w:rsidR="001C37AA">
        <w:t>(NHS England, 2023)</w:t>
      </w:r>
      <w:r>
        <w:t xml:space="preserve">. The experience of everyday racism, discrimination, and cultural alienation constitutes a chronic psychosocial stressor associated with elevated rates of depression, anxiety, and psychotic disorders across minority ethnic communities (Karlsen and </w:t>
      </w:r>
      <w:proofErr w:type="spellStart"/>
      <w:r>
        <w:t>Nazroo</w:t>
      </w:r>
      <w:proofErr w:type="spellEnd"/>
      <w:r>
        <w:t>, 2002). Socioeconomic deprivation further compounds mental health risk, as ethnic minority households are over-represented in the lowest income quintiles (ONS, 2022b). Barriers to help-seeking, including cultural stigma, language, and lack of culturally competent services, mean that unmet mental health need in these communities remains high.</w:t>
      </w:r>
    </w:p>
    <w:p w14:paraId="61DDF405" w14:textId="4F6429F0" w:rsidR="00ED064F" w:rsidRDefault="00000000">
      <w:pPr>
        <w:pStyle w:val="Heading2"/>
        <w:spacing w:before="280"/>
      </w:pPr>
      <w:r>
        <w:t>Disease/Illness</w:t>
      </w:r>
      <w:r w:rsidR="00DD22AD">
        <w:t xml:space="preserve"> -</w:t>
      </w:r>
      <w:r>
        <w:t xml:space="preserve"> Issue 3: </w:t>
      </w:r>
      <w:r w:rsidR="00DD22AD">
        <w:t xml:space="preserve">Type 2 </w:t>
      </w:r>
      <w:r>
        <w:t>Diabetes Mellitus</w:t>
      </w:r>
    </w:p>
    <w:p w14:paraId="1AE74A2C" w14:textId="614C22DF" w:rsidR="00ED064F" w:rsidRDefault="00000000">
      <w:pPr>
        <w:spacing w:after="160" w:line="360" w:lineRule="auto"/>
        <w:jc w:val="both"/>
      </w:pPr>
      <w:r>
        <w:t xml:space="preserve">Type 2 diabetes mellitus is a major non-communicable disease characterised by insulin resistance and chronic hyperglycaemia. Ethnic minority groups in the UK, particularly South Asians and Black Africans and Caribbeans, develop type 2 diabetes at younger ages, at lower body mass indices (BMIs), and at significantly higher rates than White British populations (Diabetes UK, 2022). The NHS Long </w:t>
      </w:r>
      <w:r w:rsidRPr="001C37AA">
        <w:t>Term Plan identified South Asians as being up to six times more likely to develop the condition</w:t>
      </w:r>
      <w:r w:rsidR="001C37AA" w:rsidRPr="001C37AA">
        <w:t xml:space="preserve"> (</w:t>
      </w:r>
      <w:r w:rsidR="001C37AA" w:rsidRPr="001C37AA">
        <w:t>NHS England</w:t>
      </w:r>
      <w:r w:rsidR="001C37AA" w:rsidRPr="001C37AA">
        <w:t xml:space="preserve">, </w:t>
      </w:r>
      <w:r w:rsidR="001C37AA" w:rsidRPr="001C37AA">
        <w:t>2019)</w:t>
      </w:r>
      <w:r w:rsidRPr="001C37AA">
        <w:t>.</w:t>
      </w:r>
      <w:r>
        <w:t xml:space="preserve"> According to PHE, approximately 4.9 million people in the UK are living with diabetes, of whom a disproportionate number are from ethnic minority backgrounds</w:t>
      </w:r>
      <w:r w:rsidR="001C37AA">
        <w:t xml:space="preserve"> </w:t>
      </w:r>
      <w:r w:rsidR="001C37AA">
        <w:t>(PHE, 2020b)</w:t>
      </w:r>
      <w:r>
        <w:t>. These disparities are attributable to a combination of biological susceptibility, dietary and lifestyle factors, socioeconomic deprivation, and inequitable access to early prevention programmes. The NHS Diabetes Prevention Programme (NDPP), whilst a positive national initiative, has struggled to engage South Asian communities effectively due to culturally inappropriate dietary advice and language barriers (NHS England, 2022).</w:t>
      </w:r>
    </w:p>
    <w:p w14:paraId="3615321B" w14:textId="77777777" w:rsidR="00ED064F" w:rsidRDefault="00000000">
      <w:pPr>
        <w:pStyle w:val="Heading2"/>
        <w:spacing w:before="280"/>
      </w:pPr>
      <w:r>
        <w:t>Social Issue 1: Poverty and Socioeconomic Deprivation</w:t>
      </w:r>
    </w:p>
    <w:p w14:paraId="66301185" w14:textId="150C127B" w:rsidR="00ED064F" w:rsidRDefault="00000000">
      <w:pPr>
        <w:spacing w:after="160" w:line="360" w:lineRule="auto"/>
        <w:jc w:val="both"/>
      </w:pPr>
      <w:r>
        <w:t xml:space="preserve">Poverty is a fundamental social determinant of health and is disproportionately experienced by ethnic minority communities in the UK. According to the Joseph Rowntree Foundation (JRF), 46% of people from Black, Asian and minority ethnic (BAME) backgrounds live in poverty, compared with 19% of White British households. Bangladeshi and Pakistani communities face the highest poverty rates, with over half of children in these communities living in low-income households (JRF, 2022). The Ethnicity Facts and Figures service notes </w:t>
      </w:r>
      <w:r>
        <w:lastRenderedPageBreak/>
        <w:t>that ethnic minority households are more likely to be in lower-paid occupations, on zero-hours contracts, and in insecure employment</w:t>
      </w:r>
      <w:r w:rsidR="001C37AA">
        <w:t xml:space="preserve"> </w:t>
      </w:r>
      <w:r w:rsidR="001C37AA">
        <w:t>(GOV.UK, 2023a)</w:t>
      </w:r>
      <w:r>
        <w:t xml:space="preserve">. This economic marginalisation limits access to adequate nutrition, safe housing, recreational activities, and healthcare, all of which are prerequisites for good health as articulated by the Dahlgren and Whitehead rainbow model of health </w:t>
      </w:r>
      <w:r w:rsidRPr="001C37AA">
        <w:t>determinants</w:t>
      </w:r>
      <w:r w:rsidR="001C37AA" w:rsidRPr="001C37AA">
        <w:t xml:space="preserve"> (</w:t>
      </w:r>
      <w:r w:rsidR="001C37AA" w:rsidRPr="001C37AA">
        <w:t>Dahlgren, G. and Whitehead</w:t>
      </w:r>
      <w:r w:rsidR="001C37AA" w:rsidRPr="001C37AA">
        <w:t xml:space="preserve"> M., </w:t>
      </w:r>
      <w:r w:rsidR="001C37AA" w:rsidRPr="001C37AA">
        <w:t>1991)</w:t>
      </w:r>
      <w:r w:rsidRPr="001C37AA">
        <w:t>.</w:t>
      </w:r>
    </w:p>
    <w:p w14:paraId="5D1D01BE" w14:textId="77777777" w:rsidR="00ED064F" w:rsidRDefault="00000000">
      <w:pPr>
        <w:pStyle w:val="Heading2"/>
        <w:spacing w:before="280"/>
      </w:pPr>
      <w:r>
        <w:t>Social Issue 2: Housing Inequality and Overcrowding</w:t>
      </w:r>
    </w:p>
    <w:p w14:paraId="3CD8BB7A" w14:textId="4FAF7274" w:rsidR="00ED064F" w:rsidRDefault="00000000">
      <w:pPr>
        <w:spacing w:after="160" w:line="360" w:lineRule="auto"/>
        <w:jc w:val="both"/>
      </w:pPr>
      <w:r>
        <w:t>Poor and overcrowded housing is a significant social determinant of ill health, and ethnic minority communities in the UK are substantially more likely to live in overcrowded or inadequate accommodation. The ONS</w:t>
      </w:r>
      <w:r w:rsidR="00DD22AD">
        <w:t xml:space="preserve"> </w:t>
      </w:r>
      <w:r>
        <w:t>Census data demonstrate that Bangladeshi and Pakistani households have the highest rates of overcrowding in England and Wales, at 30% and 18% respectively, compared with just 2% for White British households</w:t>
      </w:r>
      <w:r w:rsidR="00DD22AD">
        <w:t xml:space="preserve"> (</w:t>
      </w:r>
      <w:r w:rsidR="00DD22AD">
        <w:t>ONS</w:t>
      </w:r>
      <w:r w:rsidR="00DD22AD">
        <w:t xml:space="preserve">, </w:t>
      </w:r>
      <w:r w:rsidR="00DD22AD">
        <w:t>2022a)</w:t>
      </w:r>
      <w:r>
        <w:t>. Overcrowding facilitates the transmission of infectious diseases, impairs sleep, and creates chronic stress, all of which damage physical and mental health (Marmot et al., 2020). The Local Government Association highlights that ethnic minority individuals are more likely to live in social rented housing with poor repair standards and damp conditions, contributing to respiratory conditions such as asthma</w:t>
      </w:r>
      <w:r w:rsidR="00DD22AD">
        <w:t xml:space="preserve"> </w:t>
      </w:r>
      <w:r w:rsidR="00DD22AD">
        <w:t>(LGA, 2021)</w:t>
      </w:r>
      <w:r>
        <w:t>. The intersecting pressures of housing insecurity and racial discrimination in the private rental market—documented by the Equality and Human Rights Commission</w:t>
      </w:r>
      <w:r w:rsidR="00DD22AD">
        <w:t xml:space="preserve"> </w:t>
      </w:r>
      <w:r>
        <w:t>—further entrench these inequalities</w:t>
      </w:r>
      <w:r w:rsidR="00DD22AD">
        <w:t xml:space="preserve"> </w:t>
      </w:r>
      <w:r w:rsidR="00DD22AD">
        <w:t>(EHRC, 2019)</w:t>
      </w:r>
      <w:r>
        <w:t>.</w:t>
      </w:r>
    </w:p>
    <w:p w14:paraId="619D0EE9" w14:textId="77777777" w:rsidR="00ED064F" w:rsidRDefault="00000000">
      <w:pPr>
        <w:pStyle w:val="Heading2"/>
        <w:spacing w:before="280"/>
      </w:pPr>
      <w:r>
        <w:t>Social Issue 3: Discrimination and Structural Racism</w:t>
      </w:r>
    </w:p>
    <w:p w14:paraId="6151E772" w14:textId="5B6C810D" w:rsidR="00ED064F" w:rsidRDefault="00000000">
      <w:pPr>
        <w:spacing w:after="160" w:line="360" w:lineRule="auto"/>
        <w:jc w:val="both"/>
      </w:pPr>
      <w:r>
        <w:t>Structural racism—defined as the cumulative and compounding effects of an environment of inequity rooted in policies, institutional practices, cultural representations, and other norms—is a pervasive determinant of health inequality for ethnic minority communities in the UK (Bailey et al., 2017). The Race Disparity Audit and subsequent Ethnicity Facts and Figures publications reveal persistent disparities in employment, education, criminal justice, and healthcare</w:t>
      </w:r>
      <w:r w:rsidR="00DD22AD">
        <w:t xml:space="preserve"> </w:t>
      </w:r>
      <w:r w:rsidR="00DD22AD">
        <w:t>(Cabinet Office, 2017)</w:t>
      </w:r>
      <w:r>
        <w:t>. Discrimination in healthcare settings has been extensively documented: a review by the Kings Fund found that BAME NHS staff reported significantly higher rates of harassment and discrimination than their White counterparts</w:t>
      </w:r>
      <w:r w:rsidR="00DD22AD">
        <w:t xml:space="preserve"> (Kings F020)</w:t>
      </w:r>
      <w:r>
        <w:t>. Exposure to racial discrimination activates the hypothalamic-pituitary-adrenal (HPA) axis, elevating cortisol levels and contributing to allostatic load—a cumulative physiological wear associated with chronic stress-related disease (McEwen and Seeman, 1999). The COVID-19 pandemic laid bare the lethal consequences of these structural inequalities, with BAME individuals experiencing significantly higher mortality rates (PHE, 2020a).</w:t>
      </w:r>
    </w:p>
    <w:p w14:paraId="1E28E259" w14:textId="77777777" w:rsidR="00ED064F" w:rsidRDefault="00000000">
      <w:pPr>
        <w:pStyle w:val="Heading2"/>
        <w:spacing w:before="280"/>
      </w:pPr>
      <w:r>
        <w:t>National Response to Reduce Health Inequalities in Ethnic Minority Groups</w:t>
      </w:r>
    </w:p>
    <w:p w14:paraId="21803352" w14:textId="77777777" w:rsidR="00ED064F" w:rsidRDefault="00000000">
      <w:pPr>
        <w:spacing w:after="160" w:line="360" w:lineRule="auto"/>
        <w:jc w:val="both"/>
      </w:pPr>
      <w:r>
        <w:lastRenderedPageBreak/>
        <w:t>The UK government and NHS have initiated several national strategies to address ethnic health inequalities, though their effectiveness remains variable and contested.</w:t>
      </w:r>
    </w:p>
    <w:p w14:paraId="4E3D931A" w14:textId="30A99F2F" w:rsidR="00ED064F" w:rsidRDefault="00000000">
      <w:pPr>
        <w:spacing w:after="160" w:line="360" w:lineRule="auto"/>
        <w:jc w:val="both"/>
      </w:pPr>
      <w:r>
        <w:t>The first significant national response is the Core20PLUS5 NHS England framework, a strategic initiative targeting the most deprived 20% of the population alongside specific population groups—including ethnic minorities designated as 'PLUS' groups—for improvements across five clinical priority areas: maternity, severe mental illness, chronic respiratory disease, early cancer diagnosis, and hypertension case-finding. This framework, embedded within the NHS Long Term Plan and subsequent Delivery Plan for Tackling Neighbourhood Inequalities, represents an explicit acknowledgement that ethnicity is a compounding axis of deprivation. Integrated Care Systems (ICSs) are mandated to develop local plans responsive to ethnic minority health needs, and NHS England has allocated additional investment to Primary Care Networks serving high-deprivation, high-ethnicity areas. However, critics including the Health Foundation (2023) argue that implementation remains inconsistent and that funding has not been commensurate with the scale of need</w:t>
      </w:r>
      <w:r w:rsidR="00BD38B7">
        <w:t xml:space="preserve"> </w:t>
      </w:r>
      <w:r w:rsidR="00BD38B7">
        <w:t>(NHS England, 2021)</w:t>
      </w:r>
      <w:r>
        <w:t>.</w:t>
      </w:r>
    </w:p>
    <w:p w14:paraId="2B411CC5" w14:textId="3C02AA94" w:rsidR="00ED064F" w:rsidRDefault="00000000">
      <w:pPr>
        <w:spacing w:after="160" w:line="360" w:lineRule="auto"/>
        <w:jc w:val="both"/>
      </w:pPr>
      <w:r>
        <w:t>The second national initiative is the NHS Race and Health Observatory (NHSRHO), established in 2020 following recommendations in the PHE report COVID-19: Understanding the Impact on BAME Communities (PHE, 2020a). The Observatory conducts independent research, advises NHS England and NHS Improvement, and advocates for the elimination of ethnic health disparities across the health and social care system. Its landmark report Ethnic Health Inequalities and the NHS made 14 recommendations across data collection, workforce diversity, clinical practice, and commissioning. For example, it recommended that all NHS trusts conduct annual ethnicity pay gap reporting and that culturally appropriate mental health services be commissioned to reduce the disproportionate detention rates of Black patients under the Mental Health Act. The Observatory represents a structural commitment to systemic change, although implementation of its recommendations depends upon political will and resourcing at both national and local levels (NHSRHO, 2022).</w:t>
      </w:r>
    </w:p>
    <w:p w14:paraId="7BF9809D" w14:textId="77777777" w:rsidR="00ED064F" w:rsidRDefault="00000000">
      <w:pPr>
        <w:pStyle w:val="Heading2"/>
        <w:spacing w:before="280"/>
      </w:pPr>
      <w:r>
        <w:t>Organisations That Support Ethnic Minority Communities</w:t>
      </w:r>
    </w:p>
    <w:p w14:paraId="2DC7F914" w14:textId="77777777" w:rsidR="00ED064F" w:rsidRDefault="00000000">
      <w:pPr>
        <w:spacing w:after="160" w:line="360" w:lineRule="auto"/>
        <w:jc w:val="both"/>
      </w:pPr>
      <w:r>
        <w:t>Runnymede Trust is the UK's leading independent race equality think tank, founded in 1968. The organisation plays a pivotal role in challenging institutional racism and advancing health equity for ethnic minority communities across the UK. Runnymede conducts original research into the structural determinants of ethnic inequalities, including housing, employment, education, and healthcare access, and disseminates this evidence to policymakers, NHS commissioners, and civil society organisations (Runnymede Trust, 2023).</w:t>
      </w:r>
    </w:p>
    <w:p w14:paraId="6BAB396C" w14:textId="77777777" w:rsidR="00ED064F" w:rsidRDefault="00000000">
      <w:pPr>
        <w:spacing w:after="160" w:line="360" w:lineRule="auto"/>
        <w:jc w:val="both"/>
      </w:pPr>
      <w:r>
        <w:lastRenderedPageBreak/>
        <w:t>In relation to health specifically, Runnymede has published extensively on the impact of structural racism on health outcomes, including its report on the unequal impact of COVID-19 on Black and Asian communities (Runnymede Trust, 2020). The Trust collaborates with NHS bodies, local authorities, and community organisations to promote culturally sensitive service delivery and the collection of disaggregated ethnicity data in health settings. Runnymede's goals are to: (1) produce rigorous evidence of racial inequality to inform public policy; (2) influence legislation and NHS commissioning frameworks to embed race equality; (3) build the capacity of ethnic minority communities to advocate for their health rights; and (4) hold statutory bodies accountable for eliminating ethnic health disparities (Runnymede Trust, 2023). The organisation's work is complemented by community-level initiatives such as the Voluntary and Community Sector (VCS) ethnic minority health projects funded through NHS England's Community Health Grants Programme, which aim to provide accessible, culturally appropriate health promotion and support services at a local level (NHS England, 2023).</w:t>
      </w:r>
    </w:p>
    <w:p w14:paraId="22C6D72D" w14:textId="77777777" w:rsidR="00ED064F" w:rsidRDefault="00000000">
      <w:pPr>
        <w:pStyle w:val="Heading2"/>
        <w:spacing w:before="280"/>
      </w:pPr>
      <w:r>
        <w:t>Conclusion</w:t>
      </w:r>
    </w:p>
    <w:p w14:paraId="4139A566" w14:textId="77777777" w:rsidR="00ED064F" w:rsidRDefault="00000000">
      <w:pPr>
        <w:spacing w:after="160" w:line="360" w:lineRule="auto"/>
        <w:jc w:val="both"/>
      </w:pPr>
      <w:r>
        <w:t>Ethnicity remains a powerful and persistent determinant of health inequality in the UK, shaped by the compounding effects of socioeconomic deprivation, structural racism, housing insecurity, and differential access to healthcare. The six issues examined—cardiovascular disease, mental health disorders, type 2 diabetes, poverty, housing inequality, and discrimination—collectively illustrate the breadth and depth of health disadvantage experienced by ethnic minority communities. National responses, including Core20PLUS5 and the NHS Race and Health Observatory, represent meaningful commitments to systemic change, yet significant challenges in implementation and equity of resource allocation remain. Voluntary organisations such as Runnymede Trust play an indispensable role in holding statutory bodies accountable and amplifying the voices of marginalised communities. Addressing ethnic health inequalities requires sustained, cross-sectoral action grounded in the principles of social justice, cultural competence, and the social determinants of health.</w:t>
      </w:r>
    </w:p>
    <w:p w14:paraId="110B8CE5" w14:textId="77777777" w:rsidR="00CD6E84" w:rsidRDefault="00CD6E84">
      <w:pPr>
        <w:pStyle w:val="Heading1"/>
      </w:pPr>
    </w:p>
    <w:p w14:paraId="54B83557" w14:textId="77777777" w:rsidR="00CD6E84" w:rsidRDefault="00CD6E84">
      <w:pPr>
        <w:pStyle w:val="Heading1"/>
      </w:pPr>
    </w:p>
    <w:p w14:paraId="5C053A8D" w14:textId="77777777" w:rsidR="00CD6E84" w:rsidRDefault="00CD6E84">
      <w:pPr>
        <w:pStyle w:val="Heading1"/>
      </w:pPr>
    </w:p>
    <w:p w14:paraId="64BE0329" w14:textId="77777777" w:rsidR="00CD6E84" w:rsidRDefault="00CD6E84">
      <w:pPr>
        <w:pStyle w:val="Heading1"/>
      </w:pPr>
    </w:p>
    <w:p w14:paraId="667A41CC" w14:textId="77777777" w:rsidR="00CD6E84" w:rsidRDefault="00CD6E84">
      <w:pPr>
        <w:pStyle w:val="Heading1"/>
      </w:pPr>
    </w:p>
    <w:p w14:paraId="03A091AF" w14:textId="688C392C" w:rsidR="00ED064F" w:rsidRDefault="00000000">
      <w:pPr>
        <w:pStyle w:val="Heading1"/>
      </w:pPr>
      <w:r>
        <w:lastRenderedPageBreak/>
        <w:t xml:space="preserve">TASK 2: EPIDEMIOLOGICAL ANALYSIS </w:t>
      </w:r>
    </w:p>
    <w:p w14:paraId="4201963B" w14:textId="77777777" w:rsidR="00ED064F" w:rsidRDefault="00000000">
      <w:pPr>
        <w:pStyle w:val="Heading1"/>
      </w:pPr>
      <w:r>
        <w:t>Regional Epidemiology of Type 2 Diabetes Among South Asian Communities in Tower Hamlets, London</w:t>
      </w:r>
    </w:p>
    <w:p w14:paraId="51ED1CFD" w14:textId="77777777" w:rsidR="00ED064F" w:rsidRDefault="00000000">
      <w:pPr>
        <w:pStyle w:val="Heading2"/>
        <w:spacing w:before="280"/>
      </w:pPr>
      <w:r>
        <w:t>Introduction</w:t>
      </w:r>
    </w:p>
    <w:p w14:paraId="4D126B83" w14:textId="0C0B2D4B" w:rsidR="00ED064F" w:rsidRDefault="00000000" w:rsidP="00BD38B7">
      <w:pPr>
        <w:spacing w:after="160" w:line="360" w:lineRule="auto"/>
        <w:jc w:val="both"/>
      </w:pPr>
      <w:r>
        <w:t>Type 2 diabetes mellitus (T2DM) is a major non-communicable disease of global significance, characterised by impaired insulin secretion and peripheral insulin resistance, leading to chronic hyperglycaemia and multi-organ complications including cardiovascular disease, nephropathy, retinopathy, and neuropathy (World Health Organisation [WHO], 2023). Globally, the International Diabetes Federation estimates that 537 million adults were living with diabetes in 2021, with projections suggesting this figure will rise to 783 million by 2045</w:t>
      </w:r>
      <w:r w:rsidR="00BD38B7">
        <w:t xml:space="preserve"> </w:t>
      </w:r>
      <w:r w:rsidR="00BD38B7">
        <w:t>(IDF, 2021)</w:t>
      </w:r>
      <w:r>
        <w:t>. In England, approximately 4.9 million people have been diagnosed with diabetes, with a further 13.6 million at high risk of developing type 2 diabetes (Diabetes UK, 2023). This report focuses on the South Asian population of Tower Hamlets, a London Borough in which the Bangladeshi community constitutes approximately 32% of residents and represents one of the highest-risk populations for T2DM in the country</w:t>
      </w:r>
      <w:r w:rsidR="00BD38B7">
        <w:t xml:space="preserve"> </w:t>
      </w:r>
      <w:r w:rsidR="00BD38B7">
        <w:t>(ONS, 2022a)</w:t>
      </w:r>
      <w:r>
        <w:t>. Tower Hamlets is a highly appropriate scale for this analysis: it is large enough to generate statistically meaningful data yet defined enough for targeted public health intervention. The social, cultural and health consequences of T2DM in this community are profound: it reduces life expectancy, diminishes quality of life, generates substantial NHS costs (estimated at £10 billion per annum nationally), and exacerbates pre-existing health inequalities</w:t>
      </w:r>
      <w:r w:rsidR="00BD38B7">
        <w:t xml:space="preserve"> (</w:t>
      </w:r>
      <w:r w:rsidR="00BD38B7">
        <w:t>Hex et al., 2012</w:t>
      </w:r>
      <w:r w:rsidR="00BD38B7">
        <w:t>)</w:t>
      </w:r>
      <w:r>
        <w:t>.</w:t>
      </w:r>
    </w:p>
    <w:p w14:paraId="56B3667E" w14:textId="77777777" w:rsidR="00ED064F" w:rsidRDefault="00000000">
      <w:pPr>
        <w:pStyle w:val="Heading2"/>
        <w:spacing w:before="280"/>
      </w:pPr>
      <w:r>
        <w:t>Public Health Measures: Contain, Manage, Treat and Reduce/Control</w:t>
      </w:r>
    </w:p>
    <w:p w14:paraId="3B6FCAD0" w14:textId="77777777" w:rsidR="00ED064F" w:rsidRDefault="00000000">
      <w:pPr>
        <w:spacing w:after="160" w:line="360" w:lineRule="auto"/>
        <w:jc w:val="both"/>
      </w:pPr>
      <w:r>
        <w:t>Tower Hamlets Clinical Commissioning Group (now integrated into North East London Integrated Care Board [NEL ICB]) has deployed a range of public health measures to contain and manage T2DM in the South Asian population. Primary prevention initiatives include the NHS Diabetes Prevention Programme (NDPP), which provides intensive lifestyle interventions—dietary advice, physical activity programmes, and behavioural support—to individuals identified as being at high risk (NHS England, 2022). In Tower Hamlets, the NDPP has been adapted to include Sylheti-speaking community health workers and culturally appropriate dietary guidance that respects traditional Bangladeshi food practices, replacing generic low-carbohydrate advice with culturally sensitive modifications to rice-based diets (Tower Hamlets Council, 2022).</w:t>
      </w:r>
    </w:p>
    <w:p w14:paraId="4AC45BA3" w14:textId="326A3103" w:rsidR="00ED064F" w:rsidRDefault="00000000">
      <w:pPr>
        <w:spacing w:after="160" w:line="360" w:lineRule="auto"/>
        <w:jc w:val="both"/>
      </w:pPr>
      <w:r>
        <w:t xml:space="preserve">Secondary prevention and case management are delivered through Primary Care Networks (PCNs), which operate structured diabetic reviews including HbA1c monitoring, foot care, renal function testing, and retinal screening. The Quality and Outcomes Framework (QOF) </w:t>
      </w:r>
      <w:proofErr w:type="gramStart"/>
      <w:r>
        <w:lastRenderedPageBreak/>
        <w:t>incentivises</w:t>
      </w:r>
      <w:proofErr w:type="gramEnd"/>
      <w:r>
        <w:t xml:space="preserve"> GPs to achieve disease control targets, and Tower Hamlets has consistently achieved above-average QOF scores for diabetes management compared to the national average (NHS Digital, 2022). Tertiary prevention is addressed through specialist diabetes clinics at Barts Health NHS Trust, serving complex cases with multiple comorbidities. The GIRFT (Getting It Right First Time) programme has identified opportunities to reduce unwarranted variation in diabetes care across London Trusts, promoting evidence-based pathways that reduce complications and hospital admissions</w:t>
      </w:r>
      <w:r w:rsidR="00BD38B7">
        <w:t xml:space="preserve"> </w:t>
      </w:r>
      <w:r w:rsidR="00BD38B7">
        <w:t>(NHS England, 2020)</w:t>
      </w:r>
      <w:r>
        <w:t>.</w:t>
      </w:r>
    </w:p>
    <w:p w14:paraId="69FC6064" w14:textId="77777777" w:rsidR="00ED064F" w:rsidRDefault="00000000">
      <w:pPr>
        <w:pStyle w:val="Heading2"/>
        <w:spacing w:before="280"/>
      </w:pPr>
      <w:r>
        <w:t>Key Determinants and Risk Factors</w:t>
      </w:r>
    </w:p>
    <w:p w14:paraId="120AD6EA" w14:textId="7B611BD7" w:rsidR="00ED064F" w:rsidRDefault="00000000">
      <w:pPr>
        <w:spacing w:after="160" w:line="360" w:lineRule="auto"/>
        <w:jc w:val="both"/>
      </w:pPr>
      <w:r>
        <w:t>The elevated prevalence of T2DM among South Asian communities in Tower Hamlets is attributable to a complex interaction of biological, behavioural, and social risk factors. Biologically, South Asians develop insulin resistance and visceral adiposity at lower BMIs than White Europeans—a phenomenon sometimes termed the 'Asian BMI paradox'</w:t>
      </w:r>
      <w:r w:rsidR="00BD38B7">
        <w:t xml:space="preserve"> </w:t>
      </w:r>
      <w:r>
        <w:t>—meaning that standard UK BMI thresholds underestimate metabolic risk in this population</w:t>
      </w:r>
      <w:r w:rsidR="00BD38B7">
        <w:t xml:space="preserve"> </w:t>
      </w:r>
      <w:r w:rsidR="00BD38B7">
        <w:t>(NICE, 2014)</w:t>
      </w:r>
      <w:r>
        <w:t>. PHE therefore recommended lowering the intervention threshold for South Asian individuals to a BMI of 23 kg/m², yet implementation in primary care has been inconsistent</w:t>
      </w:r>
      <w:r w:rsidR="00BD38B7">
        <w:t xml:space="preserve"> </w:t>
      </w:r>
      <w:r w:rsidR="00BD38B7">
        <w:t>(</w:t>
      </w:r>
      <w:r w:rsidR="00BD38B7">
        <w:t xml:space="preserve">PHE, </w:t>
      </w:r>
      <w:r w:rsidR="00BD38B7">
        <w:t>2017)</w:t>
      </w:r>
      <w:r>
        <w:t>.</w:t>
      </w:r>
    </w:p>
    <w:p w14:paraId="44E388C7" w14:textId="06E6CDEC" w:rsidR="00ED064F" w:rsidRDefault="00000000">
      <w:pPr>
        <w:spacing w:after="160" w:line="360" w:lineRule="auto"/>
        <w:jc w:val="both"/>
      </w:pPr>
      <w:r>
        <w:t>Behaviourally, dietary patterns characterised by high glycaemic-index foods (white rice, refined flour), elevated sugar consumption (sweetened beverages, mithai), low rates of structured physical activity, and high rates of smoking in Bangladeshi men contribute to diabetes risk</w:t>
      </w:r>
      <w:r w:rsidR="00BD38B7">
        <w:t xml:space="preserve"> </w:t>
      </w:r>
      <w:r w:rsidR="00BD38B7">
        <w:t>(ONS, 2020)</w:t>
      </w:r>
      <w:r>
        <w:t>. Socially, Tower Hamlets has the highest rate of child poverty in England (43%), limiting access to nutritious food, safe recreational spaces, and preventive health services</w:t>
      </w:r>
      <w:r w:rsidR="00BD38B7">
        <w:t xml:space="preserve"> (</w:t>
      </w:r>
      <w:r w:rsidR="00BD38B7">
        <w:t>Trust for London, 2023</w:t>
      </w:r>
      <w:r w:rsidR="00BD38B7">
        <w:t>)</w:t>
      </w:r>
      <w:r>
        <w:t>. Food insecurity is directly associated with diabetes self-management difficulties and glycaemic control (Seligman et al., 2012). Deprivation also intersects with housing overcrowding and shift work to disrupt sleep, a recognised independent risk factor for T2DM through its effects on glucose metabolism and appetite regulation (Cappuccio et al., 2010).</w:t>
      </w:r>
    </w:p>
    <w:p w14:paraId="680315DA" w14:textId="77777777" w:rsidR="00ED064F" w:rsidRDefault="00000000">
      <w:pPr>
        <w:pStyle w:val="Heading2"/>
        <w:spacing w:before="280"/>
      </w:pPr>
      <w:r>
        <w:t>Epidemiological Studies and Health Needs Assessment</w:t>
      </w:r>
    </w:p>
    <w:p w14:paraId="596A4B0C" w14:textId="6EE3E2DF" w:rsidR="00ED064F" w:rsidRDefault="00000000">
      <w:pPr>
        <w:spacing w:after="160" w:line="360" w:lineRule="auto"/>
        <w:jc w:val="both"/>
      </w:pPr>
      <w:r>
        <w:t>The Tower Hamlets Joint Strategic Needs Assessment (JSNA</w:t>
      </w:r>
      <w:r w:rsidR="00BD38B7">
        <w:t>)</w:t>
      </w:r>
      <w:r>
        <w:t xml:space="preserve"> provides comprehensive local epidemiological data, identifying diabetes as the single greatest contributor to premature mortality in the borough</w:t>
      </w:r>
      <w:r w:rsidR="00BD38B7">
        <w:t xml:space="preserve"> (Tower Hamlets Council, 2022)</w:t>
      </w:r>
      <w:r>
        <w:t>. Recorded prevalence of T2DM in Tower Hamlets stands at 9.2% of the registered adult population, compared with 6.8% nationally, representing a significant local inequality. The South Asian population, particularly Bangladeshi adults over 40 years of age, accounts for the majority of this excess burden</w:t>
      </w:r>
      <w:r w:rsidR="00CD6E84">
        <w:t xml:space="preserve"> </w:t>
      </w:r>
      <w:r w:rsidR="00CD6E84">
        <w:t>(NHS Digital, 2022)</w:t>
      </w:r>
      <w:r>
        <w:t>.</w:t>
      </w:r>
    </w:p>
    <w:p w14:paraId="5DCDF90E" w14:textId="6901B657" w:rsidR="00ED064F" w:rsidRDefault="00000000">
      <w:pPr>
        <w:spacing w:after="160" w:line="360" w:lineRule="auto"/>
        <w:jc w:val="both"/>
      </w:pPr>
      <w:r>
        <w:lastRenderedPageBreak/>
        <w:t>Nationally, the Health Survey for England (HSE) confirmed that South Asian men are at approximately 2–4 times the risk of T2DM compared with White British men, even after adjusting for socioeconomic deprivation</w:t>
      </w:r>
      <w:r w:rsidR="00CD6E84">
        <w:t xml:space="preserve"> </w:t>
      </w:r>
      <w:r w:rsidR="00CD6E84">
        <w:t>(NHS Digital, 2021)</w:t>
      </w:r>
      <w:r>
        <w:t>. The Whitehall II Study and the UK Biobank provide further longitudinal epidemiological evidence confirming the independent contribution of ethnicity to T2DM risk</w:t>
      </w:r>
      <w:r w:rsidR="00CD6E84">
        <w:t xml:space="preserve"> </w:t>
      </w:r>
      <w:r w:rsidR="00CD6E84">
        <w:t>(Kivimäki et al., 2015</w:t>
      </w:r>
      <w:r w:rsidR="00CD6E84">
        <w:t xml:space="preserve">; </w:t>
      </w:r>
      <w:r w:rsidR="00CD6E84">
        <w:t>Eastwood et al., 2016</w:t>
      </w:r>
      <w:r w:rsidR="00CD6E84">
        <w:t>)</w:t>
      </w:r>
      <w:r>
        <w:t>. Those identified as at highest risk in Tower Hamlets include Bangladeshi men aged 40–60, individuals with a family history of T2DM, those with impaired fasting glucose or gestational diabetes history, and individuals living in the most deprived quintile of the borough. Health needs assessment in this population therefore supports the prioritisation of culturally adapted prevention programmes, bilingual health promotion, and community-based screening.</w:t>
      </w:r>
    </w:p>
    <w:p w14:paraId="41D864EE" w14:textId="77777777" w:rsidR="00ED064F" w:rsidRDefault="00000000">
      <w:pPr>
        <w:pStyle w:val="Heading2"/>
        <w:spacing w:before="280"/>
      </w:pPr>
      <w:r>
        <w:t>Public Health Approaches and Monitoring/Surveillance Systems</w:t>
      </w:r>
    </w:p>
    <w:p w14:paraId="25A4C5F2" w14:textId="11DE9355" w:rsidR="00ED064F" w:rsidRDefault="00000000">
      <w:pPr>
        <w:spacing w:after="160" w:line="360" w:lineRule="auto"/>
        <w:jc w:val="both"/>
      </w:pPr>
      <w:r>
        <w:t>The main surveillance systems used to monitor T2DM in Tower Hamlets include QOF diabetes registers (at practice level), the National Diabetes Audit (NDA), NHS Diabetes Prevention Programme referral and completion data, and the National Screening Programme for diabetic eye disease (</w:t>
      </w:r>
      <w:r w:rsidR="00CD6E84">
        <w:t>NHS Digital, 2022</w:t>
      </w:r>
      <w:r w:rsidR="00CD6E84">
        <w:t xml:space="preserve">; </w:t>
      </w:r>
      <w:r w:rsidR="00CD6E84">
        <w:t>NHS England, 2022</w:t>
      </w:r>
      <w:r w:rsidR="00CD6E84">
        <w:t xml:space="preserve">; </w:t>
      </w:r>
      <w:r>
        <w:t>Public Health England, 2020b). The NDA provides annual data on the proportion of patients with T2DM who receive the 'eight care processes' (HbA1c, cholesterol, blood pressure, BMI, creatinine, urine albumin, smoking status, foot examination), enabling comparison across boroughs and CCGs.</w:t>
      </w:r>
    </w:p>
    <w:p w14:paraId="3D4A9354" w14:textId="11F7DEE4" w:rsidR="00ED064F" w:rsidRDefault="00000000">
      <w:pPr>
        <w:spacing w:after="160" w:line="360" w:lineRule="auto"/>
        <w:jc w:val="both"/>
      </w:pPr>
      <w:r>
        <w:t>Additionally, the Office for Health Improvement and Disparities Fingertips public health profiles publish ward-level data for Tower Hamlets, enabling granular identification of hotspots of unmet need</w:t>
      </w:r>
      <w:r w:rsidR="00CD6E84">
        <w:t xml:space="preserve"> </w:t>
      </w:r>
      <w:r w:rsidR="00CD6E84">
        <w:t>(OHID, 2023)</w:t>
      </w:r>
      <w:r>
        <w:t>. The Quality and Outcomes Framework (QOF) data at GP practice level, linked to ethnicity recording via NHS Digital, allow monitoring of glycaemic control by ethnic group. Surveillance data consistently reveal that Bangladeshi patients in Tower Hamlets are less likely to achieve NICE-recommended HbA1c targets (&lt;53 mmol/mol) than White British patients in the same borough, reflecting both individual-level and systemic barriers to effective management</w:t>
      </w:r>
      <w:r w:rsidR="00CD6E84">
        <w:t xml:space="preserve"> </w:t>
      </w:r>
      <w:r w:rsidR="00CD6E84">
        <w:t>(NHS Digital, 2022)</w:t>
      </w:r>
      <w:r>
        <w:t>.</w:t>
      </w:r>
    </w:p>
    <w:p w14:paraId="7102E31E" w14:textId="77777777" w:rsidR="00ED064F" w:rsidRDefault="00000000">
      <w:pPr>
        <w:pStyle w:val="Heading2"/>
        <w:spacing w:before="280"/>
      </w:pPr>
      <w:r>
        <w:t>Public Health Impact and Short- and Long-Term Consequences</w:t>
      </w:r>
    </w:p>
    <w:p w14:paraId="16CFDB6E" w14:textId="0F57C68A" w:rsidR="00ED064F" w:rsidRDefault="00000000">
      <w:pPr>
        <w:spacing w:after="160" w:line="360" w:lineRule="auto"/>
        <w:jc w:val="both"/>
      </w:pPr>
      <w:r>
        <w:t>The short-term public health impact of poorly controlled T2DM in Tower Hamlets includes increased emergency hospital admissions for hyperglycaemic crises, diabetic ketoacidosis, hypoglycaemic episodes, and acute infections. The long-term consequences are severe and include end-stage renal disease</w:t>
      </w:r>
      <w:r w:rsidR="00CD6E84">
        <w:t xml:space="preserve">- </w:t>
      </w:r>
      <w:r>
        <w:t>Bangladeshi patients in London are significantly over-represented among those requiring renal replacement therapy</w:t>
      </w:r>
      <w:r w:rsidR="00CD6E84">
        <w:t xml:space="preserve"> - </w:t>
      </w:r>
      <w:r>
        <w:t>lower limb amputations, sight loss from diabetic retinopathy, and cardiovascular events</w:t>
      </w:r>
      <w:r w:rsidR="00CD6E84">
        <w:t xml:space="preserve"> </w:t>
      </w:r>
      <w:r w:rsidR="00CD6E84">
        <w:t>(NHS Blood and Transplant, 2022)</w:t>
      </w:r>
      <w:r>
        <w:t xml:space="preserve">. The Kings Fund estimates that each patient with T2DM costs the NHS approximately £2,800 </w:t>
      </w:r>
      <w:r>
        <w:lastRenderedPageBreak/>
        <w:t>per annum in direct healthcare costs, rising sharply with the presence of complications, and that avoidable complications cost the NHS in England over £3 billion annually</w:t>
      </w:r>
      <w:r w:rsidR="00CD6E84">
        <w:t xml:space="preserve"> (</w:t>
      </w:r>
      <w:r w:rsidR="00CD6E84">
        <w:t>Kings Fund</w:t>
      </w:r>
      <w:r w:rsidR="00CD6E84">
        <w:t xml:space="preserve">, </w:t>
      </w:r>
      <w:r w:rsidR="00CD6E84">
        <w:t>2021</w:t>
      </w:r>
      <w:r w:rsidR="00CD6E84">
        <w:t>)</w:t>
      </w:r>
      <w:r>
        <w:t>.</w:t>
      </w:r>
    </w:p>
    <w:p w14:paraId="3F21C33C" w14:textId="2A846524" w:rsidR="00ED064F" w:rsidRDefault="00000000">
      <w:pPr>
        <w:spacing w:after="160" w:line="360" w:lineRule="auto"/>
        <w:jc w:val="both"/>
      </w:pPr>
      <w:r>
        <w:t>From a population health perspective, the concentration of T2DM burden in Tower Hamlets threatens to widen existing health life expectancy gaps. The Health Foundation projects that without targeted intervention, the gap in healthy life expectancy between the most and least deprived areas of England—currently 18.6 years for women and 19.4 years for men—will continue to widen. South Asian communities in Tower Hamlets are at the intersection of both ethnic and geographic disadvantage, making them one of the highest-priority populations for NHS investment</w:t>
      </w:r>
      <w:r w:rsidR="00CD6E84">
        <w:t xml:space="preserve"> (</w:t>
      </w:r>
      <w:r w:rsidR="00CD6E84">
        <w:t>The Health Foundation</w:t>
      </w:r>
      <w:r w:rsidR="00CD6E84">
        <w:t xml:space="preserve">, </w:t>
      </w:r>
      <w:r w:rsidR="00CD6E84">
        <w:t>2022</w:t>
      </w:r>
      <w:r w:rsidR="00CD6E84">
        <w:t>)</w:t>
      </w:r>
      <w:r>
        <w:t>.</w:t>
      </w:r>
    </w:p>
    <w:p w14:paraId="0D4B9816" w14:textId="77777777" w:rsidR="00ED064F" w:rsidRDefault="00000000">
      <w:pPr>
        <w:pStyle w:val="Heading2"/>
        <w:spacing w:before="280"/>
      </w:pPr>
      <w:r>
        <w:t>Health Intervention Programme and Evaluation</w:t>
      </w:r>
    </w:p>
    <w:p w14:paraId="28163BD1" w14:textId="799E50A4" w:rsidR="00ED064F" w:rsidRDefault="00000000">
      <w:pPr>
        <w:spacing w:after="160" w:line="360" w:lineRule="auto"/>
        <w:jc w:val="both"/>
      </w:pPr>
      <w:r>
        <w:t>A proposed health intervention for Tower Hamlets is a culturally tailored community-based diabetes prevention programme (CT-DPP), modelled on evidence from the PREVENT-DM trial and adapted for the local Bangladeshi community</w:t>
      </w:r>
      <w:r w:rsidR="00CD6E84">
        <w:t xml:space="preserve"> </w:t>
      </w:r>
      <w:r w:rsidR="00CD6E84">
        <w:t>(Islam et al., 2013)</w:t>
      </w:r>
      <w:r>
        <w:t>. The programme would be delivered in community settings (mosques, community centres, Bengali cultural associations) by bilingual community health educators (CHEs) trained in health coaching and motivational interviewing. Core components would include: (1) education on diabetes risk and prevention in Sylheti-language; (2) culturally adapted dietary workshops incorporating traditional Bangladeshi recipes modified to lower glycaemic index; (3) group physical activity sessions designed for women in gender-separated settings; and (4) peer support networks using trained community champions</w:t>
      </w:r>
      <w:r w:rsidR="00CD6E84">
        <w:t xml:space="preserve"> </w:t>
      </w:r>
      <w:r w:rsidR="00CD6E84">
        <w:t>(Islam et al., 2013)</w:t>
      </w:r>
      <w:r>
        <w:t>.</w:t>
      </w:r>
    </w:p>
    <w:p w14:paraId="780180C3" w14:textId="7E6A2B49" w:rsidR="00ED064F" w:rsidRDefault="00000000">
      <w:pPr>
        <w:spacing w:after="160" w:line="360" w:lineRule="auto"/>
        <w:jc w:val="both"/>
      </w:pPr>
      <w:r>
        <w:t>The intervention would be evaluated using a mixed-methods approach. Quantitative evaluation would measure: (a) HbA1c and fasting glucose at 6- and 12-month follow-up; (b) BMI and waist circumference change; (c) self-reported dietary and physical activity behaviour change using validated tools (IPAQ, DINE); (d) completion and retention rates. Qualitative evaluation would involve focus groups and semi-structured interviews with participants to assess acceptability, cultural appropriateness, and barriers to engagement. Process evaluation, using the Medical Research Council (MRC) framework for complex interventions</w:t>
      </w:r>
      <w:r w:rsidR="00CD6E84">
        <w:t xml:space="preserve">, </w:t>
      </w:r>
      <w:r>
        <w:t>would examine intervention fidelity, reach, dose delivered, and unintended consequences</w:t>
      </w:r>
      <w:r w:rsidR="00CD6E84">
        <w:t xml:space="preserve"> </w:t>
      </w:r>
      <w:r w:rsidR="00CD6E84">
        <w:t>(Moore et al., 2015)</w:t>
      </w:r>
      <w:r>
        <w:t>. This multi-level evaluation framework aligns with level 7 expectations for rigorous, methodologically sound assessment of public health interventions.</w:t>
      </w:r>
    </w:p>
    <w:p w14:paraId="6CB5AFC0" w14:textId="76F5C87A" w:rsidR="00ED064F" w:rsidRDefault="00000000">
      <w:pPr>
        <w:spacing w:after="160" w:line="360" w:lineRule="auto"/>
        <w:jc w:val="both"/>
      </w:pPr>
      <w:r>
        <w:t xml:space="preserve">The strengths of this approach include its community embeddedness, cultural appropriateness, and evidence base. Weaknesses include potential self-selection bias (those who engage are likely most motivated), the challenge of disaggregating intervention effects </w:t>
      </w:r>
      <w:r>
        <w:lastRenderedPageBreak/>
        <w:t>from broader community changes, and resource requirements for sustained delivery. Nevertheless, evidence from similar programmes in the UK—including the Healthier You NDPP adaptations piloted in Bradford—suggests that culturally tailored interventions achieve significantly better engagement and glycaemic outcomes in South Asian populations than generic approaches</w:t>
      </w:r>
      <w:r w:rsidR="00CD6E84">
        <w:t xml:space="preserve"> </w:t>
      </w:r>
      <w:r w:rsidR="00CD6E84">
        <w:t>(PHE, 2020b)</w:t>
      </w:r>
      <w:r>
        <w:t>.</w:t>
      </w:r>
    </w:p>
    <w:p w14:paraId="11243CC8" w14:textId="77777777" w:rsidR="00ED064F" w:rsidRDefault="00000000">
      <w:pPr>
        <w:pStyle w:val="Heading2"/>
        <w:spacing w:before="280"/>
      </w:pPr>
      <w:r>
        <w:t>Conclusion</w:t>
      </w:r>
    </w:p>
    <w:p w14:paraId="363C8B04" w14:textId="77777777" w:rsidR="00ED064F" w:rsidRDefault="00000000">
      <w:pPr>
        <w:spacing w:after="160" w:line="360" w:lineRule="auto"/>
        <w:jc w:val="both"/>
      </w:pPr>
      <w:r>
        <w:t>Type 2 diabetes represents a major and inequitably distributed public health burden among South Asian communities in Tower Hamlets, driven by a complex interplay of biological susceptibility, socioeconomic deprivation, cultural factors, and systemic barriers to equitable healthcare. Epidemiological evidence consistently demonstrates that Bangladeshi adults in Tower Hamlets experience higher prevalence, earlier onset, and worse clinical outcomes than the general population. A robust surveillance infrastructure, including the NDA, QOF, and OHID Fingertips, enables monitoring of progress but reveals persistent inequities in care process completion and glycaemic control. A culturally adapted, community-delivered prevention programme offers the most promising approach to reducing this burden, provided it is rigorously evaluated and embedded within a wider strategy to address the social determinants of diabetes. Sustainable reduction in ethnic health inequalities in this domain requires long-term investment, cross-sectoral collaboration, and genuine co-production with communities.</w:t>
      </w:r>
    </w:p>
    <w:p w14:paraId="4BADE16F" w14:textId="49922915" w:rsidR="00ED064F" w:rsidRDefault="00ED064F">
      <w:pPr>
        <w:pageBreakBefore/>
      </w:pPr>
    </w:p>
    <w:p w14:paraId="68AE3604" w14:textId="77777777" w:rsidR="00ED064F" w:rsidRDefault="00000000" w:rsidP="008701D2">
      <w:pPr>
        <w:pStyle w:val="Heading1"/>
        <w:jc w:val="both"/>
      </w:pPr>
      <w:r>
        <w:t>References</w:t>
      </w:r>
    </w:p>
    <w:p w14:paraId="7E5B175C" w14:textId="77777777" w:rsidR="00ED064F" w:rsidRDefault="00000000" w:rsidP="008701D2">
      <w:pPr>
        <w:spacing w:after="120" w:line="320" w:lineRule="auto"/>
        <w:ind w:left="720" w:hanging="720"/>
        <w:jc w:val="both"/>
      </w:pPr>
      <w:r>
        <w:rPr>
          <w:sz w:val="20"/>
          <w:szCs w:val="20"/>
        </w:rPr>
        <w:t>Bailey, Z.D., Krieger, N., Agénor, M., Graves, J., Linos, N. and Bassett, M.T. (2017) 'Structural racism and health inequities in the USA: evidence and interventions', The Lancet, 389(10077), pp. 1453–1463.</w:t>
      </w:r>
    </w:p>
    <w:p w14:paraId="079C1172" w14:textId="77777777" w:rsidR="00ED064F" w:rsidRDefault="00000000" w:rsidP="008701D2">
      <w:pPr>
        <w:spacing w:after="120" w:line="320" w:lineRule="auto"/>
        <w:ind w:left="720" w:hanging="720"/>
        <w:jc w:val="both"/>
      </w:pPr>
      <w:r>
        <w:rPr>
          <w:sz w:val="20"/>
          <w:szCs w:val="20"/>
        </w:rPr>
        <w:t xml:space="preserve">Bhopal, R.S. (2014) Migration, Ethnicity, Race, and Health in Multicultural Societies. 2nd </w:t>
      </w:r>
      <w:proofErr w:type="spellStart"/>
      <w:r>
        <w:rPr>
          <w:sz w:val="20"/>
          <w:szCs w:val="20"/>
        </w:rPr>
        <w:t>edn</w:t>
      </w:r>
      <w:proofErr w:type="spellEnd"/>
      <w:r>
        <w:rPr>
          <w:sz w:val="20"/>
          <w:szCs w:val="20"/>
        </w:rPr>
        <w:t>. Oxford: Oxford University Press.</w:t>
      </w:r>
    </w:p>
    <w:p w14:paraId="095600FC" w14:textId="77777777" w:rsidR="00ED064F" w:rsidRDefault="00000000" w:rsidP="008701D2">
      <w:pPr>
        <w:spacing w:after="120" w:line="320" w:lineRule="auto"/>
        <w:ind w:left="720" w:hanging="720"/>
        <w:jc w:val="both"/>
      </w:pPr>
      <w:r>
        <w:rPr>
          <w:sz w:val="20"/>
          <w:szCs w:val="20"/>
        </w:rPr>
        <w:t xml:space="preserve">British Heart Foundation (BHF) (2023) </w:t>
      </w:r>
      <w:proofErr w:type="gramStart"/>
      <w:r>
        <w:rPr>
          <w:sz w:val="20"/>
          <w:szCs w:val="20"/>
        </w:rPr>
        <w:t>Heart Disease</w:t>
      </w:r>
      <w:proofErr w:type="gramEnd"/>
      <w:r>
        <w:rPr>
          <w:sz w:val="20"/>
          <w:szCs w:val="20"/>
        </w:rPr>
        <w:t xml:space="preserve"> and South Asian People. London: BHF. Available at: https://www.bhf.org.uk (Accessed: 10 March 2024).</w:t>
      </w:r>
    </w:p>
    <w:p w14:paraId="43706A5C" w14:textId="77777777" w:rsidR="00ED064F" w:rsidRDefault="00000000" w:rsidP="008701D2">
      <w:pPr>
        <w:spacing w:after="120" w:line="320" w:lineRule="auto"/>
        <w:ind w:left="720" w:hanging="720"/>
        <w:jc w:val="both"/>
      </w:pPr>
      <w:r>
        <w:rPr>
          <w:sz w:val="20"/>
          <w:szCs w:val="20"/>
        </w:rPr>
        <w:t>Cabinet Office (2017) Race Disparity Audit: Summary Findings from the Ethnicity Facts and Figures Website. London: Cabinet Office.</w:t>
      </w:r>
    </w:p>
    <w:p w14:paraId="4AAD28B5" w14:textId="77777777" w:rsidR="00ED064F" w:rsidRDefault="00000000" w:rsidP="008701D2">
      <w:pPr>
        <w:spacing w:after="120" w:line="320" w:lineRule="auto"/>
        <w:ind w:left="720" w:hanging="720"/>
        <w:jc w:val="both"/>
      </w:pPr>
      <w:r>
        <w:rPr>
          <w:sz w:val="20"/>
          <w:szCs w:val="20"/>
        </w:rPr>
        <w:t>Cappuccio, F.P., Cooper, D., D'Elia, L., Strazzullo, P. and Miller, M.A. (2010) 'Sleep duration predicts cardiovascular outcomes: a systematic review and meta-analysis of prospective studies', European Heart Journal, 32(12), pp. 1484–1492.</w:t>
      </w:r>
    </w:p>
    <w:p w14:paraId="6FFF870F" w14:textId="77777777" w:rsidR="00ED064F" w:rsidRDefault="00000000" w:rsidP="008701D2">
      <w:pPr>
        <w:spacing w:after="120" w:line="320" w:lineRule="auto"/>
        <w:ind w:left="720" w:hanging="720"/>
        <w:jc w:val="both"/>
      </w:pPr>
      <w:r>
        <w:rPr>
          <w:sz w:val="20"/>
          <w:szCs w:val="20"/>
        </w:rPr>
        <w:t>Care Quality Commission (CQC) (2023) Mental Health Act: The Rise in the Use of the MHA 1983, and Race, Detention and Community Treatment Orders. London: CQC.</w:t>
      </w:r>
    </w:p>
    <w:p w14:paraId="38ED4C73" w14:textId="77777777" w:rsidR="00ED064F" w:rsidRDefault="00000000" w:rsidP="008701D2">
      <w:pPr>
        <w:spacing w:after="120" w:line="320" w:lineRule="auto"/>
        <w:ind w:left="720" w:hanging="720"/>
        <w:jc w:val="both"/>
      </w:pPr>
      <w:r>
        <w:rPr>
          <w:sz w:val="20"/>
          <w:szCs w:val="20"/>
        </w:rPr>
        <w:t>Dahlgren, G. and Whitehead, M. (1991) Policies and Strategies to Promote Social Equity in Health. Stockholm: Institute for Futures Studies.</w:t>
      </w:r>
    </w:p>
    <w:p w14:paraId="029AB751" w14:textId="77777777" w:rsidR="00ED064F" w:rsidRDefault="00000000" w:rsidP="008701D2">
      <w:pPr>
        <w:spacing w:after="120" w:line="320" w:lineRule="auto"/>
        <w:ind w:left="720" w:hanging="720"/>
        <w:jc w:val="both"/>
      </w:pPr>
      <w:r>
        <w:rPr>
          <w:sz w:val="20"/>
          <w:szCs w:val="20"/>
        </w:rPr>
        <w:t>Diabetes UK (2022) Diabetes: Facts and Stats. London: Diabetes UK. Available at: https://www.diabetes.org.uk (Accessed: 12 March 2024).</w:t>
      </w:r>
    </w:p>
    <w:p w14:paraId="0477423F" w14:textId="77777777" w:rsidR="00ED064F" w:rsidRDefault="00000000" w:rsidP="008701D2">
      <w:pPr>
        <w:spacing w:after="120" w:line="320" w:lineRule="auto"/>
        <w:ind w:left="720" w:hanging="720"/>
        <w:jc w:val="both"/>
      </w:pPr>
      <w:r>
        <w:rPr>
          <w:sz w:val="20"/>
          <w:szCs w:val="20"/>
        </w:rPr>
        <w:t>Diabetes UK (2023) State of the Nation: England 2023. London: Diabetes UK.</w:t>
      </w:r>
    </w:p>
    <w:p w14:paraId="6E35179E" w14:textId="77777777" w:rsidR="00ED064F" w:rsidRDefault="00000000" w:rsidP="008701D2">
      <w:pPr>
        <w:spacing w:after="120" w:line="320" w:lineRule="auto"/>
        <w:ind w:left="720" w:hanging="720"/>
        <w:jc w:val="both"/>
      </w:pPr>
      <w:r>
        <w:rPr>
          <w:sz w:val="20"/>
          <w:szCs w:val="20"/>
        </w:rPr>
        <w:t>Eastwood, S.V., Mathur, R., Atkinson, M., Brophy, S., Byrne, C.D., Farmer, G., … and Chaturvedi, N. (2016) 'Algorithms for the capture and adjudication of prevalent and incident diabetes in UK Biobank', PLOS ONE, 11(9), e0162388.</w:t>
      </w:r>
    </w:p>
    <w:p w14:paraId="05D80A18" w14:textId="77777777" w:rsidR="00ED064F" w:rsidRDefault="00000000" w:rsidP="008701D2">
      <w:pPr>
        <w:spacing w:after="120" w:line="320" w:lineRule="auto"/>
        <w:ind w:left="720" w:hanging="720"/>
        <w:jc w:val="both"/>
      </w:pPr>
      <w:r>
        <w:rPr>
          <w:sz w:val="20"/>
          <w:szCs w:val="20"/>
        </w:rPr>
        <w:t>Equality and Human Rights Commission (EHRC) (2019) Landlord Discrimination in the Private Rental Sector. Manchester: EHRC.</w:t>
      </w:r>
    </w:p>
    <w:p w14:paraId="4C07EF18" w14:textId="77777777" w:rsidR="00ED064F" w:rsidRDefault="00000000" w:rsidP="008701D2">
      <w:pPr>
        <w:spacing w:after="120" w:line="320" w:lineRule="auto"/>
        <w:ind w:left="720" w:hanging="720"/>
        <w:jc w:val="both"/>
      </w:pPr>
      <w:r>
        <w:rPr>
          <w:sz w:val="20"/>
          <w:szCs w:val="20"/>
        </w:rPr>
        <w:t>GOV.UK (2023a) Ethnicity Facts and Figures: Employment. London: Cabinet Office Race Disparity Unit. Available at: https://www.ethnicity-facts-figures.service.gov.uk (Accessed: 14 March 2024).</w:t>
      </w:r>
    </w:p>
    <w:p w14:paraId="676C4448" w14:textId="77777777" w:rsidR="00ED064F" w:rsidRDefault="00000000" w:rsidP="008701D2">
      <w:pPr>
        <w:spacing w:after="120" w:line="320" w:lineRule="auto"/>
        <w:ind w:left="720" w:hanging="720"/>
        <w:jc w:val="both"/>
      </w:pPr>
      <w:r>
        <w:rPr>
          <w:sz w:val="20"/>
          <w:szCs w:val="20"/>
        </w:rPr>
        <w:t>Health Foundation (2022) Health Equity in England: The Marmot Review 10 Years On. London: The Health Foundation.</w:t>
      </w:r>
    </w:p>
    <w:p w14:paraId="3F8472D2" w14:textId="77777777" w:rsidR="00ED064F" w:rsidRDefault="00000000" w:rsidP="008701D2">
      <w:pPr>
        <w:spacing w:after="120" w:line="320" w:lineRule="auto"/>
        <w:ind w:left="720" w:hanging="720"/>
        <w:jc w:val="both"/>
      </w:pPr>
      <w:r>
        <w:rPr>
          <w:sz w:val="20"/>
          <w:szCs w:val="20"/>
        </w:rPr>
        <w:t>Health Foundation (2023) Tackling Health Inequalities: Progress and Challenges for the NHS. London: The Health Foundation.</w:t>
      </w:r>
    </w:p>
    <w:p w14:paraId="5735B502" w14:textId="77777777" w:rsidR="00ED064F" w:rsidRDefault="00000000" w:rsidP="008701D2">
      <w:pPr>
        <w:spacing w:after="120" w:line="320" w:lineRule="auto"/>
        <w:ind w:left="720" w:hanging="720"/>
        <w:jc w:val="both"/>
      </w:pPr>
      <w:r>
        <w:rPr>
          <w:sz w:val="20"/>
          <w:szCs w:val="20"/>
        </w:rPr>
        <w:t>Hex, N., Bartlett, C., Wright, D., Taylor, M. and Varley, D. (2012) 'Estimating the current and future costs of type 1 and type 2 diabetes in the UK, including direct health costs and indirect societal and productivity costs', Diabetic Medicine, 29(7), pp. 855–862.</w:t>
      </w:r>
    </w:p>
    <w:p w14:paraId="426DFBF2" w14:textId="77777777" w:rsidR="00ED064F" w:rsidRDefault="00000000" w:rsidP="008701D2">
      <w:pPr>
        <w:spacing w:after="120" w:line="320" w:lineRule="auto"/>
        <w:ind w:left="720" w:hanging="720"/>
        <w:jc w:val="both"/>
      </w:pPr>
      <w:r>
        <w:rPr>
          <w:sz w:val="20"/>
          <w:szCs w:val="20"/>
        </w:rPr>
        <w:t xml:space="preserve">International Diabetes Federation (IDF) (2021) IDF Diabetes Atlas. 10th </w:t>
      </w:r>
      <w:proofErr w:type="spellStart"/>
      <w:r>
        <w:rPr>
          <w:sz w:val="20"/>
          <w:szCs w:val="20"/>
        </w:rPr>
        <w:t>edn</w:t>
      </w:r>
      <w:proofErr w:type="spellEnd"/>
      <w:r>
        <w:rPr>
          <w:sz w:val="20"/>
          <w:szCs w:val="20"/>
        </w:rPr>
        <w:t>. Brussels: IDF.</w:t>
      </w:r>
    </w:p>
    <w:p w14:paraId="1067542D" w14:textId="77777777" w:rsidR="00ED064F" w:rsidRDefault="00000000" w:rsidP="008701D2">
      <w:pPr>
        <w:spacing w:after="120" w:line="320" w:lineRule="auto"/>
        <w:ind w:left="720" w:hanging="720"/>
        <w:jc w:val="both"/>
      </w:pPr>
      <w:r>
        <w:rPr>
          <w:sz w:val="20"/>
          <w:szCs w:val="20"/>
        </w:rPr>
        <w:lastRenderedPageBreak/>
        <w:t xml:space="preserve">Islam, N., </w:t>
      </w:r>
      <w:proofErr w:type="spellStart"/>
      <w:r>
        <w:rPr>
          <w:sz w:val="20"/>
          <w:szCs w:val="20"/>
        </w:rPr>
        <w:t>Zanowiak</w:t>
      </w:r>
      <w:proofErr w:type="spellEnd"/>
      <w:r>
        <w:rPr>
          <w:sz w:val="20"/>
          <w:szCs w:val="20"/>
        </w:rPr>
        <w:t>, J.M., Wyatt, L.C., Chun, K., Lee, L., Kwon, S.C. and Trinh-</w:t>
      </w:r>
      <w:proofErr w:type="spellStart"/>
      <w:r>
        <w:rPr>
          <w:sz w:val="20"/>
          <w:szCs w:val="20"/>
        </w:rPr>
        <w:t>Shevrin</w:t>
      </w:r>
      <w:proofErr w:type="spellEnd"/>
      <w:r>
        <w:rPr>
          <w:sz w:val="20"/>
          <w:szCs w:val="20"/>
        </w:rPr>
        <w:t>, C. (2013) 'Diabetes prevention in the New York City Sikh Asian Indian community: a pilot study', International Journal of Environmental Research and Public Health, 10(12), pp. 7338–7352.</w:t>
      </w:r>
    </w:p>
    <w:p w14:paraId="6714ECFB" w14:textId="77777777" w:rsidR="00ED064F" w:rsidRDefault="00000000" w:rsidP="008701D2">
      <w:pPr>
        <w:spacing w:after="120" w:line="320" w:lineRule="auto"/>
        <w:ind w:left="720" w:hanging="720"/>
        <w:jc w:val="both"/>
      </w:pPr>
      <w:r>
        <w:rPr>
          <w:sz w:val="20"/>
          <w:szCs w:val="20"/>
        </w:rPr>
        <w:t>Joseph Rowntree Foundation (JRF) (2022) UK Poverty 2022: The Essential Guide to Understanding Poverty in the UK. York: JRF.</w:t>
      </w:r>
    </w:p>
    <w:p w14:paraId="28D44096" w14:textId="77777777" w:rsidR="00ED064F" w:rsidRDefault="00000000" w:rsidP="008701D2">
      <w:pPr>
        <w:spacing w:after="120" w:line="320" w:lineRule="auto"/>
        <w:ind w:left="720" w:hanging="720"/>
        <w:jc w:val="both"/>
      </w:pPr>
      <w:r>
        <w:rPr>
          <w:sz w:val="20"/>
          <w:szCs w:val="20"/>
        </w:rPr>
        <w:t xml:space="preserve">Karlsen, S. and </w:t>
      </w:r>
      <w:proofErr w:type="spellStart"/>
      <w:r>
        <w:rPr>
          <w:sz w:val="20"/>
          <w:szCs w:val="20"/>
        </w:rPr>
        <w:t>Nazroo</w:t>
      </w:r>
      <w:proofErr w:type="spellEnd"/>
      <w:r>
        <w:rPr>
          <w:sz w:val="20"/>
          <w:szCs w:val="20"/>
        </w:rPr>
        <w:t>, J.Y. (2002) 'Relation between racial discrimination, social class, and health among ethnic minority groups', American Journal of Public Health, 92(4), pp. 624–631.</w:t>
      </w:r>
    </w:p>
    <w:p w14:paraId="71BE8771" w14:textId="77777777" w:rsidR="00ED064F" w:rsidRDefault="00000000" w:rsidP="008701D2">
      <w:pPr>
        <w:spacing w:after="120" w:line="320" w:lineRule="auto"/>
        <w:ind w:left="720" w:hanging="720"/>
        <w:jc w:val="both"/>
      </w:pPr>
      <w:r>
        <w:rPr>
          <w:sz w:val="20"/>
          <w:szCs w:val="20"/>
        </w:rPr>
        <w:t>Kings Fund (2020) NHS Staff from Black and Minority Ethnic Communities. London: Kings Fund.</w:t>
      </w:r>
    </w:p>
    <w:p w14:paraId="355EE8CC" w14:textId="77777777" w:rsidR="00ED064F" w:rsidRDefault="00000000" w:rsidP="008701D2">
      <w:pPr>
        <w:spacing w:after="120" w:line="320" w:lineRule="auto"/>
        <w:ind w:left="720" w:hanging="720"/>
        <w:jc w:val="both"/>
      </w:pPr>
      <w:r>
        <w:rPr>
          <w:sz w:val="20"/>
          <w:szCs w:val="20"/>
        </w:rPr>
        <w:t>Kings Fund (2021) The Cost of Diabetes to the NHS. London: Kings Fund.</w:t>
      </w:r>
    </w:p>
    <w:p w14:paraId="15159F92" w14:textId="77777777" w:rsidR="00ED064F" w:rsidRDefault="00000000" w:rsidP="008701D2">
      <w:pPr>
        <w:spacing w:after="120" w:line="320" w:lineRule="auto"/>
        <w:ind w:left="720" w:hanging="720"/>
        <w:jc w:val="both"/>
      </w:pPr>
      <w:r>
        <w:rPr>
          <w:sz w:val="20"/>
          <w:szCs w:val="20"/>
        </w:rPr>
        <w:t>Kivimäki, M., Virtanen, M., Kawachi, I., Nyberg, S.T., Alfredsson, L., Batty, G.D., … and Jokela, M. (2015) 'Long working hours, socioeconomic status, and the risk of incident type 2 diabetes: a meta-analysis of published and unpublished data from 222 120 individuals', The Lancet Diabetes &amp; Endocrinology, 3(1), pp. 27–34.</w:t>
      </w:r>
    </w:p>
    <w:p w14:paraId="7997661F" w14:textId="77777777" w:rsidR="00ED064F" w:rsidRDefault="00000000" w:rsidP="008701D2">
      <w:pPr>
        <w:spacing w:after="120" w:line="320" w:lineRule="auto"/>
        <w:ind w:left="720" w:hanging="720"/>
        <w:jc w:val="both"/>
      </w:pPr>
      <w:r>
        <w:rPr>
          <w:sz w:val="20"/>
          <w:szCs w:val="20"/>
        </w:rPr>
        <w:t>Local Government Association (LGA) (2021) Housing and Health: The Role of Local Authorities. London: LGA.</w:t>
      </w:r>
    </w:p>
    <w:p w14:paraId="4035BB68" w14:textId="77777777" w:rsidR="00ED064F" w:rsidRDefault="00000000" w:rsidP="008701D2">
      <w:pPr>
        <w:spacing w:after="120" w:line="320" w:lineRule="auto"/>
        <w:ind w:left="720" w:hanging="720"/>
        <w:jc w:val="both"/>
      </w:pPr>
      <w:r>
        <w:rPr>
          <w:sz w:val="20"/>
          <w:szCs w:val="20"/>
        </w:rPr>
        <w:t>Marmot, M. (2010) Fair Society, Healthy Lives: The Marmot Review. London: UCL Institute of Health Equity.</w:t>
      </w:r>
    </w:p>
    <w:p w14:paraId="68636044" w14:textId="77777777" w:rsidR="00ED064F" w:rsidRDefault="00000000" w:rsidP="008701D2">
      <w:pPr>
        <w:spacing w:after="120" w:line="320" w:lineRule="auto"/>
        <w:ind w:left="720" w:hanging="720"/>
        <w:jc w:val="both"/>
      </w:pPr>
      <w:r>
        <w:rPr>
          <w:sz w:val="20"/>
          <w:szCs w:val="20"/>
        </w:rPr>
        <w:t>Marmot, M., Allen, J., Boyce, T., Goldblatt, P. and Morrison, J. (2020) Health Equity in England: The Marmot Review 10 Years On. London: Institute of Health Equity.</w:t>
      </w:r>
    </w:p>
    <w:p w14:paraId="47710897" w14:textId="77777777" w:rsidR="00ED064F" w:rsidRDefault="00000000" w:rsidP="008701D2">
      <w:pPr>
        <w:spacing w:after="120" w:line="320" w:lineRule="auto"/>
        <w:ind w:left="720" w:hanging="720"/>
        <w:jc w:val="both"/>
      </w:pPr>
      <w:r>
        <w:rPr>
          <w:sz w:val="20"/>
          <w:szCs w:val="20"/>
        </w:rPr>
        <w:t>McEwen, B.S. and Seeman, T. (1999) 'Protective and damaging effects of mediators of stress: elaborating and testing the concepts of allostasis and allostatic load', Annals of the New York Academy of Sciences, 896(1), pp. 30–47.</w:t>
      </w:r>
    </w:p>
    <w:p w14:paraId="5663544F" w14:textId="77777777" w:rsidR="00ED064F" w:rsidRDefault="00000000" w:rsidP="008701D2">
      <w:pPr>
        <w:spacing w:after="120" w:line="320" w:lineRule="auto"/>
        <w:ind w:left="720" w:hanging="720"/>
        <w:jc w:val="both"/>
      </w:pPr>
      <w:r>
        <w:rPr>
          <w:sz w:val="20"/>
          <w:szCs w:val="20"/>
        </w:rPr>
        <w:t>Moore, G.F., Audrey, S., Barker, M., Bond, L., Bonell, C., Hardeman, W., … and Baird, J. (2015) 'Process evaluation of complex interventions: Medical Research Council guidance', British Medical Journal, 350, h1258.</w:t>
      </w:r>
    </w:p>
    <w:p w14:paraId="3BA6312B" w14:textId="77777777" w:rsidR="00ED064F" w:rsidRDefault="00000000" w:rsidP="008701D2">
      <w:pPr>
        <w:spacing w:after="120" w:line="320" w:lineRule="auto"/>
        <w:ind w:left="720" w:hanging="720"/>
        <w:jc w:val="both"/>
      </w:pPr>
      <w:proofErr w:type="spellStart"/>
      <w:r>
        <w:rPr>
          <w:sz w:val="20"/>
          <w:szCs w:val="20"/>
        </w:rPr>
        <w:t>Nazroo</w:t>
      </w:r>
      <w:proofErr w:type="spellEnd"/>
      <w:r>
        <w:rPr>
          <w:sz w:val="20"/>
          <w:szCs w:val="20"/>
        </w:rPr>
        <w:t>, J.Y. (2003) 'The structuring of ethnic inequalities in health: economic position, racial discrimination, and racism', American Journal of Public Health, 93(2), pp. 277–284.</w:t>
      </w:r>
    </w:p>
    <w:p w14:paraId="71B9099F" w14:textId="77777777" w:rsidR="00ED064F" w:rsidRDefault="00000000" w:rsidP="008701D2">
      <w:pPr>
        <w:spacing w:after="120" w:line="320" w:lineRule="auto"/>
        <w:ind w:left="720" w:hanging="720"/>
        <w:jc w:val="both"/>
      </w:pPr>
      <w:r>
        <w:rPr>
          <w:sz w:val="20"/>
          <w:szCs w:val="20"/>
        </w:rPr>
        <w:t>NHS Blood and Transplant (2022) Organ Donation and Transplantation Activity Report 2021/22. Bristol: NHS Blood and Transplant.</w:t>
      </w:r>
    </w:p>
    <w:p w14:paraId="62B31225" w14:textId="77777777" w:rsidR="00ED064F" w:rsidRDefault="00000000" w:rsidP="008701D2">
      <w:pPr>
        <w:spacing w:after="120" w:line="320" w:lineRule="auto"/>
        <w:ind w:left="720" w:hanging="720"/>
        <w:jc w:val="both"/>
      </w:pPr>
      <w:r>
        <w:rPr>
          <w:sz w:val="20"/>
          <w:szCs w:val="20"/>
        </w:rPr>
        <w:t>NHS Digital (2021) Health Survey for England 2019: Ethnic Minority Groups. Leeds: NHS Digital.</w:t>
      </w:r>
    </w:p>
    <w:p w14:paraId="0ACBF92D" w14:textId="77777777" w:rsidR="00ED064F" w:rsidRDefault="00000000" w:rsidP="008701D2">
      <w:pPr>
        <w:spacing w:after="120" w:line="320" w:lineRule="auto"/>
        <w:ind w:left="720" w:hanging="720"/>
        <w:jc w:val="both"/>
      </w:pPr>
      <w:r>
        <w:rPr>
          <w:sz w:val="20"/>
          <w:szCs w:val="20"/>
        </w:rPr>
        <w:t>NHS Digital (2022) National Diabetes Audit 2021–22: Report 1, Care Processes and Treatment Targets. Leeds: NHS Digital.</w:t>
      </w:r>
    </w:p>
    <w:p w14:paraId="4E22DDC2" w14:textId="77777777" w:rsidR="00ED064F" w:rsidRDefault="00000000" w:rsidP="008701D2">
      <w:pPr>
        <w:spacing w:after="120" w:line="320" w:lineRule="auto"/>
        <w:ind w:left="720" w:hanging="720"/>
        <w:jc w:val="both"/>
      </w:pPr>
      <w:r>
        <w:rPr>
          <w:sz w:val="20"/>
          <w:szCs w:val="20"/>
        </w:rPr>
        <w:t>NHS England (2019) The NHS Long Term Plan. London: NHS England.</w:t>
      </w:r>
    </w:p>
    <w:p w14:paraId="2AA22DF9" w14:textId="77777777" w:rsidR="00ED064F" w:rsidRDefault="00000000" w:rsidP="008701D2">
      <w:pPr>
        <w:spacing w:after="120" w:line="320" w:lineRule="auto"/>
        <w:ind w:left="720" w:hanging="720"/>
        <w:jc w:val="both"/>
      </w:pPr>
      <w:r>
        <w:rPr>
          <w:sz w:val="20"/>
          <w:szCs w:val="20"/>
        </w:rPr>
        <w:t>NHS England (2020) Getting It Right First Time: Diabetes. London: NHS England.</w:t>
      </w:r>
    </w:p>
    <w:p w14:paraId="2ACA82C6" w14:textId="77777777" w:rsidR="00ED064F" w:rsidRDefault="00000000" w:rsidP="008701D2">
      <w:pPr>
        <w:spacing w:after="120" w:line="320" w:lineRule="auto"/>
        <w:ind w:left="720" w:hanging="720"/>
        <w:jc w:val="both"/>
      </w:pPr>
      <w:r>
        <w:rPr>
          <w:sz w:val="20"/>
          <w:szCs w:val="20"/>
        </w:rPr>
        <w:t>NHS England (2021) Core20PLUS5: An Approach to Support the NHS in Reducing Health Inequalities. London: NHS England.</w:t>
      </w:r>
    </w:p>
    <w:p w14:paraId="3607AD30" w14:textId="77777777" w:rsidR="00ED064F" w:rsidRDefault="00000000" w:rsidP="008701D2">
      <w:pPr>
        <w:spacing w:after="120" w:line="320" w:lineRule="auto"/>
        <w:ind w:left="720" w:hanging="720"/>
        <w:jc w:val="both"/>
      </w:pPr>
      <w:r>
        <w:rPr>
          <w:sz w:val="20"/>
          <w:szCs w:val="20"/>
        </w:rPr>
        <w:t>NHS England (2022) NHS Diabetes Prevention Programme: Year 6 Progress Update. London: NHS England.</w:t>
      </w:r>
    </w:p>
    <w:p w14:paraId="5F8BDA4F" w14:textId="77777777" w:rsidR="00ED064F" w:rsidRDefault="00000000" w:rsidP="008701D2">
      <w:pPr>
        <w:spacing w:after="120" w:line="320" w:lineRule="auto"/>
        <w:ind w:left="720" w:hanging="720"/>
        <w:jc w:val="both"/>
      </w:pPr>
      <w:r>
        <w:rPr>
          <w:sz w:val="20"/>
          <w:szCs w:val="20"/>
        </w:rPr>
        <w:lastRenderedPageBreak/>
        <w:t>NHS England (2023) Mental Health Dashboard. London: NHS England.</w:t>
      </w:r>
    </w:p>
    <w:p w14:paraId="1342FAAB" w14:textId="77777777" w:rsidR="00ED064F" w:rsidRDefault="00000000" w:rsidP="008701D2">
      <w:pPr>
        <w:spacing w:after="120" w:line="320" w:lineRule="auto"/>
        <w:ind w:left="720" w:hanging="720"/>
        <w:jc w:val="both"/>
      </w:pPr>
      <w:r>
        <w:rPr>
          <w:sz w:val="20"/>
          <w:szCs w:val="20"/>
        </w:rPr>
        <w:t>NHS Race and Health Observatory (NHSRHO) (2022) Ethnic Health Inequalities and the NHS. London: NHSRHO.</w:t>
      </w:r>
    </w:p>
    <w:p w14:paraId="0B97302A" w14:textId="77777777" w:rsidR="00ED064F" w:rsidRDefault="00000000" w:rsidP="008701D2">
      <w:pPr>
        <w:spacing w:after="120" w:line="320" w:lineRule="auto"/>
        <w:ind w:left="720" w:hanging="720"/>
        <w:jc w:val="both"/>
      </w:pPr>
      <w:r>
        <w:rPr>
          <w:sz w:val="20"/>
          <w:szCs w:val="20"/>
        </w:rPr>
        <w:t>NICE (2014) Preventing Type 2 Diabetes: Risk Identification and Interventions for Individuals at High Risk (PH38 updated). London: National Institute for Health and Care Excellence.</w:t>
      </w:r>
    </w:p>
    <w:p w14:paraId="421F7E05" w14:textId="77777777" w:rsidR="00ED064F" w:rsidRDefault="00000000" w:rsidP="008701D2">
      <w:pPr>
        <w:spacing w:after="120" w:line="320" w:lineRule="auto"/>
        <w:ind w:left="720" w:hanging="720"/>
        <w:jc w:val="both"/>
      </w:pPr>
      <w:r>
        <w:rPr>
          <w:sz w:val="20"/>
          <w:szCs w:val="20"/>
        </w:rPr>
        <w:t>Office for Health Improvement and Disparities (OHID) (2023) Public Health Profiles: Tower Hamlets. London: OHID. Available at: https://fingertips.phe.org.uk (Accessed: 15 March 2024).</w:t>
      </w:r>
    </w:p>
    <w:p w14:paraId="4D325996" w14:textId="77777777" w:rsidR="00ED064F" w:rsidRDefault="00000000" w:rsidP="008701D2">
      <w:pPr>
        <w:spacing w:after="120" w:line="320" w:lineRule="auto"/>
        <w:ind w:left="720" w:hanging="720"/>
        <w:jc w:val="both"/>
      </w:pPr>
      <w:r>
        <w:rPr>
          <w:sz w:val="20"/>
          <w:szCs w:val="20"/>
        </w:rPr>
        <w:t>Office for National Statistics (ONS) (2020) Adult Smoking Habits in the UK: 2019. Newport: ONS.</w:t>
      </w:r>
    </w:p>
    <w:p w14:paraId="1FA3AC2E" w14:textId="77777777" w:rsidR="00ED064F" w:rsidRDefault="00000000" w:rsidP="008701D2">
      <w:pPr>
        <w:spacing w:after="120" w:line="320" w:lineRule="auto"/>
        <w:ind w:left="720" w:hanging="720"/>
        <w:jc w:val="both"/>
      </w:pPr>
      <w:r>
        <w:rPr>
          <w:sz w:val="20"/>
          <w:szCs w:val="20"/>
        </w:rPr>
        <w:t>Office for National Statistics (ONS) (2022a) Census 2021: Ethnic Group, England and Wales. Newport: ONS.</w:t>
      </w:r>
    </w:p>
    <w:p w14:paraId="65112EA2" w14:textId="77777777" w:rsidR="00ED064F" w:rsidRDefault="00000000" w:rsidP="008701D2">
      <w:pPr>
        <w:spacing w:after="120" w:line="320" w:lineRule="auto"/>
        <w:ind w:left="720" w:hanging="720"/>
        <w:jc w:val="both"/>
      </w:pPr>
      <w:r>
        <w:rPr>
          <w:sz w:val="20"/>
          <w:szCs w:val="20"/>
        </w:rPr>
        <w:t>Office for National Statistics (ONS) (2022b) Household Income Inequality, UK: Financial Year Ending 2022. Newport: ONS.</w:t>
      </w:r>
    </w:p>
    <w:p w14:paraId="5F36F975" w14:textId="77777777" w:rsidR="00ED064F" w:rsidRDefault="00000000" w:rsidP="008701D2">
      <w:pPr>
        <w:spacing w:after="120" w:line="320" w:lineRule="auto"/>
        <w:ind w:left="720" w:hanging="720"/>
        <w:jc w:val="both"/>
      </w:pPr>
      <w:r>
        <w:rPr>
          <w:sz w:val="20"/>
          <w:szCs w:val="20"/>
        </w:rPr>
        <w:t>Public Health England (PHE) (2017) BMI and Waist Circumference: Clinical Guidance for South Asian, Chinese, Other Asian, Black African, African-Caribbean and Other Black Groups. London: PHE.</w:t>
      </w:r>
    </w:p>
    <w:p w14:paraId="5B0CD9F7" w14:textId="77777777" w:rsidR="00ED064F" w:rsidRDefault="00000000" w:rsidP="008701D2">
      <w:pPr>
        <w:spacing w:after="120" w:line="320" w:lineRule="auto"/>
        <w:ind w:left="720" w:hanging="720"/>
        <w:jc w:val="both"/>
      </w:pPr>
      <w:r>
        <w:rPr>
          <w:sz w:val="20"/>
          <w:szCs w:val="20"/>
        </w:rPr>
        <w:t>Public Health England (PHE) (2020a) COVID-19: Understanding the Impact on BAME Communities. London: PHE.</w:t>
      </w:r>
    </w:p>
    <w:p w14:paraId="1712B81E" w14:textId="77777777" w:rsidR="00ED064F" w:rsidRDefault="00000000" w:rsidP="008701D2">
      <w:pPr>
        <w:spacing w:after="120" w:line="320" w:lineRule="auto"/>
        <w:ind w:left="720" w:hanging="720"/>
        <w:jc w:val="both"/>
      </w:pPr>
      <w:r>
        <w:rPr>
          <w:sz w:val="20"/>
          <w:szCs w:val="20"/>
        </w:rPr>
        <w:t>Public Health England (PHE) (2020b) NHS Diabetes Prevention Programme: Evaluation Report. London: PHE.</w:t>
      </w:r>
    </w:p>
    <w:p w14:paraId="442E1324" w14:textId="77777777" w:rsidR="00ED064F" w:rsidRDefault="00000000" w:rsidP="008701D2">
      <w:pPr>
        <w:spacing w:after="120" w:line="320" w:lineRule="auto"/>
        <w:ind w:left="720" w:hanging="720"/>
        <w:jc w:val="both"/>
      </w:pPr>
      <w:r>
        <w:rPr>
          <w:sz w:val="20"/>
          <w:szCs w:val="20"/>
        </w:rPr>
        <w:t>Runnymede Trust (2020) The Colour of Money: Black, Asian and Minority Ethnic People and COVID-19. London: Runnymede Trust.</w:t>
      </w:r>
    </w:p>
    <w:p w14:paraId="36A1276B" w14:textId="77777777" w:rsidR="00ED064F" w:rsidRDefault="00000000" w:rsidP="008701D2">
      <w:pPr>
        <w:spacing w:after="120" w:line="320" w:lineRule="auto"/>
        <w:ind w:left="720" w:hanging="720"/>
        <w:jc w:val="both"/>
      </w:pPr>
      <w:r>
        <w:rPr>
          <w:sz w:val="20"/>
          <w:szCs w:val="20"/>
        </w:rPr>
        <w:t>Runnymede Trust (2023) About Runnymede: Mission, Goals and Work. London: Runnymede Trust. Available at: https://www.runnymedetrust.org (Accessed: 11 March 2024).</w:t>
      </w:r>
    </w:p>
    <w:p w14:paraId="5F71F774" w14:textId="77777777" w:rsidR="00ED064F" w:rsidRDefault="00000000" w:rsidP="008701D2">
      <w:pPr>
        <w:spacing w:after="120" w:line="320" w:lineRule="auto"/>
        <w:ind w:left="720" w:hanging="720"/>
        <w:jc w:val="both"/>
      </w:pPr>
      <w:r>
        <w:rPr>
          <w:sz w:val="20"/>
          <w:szCs w:val="20"/>
        </w:rPr>
        <w:t>Seligman, H.K., Laraia, B.A. and Kushel, M.B. (2012) 'Food insecurity is associated with chronic disease among low-income NHANES participants', The Journal of Nutrition, 140(2), pp. 304–310.</w:t>
      </w:r>
    </w:p>
    <w:p w14:paraId="322F1733" w14:textId="77777777" w:rsidR="00ED064F" w:rsidRDefault="00000000" w:rsidP="008701D2">
      <w:pPr>
        <w:spacing w:after="120" w:line="320" w:lineRule="auto"/>
        <w:ind w:left="720" w:hanging="720"/>
        <w:jc w:val="both"/>
      </w:pPr>
      <w:r>
        <w:rPr>
          <w:sz w:val="20"/>
          <w:szCs w:val="20"/>
        </w:rPr>
        <w:t>Tower Hamlets Council (2022) Joint Strategic Needs Assessment 2022: Diabetes and Cardiovascular Disease. London: Tower Hamlets Council.</w:t>
      </w:r>
    </w:p>
    <w:p w14:paraId="5399D53F" w14:textId="77777777" w:rsidR="00ED064F" w:rsidRDefault="00000000" w:rsidP="008701D2">
      <w:pPr>
        <w:spacing w:after="120" w:line="320" w:lineRule="auto"/>
        <w:ind w:left="720" w:hanging="720"/>
        <w:jc w:val="both"/>
      </w:pPr>
      <w:r>
        <w:rPr>
          <w:sz w:val="20"/>
          <w:szCs w:val="20"/>
        </w:rPr>
        <w:t>Trust for London (2023) Poverty in London: 2023. London: Trust for London. Available at: https://www.trustforlondon.org.uk (Accessed: 14 March 2024).</w:t>
      </w:r>
    </w:p>
    <w:p w14:paraId="4F96A3EF" w14:textId="77777777" w:rsidR="00ED064F" w:rsidRDefault="00000000" w:rsidP="008701D2">
      <w:pPr>
        <w:spacing w:after="120" w:line="320" w:lineRule="auto"/>
        <w:ind w:left="720" w:hanging="720"/>
        <w:jc w:val="both"/>
      </w:pPr>
      <w:r>
        <w:rPr>
          <w:sz w:val="20"/>
          <w:szCs w:val="20"/>
        </w:rPr>
        <w:t xml:space="preserve">Williams, D.R. and Mohammed, S.A. (2009) 'Discrimination and racial disparities in health: evidence and needed research', Journal of </w:t>
      </w:r>
      <w:proofErr w:type="spellStart"/>
      <w:r>
        <w:rPr>
          <w:sz w:val="20"/>
          <w:szCs w:val="20"/>
        </w:rPr>
        <w:t>Behavioral</w:t>
      </w:r>
      <w:proofErr w:type="spellEnd"/>
      <w:r>
        <w:rPr>
          <w:sz w:val="20"/>
          <w:szCs w:val="20"/>
        </w:rPr>
        <w:t xml:space="preserve"> Medicine, 32(1), pp. 20–47.</w:t>
      </w:r>
    </w:p>
    <w:p w14:paraId="611BDDB1" w14:textId="77777777" w:rsidR="00ED064F" w:rsidRDefault="00000000" w:rsidP="008701D2">
      <w:pPr>
        <w:spacing w:after="120" w:line="320" w:lineRule="auto"/>
        <w:ind w:left="720" w:hanging="720"/>
        <w:jc w:val="both"/>
      </w:pPr>
      <w:r>
        <w:rPr>
          <w:sz w:val="20"/>
          <w:szCs w:val="20"/>
        </w:rPr>
        <w:t>World Health Organisation (WHO) (2023) Diabetes: Key Facts. Geneva: WHO. Available at: https://www.who.int/news-room/fact-sheets/detail/diabetes (Accessed: 10 March 2024).</w:t>
      </w:r>
    </w:p>
    <w:sectPr w:rsidR="00ED064F">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1F379" w14:textId="77777777" w:rsidR="009C7E7B" w:rsidRDefault="009C7E7B" w:rsidP="00DD22AD">
      <w:r>
        <w:separator/>
      </w:r>
    </w:p>
  </w:endnote>
  <w:endnote w:type="continuationSeparator" w:id="0">
    <w:p w14:paraId="470DC99B" w14:textId="77777777" w:rsidR="009C7E7B" w:rsidRDefault="009C7E7B" w:rsidP="00DD2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CE229" w14:textId="77777777" w:rsidR="009C7E7B" w:rsidRDefault="009C7E7B" w:rsidP="00DD22AD">
      <w:r>
        <w:separator/>
      </w:r>
    </w:p>
  </w:footnote>
  <w:footnote w:type="continuationSeparator" w:id="0">
    <w:p w14:paraId="2D6E4A08" w14:textId="77777777" w:rsidR="009C7E7B" w:rsidRDefault="009C7E7B" w:rsidP="00DD2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51096"/>
    <w:multiLevelType w:val="hybridMultilevel"/>
    <w:tmpl w:val="B69650D8"/>
    <w:lvl w:ilvl="0" w:tplc="E39C8C6A">
      <w:start w:val="1"/>
      <w:numFmt w:val="bullet"/>
      <w:lvlText w:val="●"/>
      <w:lvlJc w:val="left"/>
      <w:pPr>
        <w:ind w:left="720" w:hanging="360"/>
      </w:pPr>
    </w:lvl>
    <w:lvl w:ilvl="1" w:tplc="21528E04">
      <w:start w:val="1"/>
      <w:numFmt w:val="bullet"/>
      <w:lvlText w:val="○"/>
      <w:lvlJc w:val="left"/>
      <w:pPr>
        <w:ind w:left="1440" w:hanging="360"/>
      </w:pPr>
    </w:lvl>
    <w:lvl w:ilvl="2" w:tplc="A740BBB8">
      <w:start w:val="1"/>
      <w:numFmt w:val="bullet"/>
      <w:lvlText w:val="■"/>
      <w:lvlJc w:val="left"/>
      <w:pPr>
        <w:ind w:left="2160" w:hanging="360"/>
      </w:pPr>
    </w:lvl>
    <w:lvl w:ilvl="3" w:tplc="276494E8">
      <w:start w:val="1"/>
      <w:numFmt w:val="bullet"/>
      <w:lvlText w:val="●"/>
      <w:lvlJc w:val="left"/>
      <w:pPr>
        <w:ind w:left="2880" w:hanging="360"/>
      </w:pPr>
    </w:lvl>
    <w:lvl w:ilvl="4" w:tplc="0E4CBB04">
      <w:start w:val="1"/>
      <w:numFmt w:val="bullet"/>
      <w:lvlText w:val="○"/>
      <w:lvlJc w:val="left"/>
      <w:pPr>
        <w:ind w:left="3600" w:hanging="360"/>
      </w:pPr>
    </w:lvl>
    <w:lvl w:ilvl="5" w:tplc="03C88BF8">
      <w:start w:val="1"/>
      <w:numFmt w:val="bullet"/>
      <w:lvlText w:val="■"/>
      <w:lvlJc w:val="left"/>
      <w:pPr>
        <w:ind w:left="4320" w:hanging="360"/>
      </w:pPr>
    </w:lvl>
    <w:lvl w:ilvl="6" w:tplc="516AB75C">
      <w:start w:val="1"/>
      <w:numFmt w:val="bullet"/>
      <w:lvlText w:val="●"/>
      <w:lvlJc w:val="left"/>
      <w:pPr>
        <w:ind w:left="5040" w:hanging="360"/>
      </w:pPr>
    </w:lvl>
    <w:lvl w:ilvl="7" w:tplc="B6824C02">
      <w:start w:val="1"/>
      <w:numFmt w:val="bullet"/>
      <w:lvlText w:val="●"/>
      <w:lvlJc w:val="left"/>
      <w:pPr>
        <w:ind w:left="5760" w:hanging="360"/>
      </w:pPr>
    </w:lvl>
    <w:lvl w:ilvl="8" w:tplc="57AE04E4">
      <w:start w:val="1"/>
      <w:numFmt w:val="bullet"/>
      <w:lvlText w:val="●"/>
      <w:lvlJc w:val="left"/>
      <w:pPr>
        <w:ind w:left="6480" w:hanging="360"/>
      </w:pPr>
    </w:lvl>
  </w:abstractNum>
  <w:num w:numId="1" w16cid:durableId="186312881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064F"/>
    <w:rsid w:val="001C37AA"/>
    <w:rsid w:val="002273A5"/>
    <w:rsid w:val="00330EAD"/>
    <w:rsid w:val="00335014"/>
    <w:rsid w:val="007E40F2"/>
    <w:rsid w:val="008701D2"/>
    <w:rsid w:val="00887F59"/>
    <w:rsid w:val="009C7E7B"/>
    <w:rsid w:val="00A15707"/>
    <w:rsid w:val="00BD38B7"/>
    <w:rsid w:val="00CD6E84"/>
    <w:rsid w:val="00DD0584"/>
    <w:rsid w:val="00DD22AD"/>
    <w:rsid w:val="00ED064F"/>
    <w:rsid w:val="00FE0A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659EE"/>
  <w15:docId w15:val="{40ABE684-9F09-4FF5-A242-5C19069E7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00"/>
      <w:outlineLvl w:val="0"/>
    </w:pPr>
    <w:rPr>
      <w:b/>
      <w:bCs/>
      <w:color w:val="1F3864"/>
      <w:sz w:val="28"/>
      <w:szCs w:val="28"/>
    </w:rPr>
  </w:style>
  <w:style w:type="paragraph" w:styleId="Heading2">
    <w:name w:val="heading 2"/>
    <w:uiPriority w:val="9"/>
    <w:unhideWhenUsed/>
    <w:qFormat/>
    <w:pPr>
      <w:spacing w:before="240" w:after="160"/>
      <w:outlineLvl w:val="1"/>
    </w:pPr>
    <w:rPr>
      <w:b/>
      <w:bCs/>
      <w:color w:val="2E5C8A"/>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IntenseQuote">
    <w:name w:val="Intense Quote"/>
    <w:basedOn w:val="Normal"/>
    <w:next w:val="Normal"/>
    <w:link w:val="IntenseQuoteChar"/>
    <w:uiPriority w:val="30"/>
    <w:qFormat/>
    <w:rsid w:val="00330EAD"/>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330EAD"/>
    <w:rPr>
      <w:i/>
      <w:iCs/>
      <w:color w:val="156082" w:themeColor="accent1"/>
    </w:rPr>
  </w:style>
  <w:style w:type="paragraph" w:styleId="Header">
    <w:name w:val="header"/>
    <w:basedOn w:val="Normal"/>
    <w:link w:val="HeaderChar"/>
    <w:uiPriority w:val="99"/>
    <w:unhideWhenUsed/>
    <w:rsid w:val="00DD22AD"/>
    <w:pPr>
      <w:tabs>
        <w:tab w:val="center" w:pos="4513"/>
        <w:tab w:val="right" w:pos="9026"/>
      </w:tabs>
    </w:pPr>
  </w:style>
  <w:style w:type="character" w:customStyle="1" w:styleId="HeaderChar">
    <w:name w:val="Header Char"/>
    <w:basedOn w:val="DefaultParagraphFont"/>
    <w:link w:val="Header"/>
    <w:uiPriority w:val="99"/>
    <w:rsid w:val="00DD22AD"/>
  </w:style>
  <w:style w:type="paragraph" w:styleId="Footer">
    <w:name w:val="footer"/>
    <w:basedOn w:val="Normal"/>
    <w:link w:val="FooterChar"/>
    <w:uiPriority w:val="99"/>
    <w:unhideWhenUsed/>
    <w:rsid w:val="00DD22AD"/>
    <w:pPr>
      <w:tabs>
        <w:tab w:val="center" w:pos="4513"/>
        <w:tab w:val="right" w:pos="9026"/>
      </w:tabs>
    </w:pPr>
  </w:style>
  <w:style w:type="character" w:customStyle="1" w:styleId="FooterChar">
    <w:name w:val="Footer Char"/>
    <w:basedOn w:val="DefaultParagraphFont"/>
    <w:link w:val="Footer"/>
    <w:uiPriority w:val="99"/>
    <w:rsid w:val="00DD2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14</Pages>
  <Words>5100</Words>
  <Characters>29070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Ardra Sudhan</cp:lastModifiedBy>
  <cp:revision>7</cp:revision>
  <dcterms:created xsi:type="dcterms:W3CDTF">2026-04-27T13:54:00Z</dcterms:created>
  <dcterms:modified xsi:type="dcterms:W3CDTF">2026-04-30T18:29:00Z</dcterms:modified>
</cp:coreProperties>
</file>