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rFonts w:ascii="Arial" w:cs="Arial" w:eastAsia="Arial" w:hAnsi="Arial"/>
          <w:b w:val="1"/>
          <w:bCs w:val="1"/>
          <w:i w:val="1"/>
          <w:iCs w:val="1"/>
          <w:color w:val="000000"/>
          <w:sz w:val="24"/>
          <w:szCs w:val="24"/>
        </w:rPr>
      </w:pPr>
      <w:bookmarkStart w:colFirst="0" w:colLast="0" w:name="_heading=h.tbn8fvv9j4g7" w:id="0"/>
      <w:bookmarkEnd w:id="0"/>
      <w:r w:rsidDel="00000000" w:rsidR="00000000" w:rsidRPr="00000000">
        <w:rPr>
          <w:rFonts w:ascii="Arial" w:cs="Arial" w:eastAsia="Arial" w:hAnsi="Arial"/>
          <w:b w:val="1"/>
          <w:bCs w:val="1"/>
          <w:i w:val="1"/>
          <w:iCs w:val="1"/>
          <w:color w:val="000000"/>
          <w:sz w:val="24"/>
          <w:szCs w:val="24"/>
          <w:rtl w:val="0"/>
        </w:rPr>
        <w:t xml:space="preserve">Using Psychological Theories to Support Older Adults with Psychological Conditions in Dementia Care Homes</w:t>
      </w:r>
    </w:p>
    <w:p w:rsidR="00000000" w:rsidDel="00000000" w:rsidP="00000000" w:rsidRDefault="00000000" w:rsidRPr="00000000" w14:paraId="00000002">
      <w:pPr>
        <w:pStyle w:val="Title"/>
        <w:rPr>
          <w:rFonts w:ascii="Arial" w:cs="Arial" w:eastAsia="Arial" w:hAnsi="Arial"/>
          <w:b w:val="1"/>
          <w:bCs w:val="1"/>
          <w:i w:val="1"/>
          <w:iCs w:val="1"/>
          <w:color w:val="000000"/>
          <w:sz w:val="24"/>
          <w:szCs w:val="24"/>
        </w:rPr>
      </w:pPr>
      <w:bookmarkStart w:colFirst="0" w:colLast="0" w:name="_heading=h.3ee7pngwazzy" w:id="1"/>
      <w:bookmarkEnd w:id="1"/>
      <w:r w:rsidDel="00000000" w:rsidR="00000000" w:rsidRPr="00000000">
        <w:rPr>
          <w:rFonts w:ascii="Arial" w:cs="Arial" w:eastAsia="Arial" w:hAnsi="Arial"/>
          <w:b w:val="1"/>
          <w:bCs w:val="1"/>
          <w:i w:val="1"/>
          <w:iCs w:val="1"/>
          <w:color w:val="000000"/>
          <w:sz w:val="24"/>
          <w:szCs w:val="24"/>
          <w:rtl w:val="0"/>
        </w:rPr>
        <w:t xml:space="preserve">Introduction</w:t>
      </w:r>
    </w:p>
    <w:p w:rsidR="00000000" w:rsidDel="00000000" w:rsidP="00000000" w:rsidRDefault="00000000" w:rsidRPr="00000000" w14:paraId="00000003">
      <w:pPr>
        <w:pStyle w:val="Title"/>
        <w:rPr>
          <w:rFonts w:ascii="Arial" w:cs="Arial" w:eastAsia="Arial" w:hAnsi="Arial"/>
          <w:b w:val="1"/>
          <w:bCs w:val="1"/>
          <w:i w:val="1"/>
          <w:iCs w:val="1"/>
          <w:color w:val="000000"/>
          <w:sz w:val="24"/>
          <w:szCs w:val="24"/>
        </w:rPr>
      </w:pPr>
      <w:bookmarkStart w:colFirst="0" w:colLast="0" w:name="_heading=h.9tpgvkxpp6wt" w:id="2"/>
      <w:bookmarkEnd w:id="2"/>
      <w:r w:rsidDel="00000000" w:rsidR="00000000" w:rsidRPr="00000000">
        <w:rPr>
          <w:rFonts w:ascii="Arial" w:cs="Arial" w:eastAsia="Arial" w:hAnsi="Arial"/>
          <w:b w:val="1"/>
          <w:bCs w:val="1"/>
          <w:i w:val="1"/>
          <w:iCs w:val="1"/>
          <w:color w:val="000000"/>
          <w:sz w:val="24"/>
          <w:szCs w:val="24"/>
          <w:rtl w:val="0"/>
        </w:rPr>
        <w:t xml:space="preserve">The  population within the world is getting older , this would  mean that  there are more individuals  aged 65 and over who require  health and social care. Numerous senior individuals that  face mental health issues such as  dementia, depression, anxiety, and loneliness. Dementia  in care homes is frequent which impacts  how individuals  think, feel, and perform. These alterations  can make it demanding  for them to stay self-reliant and feel like themselves, this decreases  their health and wellbeing. It’s essential to sustain  assistance to facilitate better lives.</w:t>
      </w:r>
    </w:p>
    <w:p w:rsidR="00000000" w:rsidDel="00000000" w:rsidP="00000000" w:rsidRDefault="00000000" w:rsidRPr="00000000" w14:paraId="00000004">
      <w:pPr>
        <w:pStyle w:val="Title"/>
        <w:rPr>
          <w:rFonts w:ascii="Arial" w:cs="Arial" w:eastAsia="Arial" w:hAnsi="Arial"/>
          <w:b w:val="1"/>
          <w:bCs w:val="1"/>
          <w:i w:val="1"/>
          <w:iCs w:val="1"/>
          <w:color w:val="000000"/>
          <w:sz w:val="24"/>
          <w:szCs w:val="24"/>
        </w:rPr>
      </w:pPr>
      <w:bookmarkStart w:colFirst="0" w:colLast="0" w:name="_heading=h.1hppub5rlnfh" w:id="3"/>
      <w:bookmarkEnd w:id="3"/>
      <w:r w:rsidDel="00000000" w:rsidR="00000000" w:rsidRPr="00000000">
        <w:rPr>
          <w:rFonts w:ascii="Arial" w:cs="Arial" w:eastAsia="Arial" w:hAnsi="Arial"/>
          <w:b w:val="1"/>
          <w:bCs w:val="1"/>
          <w:i w:val="1"/>
          <w:iCs w:val="1"/>
          <w:color w:val="000000"/>
          <w:sz w:val="24"/>
          <w:szCs w:val="24"/>
          <w:rtl w:val="0"/>
        </w:rPr>
        <w:t xml:space="preserve">Understanding human actions and development during life are crucial in psychological theories, especially in the context of aging. In Healthcare, these theories clarify  on how aging influences behaviour, social bond and  emotional well-being. By implementing these theories, professionals can enhance understanding  the exceptional  needs of older individuals, permitting them to generate successful , person- oriented  approaches for advocates.  This eventually strengthens  the standard of care provided to older adults, , advancing  more nutritious , blissful  lives.</w:t>
      </w:r>
    </w:p>
    <w:p w:rsidR="00000000" w:rsidDel="00000000" w:rsidP="00000000" w:rsidRDefault="00000000" w:rsidRPr="00000000" w14:paraId="00000005">
      <w:pPr>
        <w:pStyle w:val="Title"/>
        <w:rPr>
          <w:rFonts w:ascii="Arial" w:cs="Arial" w:eastAsia="Arial" w:hAnsi="Arial"/>
          <w:b w:val="1"/>
          <w:bCs w:val="1"/>
          <w:i w:val="1"/>
          <w:iCs w:val="1"/>
          <w:color w:val="000000"/>
          <w:sz w:val="24"/>
          <w:szCs w:val="24"/>
        </w:rPr>
      </w:pPr>
      <w:bookmarkStart w:colFirst="0" w:colLast="0" w:name="_heading=h.b77uxvo348kl" w:id="4"/>
      <w:bookmarkEnd w:id="4"/>
      <w:r w:rsidDel="00000000" w:rsidR="00000000" w:rsidRPr="00000000">
        <w:rPr>
          <w:rFonts w:ascii="Arial" w:cs="Arial" w:eastAsia="Arial" w:hAnsi="Arial"/>
          <w:b w:val="1"/>
          <w:bCs w:val="1"/>
          <w:i w:val="1"/>
          <w:iCs w:val="1"/>
          <w:color w:val="000000"/>
          <w:sz w:val="24"/>
          <w:szCs w:val="24"/>
          <w:rtl w:val="0"/>
        </w:rPr>
        <w:t xml:space="preserve">This report enquires  two significant  psychological theories applicable  to adults that are older : Erikson’s Psychosocial Development Theory and Maslow’s Hierarchy of Needs. It defines  how these theories can be implemented  in dementia care homes to improve the person centred care  of individuals  aged 65 and over encountering  psychological health provisions.  Moreover , the report examines realistic approaches  that health care  professionals can enforce  and identifies  prospective objections in administering  these theories in health and social care surroundings , which guarantees  a comprehensive  approach to reinforce  adults that are older  mental health needs successfully</w:t>
      </w:r>
    </w:p>
    <w:p w:rsidR="00000000" w:rsidDel="00000000" w:rsidP="00000000" w:rsidRDefault="00000000" w:rsidRPr="00000000" w14:paraId="00000006">
      <w:pPr>
        <w:pStyle w:val="Title"/>
        <w:rPr>
          <w:rFonts w:ascii="Arial" w:cs="Arial" w:eastAsia="Arial" w:hAnsi="Arial"/>
          <w:b w:val="1"/>
          <w:bCs w:val="1"/>
          <w:i w:val="1"/>
          <w:iCs w:val="1"/>
          <w:color w:val="000000"/>
          <w:sz w:val="24"/>
          <w:szCs w:val="24"/>
        </w:rPr>
      </w:pPr>
      <w:bookmarkStart w:colFirst="0" w:colLast="0" w:name="_heading=h.q3kf54n47j4p" w:id="5"/>
      <w:bookmarkEnd w:id="5"/>
      <w:r w:rsidDel="00000000" w:rsidR="00000000" w:rsidRPr="00000000">
        <w:rPr>
          <w:rFonts w:ascii="Arial" w:cs="Arial" w:eastAsia="Arial" w:hAnsi="Arial"/>
          <w:b w:val="1"/>
          <w:bCs w:val="1"/>
          <w:i w:val="1"/>
          <w:iCs w:val="1"/>
          <w:color w:val="000000"/>
          <w:sz w:val="24"/>
          <w:szCs w:val="24"/>
          <w:rtl w:val="0"/>
        </w:rPr>
        <w:t xml:space="preserve">Erikson’s Psychosocial Development Theory</w:t>
      </w:r>
    </w:p>
    <w:p w:rsidR="00000000" w:rsidDel="00000000" w:rsidP="00000000" w:rsidRDefault="00000000" w:rsidRPr="00000000" w14:paraId="00000007">
      <w:pPr>
        <w:pStyle w:val="Title"/>
        <w:rPr>
          <w:rFonts w:ascii="Arial" w:cs="Arial" w:eastAsia="Arial" w:hAnsi="Arial"/>
          <w:b w:val="1"/>
          <w:bCs w:val="1"/>
          <w:i w:val="1"/>
          <w:iCs w:val="1"/>
          <w:color w:val="000000"/>
          <w:sz w:val="24"/>
          <w:szCs w:val="24"/>
        </w:rPr>
      </w:pPr>
      <w:bookmarkStart w:colFirst="0" w:colLast="0" w:name="_heading=h.sj984mte8z3a" w:id="6"/>
      <w:bookmarkEnd w:id="6"/>
      <w:r w:rsidDel="00000000" w:rsidR="00000000" w:rsidRPr="00000000">
        <w:rPr>
          <w:rFonts w:ascii="Arial" w:cs="Arial" w:eastAsia="Arial" w:hAnsi="Arial"/>
          <w:b w:val="1"/>
          <w:bCs w:val="1"/>
          <w:i w:val="1"/>
          <w:iCs w:val="1"/>
          <w:color w:val="000000"/>
          <w:sz w:val="24"/>
          <w:szCs w:val="24"/>
          <w:rtl w:val="0"/>
        </w:rPr>
        <w:t xml:space="preserve">Erik Erikson’s views on psychosocial development shows eight different stages that indicate key challenges that individuals go through in their lives. Each stage is imperative for building a healthy identity and  wellbeing. The last stage, happening in late adulthood, creates the challenges between honesty and despair. At this point, individuals reflect on their lives, wanting fulfillment and seeking wisdom. Successfully going through  this conflict leads to integrity, while  issues that are yet to be resolved  may consequently lead to emotions of despair.This is known as the conflict between integrity and despair (Erikson, 1982).</w:t>
      </w:r>
    </w:p>
    <w:p w:rsidR="00000000" w:rsidDel="00000000" w:rsidP="00000000" w:rsidRDefault="00000000" w:rsidRPr="00000000" w14:paraId="00000008">
      <w:pPr>
        <w:pStyle w:val="Title"/>
        <w:rPr>
          <w:rFonts w:ascii="Arial" w:cs="Arial" w:eastAsia="Arial" w:hAnsi="Arial"/>
          <w:b w:val="1"/>
          <w:bCs w:val="1"/>
          <w:i w:val="1"/>
          <w:iCs w:val="1"/>
          <w:color w:val="000000"/>
          <w:sz w:val="24"/>
          <w:szCs w:val="24"/>
        </w:rPr>
      </w:pPr>
      <w:bookmarkStart w:colFirst="0" w:colLast="0" w:name="_heading=h.mmgwdnjcovwx" w:id="7"/>
      <w:bookmarkEnd w:id="7"/>
      <w:r w:rsidDel="00000000" w:rsidR="00000000" w:rsidRPr="00000000">
        <w:rPr>
          <w:rtl w:val="0"/>
        </w:rPr>
      </w:r>
    </w:p>
    <w:p w:rsidR="00000000" w:rsidDel="00000000" w:rsidP="00000000" w:rsidRDefault="00000000" w:rsidRPr="00000000" w14:paraId="00000009">
      <w:pPr>
        <w:pStyle w:val="Title"/>
        <w:rPr>
          <w:rFonts w:ascii="Arial" w:cs="Arial" w:eastAsia="Arial" w:hAnsi="Arial"/>
          <w:b w:val="1"/>
          <w:bCs w:val="1"/>
          <w:i w:val="1"/>
          <w:iCs w:val="1"/>
          <w:color w:val="000000"/>
          <w:sz w:val="24"/>
          <w:szCs w:val="24"/>
        </w:rPr>
      </w:pPr>
      <w:bookmarkStart w:colFirst="0" w:colLast="0" w:name="_heading=h.ts4vz7l88fwp" w:id="8"/>
      <w:bookmarkEnd w:id="8"/>
      <w:r w:rsidDel="00000000" w:rsidR="00000000" w:rsidRPr="00000000">
        <w:rPr>
          <w:rtl w:val="0"/>
        </w:rPr>
      </w:r>
    </w:p>
    <w:p w:rsidR="00000000" w:rsidDel="00000000" w:rsidP="00000000" w:rsidRDefault="00000000" w:rsidRPr="00000000" w14:paraId="0000000A">
      <w:pPr>
        <w:pStyle w:val="Title"/>
        <w:rPr>
          <w:rFonts w:ascii="Arial" w:cs="Arial" w:eastAsia="Arial" w:hAnsi="Arial"/>
          <w:b w:val="1"/>
          <w:bCs w:val="1"/>
          <w:i w:val="1"/>
          <w:iCs w:val="1"/>
          <w:color w:val="000000"/>
          <w:sz w:val="24"/>
          <w:szCs w:val="24"/>
        </w:rPr>
      </w:pPr>
      <w:bookmarkStart w:colFirst="0" w:colLast="0" w:name="_heading=h.ppxsw034dw10" w:id="9"/>
      <w:bookmarkEnd w:id="9"/>
      <w:r w:rsidDel="00000000" w:rsidR="00000000" w:rsidRPr="00000000">
        <w:rPr>
          <w:rFonts w:ascii="Arial" w:cs="Arial" w:eastAsia="Arial" w:hAnsi="Arial"/>
          <w:b w:val="1"/>
          <w:bCs w:val="1"/>
          <w:i w:val="1"/>
          <w:iCs w:val="1"/>
          <w:color w:val="000000"/>
          <w:sz w:val="24"/>
          <w:szCs w:val="24"/>
          <w:rtl w:val="0"/>
        </w:rPr>
        <w:t xml:space="preserve">During this period  adults that are older  often look back at their experiences, achievements, and personal relationships. If they find fulfillment in their life journey, they build on their  sense of integrity, leading them to feel wisdom and satisfaction. However, those who regret opportunities that they missed out on or have unresolved conflicts may feel sadness , which can result in despair and guilt which is linked with poorer mental health and wellbeing (van der Kaap-Deeder et al., 2022).  This negative attitude may consequently lead to depression, and a fear of death. How individuals evaluate and assess  their lives can drastically influence their mental and well-being emotionally during this time. .</w:t>
      </w:r>
    </w:p>
    <w:p w:rsidR="00000000" w:rsidDel="00000000" w:rsidP="00000000" w:rsidRDefault="00000000" w:rsidRPr="00000000" w14:paraId="0000000B">
      <w:pPr>
        <w:pStyle w:val="Title"/>
        <w:rPr>
          <w:rFonts w:ascii="Arial" w:cs="Arial" w:eastAsia="Arial" w:hAnsi="Arial"/>
          <w:b w:val="1"/>
          <w:bCs w:val="1"/>
          <w:i w:val="1"/>
          <w:iCs w:val="1"/>
          <w:color w:val="000000"/>
          <w:sz w:val="24"/>
          <w:szCs w:val="24"/>
        </w:rPr>
      </w:pPr>
      <w:bookmarkStart w:colFirst="0" w:colLast="0" w:name="_heading=h.4koequuynwzr" w:id="10"/>
      <w:bookmarkEnd w:id="10"/>
      <w:r w:rsidDel="00000000" w:rsidR="00000000" w:rsidRPr="00000000">
        <w:rPr>
          <w:rFonts w:ascii="Arial" w:cs="Arial" w:eastAsia="Arial" w:hAnsi="Arial"/>
          <w:b w:val="1"/>
          <w:bCs w:val="1"/>
          <w:i w:val="1"/>
          <w:iCs w:val="1"/>
          <w:color w:val="000000"/>
          <w:sz w:val="24"/>
          <w:szCs w:val="24"/>
          <w:rtl w:val="0"/>
        </w:rPr>
        <w:t xml:space="preserve">This development stage is imperative for people in dementia care homes, as dementia influences memory and communication, making it difficult for residents to relate with their past and connect with their identity. This generally leads to them feeling anxiety, confusion, and distress emotionally. On the other hand,  Erikson’s theory highlights how crucial  it is to build on a sense of identity that is personal. By emphasising reflection, expression of feelings, and interaction socially.Health and social care professionals can support older adults find meaning, improving their honesty, and  their psychological wellbeing will become better.</w:t>
      </w:r>
    </w:p>
    <w:p w:rsidR="00000000" w:rsidDel="00000000" w:rsidP="00000000" w:rsidRDefault="00000000" w:rsidRPr="00000000" w14:paraId="0000000C">
      <w:pPr>
        <w:pStyle w:val="Title"/>
        <w:rPr>
          <w:rFonts w:ascii="Arial" w:cs="Arial" w:eastAsia="Arial" w:hAnsi="Arial"/>
          <w:b w:val="1"/>
          <w:bCs w:val="1"/>
          <w:i w:val="1"/>
          <w:iCs w:val="1"/>
          <w:color w:val="000000"/>
          <w:sz w:val="24"/>
          <w:szCs w:val="24"/>
        </w:rPr>
      </w:pPr>
      <w:bookmarkStart w:colFirst="0" w:colLast="0" w:name="_heading=h.df9x5qfcis" w:id="11"/>
      <w:bookmarkEnd w:id="11"/>
      <w:r w:rsidDel="00000000" w:rsidR="00000000" w:rsidRPr="00000000">
        <w:rPr>
          <w:rFonts w:ascii="Arial" w:cs="Arial" w:eastAsia="Arial" w:hAnsi="Arial"/>
          <w:b w:val="1"/>
          <w:bCs w:val="1"/>
          <w:i w:val="1"/>
          <w:iCs w:val="1"/>
          <w:color w:val="000000"/>
          <w:sz w:val="24"/>
          <w:szCs w:val="24"/>
          <w:rtl w:val="0"/>
        </w:rPr>
        <w:t xml:space="preserve">Despite its advantages, Erikson's theory may be behind in identifying  the cognitive setbacks posed by health conditions such as dementia, as memory loss that is severe can influence an individual's capability  for self-reflection. This disadvantage  leads one to question about the application of his stages of development in future.Therefore, the theory still brings a lot of value, showing the importance of identity, and emotional well-being for the elderly, which is imperative for improving their quality of life (Westerhof, Bohlmeijer and McAdams, 2017)</w:t>
      </w:r>
    </w:p>
    <w:p w:rsidR="00000000" w:rsidDel="00000000" w:rsidP="00000000" w:rsidRDefault="00000000" w:rsidRPr="00000000" w14:paraId="0000000D">
      <w:pPr>
        <w:pStyle w:val="Title"/>
        <w:rPr>
          <w:rFonts w:ascii="Arial" w:cs="Arial" w:eastAsia="Arial" w:hAnsi="Arial"/>
          <w:b w:val="1"/>
          <w:bCs w:val="1"/>
          <w:i w:val="1"/>
          <w:iCs w:val="1"/>
          <w:color w:val="000000"/>
          <w:sz w:val="24"/>
          <w:szCs w:val="24"/>
        </w:rPr>
      </w:pPr>
      <w:bookmarkStart w:colFirst="0" w:colLast="0" w:name="_heading=h.okrcweaukzra" w:id="12"/>
      <w:bookmarkEnd w:id="12"/>
      <w:r w:rsidDel="00000000" w:rsidR="00000000" w:rsidRPr="00000000">
        <w:rPr>
          <w:rFonts w:ascii="Arial" w:cs="Arial" w:eastAsia="Arial" w:hAnsi="Arial"/>
          <w:b w:val="1"/>
          <w:bCs w:val="1"/>
          <w:i w:val="1"/>
          <w:iCs w:val="1"/>
          <w:color w:val="000000"/>
          <w:sz w:val="24"/>
          <w:szCs w:val="24"/>
          <w:rtl w:val="0"/>
        </w:rPr>
        <w:t xml:space="preserve">Application of Erikson’s Theory in Dementia Care Homes</w:t>
      </w:r>
    </w:p>
    <w:p w:rsidR="00000000" w:rsidDel="00000000" w:rsidP="00000000" w:rsidRDefault="00000000" w:rsidRPr="00000000" w14:paraId="0000000E">
      <w:pPr>
        <w:pStyle w:val="Title"/>
        <w:rPr>
          <w:rFonts w:ascii="Arial" w:cs="Arial" w:eastAsia="Arial" w:hAnsi="Arial"/>
          <w:b w:val="1"/>
          <w:bCs w:val="1"/>
          <w:i w:val="1"/>
          <w:iCs w:val="1"/>
          <w:color w:val="000000"/>
          <w:sz w:val="24"/>
          <w:szCs w:val="24"/>
        </w:rPr>
      </w:pPr>
      <w:bookmarkStart w:colFirst="0" w:colLast="0" w:name="_heading=h.m1s0vrqfm1f6" w:id="13"/>
      <w:bookmarkEnd w:id="13"/>
      <w:r w:rsidDel="00000000" w:rsidR="00000000" w:rsidRPr="00000000">
        <w:rPr>
          <w:rFonts w:ascii="Arial" w:cs="Arial" w:eastAsia="Arial" w:hAnsi="Arial"/>
          <w:b w:val="1"/>
          <w:bCs w:val="1"/>
          <w:i w:val="1"/>
          <w:iCs w:val="1"/>
          <w:color w:val="000000"/>
          <w:sz w:val="24"/>
          <w:szCs w:val="24"/>
          <w:rtl w:val="0"/>
        </w:rPr>
        <w:t xml:space="preserve">Health and social care professionals implement  unique strategies to support and  improve the wellbeing  of individuals residing  in dementia care homes. One method which is popular  is reminiscence therapy. This strategy  involves discussing experiences in the past using items that are familiar objects or storytelling. By doing this  individuals can express their memories and feelings. Evidence in research highlights that reminiscence therapy can make individuals feel happier thus creates more social interactions, and strengthen their sense of identity (O’ Philbin et al., 2018)</w:t>
      </w:r>
    </w:p>
    <w:p w:rsidR="00000000" w:rsidDel="00000000" w:rsidP="00000000" w:rsidRDefault="00000000" w:rsidRPr="00000000" w14:paraId="0000000F">
      <w:pPr>
        <w:pStyle w:val="Title"/>
        <w:rPr>
          <w:rFonts w:ascii="Arial" w:cs="Arial" w:eastAsia="Arial" w:hAnsi="Arial"/>
          <w:b w:val="1"/>
          <w:bCs w:val="1"/>
          <w:i w:val="1"/>
          <w:iCs w:val="1"/>
          <w:color w:val="000000"/>
          <w:sz w:val="24"/>
          <w:szCs w:val="24"/>
        </w:rPr>
      </w:pPr>
      <w:bookmarkStart w:colFirst="0" w:colLast="0" w:name="_heading=h.bnokp1bu022c" w:id="14"/>
      <w:bookmarkEnd w:id="14"/>
      <w:r w:rsidDel="00000000" w:rsidR="00000000" w:rsidRPr="00000000">
        <w:rPr>
          <w:rFonts w:ascii="Arial" w:cs="Arial" w:eastAsia="Arial" w:hAnsi="Arial"/>
          <w:b w:val="1"/>
          <w:bCs w:val="1"/>
          <w:i w:val="1"/>
          <w:iCs w:val="1"/>
          <w:color w:val="000000"/>
          <w:sz w:val="24"/>
          <w:szCs w:val="24"/>
          <w:rtl w:val="0"/>
        </w:rPr>
        <w:t xml:space="preserve">Life review therapy is an appreciated method for the elderly , supporting  them to look back on  life events that were important to them and achievements.</w:t>
      </w:r>
    </w:p>
    <w:p w:rsidR="00000000" w:rsidDel="00000000" w:rsidP="00000000" w:rsidRDefault="00000000" w:rsidRPr="00000000" w14:paraId="00000010">
      <w:pPr>
        <w:pStyle w:val="Title"/>
        <w:rPr>
          <w:rFonts w:ascii="Arial" w:cs="Arial" w:eastAsia="Arial" w:hAnsi="Arial"/>
          <w:b w:val="1"/>
          <w:bCs w:val="1"/>
          <w:i w:val="1"/>
          <w:iCs w:val="1"/>
          <w:color w:val="000000"/>
          <w:sz w:val="24"/>
          <w:szCs w:val="24"/>
        </w:rPr>
      </w:pPr>
      <w:bookmarkStart w:colFirst="0" w:colLast="0" w:name="_heading=h.x9tx1caveds7" w:id="15"/>
      <w:bookmarkEnd w:id="15"/>
      <w:r w:rsidDel="00000000" w:rsidR="00000000" w:rsidRPr="00000000">
        <w:rPr>
          <w:rtl w:val="0"/>
        </w:rPr>
      </w:r>
    </w:p>
    <w:p w:rsidR="00000000" w:rsidDel="00000000" w:rsidP="00000000" w:rsidRDefault="00000000" w:rsidRPr="00000000" w14:paraId="00000011">
      <w:pPr>
        <w:pStyle w:val="Title"/>
        <w:rPr>
          <w:rFonts w:ascii="Arial" w:cs="Arial" w:eastAsia="Arial" w:hAnsi="Arial"/>
          <w:b w:val="1"/>
          <w:bCs w:val="1"/>
          <w:i w:val="1"/>
          <w:iCs w:val="1"/>
          <w:color w:val="000000"/>
          <w:sz w:val="24"/>
          <w:szCs w:val="24"/>
        </w:rPr>
      </w:pPr>
      <w:bookmarkStart w:colFirst="0" w:colLast="0" w:name="_heading=h.n6vicyw7sjet" w:id="16"/>
      <w:bookmarkEnd w:id="16"/>
      <w:r w:rsidDel="00000000" w:rsidR="00000000" w:rsidRPr="00000000">
        <w:rPr>
          <w:rtl w:val="0"/>
        </w:rPr>
      </w:r>
    </w:p>
    <w:p w:rsidR="00000000" w:rsidDel="00000000" w:rsidP="00000000" w:rsidRDefault="00000000" w:rsidRPr="00000000" w14:paraId="00000012">
      <w:pPr>
        <w:pStyle w:val="Title"/>
        <w:rPr>
          <w:rFonts w:ascii="Arial" w:cs="Arial" w:eastAsia="Arial" w:hAnsi="Arial"/>
          <w:b w:val="1"/>
          <w:bCs w:val="1"/>
          <w:i w:val="1"/>
          <w:iCs w:val="1"/>
          <w:color w:val="000000"/>
          <w:sz w:val="24"/>
          <w:szCs w:val="24"/>
        </w:rPr>
      </w:pPr>
      <w:bookmarkStart w:colFirst="0" w:colLast="0" w:name="_heading=h.a20jo0qhoyth" w:id="17"/>
      <w:bookmarkEnd w:id="17"/>
      <w:r w:rsidDel="00000000" w:rsidR="00000000" w:rsidRPr="00000000">
        <w:rPr>
          <w:rFonts w:ascii="Arial" w:cs="Arial" w:eastAsia="Arial" w:hAnsi="Arial"/>
          <w:b w:val="1"/>
          <w:bCs w:val="1"/>
          <w:i w:val="1"/>
          <w:iCs w:val="1"/>
          <w:color w:val="000000"/>
          <w:sz w:val="24"/>
          <w:szCs w:val="24"/>
          <w:rtl w:val="0"/>
        </w:rPr>
        <w:t xml:space="preserve"> This reflection enables them to value  their life experiences, potentially reducing feelings of regret or despair.</w:t>
      </w:r>
    </w:p>
    <w:p w:rsidR="00000000" w:rsidDel="00000000" w:rsidP="00000000" w:rsidRDefault="00000000" w:rsidRPr="00000000" w14:paraId="00000013">
      <w:pPr>
        <w:pStyle w:val="Title"/>
        <w:rPr>
          <w:rFonts w:ascii="Arial" w:cs="Arial" w:eastAsia="Arial" w:hAnsi="Arial"/>
          <w:b w:val="1"/>
          <w:bCs w:val="1"/>
          <w:i w:val="1"/>
          <w:iCs w:val="1"/>
          <w:color w:val="000000"/>
          <w:sz w:val="24"/>
          <w:szCs w:val="24"/>
        </w:rPr>
      </w:pPr>
      <w:bookmarkStart w:colFirst="0" w:colLast="0" w:name="_heading=h.4feaf3gmto1v" w:id="18"/>
      <w:bookmarkEnd w:id="18"/>
      <w:r w:rsidDel="00000000" w:rsidR="00000000" w:rsidRPr="00000000">
        <w:rPr>
          <w:rtl w:val="0"/>
        </w:rPr>
      </w:r>
    </w:p>
    <w:p w:rsidR="00000000" w:rsidDel="00000000" w:rsidP="00000000" w:rsidRDefault="00000000" w:rsidRPr="00000000" w14:paraId="00000014">
      <w:pPr>
        <w:pStyle w:val="Title"/>
        <w:rPr>
          <w:rFonts w:ascii="Arial" w:cs="Arial" w:eastAsia="Arial" w:hAnsi="Arial"/>
          <w:b w:val="1"/>
          <w:bCs w:val="1"/>
          <w:i w:val="1"/>
          <w:iCs w:val="1"/>
          <w:color w:val="000000"/>
          <w:sz w:val="24"/>
          <w:szCs w:val="24"/>
        </w:rPr>
      </w:pPr>
      <w:bookmarkStart w:colFirst="0" w:colLast="0" w:name="_heading=h.gbwxlfb279mc" w:id="19"/>
      <w:bookmarkEnd w:id="19"/>
      <w:r w:rsidDel="00000000" w:rsidR="00000000" w:rsidRPr="00000000">
        <w:rPr>
          <w:rFonts w:ascii="Arial" w:cs="Arial" w:eastAsia="Arial" w:hAnsi="Arial"/>
          <w:b w:val="1"/>
          <w:bCs w:val="1"/>
          <w:i w:val="1"/>
          <w:iCs w:val="1"/>
          <w:color w:val="000000"/>
          <w:sz w:val="24"/>
          <w:szCs w:val="24"/>
          <w:rtl w:val="0"/>
        </w:rPr>
        <w:t xml:space="preserve">For individuals with mild to moderate dementia, undertaking fun activities can help  retain  their minds sharp and make them feel elated. . It’s crucial  to concentrate  on their individual needs and stories. This means comprehending an individuals  life history, culture, and what they like. By succeeding this idea, called person-centred care, caretaker  can equip  better assistance. . This approach, insightful  by Erikson’s theory, facilitates make every individuals expertise  in a dementia care home more substantial  and pleasant.</w:t>
      </w:r>
    </w:p>
    <w:p w:rsidR="00000000" w:rsidDel="00000000" w:rsidP="00000000" w:rsidRDefault="00000000" w:rsidRPr="00000000" w14:paraId="00000015">
      <w:pPr>
        <w:pStyle w:val="Title"/>
        <w:rPr>
          <w:rFonts w:ascii="Arial" w:cs="Arial" w:eastAsia="Arial" w:hAnsi="Arial"/>
          <w:b w:val="1"/>
          <w:bCs w:val="1"/>
          <w:i w:val="1"/>
          <w:iCs w:val="1"/>
          <w:color w:val="000000"/>
          <w:sz w:val="24"/>
          <w:szCs w:val="24"/>
        </w:rPr>
      </w:pPr>
      <w:bookmarkStart w:colFirst="0" w:colLast="0" w:name="_heading=h.m7lvfejmq4zi" w:id="20"/>
      <w:bookmarkEnd w:id="20"/>
      <w:r w:rsidDel="00000000" w:rsidR="00000000" w:rsidRPr="00000000">
        <w:rPr>
          <w:rFonts w:ascii="Arial" w:cs="Arial" w:eastAsia="Arial" w:hAnsi="Arial"/>
          <w:b w:val="1"/>
          <w:bCs w:val="1"/>
          <w:i w:val="1"/>
          <w:iCs w:val="1"/>
          <w:color w:val="000000"/>
          <w:sz w:val="24"/>
          <w:szCs w:val="24"/>
          <w:rtl w:val="0"/>
        </w:rPr>
        <w:t xml:space="preserve">Administering Erikson's theory in care homes can be demanding, particularly  with residents enduring  from progressive  dementia who may have adversity,  transmitting  or recalling intimate memories. Limited staffing frequently represents  there isn’t relevant  time for meaningful interactions or activities. To conquer  these impediments , care homes can occupy  family members to participate  life histories, nurturing  a profound  connection. Moreover,  integrating  sensory materials like music and photographs can help encourage recollection, making it effortless  for residents to engross with their record and enhancing  their holistic l well-being.</w:t>
      </w:r>
    </w:p>
    <w:p w:rsidR="00000000" w:rsidDel="00000000" w:rsidP="00000000" w:rsidRDefault="00000000" w:rsidRPr="00000000" w14:paraId="00000016">
      <w:pPr>
        <w:pStyle w:val="Title"/>
        <w:rPr>
          <w:rFonts w:ascii="Arial" w:cs="Arial" w:eastAsia="Arial" w:hAnsi="Arial"/>
          <w:b w:val="1"/>
          <w:bCs w:val="1"/>
          <w:i w:val="1"/>
          <w:iCs w:val="1"/>
          <w:color w:val="000000"/>
          <w:sz w:val="24"/>
          <w:szCs w:val="24"/>
        </w:rPr>
      </w:pPr>
      <w:bookmarkStart w:colFirst="0" w:colLast="0" w:name="_heading=h.hxe1hl1u1t6r" w:id="21"/>
      <w:bookmarkEnd w:id="21"/>
      <w:r w:rsidDel="00000000" w:rsidR="00000000" w:rsidRPr="00000000">
        <w:rPr>
          <w:rtl w:val="0"/>
        </w:rPr>
      </w:r>
    </w:p>
    <w:p w:rsidR="00000000" w:rsidDel="00000000" w:rsidP="00000000" w:rsidRDefault="00000000" w:rsidRPr="00000000" w14:paraId="00000017">
      <w:pPr>
        <w:pStyle w:val="Title"/>
        <w:rPr>
          <w:rFonts w:ascii="Arial" w:cs="Arial" w:eastAsia="Arial" w:hAnsi="Arial"/>
          <w:b w:val="1"/>
          <w:bCs w:val="1"/>
          <w:i w:val="1"/>
          <w:iCs w:val="1"/>
          <w:color w:val="000000"/>
          <w:sz w:val="24"/>
          <w:szCs w:val="24"/>
        </w:rPr>
      </w:pPr>
      <w:bookmarkStart w:colFirst="0" w:colLast="0" w:name="_heading=h.eemtu9spx12f" w:id="22"/>
      <w:bookmarkEnd w:id="22"/>
      <w:r w:rsidDel="00000000" w:rsidR="00000000" w:rsidRPr="00000000">
        <w:rPr>
          <w:rtl w:val="0"/>
        </w:rPr>
      </w:r>
    </w:p>
    <w:p w:rsidR="00000000" w:rsidDel="00000000" w:rsidP="00000000" w:rsidRDefault="00000000" w:rsidRPr="00000000" w14:paraId="00000018">
      <w:pPr>
        <w:pStyle w:val="Title"/>
        <w:rPr>
          <w:rFonts w:ascii="Arial" w:cs="Arial" w:eastAsia="Arial" w:hAnsi="Arial"/>
          <w:b w:val="1"/>
          <w:bCs w:val="1"/>
          <w:i w:val="1"/>
          <w:iCs w:val="1"/>
          <w:color w:val="000000"/>
          <w:sz w:val="24"/>
          <w:szCs w:val="24"/>
        </w:rPr>
      </w:pPr>
      <w:bookmarkStart w:colFirst="0" w:colLast="0" w:name="_heading=h.nw0a2yfvoqj4" w:id="23"/>
      <w:bookmarkEnd w:id="23"/>
      <w:r w:rsidDel="00000000" w:rsidR="00000000" w:rsidRPr="00000000">
        <w:rPr>
          <w:rFonts w:ascii="Arial" w:cs="Arial" w:eastAsia="Arial" w:hAnsi="Arial"/>
          <w:b w:val="1"/>
          <w:bCs w:val="1"/>
          <w:i w:val="1"/>
          <w:iCs w:val="1"/>
          <w:color w:val="000000"/>
          <w:sz w:val="24"/>
          <w:szCs w:val="24"/>
          <w:rtl w:val="0"/>
        </w:rPr>
        <w:t xml:space="preserve">Maslow’s Hierarchy of Needs</w:t>
      </w:r>
    </w:p>
    <w:p w:rsidR="00000000" w:rsidDel="00000000" w:rsidP="00000000" w:rsidRDefault="00000000" w:rsidRPr="00000000" w14:paraId="00000019">
      <w:pPr>
        <w:pStyle w:val="Title"/>
        <w:rPr>
          <w:rFonts w:ascii="Arial" w:cs="Arial" w:eastAsia="Arial" w:hAnsi="Arial"/>
          <w:b w:val="1"/>
          <w:bCs w:val="1"/>
          <w:i w:val="1"/>
          <w:iCs w:val="1"/>
          <w:color w:val="000000"/>
          <w:sz w:val="24"/>
          <w:szCs w:val="24"/>
        </w:rPr>
      </w:pPr>
      <w:bookmarkStart w:colFirst="0" w:colLast="0" w:name="_heading=h.cl30qusa16v4" w:id="24"/>
      <w:bookmarkEnd w:id="24"/>
      <w:r w:rsidDel="00000000" w:rsidR="00000000" w:rsidRPr="00000000">
        <w:rPr>
          <w:rFonts w:ascii="Arial" w:cs="Arial" w:eastAsia="Arial" w:hAnsi="Arial"/>
          <w:b w:val="1"/>
          <w:bCs w:val="1"/>
          <w:i w:val="1"/>
          <w:iCs w:val="1"/>
          <w:color w:val="000000"/>
          <w:sz w:val="24"/>
          <w:szCs w:val="24"/>
          <w:rtl w:val="0"/>
        </w:rPr>
        <w:t xml:space="preserve">Maslow's Hierarchy of Needs is a imperative  psychological theory which is very relevant to health and social care. Abraham Maslow proposed this idea back in 1954, it discusses five levels of motivation within humans such as : physiological needs, safety needs,  and feelings of  belonging, esteem, and actualisation which is personal (Maslow, 1987)To Maslow, people must satisfy their essential needs, such as warmth and safety, before they can gain higher-level needs that are psychological, for example self-esteem. Comprehending this order supports professionals and their  patients' requirements which  overall helps their well-being and  growth  in health..</w:t>
      </w:r>
    </w:p>
    <w:p w:rsidR="00000000" w:rsidDel="00000000" w:rsidP="00000000" w:rsidRDefault="00000000" w:rsidRPr="00000000" w14:paraId="0000001A">
      <w:pPr>
        <w:pStyle w:val="Title"/>
        <w:rPr>
          <w:rFonts w:ascii="Arial" w:cs="Arial" w:eastAsia="Arial" w:hAnsi="Arial"/>
          <w:b w:val="1"/>
          <w:bCs w:val="1"/>
          <w:i w:val="1"/>
          <w:iCs w:val="1"/>
          <w:color w:val="000000"/>
          <w:sz w:val="24"/>
          <w:szCs w:val="24"/>
        </w:rPr>
      </w:pPr>
      <w:bookmarkStart w:colFirst="0" w:colLast="0" w:name="_heading=h.a1u6k5czjufc" w:id="25"/>
      <w:bookmarkEnd w:id="25"/>
      <w:r w:rsidDel="00000000" w:rsidR="00000000" w:rsidRPr="00000000">
        <w:rPr>
          <w:rtl w:val="0"/>
        </w:rPr>
      </w:r>
    </w:p>
    <w:p w:rsidR="00000000" w:rsidDel="00000000" w:rsidP="00000000" w:rsidRDefault="00000000" w:rsidRPr="00000000" w14:paraId="0000001B">
      <w:pPr>
        <w:pStyle w:val="Title"/>
        <w:rPr>
          <w:rFonts w:ascii="Arial" w:cs="Arial" w:eastAsia="Arial" w:hAnsi="Arial"/>
          <w:b w:val="1"/>
          <w:bCs w:val="1"/>
          <w:i w:val="1"/>
          <w:iCs w:val="1"/>
          <w:color w:val="000000"/>
          <w:sz w:val="24"/>
          <w:szCs w:val="24"/>
        </w:rPr>
      </w:pPr>
      <w:bookmarkStart w:colFirst="0" w:colLast="0" w:name="_heading=h.xqe9p1wwoo3n" w:id="26"/>
      <w:bookmarkEnd w:id="26"/>
      <w:r w:rsidDel="00000000" w:rsidR="00000000" w:rsidRPr="00000000">
        <w:rPr>
          <w:rtl w:val="0"/>
        </w:rPr>
      </w:r>
    </w:p>
    <w:p w:rsidR="00000000" w:rsidDel="00000000" w:rsidP="00000000" w:rsidRDefault="00000000" w:rsidRPr="00000000" w14:paraId="0000001C">
      <w:pPr>
        <w:pStyle w:val="Title"/>
        <w:rPr>
          <w:rFonts w:ascii="Arial" w:cs="Arial" w:eastAsia="Arial" w:hAnsi="Arial"/>
          <w:b w:val="1"/>
          <w:bCs w:val="1"/>
          <w:i w:val="1"/>
          <w:iCs w:val="1"/>
          <w:color w:val="000000"/>
          <w:sz w:val="24"/>
          <w:szCs w:val="24"/>
        </w:rPr>
      </w:pPr>
      <w:bookmarkStart w:colFirst="0" w:colLast="0" w:name="_heading=h.da2lo92xx5dl" w:id="27"/>
      <w:bookmarkEnd w:id="27"/>
      <w:r w:rsidDel="00000000" w:rsidR="00000000" w:rsidRPr="00000000">
        <w:rPr>
          <w:rFonts w:ascii="Arial" w:cs="Arial" w:eastAsia="Arial" w:hAnsi="Arial"/>
          <w:b w:val="1"/>
          <w:bCs w:val="1"/>
          <w:i w:val="1"/>
          <w:iCs w:val="1"/>
          <w:color w:val="000000"/>
          <w:sz w:val="24"/>
          <w:szCs w:val="24"/>
          <w:rtl w:val="0"/>
        </w:rPr>
        <w:t xml:space="preserve">Maslow’s theory is particularly useful in understanding the needs of older adults in care homes, as it highlights the importance of fulfilling basic needs. Residents often face physical health challenges, loss of independence, and social isolation, which can greatly impact their psychological well-being. When essential needs like nutrition, safety, and social interaction are unmet, older adults may suffer from anxiety, depression, or behavioral distress. </w:t>
      </w:r>
    </w:p>
    <w:p w:rsidR="00000000" w:rsidDel="00000000" w:rsidP="00000000" w:rsidRDefault="00000000" w:rsidRPr="00000000" w14:paraId="0000001D">
      <w:pPr>
        <w:pStyle w:val="Title"/>
        <w:rPr>
          <w:rFonts w:ascii="Arial" w:cs="Arial" w:eastAsia="Arial" w:hAnsi="Arial"/>
          <w:b w:val="1"/>
          <w:bCs w:val="1"/>
          <w:i w:val="1"/>
          <w:iCs w:val="1"/>
          <w:color w:val="000000"/>
          <w:sz w:val="24"/>
          <w:szCs w:val="24"/>
        </w:rPr>
      </w:pPr>
      <w:bookmarkStart w:colFirst="0" w:colLast="0" w:name="_heading=h.nmc39ekcfmkm" w:id="28"/>
      <w:bookmarkEnd w:id="28"/>
      <w:r w:rsidDel="00000000" w:rsidR="00000000" w:rsidRPr="00000000">
        <w:rPr>
          <w:rFonts w:ascii="Arial" w:cs="Arial" w:eastAsia="Arial" w:hAnsi="Arial"/>
          <w:b w:val="1"/>
          <w:bCs w:val="1"/>
          <w:i w:val="1"/>
          <w:iCs w:val="1"/>
          <w:color w:val="000000"/>
          <w:sz w:val="24"/>
          <w:szCs w:val="24"/>
          <w:rtl w:val="0"/>
        </w:rPr>
        <w:t xml:space="preserve">Identifying the problems  of individuals in health and social care is improtant  for  improving their quality of life and health mentally. Maslow's hierarchy has critics who argue that it makes human motivation too simplified, as lots of individuals strive for level needs that are higher for even when the essential ones aren't satisfied . Even though these issues remain, the theory continues to be appreciated in health for its  framework that is clear, which supports staff in health to understand the interplay between  needs which are unique and behavior and well-being is affected (McLeod, 2023).</w:t>
      </w:r>
    </w:p>
    <w:p w:rsidR="00000000" w:rsidDel="00000000" w:rsidP="00000000" w:rsidRDefault="00000000" w:rsidRPr="00000000" w14:paraId="0000001E">
      <w:pPr>
        <w:pStyle w:val="Title"/>
        <w:rPr>
          <w:rFonts w:ascii="Arial" w:cs="Arial" w:eastAsia="Arial" w:hAnsi="Arial"/>
          <w:b w:val="1"/>
          <w:bCs w:val="1"/>
          <w:i w:val="1"/>
          <w:iCs w:val="1"/>
          <w:color w:val="000000"/>
          <w:sz w:val="24"/>
          <w:szCs w:val="24"/>
        </w:rPr>
      </w:pPr>
      <w:bookmarkStart w:colFirst="0" w:colLast="0" w:name="_heading=h.ri28wct759p5" w:id="29"/>
      <w:bookmarkEnd w:id="29"/>
      <w:r w:rsidDel="00000000" w:rsidR="00000000" w:rsidRPr="00000000">
        <w:rPr>
          <w:rFonts w:ascii="Arial" w:cs="Arial" w:eastAsia="Arial" w:hAnsi="Arial"/>
          <w:b w:val="1"/>
          <w:bCs w:val="1"/>
          <w:i w:val="1"/>
          <w:iCs w:val="1"/>
          <w:color w:val="000000"/>
          <w:sz w:val="24"/>
          <w:szCs w:val="24"/>
          <w:rtl w:val="0"/>
        </w:rPr>
        <w:t xml:space="preserve">Application of Maslow’s Theory in Dementia Care Homes</w:t>
      </w:r>
    </w:p>
    <w:p w:rsidR="00000000" w:rsidDel="00000000" w:rsidP="00000000" w:rsidRDefault="00000000" w:rsidRPr="00000000" w14:paraId="0000001F">
      <w:pPr>
        <w:pStyle w:val="Title"/>
        <w:rPr>
          <w:rFonts w:ascii="Arial" w:cs="Arial" w:eastAsia="Arial" w:hAnsi="Arial"/>
          <w:b w:val="1"/>
          <w:bCs w:val="1"/>
          <w:i w:val="1"/>
          <w:iCs w:val="1"/>
          <w:color w:val="000000"/>
          <w:sz w:val="24"/>
          <w:szCs w:val="24"/>
        </w:rPr>
      </w:pPr>
      <w:bookmarkStart w:colFirst="0" w:colLast="0" w:name="_heading=h.hvtp8mvjfm73" w:id="30"/>
      <w:bookmarkEnd w:id="30"/>
      <w:r w:rsidDel="00000000" w:rsidR="00000000" w:rsidRPr="00000000">
        <w:rPr>
          <w:rFonts w:ascii="Arial" w:cs="Arial" w:eastAsia="Arial" w:hAnsi="Arial"/>
          <w:b w:val="1"/>
          <w:bCs w:val="1"/>
          <w:i w:val="1"/>
          <w:iCs w:val="1"/>
          <w:color w:val="000000"/>
          <w:sz w:val="24"/>
          <w:szCs w:val="24"/>
          <w:rtl w:val="0"/>
        </w:rPr>
        <w:t xml:space="preserve">In dementia care homes, specalists  can relate  Maslow's hierarchy to guarantee  residents' physical, emotional, and social needs are met. The precedence is meeting physiological needs, which comprises  offering  adequate nutrition, hydration, medication, and sleep. Residents with dementia may neglect  to eat or drink, making staff support important  for preserving  their physical health. By contacting  these basic needs first, caregivers can produce a stable foundation that accesseds residents to feel protected,  guiding  to better overall  health and well -being. </w:t>
      </w:r>
    </w:p>
    <w:p w:rsidR="00000000" w:rsidDel="00000000" w:rsidP="00000000" w:rsidRDefault="00000000" w:rsidRPr="00000000" w14:paraId="00000020">
      <w:pPr>
        <w:pStyle w:val="Title"/>
        <w:rPr>
          <w:rFonts w:ascii="Arial" w:cs="Arial" w:eastAsia="Arial" w:hAnsi="Arial"/>
          <w:b w:val="1"/>
          <w:bCs w:val="1"/>
          <w:i w:val="1"/>
          <w:iCs w:val="1"/>
          <w:color w:val="000000"/>
          <w:sz w:val="24"/>
          <w:szCs w:val="24"/>
        </w:rPr>
      </w:pPr>
      <w:bookmarkStart w:colFirst="0" w:colLast="0" w:name="_heading=h.r7ltg4bbys7i" w:id="31"/>
      <w:bookmarkEnd w:id="31"/>
      <w:r w:rsidDel="00000000" w:rsidR="00000000" w:rsidRPr="00000000">
        <w:rPr>
          <w:rFonts w:ascii="Arial" w:cs="Arial" w:eastAsia="Arial" w:hAnsi="Arial"/>
          <w:b w:val="1"/>
          <w:bCs w:val="1"/>
          <w:i w:val="1"/>
          <w:iCs w:val="1"/>
          <w:color w:val="000000"/>
          <w:sz w:val="24"/>
          <w:szCs w:val="24"/>
          <w:rtl w:val="0"/>
        </w:rPr>
        <w:t xml:space="preserve">Safety needs are important  for older adults  with dementia, as the provision  can direct  to confusion and disorientation, strengthening  the risk of falls or roaming.. Care homes must generate  safe  environments with clear signage and secure entrances to keep residents protected.  Moreover, , having skilled  staff who can observe  residents efficiently  is essentiall. Validating  consistent routines supports  to reduce anxiety and confusion, promoting a more secure  environment where older adults with dementia can feel safe  and supported in their  day-to-day lives.</w:t>
      </w:r>
    </w:p>
    <w:p w:rsidR="00000000" w:rsidDel="00000000" w:rsidP="00000000" w:rsidRDefault="00000000" w:rsidRPr="00000000" w14:paraId="00000021">
      <w:pPr>
        <w:pStyle w:val="Title"/>
        <w:rPr>
          <w:rFonts w:ascii="Arial" w:cs="Arial" w:eastAsia="Arial" w:hAnsi="Arial"/>
          <w:b w:val="1"/>
          <w:bCs w:val="1"/>
          <w:i w:val="1"/>
          <w:iCs w:val="1"/>
          <w:color w:val="000000"/>
          <w:sz w:val="24"/>
          <w:szCs w:val="24"/>
        </w:rPr>
      </w:pPr>
      <w:bookmarkStart w:colFirst="0" w:colLast="0" w:name="_heading=h.1in7yggpmgmr" w:id="32"/>
      <w:bookmarkEnd w:id="32"/>
      <w:r w:rsidDel="00000000" w:rsidR="00000000" w:rsidRPr="00000000">
        <w:rPr>
          <w:rFonts w:ascii="Arial" w:cs="Arial" w:eastAsia="Arial" w:hAnsi="Arial"/>
          <w:b w:val="1"/>
          <w:bCs w:val="1"/>
          <w:i w:val="1"/>
          <w:iCs w:val="1"/>
          <w:color w:val="000000"/>
          <w:sz w:val="24"/>
          <w:szCs w:val="24"/>
          <w:rtl w:val="0"/>
        </w:rPr>
        <w:t xml:space="preserve">Safety needs are essential  for people with dementia and they need to be met, as the problem can lead to  disorientation, increasing the rise of  wandering. Care homes have the responsibility to provide secure surroundings  with clear signs and  entrances that are safe to keep residents feeling cared for. Also, trained staff  being around is ideal who can monitor people residing in the care home  effectively is important. Consistent routines being established supports to lower the risk of anxiety and confusion, building a more stable surroundings  where people  with dementia can feel protected  in their everyday lives.</w:t>
      </w:r>
    </w:p>
    <w:p w:rsidR="00000000" w:rsidDel="00000000" w:rsidP="00000000" w:rsidRDefault="00000000" w:rsidRPr="00000000" w14:paraId="00000022">
      <w:pPr>
        <w:pStyle w:val="Title"/>
        <w:rPr>
          <w:rFonts w:ascii="Arial" w:cs="Arial" w:eastAsia="Arial" w:hAnsi="Arial"/>
          <w:b w:val="1"/>
          <w:bCs w:val="1"/>
          <w:i w:val="1"/>
          <w:iCs w:val="1"/>
          <w:color w:val="000000"/>
          <w:sz w:val="24"/>
          <w:szCs w:val="24"/>
        </w:rPr>
      </w:pPr>
      <w:bookmarkStart w:colFirst="0" w:colLast="0" w:name="_heading=h.fyztm7gfmm1l" w:id="33"/>
      <w:bookmarkEnd w:id="33"/>
      <w:r w:rsidDel="00000000" w:rsidR="00000000" w:rsidRPr="00000000">
        <w:rPr>
          <w:rFonts w:ascii="Arial" w:cs="Arial" w:eastAsia="Arial" w:hAnsi="Arial"/>
          <w:b w:val="1"/>
          <w:bCs w:val="1"/>
          <w:i w:val="1"/>
          <w:iCs w:val="1"/>
          <w:color w:val="000000"/>
          <w:sz w:val="24"/>
          <w:szCs w:val="24"/>
          <w:rtl w:val="0"/>
        </w:rPr>
        <w:t xml:space="preserve">By helping  residents' esteem needs professionals are  encouraging their independence and participation actively in daily activities. Which enables residents to make choices of their own in regards to their clothing, hobbies, journeys which hence builds control and promotes their self-worth. Small opportunities for independence need to be given , such as choosing what to wear can increase their confidence. This strategy not only supports residents to feel appreciated , but it also positively makes small contributions to their well-being emotionally and makes their lives an empowered living experience.</w:t>
      </w:r>
    </w:p>
    <w:p w:rsidR="00000000" w:rsidDel="00000000" w:rsidP="00000000" w:rsidRDefault="00000000" w:rsidRPr="00000000" w14:paraId="00000023">
      <w:pPr>
        <w:pStyle w:val="Title"/>
        <w:rPr>
          <w:rFonts w:ascii="Arial" w:cs="Arial" w:eastAsia="Arial" w:hAnsi="Arial"/>
          <w:b w:val="1"/>
          <w:bCs w:val="1"/>
          <w:i w:val="1"/>
          <w:iCs w:val="1"/>
          <w:color w:val="000000"/>
          <w:sz w:val="24"/>
          <w:szCs w:val="24"/>
        </w:rPr>
      </w:pPr>
      <w:bookmarkStart w:colFirst="0" w:colLast="0" w:name="_heading=h.olacvv688aw2" w:id="34"/>
      <w:bookmarkEnd w:id="34"/>
      <w:r w:rsidDel="00000000" w:rsidR="00000000" w:rsidRPr="00000000">
        <w:rPr>
          <w:rFonts w:ascii="Arial" w:cs="Arial" w:eastAsia="Arial" w:hAnsi="Arial"/>
          <w:b w:val="1"/>
          <w:bCs w:val="1"/>
          <w:i w:val="1"/>
          <w:iCs w:val="1"/>
          <w:color w:val="000000"/>
          <w:sz w:val="24"/>
          <w:szCs w:val="24"/>
          <w:rtl w:val="0"/>
        </w:rPr>
        <w:t xml:space="preserve">Putting Maslow’s theory in to place in  care settings can be extremely challenging  especially when resources are not available , and they are staff shortages. In addition to this, residents with dementia often have lots of different needs that can make their care difficult. To address these challenges properly , staff should optimise for a person-centred approach. This means embracing the unique requirements and embracing their  abilities of each person. By personalising their  support to the specific strengths of residents and to their preferences, caregivers meet their emotional and mental needs, which promotes a more fulfilling surrounding(Kitwood, 1997)</w:t>
      </w:r>
    </w:p>
    <w:p w:rsidR="00000000" w:rsidDel="00000000" w:rsidP="00000000" w:rsidRDefault="00000000" w:rsidRPr="00000000" w14:paraId="00000024">
      <w:pPr>
        <w:pStyle w:val="Title"/>
        <w:rPr>
          <w:rFonts w:ascii="Arial" w:cs="Arial" w:eastAsia="Arial" w:hAnsi="Arial"/>
          <w:b w:val="1"/>
          <w:bCs w:val="1"/>
          <w:i w:val="1"/>
          <w:iCs w:val="1"/>
          <w:color w:val="000000"/>
          <w:sz w:val="24"/>
          <w:szCs w:val="24"/>
        </w:rPr>
      </w:pPr>
      <w:bookmarkStart w:colFirst="0" w:colLast="0" w:name="_heading=h.ysu4nmhg8oev" w:id="35"/>
      <w:bookmarkEnd w:id="35"/>
      <w:r w:rsidDel="00000000" w:rsidR="00000000" w:rsidRPr="00000000">
        <w:rPr>
          <w:rFonts w:ascii="Arial" w:cs="Arial" w:eastAsia="Arial" w:hAnsi="Arial"/>
          <w:b w:val="1"/>
          <w:bCs w:val="1"/>
          <w:i w:val="1"/>
          <w:iCs w:val="1"/>
          <w:color w:val="000000"/>
          <w:sz w:val="24"/>
          <w:szCs w:val="24"/>
          <w:rtl w:val="0"/>
        </w:rPr>
        <w:t xml:space="preserve">Conclusion</w:t>
      </w:r>
    </w:p>
    <w:p w:rsidR="00000000" w:rsidDel="00000000" w:rsidP="00000000" w:rsidRDefault="00000000" w:rsidRPr="00000000" w14:paraId="00000025">
      <w:pPr>
        <w:pStyle w:val="Title"/>
        <w:rPr>
          <w:rFonts w:ascii="Arial" w:cs="Arial" w:eastAsia="Arial" w:hAnsi="Arial"/>
          <w:b w:val="1"/>
          <w:bCs w:val="1"/>
          <w:i w:val="1"/>
          <w:iCs w:val="1"/>
          <w:color w:val="000000"/>
          <w:sz w:val="24"/>
          <w:szCs w:val="24"/>
        </w:rPr>
      </w:pPr>
      <w:bookmarkStart w:colFirst="0" w:colLast="0" w:name="_heading=h.cn038ugzicey" w:id="36"/>
      <w:bookmarkEnd w:id="36"/>
      <w:r w:rsidDel="00000000" w:rsidR="00000000" w:rsidRPr="00000000">
        <w:rPr>
          <w:rFonts w:ascii="Arial" w:cs="Arial" w:eastAsia="Arial" w:hAnsi="Arial"/>
          <w:b w:val="1"/>
          <w:bCs w:val="1"/>
          <w:i w:val="1"/>
          <w:iCs w:val="1"/>
          <w:color w:val="000000"/>
          <w:sz w:val="24"/>
          <w:szCs w:val="24"/>
          <w:rtl w:val="0"/>
        </w:rPr>
        <w:t xml:space="preserve">Psychological theories are vital  in improving health and social care approaches. . Erikson’s psychosocial development theory underlines  the consequence  of vitality, reflection, classify , and emotional wellbeing, especially  in later adulthood. This benefits  caregivers who understand the exceptional  difficulties that older adults may  face.Correspondingly , Maslow’s hierarchy of needs highlights  the requirements  of managing  both physical and psychological needs to advance  overall health and wellbeing. By incorporating  these theories into procedure, caregivers can better foster/assist  individuals in accomplishing  a stable  and rewarding  life, later eventually  leading to better enhanced  health results. </w:t>
      </w:r>
    </w:p>
    <w:p w:rsidR="00000000" w:rsidDel="00000000" w:rsidP="00000000" w:rsidRDefault="00000000" w:rsidRPr="00000000" w14:paraId="00000026">
      <w:pPr>
        <w:pStyle w:val="Title"/>
        <w:rPr>
          <w:rFonts w:ascii="Arial" w:cs="Arial" w:eastAsia="Arial" w:hAnsi="Arial"/>
          <w:b w:val="1"/>
          <w:bCs w:val="1"/>
          <w:i w:val="1"/>
          <w:iCs w:val="1"/>
          <w:color w:val="000000"/>
          <w:sz w:val="24"/>
          <w:szCs w:val="24"/>
        </w:rPr>
      </w:pPr>
      <w:bookmarkStart w:colFirst="0" w:colLast="0" w:name="_heading=h.nr0jc8kwl95p" w:id="37"/>
      <w:bookmarkEnd w:id="37"/>
      <w:r w:rsidDel="00000000" w:rsidR="00000000" w:rsidRPr="00000000">
        <w:rPr>
          <w:rFonts w:ascii="Arial" w:cs="Arial" w:eastAsia="Arial" w:hAnsi="Arial"/>
          <w:b w:val="1"/>
          <w:bCs w:val="1"/>
          <w:i w:val="1"/>
          <w:iCs w:val="1"/>
          <w:color w:val="000000"/>
          <w:sz w:val="24"/>
          <w:szCs w:val="24"/>
          <w:rtl w:val="0"/>
        </w:rPr>
        <w:t xml:space="preserve">Professionals can use several theories to construct  care strategies in dementia care homes that uphold dignity, emotional well-being , and independence . Techniques like reminiscence therapy and person-centred care allow residents to maintain  their identity and sense of belonging. However, objections  such as limited staffing, cognitive impairments, , and scarce resources can hinder these approaches. Prevailing  these difficulties  demands proceeding training, collaboration with families, and a dedicated focus on exclusive care initiatives, assuring that every  resident's distinctive needs are met efficiently. </w:t>
      </w:r>
    </w:p>
    <w:p w:rsidR="00000000" w:rsidDel="00000000" w:rsidP="00000000" w:rsidRDefault="00000000" w:rsidRPr="00000000" w14:paraId="00000027">
      <w:pPr>
        <w:pStyle w:val="Title"/>
        <w:rPr>
          <w:rFonts w:ascii="Arial" w:cs="Arial" w:eastAsia="Arial" w:hAnsi="Arial"/>
          <w:b w:val="1"/>
          <w:bCs w:val="1"/>
          <w:i w:val="1"/>
          <w:iCs w:val="1"/>
          <w:color w:val="000000"/>
          <w:sz w:val="24"/>
          <w:szCs w:val="24"/>
        </w:rPr>
      </w:pPr>
      <w:bookmarkStart w:colFirst="0" w:colLast="0" w:name="_heading=h.7r0pb0i6q88p" w:id="38"/>
      <w:bookmarkEnd w:id="38"/>
      <w:r w:rsidDel="00000000" w:rsidR="00000000" w:rsidRPr="00000000">
        <w:rPr>
          <w:rFonts w:ascii="Arial" w:cs="Arial" w:eastAsia="Arial" w:hAnsi="Arial"/>
          <w:b w:val="1"/>
          <w:bCs w:val="1"/>
          <w:i w:val="1"/>
          <w:iCs w:val="1"/>
          <w:color w:val="000000"/>
          <w:sz w:val="24"/>
          <w:szCs w:val="24"/>
          <w:rtl w:val="0"/>
        </w:rPr>
        <w:t xml:space="preserve">As a whole , the demand of psychological theories in health and social care can substantially  improve  the health and wellbeing  for older individuals living with dementia and other psychological health provision. </w:t>
      </w:r>
    </w:p>
    <w:p w:rsidR="00000000" w:rsidDel="00000000" w:rsidP="00000000" w:rsidRDefault="00000000" w:rsidRPr="00000000" w14:paraId="00000028">
      <w:pPr>
        <w:pStyle w:val="Title"/>
        <w:rPr>
          <w:rFonts w:ascii="Arial" w:cs="Arial" w:eastAsia="Arial" w:hAnsi="Arial"/>
          <w:b w:val="1"/>
          <w:bCs w:val="1"/>
          <w:i w:val="1"/>
          <w:iCs w:val="1"/>
          <w:color w:val="000000"/>
          <w:sz w:val="24"/>
          <w:szCs w:val="24"/>
        </w:rPr>
      </w:pPr>
      <w:bookmarkStart w:colFirst="0" w:colLast="0" w:name="_heading=h.68fz7a2nnbh" w:id="39"/>
      <w:bookmarkEnd w:id="39"/>
      <w:r w:rsidDel="00000000" w:rsidR="00000000" w:rsidRPr="00000000">
        <w:rPr>
          <w:rFonts w:ascii="Arial" w:cs="Arial" w:eastAsia="Arial" w:hAnsi="Arial"/>
          <w:b w:val="1"/>
          <w:bCs w:val="1"/>
          <w:i w:val="1"/>
          <w:iCs w:val="1"/>
          <w:color w:val="000000"/>
          <w:sz w:val="24"/>
          <w:szCs w:val="24"/>
          <w:rtl w:val="0"/>
        </w:rPr>
        <w:t xml:space="preserve">Reference List (Harvard)</w:t>
      </w:r>
    </w:p>
    <w:p w:rsidR="00000000" w:rsidDel="00000000" w:rsidP="00000000" w:rsidRDefault="00000000" w:rsidRPr="00000000" w14:paraId="00000029">
      <w:pPr>
        <w:pStyle w:val="Title"/>
        <w:spacing w:after="240" w:line="360" w:lineRule="auto"/>
        <w:rPr>
          <w:rFonts w:ascii="Arial" w:cs="Arial" w:eastAsia="Arial" w:hAnsi="Arial"/>
          <w:b w:val="1"/>
          <w:bCs w:val="1"/>
          <w:i w:val="1"/>
          <w:iCs w:val="1"/>
          <w:color w:val="000000"/>
          <w:sz w:val="24"/>
          <w:szCs w:val="24"/>
        </w:rPr>
      </w:pPr>
      <w:bookmarkStart w:colFirst="0" w:colLast="0" w:name="_heading=h.cuns74123z6w" w:id="40"/>
      <w:bookmarkEnd w:id="40"/>
      <w:r w:rsidDel="00000000" w:rsidR="00000000" w:rsidRPr="00000000">
        <w:rPr>
          <w:rFonts w:ascii="Arial" w:cs="Arial" w:eastAsia="Arial" w:hAnsi="Arial"/>
          <w:b w:val="1"/>
          <w:bCs w:val="1"/>
          <w:i w:val="1"/>
          <w:iCs w:val="1"/>
          <w:color w:val="000000"/>
          <w:sz w:val="24"/>
          <w:szCs w:val="24"/>
          <w:rtl w:val="0"/>
        </w:rPr>
        <w:t xml:space="preserve">Erikson, E.H. (Erik H. and Internet Archive (1997). The life cycle completed. [online] Internet Archive. New York : W.W. Norton. Available at: </w:t>
      </w:r>
      <w:hyperlink r:id="rId7">
        <w:r w:rsidDel="00000000" w:rsidR="00000000" w:rsidRPr="00000000">
          <w:rPr>
            <w:rFonts w:ascii="Arial" w:cs="Arial" w:eastAsia="Arial" w:hAnsi="Arial"/>
            <w:b w:val="1"/>
            <w:bCs w:val="1"/>
            <w:i w:val="1"/>
            <w:iCs w:val="1"/>
            <w:color w:val="1155cc"/>
            <w:sz w:val="24"/>
            <w:szCs w:val="24"/>
            <w:u w:val="single"/>
            <w:rtl w:val="0"/>
          </w:rPr>
          <w:t xml:space="preserve">https://archive.org/details/lifecyclecomplet0000erik_j3j4</w:t>
        </w:r>
      </w:hyperlink>
      <w:r w:rsidDel="00000000" w:rsidR="00000000" w:rsidRPr="00000000">
        <w:rPr>
          <w:rFonts w:ascii="Arial" w:cs="Arial" w:eastAsia="Arial" w:hAnsi="Arial"/>
          <w:b w:val="1"/>
          <w:bCs w:val="1"/>
          <w:i w:val="1"/>
          <w:iCs w:val="1"/>
          <w:color w:val="000000"/>
          <w:sz w:val="24"/>
          <w:szCs w:val="24"/>
          <w:rtl w:val="0"/>
        </w:rPr>
        <w:t xml:space="preserve">.</w:t>
      </w:r>
    </w:p>
    <w:p w:rsidR="00000000" w:rsidDel="00000000" w:rsidP="00000000" w:rsidRDefault="00000000" w:rsidRPr="00000000" w14:paraId="0000002A">
      <w:pPr>
        <w:spacing w:after="24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Kitwood, T. (1997). </w:t>
      </w:r>
      <w:r w:rsidDel="00000000" w:rsidR="00000000" w:rsidRPr="00000000">
        <w:rPr>
          <w:rFonts w:ascii="Arial" w:cs="Arial" w:eastAsia="Arial" w:hAnsi="Arial"/>
          <w:b w:val="1"/>
          <w:bCs w:val="1"/>
          <w:i w:val="1"/>
          <w:iCs w:val="1"/>
          <w:sz w:val="24"/>
          <w:szCs w:val="24"/>
          <w:rtl w:val="0"/>
        </w:rPr>
        <w:t xml:space="preserve">Dementia Reconsidered: the Person Comes First.</w:t>
      </w:r>
      <w:r w:rsidDel="00000000" w:rsidR="00000000" w:rsidRPr="00000000">
        <w:rPr>
          <w:rFonts w:ascii="Arial" w:cs="Arial" w:eastAsia="Arial" w:hAnsi="Arial"/>
          <w:b w:val="1"/>
          <w:bCs w:val="1"/>
          <w:sz w:val="24"/>
          <w:szCs w:val="24"/>
          <w:rtl w:val="0"/>
        </w:rPr>
        <w:t xml:space="preserve"> Open University Press.</w:t>
      </w:r>
    </w:p>
    <w:p w:rsidR="00000000" w:rsidDel="00000000" w:rsidP="00000000" w:rsidRDefault="00000000" w:rsidRPr="00000000" w14:paraId="0000002B">
      <w:pP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2C">
      <w:pPr>
        <w:pStyle w:val="Title"/>
        <w:spacing w:after="240" w:line="360" w:lineRule="auto"/>
        <w:rPr>
          <w:rFonts w:ascii="Arial" w:cs="Arial" w:eastAsia="Arial" w:hAnsi="Arial"/>
          <w:b w:val="1"/>
          <w:bCs w:val="1"/>
          <w:i w:val="1"/>
          <w:iCs w:val="1"/>
          <w:color w:val="000000"/>
          <w:sz w:val="24"/>
          <w:szCs w:val="24"/>
        </w:rPr>
      </w:pPr>
      <w:bookmarkStart w:colFirst="0" w:colLast="0" w:name="_heading=h.vtd86paki5x7" w:id="41"/>
      <w:bookmarkEnd w:id="41"/>
      <w:r w:rsidDel="00000000" w:rsidR="00000000" w:rsidRPr="00000000">
        <w:rPr>
          <w:rFonts w:ascii="Arial" w:cs="Arial" w:eastAsia="Arial" w:hAnsi="Arial"/>
          <w:b w:val="1"/>
          <w:bCs w:val="1"/>
          <w:i w:val="1"/>
          <w:iCs w:val="1"/>
          <w:color w:val="000000"/>
          <w:sz w:val="24"/>
          <w:szCs w:val="24"/>
          <w:rtl w:val="0"/>
        </w:rPr>
        <w:t xml:space="preserve">Freestone, V. (2016). Person-Centred Dementia Care Brooker Dawn and Latham Isabelle Second edition Person-Centred Dementia Care 224pp £17.99 Jessica Kingsley 9781849056663 1849056668. Nursing Older People, 28(4), pp.10–10. doi:https://doi.org/10.7748/nop.28.4.10.s12.</w:t>
      </w:r>
    </w:p>
    <w:p w:rsidR="00000000" w:rsidDel="00000000" w:rsidP="00000000" w:rsidRDefault="00000000" w:rsidRPr="00000000" w14:paraId="0000002D">
      <w:pPr>
        <w:pStyle w:val="Title"/>
        <w:spacing w:after="240" w:line="360" w:lineRule="auto"/>
        <w:rPr>
          <w:rFonts w:ascii="Arial" w:cs="Arial" w:eastAsia="Arial" w:hAnsi="Arial"/>
          <w:b w:val="1"/>
          <w:bCs w:val="1"/>
          <w:i w:val="1"/>
          <w:iCs w:val="1"/>
          <w:color w:val="000000"/>
          <w:sz w:val="24"/>
          <w:szCs w:val="24"/>
        </w:rPr>
      </w:pPr>
      <w:bookmarkStart w:colFirst="0" w:colLast="0" w:name="_heading=h.1ygox5gak0he" w:id="42"/>
      <w:bookmarkEnd w:id="42"/>
      <w:r w:rsidDel="00000000" w:rsidR="00000000" w:rsidRPr="00000000">
        <w:rPr>
          <w:rFonts w:ascii="Arial" w:cs="Arial" w:eastAsia="Arial" w:hAnsi="Arial"/>
          <w:b w:val="1"/>
          <w:bCs w:val="1"/>
          <w:i w:val="1"/>
          <w:iCs w:val="1"/>
          <w:color w:val="000000"/>
          <w:sz w:val="24"/>
          <w:szCs w:val="24"/>
          <w:rtl w:val="0"/>
        </w:rPr>
        <w:t xml:space="preserve">Maslow, A.H. (1987). Motivation and personality. 3rd ed. New York: Addison Wesley Longman.</w:t>
      </w:r>
    </w:p>
    <w:p w:rsidR="00000000" w:rsidDel="00000000" w:rsidP="00000000" w:rsidRDefault="00000000" w:rsidRPr="00000000" w14:paraId="0000002E">
      <w:pPr>
        <w:pStyle w:val="Title"/>
        <w:spacing w:after="240" w:line="360" w:lineRule="auto"/>
        <w:rPr>
          <w:rFonts w:ascii="Arial" w:cs="Arial" w:eastAsia="Arial" w:hAnsi="Arial"/>
          <w:b w:val="1"/>
          <w:bCs w:val="1"/>
          <w:i w:val="1"/>
          <w:iCs w:val="1"/>
          <w:color w:val="000000"/>
          <w:sz w:val="24"/>
          <w:szCs w:val="24"/>
        </w:rPr>
      </w:pPr>
      <w:bookmarkStart w:colFirst="0" w:colLast="0" w:name="_heading=h.ujiukarpbteq" w:id="43"/>
      <w:bookmarkEnd w:id="43"/>
      <w:r w:rsidDel="00000000" w:rsidR="00000000" w:rsidRPr="00000000">
        <w:rPr>
          <w:rFonts w:ascii="Arial" w:cs="Arial" w:eastAsia="Arial" w:hAnsi="Arial"/>
          <w:b w:val="1"/>
          <w:bCs w:val="1"/>
          <w:i w:val="1"/>
          <w:iCs w:val="1"/>
          <w:color w:val="000000"/>
          <w:sz w:val="24"/>
          <w:szCs w:val="24"/>
          <w:rtl w:val="0"/>
        </w:rPr>
        <w:t xml:space="preserve">O’ Philbin, L., Woods, B., Farrell, E.M., Spector, A.E. and Orrell, M. (2018). Reminiscence therapy for dementia: an abridged Cochrane systematic review of the evidence from randomized controlled trials. Expert Review of Neurotherapeutics, 18(9), pp.715–727. doi:https://doi.org/10.1080/14737175.2018.1509709.</w:t>
      </w:r>
    </w:p>
    <w:p w:rsidR="00000000" w:rsidDel="00000000" w:rsidP="00000000" w:rsidRDefault="00000000" w:rsidRPr="00000000" w14:paraId="0000002F">
      <w:pPr>
        <w:pStyle w:val="Title"/>
        <w:spacing w:after="240" w:line="360" w:lineRule="auto"/>
        <w:rPr>
          <w:rFonts w:ascii="Arial" w:cs="Arial" w:eastAsia="Arial" w:hAnsi="Arial"/>
          <w:b w:val="1"/>
          <w:bCs w:val="1"/>
          <w:i w:val="1"/>
          <w:iCs w:val="1"/>
          <w:color w:val="000000"/>
          <w:sz w:val="24"/>
          <w:szCs w:val="24"/>
        </w:rPr>
      </w:pPr>
      <w:bookmarkStart w:colFirst="0" w:colLast="0" w:name="_heading=h.qa2kwp96zv46" w:id="44"/>
      <w:bookmarkEnd w:id="44"/>
      <w:r w:rsidDel="00000000" w:rsidR="00000000" w:rsidRPr="00000000">
        <w:rPr>
          <w:rFonts w:ascii="Arial" w:cs="Arial" w:eastAsia="Arial" w:hAnsi="Arial"/>
          <w:b w:val="1"/>
          <w:bCs w:val="1"/>
          <w:i w:val="1"/>
          <w:iCs w:val="1"/>
          <w:color w:val="000000"/>
          <w:sz w:val="24"/>
          <w:szCs w:val="24"/>
          <w:rtl w:val="0"/>
        </w:rPr>
        <w:t xml:space="preserve">Westerhof, G.J., Bohlmeijer, E.T. and McAdams, D.P. (2017). The relation of ego integrity and despair to personality traits and mental health. The Journals of Gerontology Series B: Psychological Sciences and Social Sciences, 72(3), pp.400–407. doi:https://doi.org/10.1093/geronb/gbv062.</w:t>
      </w:r>
    </w:p>
    <w:p w:rsidR="00000000" w:rsidDel="00000000" w:rsidP="00000000" w:rsidRDefault="00000000" w:rsidRPr="00000000" w14:paraId="00000030">
      <w:pPr>
        <w:rPr/>
      </w:pPr>
      <w:r w:rsidDel="00000000" w:rsidR="00000000" w:rsidRPr="00000000">
        <w:rPr>
          <w:rtl w:val="0"/>
        </w:rPr>
      </w:r>
    </w:p>
    <w:sectPr>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Header">
    <w:name w:val="header"/>
    <w:basedOn w:val="Normal"/>
    <w:link w:val="HeaderChar"/>
    <w:uiPriority w:val="99"/>
    <w:unhideWhenUsed w:val="1"/>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val="1"/>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7">
    <w:name w:val="heading 7"/>
    <w:basedOn w:val="Normal"/>
    <w:next w:val="Normal"/>
    <w:link w:val="Heading7Char"/>
    <w:uiPriority w:val="9"/>
    <w:semiHidden w:val="1"/>
    <w:unhideWhenUsed w:val="1"/>
    <w:qFormat w:val="1"/>
    <w:rsid w:val="00FC693F"/>
    <w:pPr>
      <w:keepNext w:val="1"/>
      <w:keepLines w:val="1"/>
      <w:spacing w:after="0" w:before="200"/>
      <w:outlineLvl w:val="6"/>
    </w:pPr>
    <w:rPr>
      <w:rFonts w:asciiTheme="majorHAnsi" w:cstheme="majorBidi" w:eastAsiaTheme="majorEastAsia" w:hAnsiTheme="majorHAnsi"/>
      <w:i w:val="1"/>
      <w:iCs w:val="1"/>
      <w:color w:val="404040" w:themeColor="text1" w:themeTint="0000BF"/>
    </w:rPr>
  </w:style>
  <w:style w:type="paragraph" w:styleId="Heading8">
    <w:name w:val="heading 8"/>
    <w:basedOn w:val="Normal"/>
    <w:next w:val="Normal"/>
    <w:link w:val="Heading8Char"/>
    <w:uiPriority w:val="9"/>
    <w:semiHidden w:val="1"/>
    <w:unhideWhenUsed w:val="1"/>
    <w:qFormat w:val="1"/>
    <w:rsid w:val="00FC693F"/>
    <w:pPr>
      <w:keepNext w:val="1"/>
      <w:keepLines w:val="1"/>
      <w:spacing w:after="0" w:before="200"/>
      <w:outlineLvl w:val="7"/>
    </w:pPr>
    <w:rPr>
      <w:rFonts w:asciiTheme="majorHAnsi" w:cstheme="majorBidi" w:eastAsiaTheme="majorEastAsia" w:hAnsiTheme="majorHAnsi"/>
      <w:color w:val="4f81bd" w:themeColor="accent1"/>
      <w:sz w:val="20"/>
      <w:szCs w:val="20"/>
    </w:rPr>
  </w:style>
  <w:style w:type="paragraph" w:styleId="Heading9">
    <w:name w:val="heading 9"/>
    <w:basedOn w:val="Normal"/>
    <w:next w:val="Normal"/>
    <w:link w:val="Heading9Char"/>
    <w:uiPriority w:val="9"/>
    <w:semiHidden w:val="1"/>
    <w:unhideWhenUsed w:val="1"/>
    <w:qFormat w:val="1"/>
    <w:rsid w:val="00FC693F"/>
    <w:pPr>
      <w:keepNext w:val="1"/>
      <w:keepLines w:val="1"/>
      <w:spacing w:after="0" w:before="200"/>
      <w:outlineLvl w:val="8"/>
    </w:pPr>
    <w:rPr>
      <w:rFonts w:asciiTheme="majorHAnsi" w:cstheme="majorBidi" w:eastAsiaTheme="majorEastAsia" w:hAnsiTheme="majorHAnsi"/>
      <w:i w:val="1"/>
      <w:iCs w:val="1"/>
      <w:color w:val="404040" w:themeColor="text1" w:themeTint="0000BF"/>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uiPriority w:val="1"/>
    <w:qFormat w:val="1"/>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FC693F"/>
    <w:rPr>
      <w:rFonts w:asciiTheme="majorHAnsi" w:cstheme="majorBidi" w:eastAsiaTheme="majorEastAsia" w:hAnsiTheme="majorHAnsi"/>
      <w:b w:val="1"/>
      <w:bCs w:val="1"/>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cstheme="majorBidi" w:eastAsiaTheme="majorEastAsia" w:hAnsiTheme="majorHAnsi"/>
      <w:b w:val="1"/>
      <w:bCs w:val="1"/>
      <w:color w:val="4f81bd" w:themeColor="accent1"/>
    </w:rPr>
  </w:style>
  <w:style w:type="character" w:styleId="TitleChar" w:customStyle="1">
    <w:name w:val="Title Char"/>
    <w:basedOn w:val="DefaultParagraphFont"/>
    <w:link w:val="Title"/>
    <w:uiPriority w:val="10"/>
    <w:rsid w:val="00FC693F"/>
    <w:rPr>
      <w:rFonts w:asciiTheme="majorHAnsi" w:cstheme="majorBidi" w:eastAsiaTheme="majorEastAsia" w:hAnsiTheme="majorHAnsi"/>
      <w:color w:val="17365d" w:themeColor="text2" w:themeShade="0000BF"/>
      <w:spacing w:val="5"/>
      <w:kern w:val="28"/>
      <w:sz w:val="52"/>
      <w:szCs w:val="52"/>
    </w:rPr>
  </w:style>
  <w:style w:type="character" w:styleId="SubtitleChar" w:customStyle="1">
    <w:name w:val="Subtitle Char"/>
    <w:basedOn w:val="DefaultParagraphFont"/>
    <w:link w:val="Subtitle"/>
    <w:uiPriority w:val="11"/>
    <w:rsid w:val="00FC693F"/>
    <w:rPr>
      <w:rFonts w:asciiTheme="majorHAnsi" w:cstheme="majorBidi" w:eastAsiaTheme="majorEastAsia" w:hAnsiTheme="majorHAnsi"/>
      <w:i w:val="1"/>
      <w:iCs w:val="1"/>
      <w:color w:val="4f81bd" w:themeColor="accent1"/>
      <w:spacing w:val="15"/>
      <w:sz w:val="24"/>
      <w:szCs w:val="24"/>
    </w:rPr>
  </w:style>
  <w:style w:type="paragraph" w:styleId="ListParagraph">
    <w:name w:val="List Paragraph"/>
    <w:basedOn w:val="Normal"/>
    <w:uiPriority w:val="34"/>
    <w:qFormat w:val="1"/>
    <w:rsid w:val="00FC693F"/>
    <w:pPr>
      <w:ind w:left="720"/>
      <w:contextualSpacing w:val="1"/>
    </w:pPr>
  </w:style>
  <w:style w:type="paragraph" w:styleId="BodyText">
    <w:name w:val="Body Text"/>
    <w:basedOn w:val="Normal"/>
    <w:link w:val="BodyTextChar"/>
    <w:uiPriority w:val="99"/>
    <w:unhideWhenUsed w:val="1"/>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val="1"/>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val="1"/>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val="1"/>
    <w:rsid w:val="00AA1D8D"/>
    <w:pPr>
      <w:ind w:left="360" w:hanging="360"/>
      <w:contextualSpacing w:val="1"/>
    </w:pPr>
  </w:style>
  <w:style w:type="paragraph" w:styleId="List2">
    <w:name w:val="List 2"/>
    <w:basedOn w:val="Normal"/>
    <w:uiPriority w:val="99"/>
    <w:unhideWhenUsed w:val="1"/>
    <w:rsid w:val="00326F90"/>
    <w:pPr>
      <w:ind w:left="720" w:hanging="360"/>
      <w:contextualSpacing w:val="1"/>
    </w:pPr>
  </w:style>
  <w:style w:type="paragraph" w:styleId="List3">
    <w:name w:val="List 3"/>
    <w:basedOn w:val="Normal"/>
    <w:uiPriority w:val="99"/>
    <w:unhideWhenUsed w:val="1"/>
    <w:rsid w:val="00326F90"/>
    <w:pPr>
      <w:ind w:left="1080" w:hanging="360"/>
      <w:contextualSpacing w:val="1"/>
    </w:pPr>
  </w:style>
  <w:style w:type="paragraph" w:styleId="ListBullet">
    <w:name w:val="List Bullet"/>
    <w:basedOn w:val="Normal"/>
    <w:uiPriority w:val="99"/>
    <w:unhideWhenUsed w:val="1"/>
    <w:rsid w:val="00326F90"/>
    <w:pPr>
      <w:numPr>
        <w:numId w:val="1"/>
      </w:numPr>
      <w:contextualSpacing w:val="1"/>
    </w:pPr>
  </w:style>
  <w:style w:type="paragraph" w:styleId="ListBullet2">
    <w:name w:val="List Bullet 2"/>
    <w:basedOn w:val="Normal"/>
    <w:uiPriority w:val="99"/>
    <w:unhideWhenUsed w:val="1"/>
    <w:rsid w:val="00326F90"/>
    <w:pPr>
      <w:numPr>
        <w:numId w:val="2"/>
      </w:numPr>
      <w:contextualSpacing w:val="1"/>
    </w:pPr>
  </w:style>
  <w:style w:type="paragraph" w:styleId="ListBullet3">
    <w:name w:val="List Bullet 3"/>
    <w:basedOn w:val="Normal"/>
    <w:uiPriority w:val="99"/>
    <w:unhideWhenUsed w:val="1"/>
    <w:rsid w:val="00326F90"/>
    <w:pPr>
      <w:numPr>
        <w:numId w:val="3"/>
      </w:numPr>
      <w:contextualSpacing w:val="1"/>
    </w:pPr>
  </w:style>
  <w:style w:type="paragraph" w:styleId="ListNumber">
    <w:name w:val="List Number"/>
    <w:basedOn w:val="Normal"/>
    <w:uiPriority w:val="99"/>
    <w:unhideWhenUsed w:val="1"/>
    <w:rsid w:val="00326F90"/>
    <w:pPr>
      <w:numPr>
        <w:numId w:val="5"/>
      </w:numPr>
      <w:contextualSpacing w:val="1"/>
    </w:pPr>
  </w:style>
  <w:style w:type="paragraph" w:styleId="ListNumber2">
    <w:name w:val="List Number 2"/>
    <w:basedOn w:val="Normal"/>
    <w:uiPriority w:val="99"/>
    <w:unhideWhenUsed w:val="1"/>
    <w:rsid w:val="0029639D"/>
    <w:pPr>
      <w:numPr>
        <w:numId w:val="6"/>
      </w:numPr>
      <w:contextualSpacing w:val="1"/>
    </w:pPr>
  </w:style>
  <w:style w:type="paragraph" w:styleId="ListNumber3">
    <w:name w:val="List Number 3"/>
    <w:basedOn w:val="Normal"/>
    <w:uiPriority w:val="99"/>
    <w:unhideWhenUsed w:val="1"/>
    <w:rsid w:val="0029639D"/>
    <w:pPr>
      <w:numPr>
        <w:numId w:val="7"/>
      </w:numPr>
      <w:contextualSpacing w:val="1"/>
    </w:pPr>
  </w:style>
  <w:style w:type="paragraph" w:styleId="ListContinue">
    <w:name w:val="List Continue"/>
    <w:basedOn w:val="Normal"/>
    <w:uiPriority w:val="99"/>
    <w:unhideWhenUsed w:val="1"/>
    <w:rsid w:val="0029639D"/>
    <w:pPr>
      <w:spacing w:after="120"/>
      <w:ind w:left="360"/>
      <w:contextualSpacing w:val="1"/>
    </w:pPr>
  </w:style>
  <w:style w:type="paragraph" w:styleId="ListContinue2">
    <w:name w:val="List Continue 2"/>
    <w:basedOn w:val="Normal"/>
    <w:uiPriority w:val="99"/>
    <w:unhideWhenUsed w:val="1"/>
    <w:rsid w:val="0029639D"/>
    <w:pPr>
      <w:spacing w:after="120"/>
      <w:ind w:left="720"/>
      <w:contextualSpacing w:val="1"/>
    </w:pPr>
  </w:style>
  <w:style w:type="paragraph" w:styleId="ListContinue3">
    <w:name w:val="List Continue 3"/>
    <w:basedOn w:val="Normal"/>
    <w:uiPriority w:val="99"/>
    <w:unhideWhenUsed w:val="1"/>
    <w:rsid w:val="0029639D"/>
    <w:pPr>
      <w:spacing w:after="120"/>
      <w:ind w:left="1080"/>
      <w:contextualSpacing w:val="1"/>
    </w:pPr>
  </w:style>
  <w:style w:type="paragraph" w:styleId="MacroText">
    <w:name w:val="macro"/>
    <w:link w:val="MacroTextChar"/>
    <w:uiPriority w:val="99"/>
    <w:unhideWhenUsed w:val="1"/>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val="1"/>
    <w:rsid w:val="00FC693F"/>
    <w:rPr>
      <w:i w:val="1"/>
      <w:iCs w:val="1"/>
      <w:color w:val="000000" w:themeColor="text1"/>
    </w:rPr>
  </w:style>
  <w:style w:type="character" w:styleId="QuoteChar" w:customStyle="1">
    <w:name w:val="Quote Char"/>
    <w:basedOn w:val="DefaultParagraphFont"/>
    <w:link w:val="Quote"/>
    <w:uiPriority w:val="29"/>
    <w:rsid w:val="00FC693F"/>
    <w:rPr>
      <w:i w:val="1"/>
      <w:iCs w:val="1"/>
      <w:color w:val="000000" w:themeColor="text1"/>
    </w:rPr>
  </w:style>
  <w:style w:type="character" w:styleId="Heading4Char" w:customStyle="1">
    <w:name w:val="Heading 4 Char"/>
    <w:basedOn w:val="DefaultParagraphFont"/>
    <w:link w:val="Heading4"/>
    <w:uiPriority w:val="9"/>
    <w:semiHidden w:val="1"/>
    <w:rsid w:val="00FC693F"/>
    <w:rPr>
      <w:rFonts w:asciiTheme="majorHAnsi" w:cstheme="majorBidi" w:eastAsiaTheme="majorEastAsia" w:hAnsiTheme="majorHAnsi"/>
      <w:b w:val="1"/>
      <w:bCs w:val="1"/>
      <w:i w:val="1"/>
      <w:iCs w:val="1"/>
      <w:color w:val="4f81bd" w:themeColor="accent1"/>
    </w:rPr>
  </w:style>
  <w:style w:type="character" w:styleId="Heading5Char" w:customStyle="1">
    <w:name w:val="Heading 5 Char"/>
    <w:basedOn w:val="DefaultParagraphFont"/>
    <w:link w:val="Heading5"/>
    <w:uiPriority w:val="9"/>
    <w:semiHidden w:val="1"/>
    <w:rsid w:val="00FC693F"/>
    <w:rPr>
      <w:rFonts w:asciiTheme="majorHAnsi" w:cstheme="majorBidi" w:eastAsiaTheme="majorEastAsia" w:hAnsiTheme="majorHAnsi"/>
      <w:color w:val="243f60" w:themeColor="accent1" w:themeShade="00007F"/>
    </w:rPr>
  </w:style>
  <w:style w:type="character" w:styleId="Heading6Char" w:customStyle="1">
    <w:name w:val="Heading 6 Char"/>
    <w:basedOn w:val="DefaultParagraphFont"/>
    <w:link w:val="Heading6"/>
    <w:uiPriority w:val="9"/>
    <w:semiHidden w:val="1"/>
    <w:rsid w:val="00FC693F"/>
    <w:rPr>
      <w:rFonts w:asciiTheme="majorHAnsi" w:cstheme="majorBidi" w:eastAsiaTheme="majorEastAsia" w:hAnsiTheme="majorHAnsi"/>
      <w:i w:val="1"/>
      <w:iCs w:val="1"/>
      <w:color w:val="243f60" w:themeColor="accent1" w:themeShade="00007F"/>
    </w:rPr>
  </w:style>
  <w:style w:type="character" w:styleId="Heading7Char" w:customStyle="1">
    <w:name w:val="Heading 7 Char"/>
    <w:basedOn w:val="DefaultParagraphFont"/>
    <w:link w:val="Heading7"/>
    <w:uiPriority w:val="9"/>
    <w:semiHidden w:val="1"/>
    <w:rsid w:val="00FC693F"/>
    <w:rPr>
      <w:rFonts w:asciiTheme="majorHAnsi" w:cstheme="majorBidi" w:eastAsiaTheme="majorEastAsia" w:hAnsiTheme="majorHAnsi"/>
      <w:i w:val="1"/>
      <w:iCs w:val="1"/>
      <w:color w:val="404040" w:themeColor="text1" w:themeTint="0000BF"/>
    </w:rPr>
  </w:style>
  <w:style w:type="character" w:styleId="Heading8Char" w:customStyle="1">
    <w:name w:val="Heading 8 Char"/>
    <w:basedOn w:val="DefaultParagraphFont"/>
    <w:link w:val="Heading8"/>
    <w:uiPriority w:val="9"/>
    <w:semiHidden w:val="1"/>
    <w:rsid w:val="00FC693F"/>
    <w:rPr>
      <w:rFonts w:asciiTheme="majorHAnsi" w:cstheme="majorBidi" w:eastAsiaTheme="majorEastAsia" w:hAnsiTheme="majorHAnsi"/>
      <w:color w:val="4f81bd" w:themeColor="accent1"/>
      <w:sz w:val="20"/>
      <w:szCs w:val="20"/>
    </w:rPr>
  </w:style>
  <w:style w:type="character" w:styleId="Heading9Char" w:customStyle="1">
    <w:name w:val="Heading 9 Char"/>
    <w:basedOn w:val="DefaultParagraphFont"/>
    <w:link w:val="Heading9"/>
    <w:uiPriority w:val="9"/>
    <w:semiHidden w:val="1"/>
    <w:rsid w:val="00FC693F"/>
    <w:rPr>
      <w:rFonts w:asciiTheme="majorHAnsi" w:cstheme="majorBidi" w:eastAsiaTheme="majorEastAsia" w:hAnsiTheme="majorHAnsi"/>
      <w:i w:val="1"/>
      <w:iCs w:val="1"/>
      <w:color w:val="404040" w:themeColor="text1" w:themeTint="0000BF"/>
      <w:sz w:val="20"/>
      <w:szCs w:val="20"/>
    </w:rPr>
  </w:style>
  <w:style w:type="paragraph" w:styleId="Caption">
    <w:name w:val="caption"/>
    <w:basedOn w:val="Normal"/>
    <w:next w:val="Normal"/>
    <w:uiPriority w:val="35"/>
    <w:semiHidden w:val="1"/>
    <w:unhideWhenUsed w:val="1"/>
    <w:qFormat w:val="1"/>
    <w:rsid w:val="00FC693F"/>
    <w:pPr>
      <w:spacing w:line="240" w:lineRule="auto"/>
    </w:pPr>
    <w:rPr>
      <w:b w:val="1"/>
      <w:bCs w:val="1"/>
      <w:color w:val="4f81bd" w:themeColor="accent1"/>
      <w:sz w:val="18"/>
      <w:szCs w:val="18"/>
    </w:rPr>
  </w:style>
  <w:style w:type="character" w:styleId="Strong">
    <w:name w:val="Strong"/>
    <w:basedOn w:val="DefaultParagraphFont"/>
    <w:uiPriority w:val="22"/>
    <w:qFormat w:val="1"/>
    <w:rsid w:val="00FC693F"/>
    <w:rPr>
      <w:b w:val="1"/>
      <w:bCs w:val="1"/>
    </w:rPr>
  </w:style>
  <w:style w:type="character" w:styleId="Emphasis">
    <w:name w:val="Emphasis"/>
    <w:basedOn w:val="DefaultParagraphFont"/>
    <w:uiPriority w:val="20"/>
    <w:qFormat w:val="1"/>
    <w:rsid w:val="00FC693F"/>
    <w:rPr>
      <w:i w:val="1"/>
      <w:iCs w:val="1"/>
    </w:rPr>
  </w:style>
  <w:style w:type="paragraph" w:styleId="IntenseQuote">
    <w:name w:val="Intense Quote"/>
    <w:basedOn w:val="Normal"/>
    <w:next w:val="Normal"/>
    <w:link w:val="IntenseQuoteChar"/>
    <w:uiPriority w:val="30"/>
    <w:qFormat w:val="1"/>
    <w:rsid w:val="00FC693F"/>
    <w:pPr>
      <w:pBdr>
        <w:bottom w:color="4f81bd" w:space="4" w:sz="4" w:themeColor="accent1" w:val="single"/>
      </w:pBdr>
      <w:spacing w:after="280" w:before="200"/>
      <w:ind w:left="936" w:right="936"/>
    </w:pPr>
    <w:rPr>
      <w:b w:val="1"/>
      <w:bCs w:val="1"/>
      <w:i w:val="1"/>
      <w:iCs w:val="1"/>
      <w:color w:val="4f81bd" w:themeColor="accent1"/>
    </w:rPr>
  </w:style>
  <w:style w:type="character" w:styleId="IntenseQuoteChar" w:customStyle="1">
    <w:name w:val="Intense Quote Char"/>
    <w:basedOn w:val="DefaultParagraphFont"/>
    <w:link w:val="IntenseQuote"/>
    <w:uiPriority w:val="30"/>
    <w:rsid w:val="00FC693F"/>
    <w:rPr>
      <w:b w:val="1"/>
      <w:bCs w:val="1"/>
      <w:i w:val="1"/>
      <w:iCs w:val="1"/>
      <w:color w:val="4f81bd" w:themeColor="accent1"/>
    </w:rPr>
  </w:style>
  <w:style w:type="character" w:styleId="SubtleEmphasis">
    <w:name w:val="Subtle Emphasis"/>
    <w:basedOn w:val="DefaultParagraphFont"/>
    <w:uiPriority w:val="19"/>
    <w:qFormat w:val="1"/>
    <w:rsid w:val="00FC693F"/>
    <w:rPr>
      <w:i w:val="1"/>
      <w:iCs w:val="1"/>
      <w:color w:val="808080" w:themeColor="text1" w:themeTint="00007F"/>
    </w:rPr>
  </w:style>
  <w:style w:type="character" w:styleId="IntenseEmphasis">
    <w:name w:val="Intense Emphasis"/>
    <w:basedOn w:val="DefaultParagraphFont"/>
    <w:uiPriority w:val="21"/>
    <w:qFormat w:val="1"/>
    <w:rsid w:val="00FC693F"/>
    <w:rPr>
      <w:b w:val="1"/>
      <w:bCs w:val="1"/>
      <w:i w:val="1"/>
      <w:iCs w:val="1"/>
      <w:color w:val="4f81bd" w:themeColor="accent1"/>
    </w:rPr>
  </w:style>
  <w:style w:type="character" w:styleId="SubtleReference">
    <w:name w:val="Subtle Reference"/>
    <w:basedOn w:val="DefaultParagraphFont"/>
    <w:uiPriority w:val="31"/>
    <w:qFormat w:val="1"/>
    <w:rsid w:val="00FC693F"/>
    <w:rPr>
      <w:smallCaps w:val="1"/>
      <w:color w:val="c0504d" w:themeColor="accent2"/>
      <w:u w:val="single"/>
    </w:rPr>
  </w:style>
  <w:style w:type="character" w:styleId="IntenseReference">
    <w:name w:val="Intense Reference"/>
    <w:basedOn w:val="DefaultParagraphFont"/>
    <w:uiPriority w:val="32"/>
    <w:qFormat w:val="1"/>
    <w:rsid w:val="00FC693F"/>
    <w:rPr>
      <w:b w:val="1"/>
      <w:bCs w:val="1"/>
      <w:smallCaps w:val="1"/>
      <w:color w:val="c0504d" w:themeColor="accent2"/>
      <w:spacing w:val="5"/>
      <w:u w:val="single"/>
    </w:rPr>
  </w:style>
  <w:style w:type="character" w:styleId="BookTitle">
    <w:name w:val="Book Title"/>
    <w:basedOn w:val="DefaultParagraphFont"/>
    <w:uiPriority w:val="33"/>
    <w:qFormat w:val="1"/>
    <w:rsid w:val="00FC693F"/>
    <w:rPr>
      <w:b w:val="1"/>
      <w:bCs w:val="1"/>
      <w:smallCaps w:val="1"/>
      <w:spacing w:val="5"/>
    </w:rPr>
  </w:style>
  <w:style w:type="paragraph" w:styleId="TOCHeading">
    <w:name w:val="TOC Heading"/>
    <w:basedOn w:val="Heading1"/>
    <w:next w:val="Normal"/>
    <w:uiPriority w:val="39"/>
    <w:semiHidden w:val="1"/>
    <w:unhideWhenUsed w:val="1"/>
    <w:qFormat w:val="1"/>
    <w:rsid w:val="00FC693F"/>
    <w:pPr>
      <w:outlineLvl w:val="9"/>
    </w:pPr>
  </w:style>
  <w:style w:type="table" w:styleId="TableGrid">
    <w:name w:val="Table Grid"/>
    <w:basedOn w:val="TableNormal"/>
    <w:uiPriority w:val="59"/>
    <w:rsid w:val="00FC693F"/>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table" w:styleId="LightShading">
    <w:name w:val="Light Shading"/>
    <w:basedOn w:val="TableNormal"/>
    <w:uiPriority w:val="60"/>
    <w:rsid w:val="00FC693F"/>
    <w:pPr>
      <w:spacing w:after="0" w:line="240" w:lineRule="auto"/>
    </w:pPr>
    <w:rPr>
      <w:color w:val="000000" w:themeColor="text1" w:themeShade="0000BF"/>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table" w:styleId="LightShading-Accent1">
    <w:name w:val="Light Shading Accent 1"/>
    <w:basedOn w:val="TableNormal"/>
    <w:uiPriority w:val="60"/>
    <w:rsid w:val="00FC693F"/>
    <w:pPr>
      <w:spacing w:after="0" w:line="240" w:lineRule="auto"/>
    </w:pPr>
    <w:rPr>
      <w:color w:val="365f91" w:themeColor="accent1" w:themeShade="0000BF"/>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LightShading-Accent2">
    <w:name w:val="Light Shading Accent 2"/>
    <w:basedOn w:val="TableNormal"/>
    <w:uiPriority w:val="60"/>
    <w:rsid w:val="00FC693F"/>
    <w:pPr>
      <w:spacing w:after="0" w:line="240" w:lineRule="auto"/>
    </w:pPr>
    <w:rPr>
      <w:color w:val="943634" w:themeColor="accent2" w:themeShade="0000BF"/>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table" w:styleId="LightShading-Accent3">
    <w:name w:val="Light Shading Accent 3"/>
    <w:basedOn w:val="TableNormal"/>
    <w:uiPriority w:val="60"/>
    <w:rsid w:val="00FC693F"/>
    <w:pPr>
      <w:spacing w:after="0" w:line="240" w:lineRule="auto"/>
    </w:pPr>
    <w:rPr>
      <w:color w:val="76923c" w:themeColor="accent3" w:themeShade="0000BF"/>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la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left w:space="0" w:sz="0" w:val="nil"/>
          <w:right w:space="0" w:sz="0" w:val="nil"/>
          <w:insideH w:space="0" w:sz="0" w:val="nil"/>
          <w:insideV w:space="0" w:sz="0" w:val="nil"/>
        </w:tcBorders>
        <w:shd w:color="auto" w:fill="e6eed5" w:themeFill="accent3" w:themeFillTint="00003F" w:val="clear"/>
      </w:tcPr>
    </w:tblStylePr>
  </w:style>
  <w:style w:type="table" w:styleId="LightShading-Accent4">
    <w:name w:val="Light Shading Accent 4"/>
    <w:basedOn w:val="TableNormal"/>
    <w:uiPriority w:val="60"/>
    <w:rsid w:val="00FC693F"/>
    <w:pPr>
      <w:spacing w:after="0" w:line="240" w:lineRule="auto"/>
    </w:pPr>
    <w:rPr>
      <w:color w:val="5f497a" w:themeColor="accent4" w:themeShade="0000BF"/>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Shading-Accent5">
    <w:name w:val="Light Shading Accent 5"/>
    <w:basedOn w:val="TableNormal"/>
    <w:uiPriority w:val="60"/>
    <w:rsid w:val="00FC693F"/>
    <w:pPr>
      <w:spacing w:after="0" w:line="240" w:lineRule="auto"/>
    </w:pPr>
    <w:rPr>
      <w:color w:val="31849b" w:themeColor="accent5" w:themeShade="0000BF"/>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la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left w:space="0" w:sz="0" w:val="nil"/>
          <w:right w:space="0" w:sz="0" w:val="nil"/>
          <w:insideH w:space="0" w:sz="0" w:val="nil"/>
          <w:insideV w:space="0" w:sz="0" w:val="nil"/>
        </w:tcBorders>
        <w:shd w:color="auto" w:fill="d2eaf1" w:themeFill="accent5" w:themeFillTint="00003F" w:val="clear"/>
      </w:tcPr>
    </w:tblStylePr>
  </w:style>
  <w:style w:type="table" w:styleId="LightShading-Accent6">
    <w:name w:val="Light Shading Accent 6"/>
    <w:basedOn w:val="TableNormal"/>
    <w:uiPriority w:val="60"/>
    <w:rsid w:val="00FC693F"/>
    <w:pPr>
      <w:spacing w:after="0" w:line="240" w:lineRule="auto"/>
    </w:pPr>
    <w:rPr>
      <w:color w:val="e36c0a" w:themeColor="accent6" w:themeShade="0000BF"/>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la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left w:space="0" w:sz="0" w:val="nil"/>
          <w:right w:space="0" w:sz="0" w:val="nil"/>
          <w:insideH w:space="0" w:sz="0" w:val="nil"/>
          <w:insideV w:space="0" w:sz="0" w:val="nil"/>
        </w:tcBorders>
        <w:shd w:color="auto" w:fill="fde4d0" w:themeFill="accent6" w:themeFillTint="00003F" w:val="clear"/>
      </w:tcPr>
    </w:tblStylePr>
  </w:style>
  <w:style w:type="table" w:styleId="LightList">
    <w:name w:val="Light List"/>
    <w:basedOn w:val="TableNormal"/>
    <w:uiPriority w:val="61"/>
    <w:rsid w:val="00FC693F"/>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000000" w:themeFill="text1" w:val="clear"/>
      </w:tcPr>
    </w:tblStylePr>
    <w:tblStylePr w:type="lastRow">
      <w:pPr>
        <w:spacing w:after="0" w:before="0" w:line="240" w:lineRule="auto"/>
      </w:pPr>
      <w:rPr>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tcBorders>
      </w:tcPr>
    </w:tblStylePr>
    <w:tblStylePr w:type="firstCol">
      <w:rPr>
        <w:b w:val="1"/>
        <w:bCs w:val="1"/>
      </w:rPr>
    </w:tblStylePr>
    <w:tblStylePr w:type="lastCol">
      <w:rPr>
        <w:b w:val="1"/>
        <w:bCs w:val="1"/>
      </w:r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f81bd" w:themeFill="accent1" w:val="clear"/>
      </w:tcPr>
    </w:tblStylePr>
    <w:tblStylePr w:type="lastRow">
      <w:pPr>
        <w:spacing w:after="0" w:before="0" w:line="240" w:lineRule="auto"/>
      </w:pPr>
      <w:rPr>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tcBorders>
      </w:tcPr>
    </w:tblStylePr>
    <w:tblStylePr w:type="firstCol">
      <w:rPr>
        <w:b w:val="1"/>
        <w:bCs w:val="1"/>
      </w:rPr>
    </w:tblStylePr>
    <w:tblStylePr w:type="lastCol">
      <w:rPr>
        <w:b w:val="1"/>
        <w:bCs w:val="1"/>
      </w:r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c0504d" w:themeFill="accent2" w:val="clear"/>
      </w:tcPr>
    </w:tblStylePr>
    <w:tblStylePr w:type="lastRow">
      <w:pPr>
        <w:spacing w:after="0" w:before="0" w:line="240" w:lineRule="auto"/>
      </w:pPr>
      <w:rPr>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tcBorders>
      </w:tcPr>
    </w:tblStylePr>
    <w:tblStylePr w:type="firstCol">
      <w:rPr>
        <w:b w:val="1"/>
        <w:bCs w:val="1"/>
      </w:rPr>
    </w:tblStylePr>
    <w:tblStylePr w:type="lastCol">
      <w:rPr>
        <w:b w:val="1"/>
        <w:bCs w:val="1"/>
      </w:r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9bbb59" w:themeFill="accent3" w:val="clear"/>
      </w:tcPr>
    </w:tblStylePr>
    <w:tblStylePr w:type="lastRow">
      <w:pPr>
        <w:spacing w:after="0" w:before="0" w:line="240" w:lineRule="auto"/>
      </w:pPr>
      <w:rPr>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tcBorders>
      </w:tcPr>
    </w:tblStylePr>
    <w:tblStylePr w:type="firstCol">
      <w:rPr>
        <w:b w:val="1"/>
        <w:bCs w:val="1"/>
      </w:rPr>
    </w:tblStylePr>
    <w:tblStylePr w:type="lastCol">
      <w:rPr>
        <w:b w:val="1"/>
        <w:bCs w:val="1"/>
      </w:r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8064a2" w:themeFill="accent4" w:val="clear"/>
      </w:tcPr>
    </w:tblStylePr>
    <w:tblStylePr w:type="lastRow">
      <w:pPr>
        <w:spacing w:after="0" w:before="0" w:line="240" w:lineRule="auto"/>
      </w:pPr>
      <w:rPr>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tcBorders>
      </w:tcPr>
    </w:tblStylePr>
    <w:tblStylePr w:type="firstCol">
      <w:rPr>
        <w:b w:val="1"/>
        <w:bCs w:val="1"/>
      </w:rPr>
    </w:tblStylePr>
    <w:tblStylePr w:type="lastCol">
      <w:rPr>
        <w:b w:val="1"/>
        <w:bCs w:val="1"/>
      </w:r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bacc6" w:themeFill="accent5" w:val="clear"/>
      </w:tcPr>
    </w:tblStylePr>
    <w:tblStylePr w:type="lastRow">
      <w:pPr>
        <w:spacing w:after="0" w:before="0" w:line="240" w:lineRule="auto"/>
      </w:pPr>
      <w:rPr>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tcBorders>
      </w:tcPr>
    </w:tblStylePr>
    <w:tblStylePr w:type="firstCol">
      <w:rPr>
        <w:b w:val="1"/>
        <w:bCs w:val="1"/>
      </w:rPr>
    </w:tblStylePr>
    <w:tblStylePr w:type="lastCol">
      <w:rPr>
        <w:b w:val="1"/>
        <w:bCs w:val="1"/>
      </w:r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f79646" w:themeFill="accent6" w:val="clear"/>
      </w:tcPr>
    </w:tblStylePr>
    <w:tblStylePr w:type="lastRow">
      <w:pPr>
        <w:spacing w:after="0" w:before="0" w:line="240" w:lineRule="auto"/>
      </w:pPr>
      <w:rPr>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tcBorders>
      </w:tcPr>
    </w:tblStylePr>
    <w:tblStylePr w:type="firstCol">
      <w:rPr>
        <w:b w:val="1"/>
        <w:bCs w:val="1"/>
      </w:rPr>
    </w:tblStylePr>
    <w:tblStylePr w:type="lastCol">
      <w:rPr>
        <w:b w:val="1"/>
        <w:bCs w:val="1"/>
      </w:r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style>
  <w:style w:type="table" w:styleId="LightGrid">
    <w:name w:val="Light Grid"/>
    <w:basedOn w:val="TableNormal"/>
    <w:uiPriority w:val="62"/>
    <w:rsid w:val="00CB0664"/>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18" w:themeColor="text1" w:val="single"/>
          <w:right w:color="000000" w:space="0" w:sz="8" w:themeColor="text1" w:val="single"/>
          <w:insideH w:space="0" w:sz="0" w:val="nil"/>
          <w:insideV w:color="000000" w:space="0" w:sz="8" w:themeColor="tex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insideH w:space="0" w:sz="0" w:val="nil"/>
          <w:insideV w:color="000000" w:space="0" w:sz="8" w:themeColor="tex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shd w:color="auto" w:fill="c0c0c0" w:themeFill="text1" w:themeFillTint="00003F" w:val="clear"/>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shd w:color="auto" w:fill="c0c0c0" w:themeFill="text1" w:themeFillTint="00003F" w:val="clear"/>
      </w:tcPr>
    </w:tblStylePr>
    <w:tblStylePr w:type="band2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18" w:themeColor="accent2" w:val="single"/>
          <w:right w:color="c0504d" w:space="0" w:sz="8" w:themeColor="accent2" w:val="single"/>
          <w:insideH w:space="0" w:sz="0" w:val="nil"/>
          <w:insideV w:color="c0504d" w:space="0" w:sz="8" w:themeColor="accent2"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insideH w:space="0" w:sz="0" w:val="nil"/>
          <w:insideV w:color="c0504d" w:space="0" w:sz="8" w:themeColor="accent2"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shd w:color="auto" w:fill="efd3d2" w:themeFill="accent2" w:themeFillTint="00003F" w:val="clear"/>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shd w:color="auto" w:fill="efd3d2" w:themeFill="accent2" w:themeFillTint="00003F" w:val="clear"/>
      </w:tcPr>
    </w:tblStylePr>
    <w:tblStylePr w:type="band2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18" w:themeColor="accent3" w:val="single"/>
          <w:right w:color="9bbb59" w:space="0" w:sz="8" w:themeColor="accent3" w:val="single"/>
          <w:insideH w:space="0" w:sz="0" w:val="nil"/>
          <w:insideV w:color="9bbb59" w:space="0" w:sz="8" w:themeColor="accent3"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insideH w:space="0" w:sz="0" w:val="nil"/>
          <w:insideV w:color="9bbb59" w:space="0" w:sz="8" w:themeColor="accent3"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shd w:color="auto" w:fill="e6eed5" w:themeFill="accent3" w:themeFillTint="00003F" w:val="clear"/>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shd w:color="auto" w:fill="e6eed5" w:themeFill="accent3" w:themeFillTint="00003F" w:val="clear"/>
      </w:tcPr>
    </w:tblStylePr>
    <w:tblStylePr w:type="band2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18" w:themeColor="accent4" w:val="single"/>
          <w:right w:color="8064a2" w:space="0" w:sz="8" w:themeColor="accent4" w:val="single"/>
          <w:insideH w:space="0" w:sz="0" w:val="nil"/>
          <w:insideV w:color="8064a2" w:space="0" w:sz="8" w:themeColor="accent4"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insideH w:space="0" w:sz="0" w:val="nil"/>
          <w:insideV w:color="8064a2" w:space="0" w:sz="8" w:themeColor="accent4"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shd w:color="auto" w:fill="dfd8e8" w:themeFill="accent4" w:themeFillTint="00003F" w:val="clear"/>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shd w:color="auto" w:fill="dfd8e8" w:themeFill="accent4" w:themeFillTint="00003F" w:val="clear"/>
      </w:tcPr>
    </w:tblStylePr>
    <w:tblStylePr w:type="band2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18" w:themeColor="accent6" w:val="single"/>
          <w:right w:color="f79646" w:space="0" w:sz="8" w:themeColor="accent6" w:val="single"/>
          <w:insideH w:space="0" w:sz="0" w:val="nil"/>
          <w:insideV w:color="f79646" w:space="0" w:sz="8" w:themeColor="accent6"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insideH w:space="0" w:sz="0" w:val="nil"/>
          <w:insideV w:color="f79646" w:space="0" w:sz="8" w:themeColor="accent6"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shd w:color="auto" w:fill="fde4d0" w:themeFill="accent6" w:themeFillTint="00003F" w:val="clear"/>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shd w:color="auto" w:fill="fde4d0" w:themeFill="accent6" w:themeFillTint="00003F" w:val="clear"/>
      </w:tcPr>
    </w:tblStylePr>
    <w:tblStylePr w:type="band2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shd w:color="auto" w:fill="000000" w:themeFill="text1" w:val="clear"/>
      </w:tcPr>
    </w:tblStylePr>
    <w:tblStylePr w:type="lastRow">
      <w:pPr>
        <w:spacing w:after="0" w:before="0" w:line="240" w:lineRule="auto"/>
      </w:pPr>
      <w:rPr>
        <w:b w:val="1"/>
        <w:bCs w:val="1"/>
      </w:rPr>
      <w:tblPr/>
      <w:tcPr>
        <w:tcBorders>
          <w:top w:color="404040" w:space="0" w:sz="6" w:themeColor="text1" w:themeTint="0000BF" w:val="doub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c0c0c0" w:themeFill="text1" w:themeFillTint="00003F" w:val="clear"/>
      </w:tcPr>
    </w:tblStylePr>
    <w:tblStylePr w:type="band1Horz">
      <w:tblPr/>
      <w:tcPr>
        <w:tcBorders>
          <w:insideH w:space="0" w:sz="0" w:val="nil"/>
          <w:insideV w:space="0" w:sz="0" w:val="nil"/>
        </w:tcBorders>
        <w:shd w:color="auto" w:fill="c0c0c0" w:themeFill="text1" w:themeFillTint="00003F" w:val="clear"/>
      </w:tcPr>
    </w:tblStylePr>
    <w:tblStylePr w:type="band2Horz">
      <w:tblPr/>
      <w:tcPr>
        <w:tcBorders>
          <w:insideH w:space="0" w:sz="0" w:val="nil"/>
          <w:insideV w:space="0" w:sz="0"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shd w:color="auto" w:fill="4f81bd" w:themeFill="accent1" w:val="clear"/>
      </w:tcPr>
    </w:tblStylePr>
    <w:tblStylePr w:type="lastRow">
      <w:pPr>
        <w:spacing w:after="0" w:before="0" w:line="240" w:lineRule="auto"/>
      </w:pPr>
      <w:rPr>
        <w:b w:val="1"/>
        <w:bCs w:val="1"/>
      </w:rPr>
      <w:tblPr/>
      <w:tcPr>
        <w:tcBorders>
          <w:top w:color="7ba0cd" w:space="0" w:sz="6" w:themeColor="accent1" w:themeTint="0000BF" w:val="doub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3dfee" w:themeFill="accent1" w:themeFillTint="00003F" w:val="clear"/>
      </w:tcPr>
    </w:tblStylePr>
    <w:tblStylePr w:type="band1Horz">
      <w:tblPr/>
      <w:tcPr>
        <w:tcBorders>
          <w:insideH w:space="0" w:sz="0" w:val="nil"/>
          <w:insideV w:space="0" w:sz="0" w:val="nil"/>
        </w:tcBorders>
        <w:shd w:color="auto" w:fill="d3dfee" w:themeFill="accent1" w:themeFillTint="00003F" w:val="clear"/>
      </w:tcPr>
    </w:tblStylePr>
    <w:tblStylePr w:type="band2Horz">
      <w:tblPr/>
      <w:tcPr>
        <w:tcBorders>
          <w:insideH w:space="0" w:sz="0" w:val="nil"/>
          <w:insideV w:space="0" w:sz="0"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shd w:color="auto" w:fill="c0504d" w:themeFill="accent2" w:val="clear"/>
      </w:tcPr>
    </w:tblStylePr>
    <w:tblStylePr w:type="lastRow">
      <w:pPr>
        <w:spacing w:after="0" w:before="0" w:line="240" w:lineRule="auto"/>
      </w:pPr>
      <w:rPr>
        <w:b w:val="1"/>
        <w:bCs w:val="1"/>
      </w:rPr>
      <w:tblPr/>
      <w:tcPr>
        <w:tcBorders>
          <w:top w:color="cf7b79" w:space="0" w:sz="6" w:themeColor="accent2" w:themeTint="0000BF" w:val="doub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d3d2" w:themeFill="accent2" w:themeFillTint="00003F" w:val="clear"/>
      </w:tcPr>
    </w:tblStylePr>
    <w:tblStylePr w:type="band1Horz">
      <w:tblPr/>
      <w:tcPr>
        <w:tcBorders>
          <w:insideH w:space="0" w:sz="0" w:val="nil"/>
          <w:insideV w:space="0" w:sz="0" w:val="nil"/>
        </w:tcBorders>
        <w:shd w:color="auto" w:fill="efd3d2" w:themeFill="accent2" w:themeFillTint="00003F" w:val="clear"/>
      </w:tcPr>
    </w:tblStylePr>
    <w:tblStylePr w:type="band2Horz">
      <w:tblPr/>
      <w:tcPr>
        <w:tcBorders>
          <w:insideH w:space="0" w:sz="0" w:val="nil"/>
          <w:insideV w:space="0" w:sz="0"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shd w:color="auto" w:fill="9bbb59" w:themeFill="accent3" w:val="clear"/>
      </w:tcPr>
    </w:tblStylePr>
    <w:tblStylePr w:type="lastRow">
      <w:pPr>
        <w:spacing w:after="0" w:before="0" w:line="240" w:lineRule="auto"/>
      </w:pPr>
      <w:rPr>
        <w:b w:val="1"/>
        <w:bCs w:val="1"/>
      </w:rPr>
      <w:tblPr/>
      <w:tcPr>
        <w:tcBorders>
          <w:top w:color="b3cc82" w:space="0" w:sz="6" w:themeColor="accent3" w:themeTint="0000BF" w:val="doub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6eed5" w:themeFill="accent3" w:themeFillTint="00003F" w:val="clear"/>
      </w:tcPr>
    </w:tblStylePr>
    <w:tblStylePr w:type="band1Horz">
      <w:tblPr/>
      <w:tcPr>
        <w:tcBorders>
          <w:insideH w:space="0" w:sz="0" w:val="nil"/>
          <w:insideV w:space="0" w:sz="0" w:val="nil"/>
        </w:tcBorders>
        <w:shd w:color="auto" w:fill="e6eed5" w:themeFill="accent3" w:themeFillTint="00003F" w:val="clear"/>
      </w:tcPr>
    </w:tblStylePr>
    <w:tblStylePr w:type="band2Horz">
      <w:tblPr/>
      <w:tcPr>
        <w:tcBorders>
          <w:insideH w:space="0" w:sz="0" w:val="nil"/>
          <w:insideV w:space="0" w:sz="0"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shd w:color="auto" w:fill="8064a2" w:themeFill="accent4" w:val="clear"/>
      </w:tcPr>
    </w:tblStylePr>
    <w:tblStylePr w:type="lastRow">
      <w:pPr>
        <w:spacing w:after="0" w:before="0" w:line="240" w:lineRule="auto"/>
      </w:pPr>
      <w:rPr>
        <w:b w:val="1"/>
        <w:bCs w:val="1"/>
      </w:rPr>
      <w:tblPr/>
      <w:tcPr>
        <w:tcBorders>
          <w:top w:color="9f8ab9" w:space="0" w:sz="6" w:themeColor="accent4" w:themeTint="0000BF" w:val="doub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fd8e8" w:themeFill="accent4" w:themeFillTint="00003F" w:val="clear"/>
      </w:tcPr>
    </w:tblStylePr>
    <w:tblStylePr w:type="band1Horz">
      <w:tblPr/>
      <w:tcPr>
        <w:tcBorders>
          <w:insideH w:space="0" w:sz="0" w:val="nil"/>
          <w:insideV w:space="0" w:sz="0" w:val="nil"/>
        </w:tcBorders>
        <w:shd w:color="auto" w:fill="dfd8e8" w:themeFill="accent4" w:themeFillTint="00003F" w:val="clear"/>
      </w:tcPr>
    </w:tblStylePr>
    <w:tblStylePr w:type="band2Horz">
      <w:tblPr/>
      <w:tcPr>
        <w:tcBorders>
          <w:insideH w:space="0" w:sz="0" w:val="nil"/>
          <w:insideV w:space="0" w:sz="0"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shd w:color="auto" w:fill="4bacc6" w:themeFill="accent5" w:val="clear"/>
      </w:tcPr>
    </w:tblStylePr>
    <w:tblStylePr w:type="lastRow">
      <w:pPr>
        <w:spacing w:after="0" w:before="0" w:line="240" w:lineRule="auto"/>
      </w:pPr>
      <w:rPr>
        <w:b w:val="1"/>
        <w:bCs w:val="1"/>
      </w:rPr>
      <w:tblPr/>
      <w:tcPr>
        <w:tcBorders>
          <w:top w:color="78c0d4" w:space="0" w:sz="6" w:themeColor="accent5" w:themeTint="0000BF" w:val="doub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2eaf1" w:themeFill="accent5" w:themeFillTint="00003F" w:val="clear"/>
      </w:tcPr>
    </w:tblStylePr>
    <w:tblStylePr w:type="band1Horz">
      <w:tblPr/>
      <w:tcPr>
        <w:tcBorders>
          <w:insideH w:space="0" w:sz="0" w:val="nil"/>
          <w:insideV w:space="0" w:sz="0" w:val="nil"/>
        </w:tcBorders>
        <w:shd w:color="auto" w:fill="d2eaf1" w:themeFill="accent5" w:themeFillTint="00003F" w:val="clear"/>
      </w:tcPr>
    </w:tblStylePr>
    <w:tblStylePr w:type="band2Horz">
      <w:tblPr/>
      <w:tcPr>
        <w:tcBorders>
          <w:insideH w:space="0" w:sz="0" w:val="nil"/>
          <w:insideV w:space="0" w:sz="0"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shd w:color="auto" w:fill="f79646" w:themeFill="accent6" w:val="clear"/>
      </w:tcPr>
    </w:tblStylePr>
    <w:tblStylePr w:type="lastRow">
      <w:pPr>
        <w:spacing w:after="0" w:before="0" w:line="240" w:lineRule="auto"/>
      </w:pPr>
      <w:rPr>
        <w:b w:val="1"/>
        <w:bCs w:val="1"/>
      </w:rPr>
      <w:tblPr/>
      <w:tcPr>
        <w:tcBorders>
          <w:top w:color="f9b074" w:space="0" w:sz="6" w:themeColor="accent6" w:themeTint="0000BF" w:val="doub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fde4d0" w:themeFill="accent6" w:themeFillTint="00003F" w:val="clear"/>
      </w:tcPr>
    </w:tblStylePr>
    <w:tblStylePr w:type="band1Horz">
      <w:tblPr/>
      <w:tcPr>
        <w:tcBorders>
          <w:insideH w:space="0" w:sz="0" w:val="nil"/>
          <w:insideV w:space="0" w:sz="0" w:val="nil"/>
        </w:tcBorders>
        <w:shd w:color="auto" w:fill="fde4d0" w:themeFill="accent6" w:themeFillTint="00003F" w:val="clear"/>
      </w:tcPr>
    </w:tblStylePr>
    <w:tblStylePr w:type="band2Horz">
      <w:tblPr/>
      <w:tcPr>
        <w:tcBorders>
          <w:insideH w:space="0" w:sz="0" w:val="nil"/>
          <w:insideV w:space="0" w:sz="0"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000000" w:themeFill="tex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000000" w:themeFill="tex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000000" w:themeFill="tex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f81bd" w:themeFill="accen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f81bd" w:themeFill="accen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f81bd" w:themeFill="accen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c0504d" w:themeFill="accent2"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c0504d" w:themeFill="accent2"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c0504d" w:themeFill="accent2"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9bbb59" w:themeFill="accent3"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9bbb59" w:themeFill="accent3"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9bbb59" w:themeFill="accent3"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8064a2" w:themeFill="accent4"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8064a2" w:themeFill="accent4"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8064a2" w:themeFill="accent4"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bacc6" w:themeFill="accent5"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bacc6" w:themeFill="accent5"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bacc6" w:themeFill="accent5"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f79646" w:themeFill="accent6"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f79646" w:themeFill="accent6"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f79646" w:themeFill="accent6"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000000" w:space="0" w:sz="8" w:themeColor="text1" w:val="single"/>
        </w:tcBorders>
      </w:tcPr>
    </w:tblStylePr>
    <w:tblStylePr w:type="lastRow">
      <w:rPr>
        <w:b w:val="1"/>
        <w:bCs w:val="1"/>
        <w:color w:val="1f497d" w:themeColor="text2"/>
      </w:rPr>
      <w:tblPr/>
      <w:tcPr>
        <w:tcBorders>
          <w:top w:color="000000" w:space="0" w:sz="8" w:themeColor="text1" w:val="single"/>
          <w:bottom w:color="000000" w:space="0" w:sz="8" w:themeColor="text1" w:val="single"/>
        </w:tcBorders>
      </w:tcPr>
    </w:tblStylePr>
    <w:tblStylePr w:type="firstCol">
      <w:rPr>
        <w:b w:val="1"/>
        <w:bCs w:val="1"/>
      </w:rPr>
    </w:tblStylePr>
    <w:tblStylePr w:type="lastCol">
      <w:rPr>
        <w:b w:val="1"/>
        <w:bCs w:val="1"/>
      </w:rPr>
      <w:tblPr/>
      <w:tcPr>
        <w:tcBorders>
          <w:top w:color="000000" w:space="0" w:sz="8" w:themeColor="text1" w:val="single"/>
          <w:bottom w:color="000000" w:space="0" w:sz="8" w:themeColor="text1" w:val="single"/>
        </w:tcBorders>
      </w:tcPr>
    </w:tblStylePr>
    <w:tblStylePr w:type="band1Vert">
      <w:tblPr/>
      <w:tcPr>
        <w:shd w:color="auto" w:fill="c0c0c0" w:themeFill="text1" w:themeFillTint="00003F" w:val="clear"/>
      </w:tcPr>
    </w:tblStylePr>
    <w:tblStylePr w:type="band1Horz">
      <w:tblPr/>
      <w:tcPr>
        <w:shd w:color="auto" w:fill="c0c0c0" w:themeFill="text1" w:themeFillTint="00003F" w:val="clear"/>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f81bd" w:space="0" w:sz="8" w:themeColor="accent1" w:val="single"/>
        </w:tcBorders>
      </w:tcPr>
    </w:tblStylePr>
    <w:tblStylePr w:type="lastRow">
      <w:rPr>
        <w:b w:val="1"/>
        <w:bCs w:val="1"/>
        <w:color w:val="1f497d" w:themeColor="text2"/>
      </w:rPr>
      <w:tblPr/>
      <w:tcPr>
        <w:tcBorders>
          <w:top w:color="4f81bd" w:space="0" w:sz="8" w:themeColor="accent1" w:val="single"/>
          <w:bottom w:color="4f81bd" w:space="0" w:sz="8" w:themeColor="accent1" w:val="single"/>
        </w:tcBorders>
      </w:tcPr>
    </w:tblStylePr>
    <w:tblStylePr w:type="firstCol">
      <w:rPr>
        <w:b w:val="1"/>
        <w:bCs w:val="1"/>
      </w:rPr>
    </w:tblStylePr>
    <w:tblStylePr w:type="lastCol">
      <w:rPr>
        <w:b w:val="1"/>
        <w:bCs w:val="1"/>
      </w:rPr>
      <w:tblPr/>
      <w:tcPr>
        <w:tcBorders>
          <w:top w:color="4f81bd" w:space="0" w:sz="8" w:themeColor="accent1" w:val="single"/>
          <w:bottom w:color="4f81bd" w:space="0" w:sz="8" w:themeColor="accent1" w:val="single"/>
        </w:tcBorders>
      </w:tcPr>
    </w:tblStylePr>
    <w:tblStylePr w:type="band1Vert">
      <w:tblPr/>
      <w:tcPr>
        <w:shd w:color="auto" w:fill="d3dfee" w:themeFill="accent1" w:themeFillTint="00003F" w:val="clear"/>
      </w:tcPr>
    </w:tblStylePr>
    <w:tblStylePr w:type="band1Horz">
      <w:tblPr/>
      <w:tcPr>
        <w:shd w:color="auto" w:fill="d3dfee" w:themeFill="accent1" w:themeFillTint="00003F" w:val="clear"/>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c0504d" w:space="0" w:sz="8" w:themeColor="accent2" w:val="single"/>
        </w:tcBorders>
      </w:tcPr>
    </w:tblStylePr>
    <w:tblStylePr w:type="lastRow">
      <w:rPr>
        <w:b w:val="1"/>
        <w:bCs w:val="1"/>
        <w:color w:val="1f497d" w:themeColor="text2"/>
      </w:rPr>
      <w:tblPr/>
      <w:tcPr>
        <w:tcBorders>
          <w:top w:color="c0504d" w:space="0" w:sz="8" w:themeColor="accent2" w:val="single"/>
          <w:bottom w:color="c0504d" w:space="0" w:sz="8" w:themeColor="accent2" w:val="single"/>
        </w:tcBorders>
      </w:tcPr>
    </w:tblStylePr>
    <w:tblStylePr w:type="firstCol">
      <w:rPr>
        <w:b w:val="1"/>
        <w:bCs w:val="1"/>
      </w:rPr>
    </w:tblStylePr>
    <w:tblStylePr w:type="lastCol">
      <w:rPr>
        <w:b w:val="1"/>
        <w:bCs w:val="1"/>
      </w:rPr>
      <w:tblPr/>
      <w:tcPr>
        <w:tcBorders>
          <w:top w:color="c0504d" w:space="0" w:sz="8" w:themeColor="accent2" w:val="single"/>
          <w:bottom w:color="c0504d" w:space="0" w:sz="8" w:themeColor="accent2" w:val="single"/>
        </w:tcBorders>
      </w:tcPr>
    </w:tblStylePr>
    <w:tblStylePr w:type="band1Vert">
      <w:tblPr/>
      <w:tcPr>
        <w:shd w:color="auto" w:fill="efd3d2" w:themeFill="accent2" w:themeFillTint="00003F" w:val="clear"/>
      </w:tcPr>
    </w:tblStylePr>
    <w:tblStylePr w:type="band1Horz">
      <w:tblPr/>
      <w:tcPr>
        <w:shd w:color="auto" w:fill="efd3d2" w:themeFill="accent2" w:themeFillTint="00003F" w:val="clear"/>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9bbb59" w:space="0" w:sz="8" w:themeColor="accent3" w:val="single"/>
        </w:tcBorders>
      </w:tcPr>
    </w:tblStylePr>
    <w:tblStylePr w:type="lastRow">
      <w:rPr>
        <w:b w:val="1"/>
        <w:bCs w:val="1"/>
        <w:color w:val="1f497d" w:themeColor="text2"/>
      </w:rPr>
      <w:tblPr/>
      <w:tcPr>
        <w:tcBorders>
          <w:top w:color="9bbb59" w:space="0" w:sz="8" w:themeColor="accent3" w:val="single"/>
          <w:bottom w:color="9bbb59" w:space="0" w:sz="8" w:themeColor="accent3" w:val="single"/>
        </w:tcBorders>
      </w:tcPr>
    </w:tblStylePr>
    <w:tblStylePr w:type="firstCol">
      <w:rPr>
        <w:b w:val="1"/>
        <w:bCs w:val="1"/>
      </w:rPr>
    </w:tblStylePr>
    <w:tblStylePr w:type="lastCol">
      <w:rPr>
        <w:b w:val="1"/>
        <w:bCs w:val="1"/>
      </w:rPr>
      <w:tblPr/>
      <w:tcPr>
        <w:tcBorders>
          <w:top w:color="9bbb59" w:space="0" w:sz="8" w:themeColor="accent3" w:val="single"/>
          <w:bottom w:color="9bbb59" w:space="0" w:sz="8" w:themeColor="accent3" w:val="single"/>
        </w:tcBorders>
      </w:tcPr>
    </w:tblStylePr>
    <w:tblStylePr w:type="band1Vert">
      <w:tblPr/>
      <w:tcPr>
        <w:shd w:color="auto" w:fill="e6eed5" w:themeFill="accent3" w:themeFillTint="00003F" w:val="clear"/>
      </w:tcPr>
    </w:tblStylePr>
    <w:tblStylePr w:type="band1Horz">
      <w:tblPr/>
      <w:tcPr>
        <w:shd w:color="auto" w:fill="e6eed5" w:themeFill="accent3" w:themeFillTint="00003F" w:val="clear"/>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8064a2" w:space="0" w:sz="8" w:themeColor="accent4" w:val="single"/>
        </w:tcBorders>
      </w:tcPr>
    </w:tblStylePr>
    <w:tblStylePr w:type="lastRow">
      <w:rPr>
        <w:b w:val="1"/>
        <w:bCs w:val="1"/>
        <w:color w:val="1f497d" w:themeColor="text2"/>
      </w:rPr>
      <w:tblPr/>
      <w:tcPr>
        <w:tcBorders>
          <w:top w:color="8064a2" w:space="0" w:sz="8" w:themeColor="accent4" w:val="single"/>
          <w:bottom w:color="8064a2" w:space="0" w:sz="8" w:themeColor="accent4" w:val="single"/>
        </w:tcBorders>
      </w:tcPr>
    </w:tblStylePr>
    <w:tblStylePr w:type="firstCol">
      <w:rPr>
        <w:b w:val="1"/>
        <w:bCs w:val="1"/>
      </w:rPr>
    </w:tblStylePr>
    <w:tblStylePr w:type="lastCol">
      <w:rPr>
        <w:b w:val="1"/>
        <w:bCs w:val="1"/>
      </w:rPr>
      <w:tblPr/>
      <w:tcPr>
        <w:tcBorders>
          <w:top w:color="8064a2" w:space="0" w:sz="8" w:themeColor="accent4" w:val="single"/>
          <w:bottom w:color="8064a2" w:space="0" w:sz="8" w:themeColor="accent4" w:val="single"/>
        </w:tcBorders>
      </w:tcPr>
    </w:tblStylePr>
    <w:tblStylePr w:type="band1Vert">
      <w:tblPr/>
      <w:tcPr>
        <w:shd w:color="auto" w:fill="dfd8e8" w:themeFill="accent4" w:themeFillTint="00003F" w:val="clear"/>
      </w:tcPr>
    </w:tblStylePr>
    <w:tblStylePr w:type="band1Horz">
      <w:tblPr/>
      <w:tcPr>
        <w:shd w:color="auto" w:fill="dfd8e8" w:themeFill="accent4" w:themeFillTint="00003F" w:val="clear"/>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bacc6" w:space="0" w:sz="8" w:themeColor="accent5" w:val="single"/>
        </w:tcBorders>
      </w:tcPr>
    </w:tblStylePr>
    <w:tblStylePr w:type="lastRow">
      <w:rPr>
        <w:b w:val="1"/>
        <w:bCs w:val="1"/>
        <w:color w:val="1f497d" w:themeColor="text2"/>
      </w:rPr>
      <w:tblPr/>
      <w:tcPr>
        <w:tcBorders>
          <w:top w:color="4bacc6" w:space="0" w:sz="8" w:themeColor="accent5" w:val="single"/>
          <w:bottom w:color="4bacc6" w:space="0" w:sz="8" w:themeColor="accent5" w:val="single"/>
        </w:tcBorders>
      </w:tcPr>
    </w:tblStylePr>
    <w:tblStylePr w:type="firstCol">
      <w:rPr>
        <w:b w:val="1"/>
        <w:bCs w:val="1"/>
      </w:rPr>
    </w:tblStylePr>
    <w:tblStylePr w:type="lastCol">
      <w:rPr>
        <w:b w:val="1"/>
        <w:bCs w:val="1"/>
      </w:rPr>
      <w:tblPr/>
      <w:tcPr>
        <w:tcBorders>
          <w:top w:color="4bacc6" w:space="0" w:sz="8" w:themeColor="accent5" w:val="single"/>
          <w:bottom w:color="4bacc6" w:space="0" w:sz="8" w:themeColor="accent5" w:val="single"/>
        </w:tcBorders>
      </w:tcPr>
    </w:tblStylePr>
    <w:tblStylePr w:type="band1Vert">
      <w:tblPr/>
      <w:tcPr>
        <w:shd w:color="auto" w:fill="d2eaf1" w:themeFill="accent5" w:themeFillTint="00003F" w:val="clear"/>
      </w:tcPr>
    </w:tblStylePr>
    <w:tblStylePr w:type="band1Horz">
      <w:tblPr/>
      <w:tcPr>
        <w:shd w:color="auto" w:fill="d2eaf1" w:themeFill="accent5" w:themeFillTint="00003F" w:val="clear"/>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f79646" w:space="0" w:sz="8" w:themeColor="accent6" w:val="single"/>
        </w:tcBorders>
      </w:tcPr>
    </w:tblStylePr>
    <w:tblStylePr w:type="lastRow">
      <w:rPr>
        <w:b w:val="1"/>
        <w:bCs w:val="1"/>
        <w:color w:val="1f497d" w:themeColor="text2"/>
      </w:rPr>
      <w:tblPr/>
      <w:tcPr>
        <w:tcBorders>
          <w:top w:color="f79646" w:space="0" w:sz="8" w:themeColor="accent6" w:val="single"/>
          <w:bottom w:color="f79646" w:space="0" w:sz="8" w:themeColor="accent6" w:val="single"/>
        </w:tcBorders>
      </w:tcPr>
    </w:tblStylePr>
    <w:tblStylePr w:type="firstCol">
      <w:rPr>
        <w:b w:val="1"/>
        <w:bCs w:val="1"/>
      </w:rPr>
    </w:tblStylePr>
    <w:tblStylePr w:type="lastCol">
      <w:rPr>
        <w:b w:val="1"/>
        <w:bCs w:val="1"/>
      </w:rPr>
      <w:tblPr/>
      <w:tcPr>
        <w:tcBorders>
          <w:top w:color="f79646" w:space="0" w:sz="8" w:themeColor="accent6" w:val="single"/>
          <w:bottom w:color="f79646" w:space="0" w:sz="8" w:themeColor="accent6" w:val="single"/>
        </w:tcBorders>
      </w:tcPr>
    </w:tblStylePr>
    <w:tblStylePr w:type="band1Vert">
      <w:tblPr/>
      <w:tcPr>
        <w:shd w:color="auto" w:fill="fde4d0" w:themeFill="accent6" w:themeFillTint="00003F" w:val="clear"/>
      </w:tcPr>
    </w:tblStylePr>
    <w:tblStylePr w:type="band1Horz">
      <w:tblPr/>
      <w:tcPr>
        <w:shd w:color="auto" w:fill="fde4d0" w:themeFill="accent6" w:themeFillTint="00003F" w:val="clear"/>
      </w:tcPr>
    </w:tblStylePr>
  </w:style>
  <w:style w:type="table" w:styleId="MediumList2">
    <w:name w:val="Medium Lis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000000" w:space="0" w:sz="24" w:themeColor="text1" w:val="single"/>
          <w:right w:space="0" w:sz="0" w:val="nil"/>
          <w:insideH w:space="0" w:sz="0" w:val="nil"/>
          <w:insideV w:space="0" w:sz="0" w:val="nil"/>
        </w:tcBorders>
        <w:shd w:color="auto" w:fill="ffffff" w:themeFill="background1" w:val="clear"/>
      </w:tcPr>
    </w:tblStylePr>
    <w:tblStylePr w:type="lastRow">
      <w:tblPr/>
      <w:tcPr>
        <w:tcBorders>
          <w:top w:color="000000" w:space="0" w:sz="8"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000000" w:space="0" w:sz="8" w:themeColor="text1" w:val="single"/>
          <w:insideH w:space="0" w:sz="0" w:val="nil"/>
          <w:insideV w:space="0" w:sz="0" w:val="nil"/>
        </w:tcBorders>
        <w:shd w:color="auto" w:fill="ffffff" w:themeFill="background1" w:val="clear"/>
      </w:tcPr>
    </w:tblStylePr>
    <w:tblStylePr w:type="lastCol">
      <w:tblPr/>
      <w:tcPr>
        <w:tcBorders>
          <w:top w:space="0" w:sz="0" w:val="nil"/>
          <w:left w:color="000000" w:space="0" w:sz="8" w:themeColor="tex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top w:space="0" w:sz="0" w:val="nil"/>
          <w:bottom w:space="0" w:sz="0" w:val="nil"/>
          <w:insideH w:space="0" w:sz="0" w:val="nil"/>
          <w:insideV w:space="0" w:sz="0" w:val="nil"/>
        </w:tcBorders>
        <w:shd w:color="auto" w:fill="c0c0c0" w:themeFill="tex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1">
    <w:name w:val="Medium List 2 Accent 1"/>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f81bd" w:space="0" w:sz="24" w:themeColor="accent1" w:val="single"/>
          <w:right w:space="0" w:sz="0" w:val="nil"/>
          <w:insideH w:space="0" w:sz="0" w:val="nil"/>
          <w:insideV w:space="0" w:sz="0" w:val="nil"/>
        </w:tcBorders>
        <w:shd w:color="auto" w:fill="ffffff" w:themeFill="background1" w:val="clear"/>
      </w:tcPr>
    </w:tblStylePr>
    <w:tblStylePr w:type="lastRow">
      <w:tblPr/>
      <w:tcPr>
        <w:tcBorders>
          <w:top w:color="4f81bd" w:space="0" w:sz="8" w:themeColor="accen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f81bd" w:space="0" w:sz="8" w:themeColor="accent1" w:val="single"/>
          <w:insideH w:space="0" w:sz="0" w:val="nil"/>
          <w:insideV w:space="0" w:sz="0" w:val="nil"/>
        </w:tcBorders>
        <w:shd w:color="auto" w:fill="ffffff" w:themeFill="background1" w:val="clear"/>
      </w:tcPr>
    </w:tblStylePr>
    <w:tblStylePr w:type="lastCol">
      <w:tblPr/>
      <w:tcPr>
        <w:tcBorders>
          <w:top w:space="0" w:sz="0" w:val="nil"/>
          <w:left w:color="4f81bd" w:space="0" w:sz="8" w:themeColor="accen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top w:space="0" w:sz="0" w:val="nil"/>
          <w:bottom w:space="0" w:sz="0" w:val="nil"/>
          <w:insideH w:space="0" w:sz="0" w:val="nil"/>
          <w:insideV w:space="0" w:sz="0" w:val="nil"/>
        </w:tcBorders>
        <w:shd w:color="auto" w:fill="d3dfee" w:themeFill="accen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2">
    <w:name w:val="Medium List 2 Accen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tblPr/>
      <w:tcPr>
        <w:tcBorders>
          <w:top w:color="c0504d" w:space="0" w:sz="8" w:themeColor="accent2"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c0504d" w:space="0" w:sz="8" w:themeColor="accent2" w:val="single"/>
          <w:insideH w:space="0" w:sz="0" w:val="nil"/>
          <w:insideV w:space="0" w:sz="0" w:val="nil"/>
        </w:tcBorders>
        <w:shd w:color="auto" w:fill="ffffff" w:themeFill="background1" w:val="clear"/>
      </w:tcPr>
    </w:tblStylePr>
    <w:tblStylePr w:type="lastCol">
      <w:tblPr/>
      <w:tcPr>
        <w:tcBorders>
          <w:top w:space="0" w:sz="0" w:val="nil"/>
          <w:left w:color="c0504d" w:space="0" w:sz="8" w:themeColor="accent2"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top w:space="0" w:sz="0" w:val="nil"/>
          <w:bottom w:space="0" w:sz="0" w:val="nil"/>
          <w:insideH w:space="0" w:sz="0" w:val="nil"/>
          <w:insideV w:space="0" w:sz="0" w:val="nil"/>
        </w:tcBorders>
        <w:shd w:color="auto" w:fill="efd3d2" w:themeFill="accent2"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3">
    <w:name w:val="Medium List 2 Accent 3"/>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tblPr/>
      <w:tcPr>
        <w:tcBorders>
          <w:top w:color="9bbb59" w:space="0" w:sz="8" w:themeColor="accent3"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9bbb59" w:space="0" w:sz="8" w:themeColor="accent3" w:val="single"/>
          <w:insideH w:space="0" w:sz="0" w:val="nil"/>
          <w:insideV w:space="0" w:sz="0" w:val="nil"/>
        </w:tcBorders>
        <w:shd w:color="auto" w:fill="ffffff" w:themeFill="background1" w:val="clear"/>
      </w:tcPr>
    </w:tblStylePr>
    <w:tblStylePr w:type="lastCol">
      <w:tblPr/>
      <w:tcPr>
        <w:tcBorders>
          <w:top w:space="0" w:sz="0" w:val="nil"/>
          <w:left w:color="9bbb59" w:space="0" w:sz="8" w:themeColor="accent3"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top w:space="0" w:sz="0" w:val="nil"/>
          <w:bottom w:space="0" w:sz="0" w:val="nil"/>
          <w:insideH w:space="0" w:sz="0" w:val="nil"/>
          <w:insideV w:space="0" w:sz="0" w:val="nil"/>
        </w:tcBorders>
        <w:shd w:color="auto" w:fill="e6eed5" w:themeFill="accent3"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4">
    <w:name w:val="Medium List 2 Accent 4"/>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tblPr/>
      <w:tcPr>
        <w:tcBorders>
          <w:top w:color="8064a2" w:space="0" w:sz="8" w:themeColor="accent4"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8064a2" w:space="0" w:sz="8" w:themeColor="accent4" w:val="single"/>
          <w:insideH w:space="0" w:sz="0" w:val="nil"/>
          <w:insideV w:space="0" w:sz="0" w:val="nil"/>
        </w:tcBorders>
        <w:shd w:color="auto" w:fill="ffffff" w:themeFill="background1" w:val="clear"/>
      </w:tcPr>
    </w:tblStylePr>
    <w:tblStylePr w:type="lastCol">
      <w:tblPr/>
      <w:tcPr>
        <w:tcBorders>
          <w:top w:space="0" w:sz="0" w:val="nil"/>
          <w:left w:color="8064a2" w:space="0" w:sz="8" w:themeColor="accent4"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top w:space="0" w:sz="0" w:val="nil"/>
          <w:bottom w:space="0" w:sz="0" w:val="nil"/>
          <w:insideH w:space="0" w:sz="0" w:val="nil"/>
          <w:insideV w:space="0" w:sz="0" w:val="nil"/>
        </w:tcBorders>
        <w:shd w:color="auto" w:fill="dfd8e8" w:themeFill="accent4"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5">
    <w:name w:val="Medium List 2 Accent 5"/>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tblPr/>
      <w:tcPr>
        <w:tcBorders>
          <w:top w:color="4bacc6" w:space="0" w:sz="8" w:themeColor="accent5"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bacc6" w:space="0" w:sz="8" w:themeColor="accent5" w:val="single"/>
          <w:insideH w:space="0" w:sz="0" w:val="nil"/>
          <w:insideV w:space="0" w:sz="0" w:val="nil"/>
        </w:tcBorders>
        <w:shd w:color="auto" w:fill="ffffff" w:themeFill="background1" w:val="clear"/>
      </w:tcPr>
    </w:tblStylePr>
    <w:tblStylePr w:type="lastCol">
      <w:tblPr/>
      <w:tcPr>
        <w:tcBorders>
          <w:top w:space="0" w:sz="0" w:val="nil"/>
          <w:left w:color="4bacc6" w:space="0" w:sz="8" w:themeColor="accent5"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top w:space="0" w:sz="0" w:val="nil"/>
          <w:bottom w:space="0" w:sz="0" w:val="nil"/>
          <w:insideH w:space="0" w:sz="0" w:val="nil"/>
          <w:insideV w:space="0" w:sz="0" w:val="nil"/>
        </w:tcBorders>
        <w:shd w:color="auto" w:fill="d2eaf1" w:themeFill="accent5"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6">
    <w:name w:val="Medium List 2 Accent 6"/>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tblPr/>
      <w:tcPr>
        <w:tcBorders>
          <w:top w:color="f79646" w:space="0" w:sz="8" w:themeColor="accent6"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f79646" w:space="0" w:sz="8" w:themeColor="accent6" w:val="single"/>
          <w:insideH w:space="0" w:sz="0" w:val="nil"/>
          <w:insideV w:space="0" w:sz="0" w:val="nil"/>
        </w:tcBorders>
        <w:shd w:color="auto" w:fill="ffffff" w:themeFill="background1" w:val="clear"/>
      </w:tcPr>
    </w:tblStylePr>
    <w:tblStylePr w:type="lastCol">
      <w:tblPr/>
      <w:tcPr>
        <w:tcBorders>
          <w:top w:space="0" w:sz="0" w:val="nil"/>
          <w:left w:color="f79646" w:space="0" w:sz="8" w:themeColor="accent6"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top w:space="0" w:sz="0" w:val="nil"/>
          <w:bottom w:space="0" w:sz="0" w:val="nil"/>
          <w:insideH w:space="0" w:sz="0" w:val="nil"/>
          <w:insideV w:space="0" w:sz="0" w:val="nil"/>
        </w:tcBorders>
        <w:shd w:color="auto" w:fill="fde4d0" w:themeFill="accent6"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insideV w:color="404040" w:space="0" w:sz="8" w:themeColor="text1" w:themeTint="0000BF"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rPr>
    </w:tblStylePr>
    <w:tblStylePr w:type="lastRow">
      <w:rPr>
        <w:b w:val="1"/>
        <w:bCs w:val="1"/>
      </w:rPr>
      <w:tblPr/>
      <w:tcPr>
        <w:tcBorders>
          <w:top w:color="404040" w:space="0" w:sz="18" w:themeColor="text1" w:themeTint="0000BF" w:val="single"/>
        </w:tcBorders>
      </w:tcPr>
    </w:tblStylePr>
    <w:tblStylePr w:type="firstCol">
      <w:rPr>
        <w:b w:val="1"/>
        <w:bCs w:val="1"/>
      </w:rPr>
    </w:tblStylePr>
    <w:tblStylePr w:type="lastCol">
      <w:rPr>
        <w:b w:val="1"/>
        <w:bCs w:val="1"/>
      </w:r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insideV w:color="7ba0cd" w:space="0" w:sz="8" w:themeColor="accent1" w:themeTint="0000BF"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rPr>
    </w:tblStylePr>
    <w:tblStylePr w:type="lastRow">
      <w:rPr>
        <w:b w:val="1"/>
        <w:bCs w:val="1"/>
      </w:rPr>
      <w:tblPr/>
      <w:tcPr>
        <w:tcBorders>
          <w:top w:color="7ba0cd" w:space="0" w:sz="18" w:themeColor="accent1" w:themeTint="0000BF" w:val="single"/>
        </w:tcBorders>
      </w:tcPr>
    </w:tblStylePr>
    <w:tblStylePr w:type="firstCol">
      <w:rPr>
        <w:b w:val="1"/>
        <w:bCs w:val="1"/>
      </w:rPr>
    </w:tblStylePr>
    <w:tblStylePr w:type="lastCol">
      <w:rPr>
        <w:b w:val="1"/>
        <w:bCs w:val="1"/>
      </w:r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insideV w:color="cf7b79" w:space="0" w:sz="8" w:themeColor="accent2" w:themeTint="0000BF"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rPr>
    </w:tblStylePr>
    <w:tblStylePr w:type="lastRow">
      <w:rPr>
        <w:b w:val="1"/>
        <w:bCs w:val="1"/>
      </w:rPr>
      <w:tblPr/>
      <w:tcPr>
        <w:tcBorders>
          <w:top w:color="cf7b79" w:space="0" w:sz="18" w:themeColor="accent2" w:themeTint="0000BF" w:val="single"/>
        </w:tcBorders>
      </w:tcPr>
    </w:tblStylePr>
    <w:tblStylePr w:type="firstCol">
      <w:rPr>
        <w:b w:val="1"/>
        <w:bCs w:val="1"/>
      </w:rPr>
    </w:tblStylePr>
    <w:tblStylePr w:type="lastCol">
      <w:rPr>
        <w:b w:val="1"/>
        <w:bCs w:val="1"/>
      </w:r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insideV w:color="b3cc82" w:space="0" w:sz="8" w:themeColor="accent3" w:themeTint="0000BF"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rPr>
    </w:tblStylePr>
    <w:tblStylePr w:type="lastRow">
      <w:rPr>
        <w:b w:val="1"/>
        <w:bCs w:val="1"/>
      </w:rPr>
      <w:tblPr/>
      <w:tcPr>
        <w:tcBorders>
          <w:top w:color="b3cc82" w:space="0" w:sz="18" w:themeColor="accent3" w:themeTint="0000BF" w:val="single"/>
        </w:tcBorders>
      </w:tcPr>
    </w:tblStylePr>
    <w:tblStylePr w:type="firstCol">
      <w:rPr>
        <w:b w:val="1"/>
        <w:bCs w:val="1"/>
      </w:rPr>
    </w:tblStylePr>
    <w:tblStylePr w:type="lastCol">
      <w:rPr>
        <w:b w:val="1"/>
        <w:bCs w:val="1"/>
      </w:r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insideV w:color="9f8ab9" w:space="0" w:sz="8" w:themeColor="accent4" w:themeTint="0000BF"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rPr>
    </w:tblStylePr>
    <w:tblStylePr w:type="lastRow">
      <w:rPr>
        <w:b w:val="1"/>
        <w:bCs w:val="1"/>
      </w:rPr>
      <w:tblPr/>
      <w:tcPr>
        <w:tcBorders>
          <w:top w:color="9f8ab9" w:space="0" w:sz="18" w:themeColor="accent4" w:themeTint="0000BF" w:val="single"/>
        </w:tcBorders>
      </w:tcPr>
    </w:tblStylePr>
    <w:tblStylePr w:type="firstCol">
      <w:rPr>
        <w:b w:val="1"/>
        <w:bCs w:val="1"/>
      </w:rPr>
    </w:tblStylePr>
    <w:tblStylePr w:type="lastCol">
      <w:rPr>
        <w:b w:val="1"/>
        <w:bCs w:val="1"/>
      </w:r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insideV w:color="78c0d4" w:space="0" w:sz="8" w:themeColor="accent5" w:themeTint="0000BF"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rPr>
    </w:tblStylePr>
    <w:tblStylePr w:type="lastRow">
      <w:rPr>
        <w:b w:val="1"/>
        <w:bCs w:val="1"/>
      </w:rPr>
      <w:tblPr/>
      <w:tcPr>
        <w:tcBorders>
          <w:top w:color="78c0d4" w:space="0" w:sz="18" w:themeColor="accent5" w:themeTint="0000BF" w:val="single"/>
        </w:tcBorders>
      </w:tcPr>
    </w:tblStylePr>
    <w:tblStylePr w:type="firstCol">
      <w:rPr>
        <w:b w:val="1"/>
        <w:bCs w:val="1"/>
      </w:rPr>
    </w:tblStylePr>
    <w:tblStylePr w:type="lastCol">
      <w:rPr>
        <w:b w:val="1"/>
        <w:bCs w:val="1"/>
      </w:r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insideV w:color="f9b074" w:space="0" w:sz="8" w:themeColor="accent6" w:themeTint="0000BF"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rPr>
    </w:tblStylePr>
    <w:tblStylePr w:type="lastRow">
      <w:rPr>
        <w:b w:val="1"/>
        <w:bCs w:val="1"/>
      </w:rPr>
      <w:tblPr/>
      <w:tcPr>
        <w:tcBorders>
          <w:top w:color="f9b074" w:space="0" w:sz="18" w:themeColor="accent6" w:themeTint="0000BF" w:val="single"/>
        </w:tcBorders>
      </w:tcPr>
    </w:tblStylePr>
    <w:tblStylePr w:type="firstCol">
      <w:rPr>
        <w:b w:val="1"/>
        <w:bCs w:val="1"/>
      </w:rPr>
    </w:tblStylePr>
    <w:tblStylePr w:type="lastCol">
      <w:rPr>
        <w:b w:val="1"/>
        <w:bCs w:val="1"/>
      </w:r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MediumGrid2">
    <w:name w:val="Medium Grid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color w:val="000000" w:themeColor="text1"/>
      </w:rPr>
      <w:tblPr/>
      <w:tcPr>
        <w:shd w:color="auto" w:fill="e6e6e6" w:themeFill="tex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cccccc" w:themeFill="text1" w:themeFillTint="000033" w:val="clear"/>
      </w:tcPr>
    </w:tblStylePr>
    <w:tblStylePr w:type="band1Vert">
      <w:tblPr/>
      <w:tcPr>
        <w:shd w:color="auto" w:fill="808080" w:themeFill="text1" w:themeFillTint="00007F" w:val="clear"/>
      </w:tcPr>
    </w:tblStylePr>
    <w:tblStylePr w:type="band1Horz">
      <w:tblPr/>
      <w:tcPr>
        <w:tcBorders>
          <w:insideH w:color="000000" w:space="0" w:sz="6" w:themeColor="text1" w:val="single"/>
          <w:insideV w:color="000000" w:space="0" w:sz="6" w:themeColor="text1" w:val="single"/>
        </w:tcBorders>
        <w:shd w:color="auto" w:fill="808080" w:themeFill="text1" w:themeFillTint="00007F" w:val="clear"/>
      </w:tcPr>
    </w:tblStylePr>
    <w:tblStylePr w:type="nwCell">
      <w:tblPr/>
      <w:tcPr>
        <w:shd w:color="auto" w:fill="ffffff" w:themeFill="background1" w:val="clear"/>
      </w:tcPr>
    </w:tblStylePr>
  </w:style>
  <w:style w:type="table" w:styleId="MediumGrid2-Accent1">
    <w:name w:val="Medium Grid 2 Accent 1"/>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color w:val="000000" w:themeColor="text1"/>
      </w:rPr>
      <w:tblPr/>
      <w:tcPr>
        <w:shd w:color="auto" w:fill="edf2f8" w:themeFill="accen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be5f1" w:themeFill="accent1" w:themeFillTint="000033" w:val="clear"/>
      </w:tcPr>
    </w:tblStylePr>
    <w:tblStylePr w:type="band1Vert">
      <w:tblPr/>
      <w:tcPr>
        <w:shd w:color="auto" w:fill="a7bfde" w:themeFill="accent1" w:themeFillTint="00007F" w:val="clear"/>
      </w:tcPr>
    </w:tblStylePr>
    <w:tblStylePr w:type="band1Horz">
      <w:tblPr/>
      <w:tcPr>
        <w:tcBorders>
          <w:insideH w:color="4f81bd" w:space="0" w:sz="6" w:themeColor="accent1" w:val="single"/>
          <w:insideV w:color="4f81bd" w:space="0" w:sz="6" w:themeColor="accent1" w:val="single"/>
        </w:tcBorders>
        <w:shd w:color="auto" w:fill="a7bfde" w:themeFill="accent1" w:themeFillTint="00007F" w:val="clear"/>
      </w:tcPr>
    </w:tblStylePr>
    <w:tblStylePr w:type="nwCell">
      <w:tblPr/>
      <w:tcPr>
        <w:shd w:color="auto" w:fill="ffffff" w:themeFill="background1" w:val="clear"/>
      </w:tcPr>
    </w:tblStylePr>
  </w:style>
  <w:style w:type="table" w:styleId="MediumGrid2-Accent2">
    <w:name w:val="Medium Grid 2 Accent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color w:val="000000" w:themeColor="text1"/>
      </w:rPr>
      <w:tblPr/>
      <w:tcPr>
        <w:shd w:color="auto" w:fill="f8eded" w:themeFill="accent2"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2dbdb" w:themeFill="accent2" w:themeFillTint="000033" w:val="clear"/>
      </w:tcPr>
    </w:tblStylePr>
    <w:tblStylePr w:type="band1Vert">
      <w:tblPr/>
      <w:tcPr>
        <w:shd w:color="auto" w:fill="dfa7a6" w:themeFill="accent2" w:themeFillTint="00007F" w:val="clear"/>
      </w:tcPr>
    </w:tblStylePr>
    <w:tblStylePr w:type="band1Horz">
      <w:tblPr/>
      <w:tcPr>
        <w:tcBorders>
          <w:insideH w:color="c0504d" w:space="0" w:sz="6" w:themeColor="accent2" w:val="single"/>
          <w:insideV w:color="c0504d" w:space="0" w:sz="6" w:themeColor="accent2" w:val="single"/>
        </w:tcBorders>
        <w:shd w:color="auto" w:fill="dfa7a6" w:themeFill="accent2" w:themeFillTint="00007F" w:val="clear"/>
      </w:tcPr>
    </w:tblStylePr>
    <w:tblStylePr w:type="nwCell">
      <w:tblPr/>
      <w:tcPr>
        <w:shd w:color="auto" w:fill="ffffff" w:themeFill="background1" w:val="clear"/>
      </w:tcPr>
    </w:tblStylePr>
  </w:style>
  <w:style w:type="table" w:styleId="MediumGrid2-Accent3">
    <w:name w:val="Medium Grid 2 Accent 3"/>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color w:val="000000" w:themeColor="text1"/>
      </w:rPr>
      <w:tblPr/>
      <w:tcPr>
        <w:shd w:color="auto" w:fill="f5f8ee" w:themeFill="accent3"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af1dd" w:themeFill="accent3" w:themeFillTint="000033" w:val="clear"/>
      </w:tcPr>
    </w:tblStylePr>
    <w:tblStylePr w:type="band1Vert">
      <w:tblPr/>
      <w:tcPr>
        <w:shd w:color="auto" w:fill="cdddac" w:themeFill="accent3" w:themeFillTint="00007F" w:val="clear"/>
      </w:tcPr>
    </w:tblStylePr>
    <w:tblStylePr w:type="band1Horz">
      <w:tblPr/>
      <w:tcPr>
        <w:tcBorders>
          <w:insideH w:color="9bbb59" w:space="0" w:sz="6" w:themeColor="accent3" w:val="single"/>
          <w:insideV w:color="9bbb59" w:space="0" w:sz="6" w:themeColor="accent3" w:val="single"/>
        </w:tcBorders>
        <w:shd w:color="auto" w:fill="cdddac" w:themeFill="accent3" w:themeFillTint="00007F" w:val="clear"/>
      </w:tcPr>
    </w:tblStylePr>
    <w:tblStylePr w:type="nwCell">
      <w:tblPr/>
      <w:tcPr>
        <w:shd w:color="auto" w:fill="ffffff" w:themeFill="background1" w:val="clear"/>
      </w:tcPr>
    </w:tblStylePr>
  </w:style>
  <w:style w:type="table" w:styleId="MediumGrid2-Accent4">
    <w:name w:val="Medium Grid 2 Accent 4"/>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color w:val="000000" w:themeColor="text1"/>
      </w:rPr>
      <w:tblPr/>
      <w:tcPr>
        <w:shd w:color="auto" w:fill="f2eff6" w:themeFill="accent4"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5dfec" w:themeFill="accent4" w:themeFillTint="000033" w:val="clear"/>
      </w:tcPr>
    </w:tblStylePr>
    <w:tblStylePr w:type="band1Vert">
      <w:tblPr/>
      <w:tcPr>
        <w:shd w:color="auto" w:fill="bfb1d0" w:themeFill="accent4" w:themeFillTint="00007F" w:val="clear"/>
      </w:tcPr>
    </w:tblStylePr>
    <w:tblStylePr w:type="band1Horz">
      <w:tblPr/>
      <w:tcPr>
        <w:tcBorders>
          <w:insideH w:color="8064a2" w:space="0" w:sz="6" w:themeColor="accent4" w:val="single"/>
          <w:insideV w:color="8064a2" w:space="0" w:sz="6" w:themeColor="accent4" w:val="single"/>
        </w:tcBorders>
        <w:shd w:color="auto" w:fill="bfb1d0" w:themeFill="accent4" w:themeFillTint="00007F" w:val="clear"/>
      </w:tcPr>
    </w:tblStylePr>
    <w:tblStylePr w:type="nwCell">
      <w:tblPr/>
      <w:tcPr>
        <w:shd w:color="auto" w:fill="ffffff" w:themeFill="background1" w:val="clear"/>
      </w:tcPr>
    </w:tblStylePr>
  </w:style>
  <w:style w:type="table" w:styleId="MediumGrid2-Accent5">
    <w:name w:val="Medium Grid 2 Accent 5"/>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color w:val="000000" w:themeColor="text1"/>
      </w:rPr>
      <w:tblPr/>
      <w:tcPr>
        <w:shd w:color="auto" w:fill="edf6f9" w:themeFill="accent5"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aeef3" w:themeFill="accent5" w:themeFillTint="000033" w:val="clear"/>
      </w:tcPr>
    </w:tblStylePr>
    <w:tblStylePr w:type="band1Vert">
      <w:tblPr/>
      <w:tcPr>
        <w:shd w:color="auto" w:fill="a5d5e2" w:themeFill="accent5" w:themeFillTint="00007F" w:val="clear"/>
      </w:tcPr>
    </w:tblStylePr>
    <w:tblStylePr w:type="band1Horz">
      <w:tblPr/>
      <w:tcPr>
        <w:tcBorders>
          <w:insideH w:color="4bacc6" w:space="0" w:sz="6" w:themeColor="accent5" w:val="single"/>
          <w:insideV w:color="4bacc6" w:space="0" w:sz="6" w:themeColor="accent5" w:val="single"/>
        </w:tcBorders>
        <w:shd w:color="auto" w:fill="a5d5e2" w:themeFill="accent5" w:themeFillTint="00007F" w:val="clear"/>
      </w:tcPr>
    </w:tblStylePr>
    <w:tblStylePr w:type="nwCell">
      <w:tblPr/>
      <w:tcPr>
        <w:shd w:color="auto" w:fill="ffffff" w:themeFill="background1" w:val="clear"/>
      </w:tcPr>
    </w:tblStylePr>
  </w:style>
  <w:style w:type="table" w:styleId="MediumGrid2-Accent6">
    <w:name w:val="Medium Grid 2 Accent 6"/>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color w:val="000000" w:themeColor="text1"/>
      </w:rPr>
      <w:tblPr/>
      <w:tcPr>
        <w:shd w:color="auto" w:fill="fef4ec" w:themeFill="accent6"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de9d9" w:themeFill="accent6" w:themeFillTint="000033" w:val="clear"/>
      </w:tcPr>
    </w:tblStylePr>
    <w:tblStylePr w:type="band1Vert">
      <w:tblPr/>
      <w:tcPr>
        <w:shd w:color="auto" w:fill="fbcaa2" w:themeFill="accent6" w:themeFillTint="00007F" w:val="clear"/>
      </w:tcPr>
    </w:tblStylePr>
    <w:tblStylePr w:type="band1Horz">
      <w:tblPr/>
      <w:tcPr>
        <w:tcBorders>
          <w:insideH w:color="f79646" w:space="0" w:sz="6" w:themeColor="accent6" w:val="single"/>
          <w:insideV w:color="f79646" w:space="0" w:sz="6" w:themeColor="accent6" w:val="single"/>
        </w:tcBorders>
        <w:shd w:color="auto" w:fill="fbcaa2" w:themeFill="accent6" w:themeFillTint="00007F" w:val="clear"/>
      </w:tcPr>
    </w:tblStylePr>
    <w:tblStylePr w:type="nwCell">
      <w:tblPr/>
      <w:tcPr>
        <w:shd w:color="auto" w:fill="ffffff" w:themeFill="background1" w:val="clear"/>
      </w:tcPr>
    </w:tblStylePr>
  </w:style>
  <w:style w:type="table" w:styleId="MediumGrid3">
    <w:name w:val="Medium Grid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000000" w:themeFill="tex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000000" w:themeFill="tex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808080" w:themeFill="tex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808080" w:themeFill="text1" w:themeFillTint="00007F" w:val="clear"/>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f81bd" w:themeFill="accen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f81bd" w:themeFill="accen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7bfde" w:themeFill="accen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7bfde" w:themeFill="accent1" w:themeFillTint="00007F" w:val="clear"/>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c0504d" w:themeFill="accent2"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c0504d" w:themeFill="accent2"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dfa7a6" w:themeFill="accent2"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dfa7a6" w:themeFill="accent2" w:themeFillTint="00007F" w:val="clear"/>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9bbb59" w:themeFill="accent3"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9bbb59" w:themeFill="accent3"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cdddac" w:themeFill="accent3"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cdddac" w:themeFill="accent3" w:themeFillTint="00007F" w:val="clear"/>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8064a2" w:themeFill="accent4"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8064a2" w:themeFill="accent4"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bfb1d0" w:themeFill="accent4"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bfb1d0" w:themeFill="accent4" w:themeFillTint="00007F" w:val="clear"/>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bacc6" w:themeFill="accent5"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bacc6" w:themeFill="accent5"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5d5e2" w:themeFill="accent5"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5d5e2" w:themeFill="accent5" w:themeFillTint="00007F" w:val="clear"/>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f79646" w:themeFill="accent6"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f79646" w:themeFill="accent6"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fbcaa2" w:themeFill="accent6"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fbcaa2" w:themeFill="accent6" w:themeFillTint="00007F" w:val="clear"/>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000000" w:themeFill="tex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000000" w:themeFill="tex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000000" w:themeFill="tex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000000" w:themeFill="tex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f81bd" w:themeFill="accen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43f60" w:themeFill="accen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65f91" w:themeFill="accen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65f91" w:themeFill="accen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c0504d" w:themeFill="accent2"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622423" w:themeFill="accent2"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943634" w:themeFill="accent2"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943634" w:themeFill="accent2"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9bbb59" w:themeFill="accent3"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4e6128" w:themeFill="accent3"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76923c" w:themeFill="accent3"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76923c" w:themeFill="accent3"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8064a2" w:themeFill="accent4"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3f3151" w:themeFill="accent4"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5f497a" w:themeFill="accent4"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5f497a" w:themeFill="accent4"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bacc6" w:themeFill="accent5"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05867" w:themeFill="accent5"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1849b" w:themeFill="accent5"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1849b" w:themeFill="accent5"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f79646" w:themeFill="accent6"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974706" w:themeFill="accent6"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e36c0a" w:themeFill="accent6"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e36c0a" w:themeFill="accent6"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000000" w:space="0" w:sz="4" w:themeColor="text1" w:val="single"/>
        <w:bottom w:color="000000" w:space="0" w:sz="4" w:themeColor="text1" w:val="single"/>
        <w:right w:color="000000" w:space="0" w:sz="4" w:themeColor="tex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6e6e6" w:themeFill="tex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000000" w:themeFill="text1" w:themeFillShade="000099" w:val="clear"/>
      </w:tcPr>
    </w:tblStylePr>
    <w:tblStylePr w:type="firstCol">
      <w:rPr>
        <w:color w:val="ffffff" w:themeColor="background1"/>
      </w:rPr>
      <w:tblPr/>
      <w:tcPr>
        <w:tcBorders>
          <w:top w:space="0" w:sz="0" w:val="nil"/>
          <w:left w:space="0" w:sz="0" w:val="nil"/>
          <w:bottom w:space="0" w:sz="0" w:val="nil"/>
          <w:right w:space="0" w:sz="0" w:val="nil"/>
          <w:insideH w:color="000000" w:space="0" w:sz="4" w:themeColor="text1" w:themeShade="000099" w:val="single"/>
          <w:insideV w:space="0" w:sz="0" w:val="nil"/>
        </w:tcBorders>
        <w:shd w:color="auto" w:fill="000000" w:themeFill="tex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Vert">
      <w:tblPr/>
      <w:tcPr>
        <w:shd w:color="auto" w:fill="999999" w:themeFill="text1" w:themeFillTint="000066" w:val="clear"/>
      </w:tcPr>
    </w:tblStylePr>
    <w:tblStylePr w:type="band1Horz">
      <w:tblPr/>
      <w:tcPr>
        <w:shd w:color="auto" w:fill="808080" w:themeFill="text1" w:themeFillTint="00007F" w:val="clear"/>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4f81bd" w:space="0" w:sz="4" w:themeColor="accent1" w:val="single"/>
        <w:bottom w:color="4f81bd" w:space="0" w:sz="4" w:themeColor="accent1" w:val="single"/>
        <w:right w:color="4f81bd" w:space="0" w:sz="4" w:themeColor="accen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2f8" w:themeFill="accen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c4c74" w:themeFill="accent1" w:themeFillShade="000099" w:val="clear"/>
      </w:tcPr>
    </w:tblStylePr>
    <w:tblStylePr w:type="firstCol">
      <w:rPr>
        <w:color w:val="ffffff" w:themeColor="background1"/>
      </w:rPr>
      <w:tblPr/>
      <w:tcPr>
        <w:tcBorders>
          <w:top w:space="0" w:sz="0" w:val="nil"/>
          <w:left w:space="0" w:sz="0" w:val="nil"/>
          <w:bottom w:space="0" w:sz="0" w:val="nil"/>
          <w:right w:space="0" w:sz="0" w:val="nil"/>
          <w:insideH w:color="2c4c74" w:space="0" w:sz="4" w:themeColor="accent1" w:themeShade="000099" w:val="single"/>
          <w:insideV w:space="0" w:sz="0" w:val="nil"/>
        </w:tcBorders>
        <w:shd w:color="auto" w:fill="2c4c74" w:themeFill="accen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c4c74" w:themeFill="accent1" w:themeFillShade="000099" w:val="clear"/>
      </w:tcPr>
    </w:tblStylePr>
    <w:tblStylePr w:type="band1Vert">
      <w:tblPr/>
      <w:tcPr>
        <w:shd w:color="auto" w:fill="b8cce4" w:themeFill="accent1" w:themeFillTint="000066" w:val="clear"/>
      </w:tcPr>
    </w:tblStylePr>
    <w:tblStylePr w:type="band1Horz">
      <w:tblPr/>
      <w:tcPr>
        <w:shd w:color="auto" w:fill="a7bfde" w:themeFill="accent1" w:themeFillTint="00007F" w:val="clear"/>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c0504d" w:space="0" w:sz="4" w:themeColor="accent2" w:val="single"/>
        <w:bottom w:color="c0504d" w:space="0" w:sz="4" w:themeColor="accent2" w:val="single"/>
        <w:right w:color="c0504d" w:space="0" w:sz="4" w:themeColor="accent2"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8eded" w:themeFill="accent2"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772c2a" w:themeFill="accent2" w:themeFillShade="000099" w:val="clear"/>
      </w:tcPr>
    </w:tblStylePr>
    <w:tblStylePr w:type="firstCol">
      <w:rPr>
        <w:color w:val="ffffff" w:themeColor="background1"/>
      </w:rPr>
      <w:tblPr/>
      <w:tcPr>
        <w:tcBorders>
          <w:top w:space="0" w:sz="0" w:val="nil"/>
          <w:left w:space="0" w:sz="0" w:val="nil"/>
          <w:bottom w:space="0" w:sz="0" w:val="nil"/>
          <w:right w:space="0" w:sz="0" w:val="nil"/>
          <w:insideH w:color="772c2a" w:space="0" w:sz="4" w:themeColor="accent2" w:themeShade="000099" w:val="single"/>
          <w:insideV w:space="0" w:sz="0" w:val="nil"/>
        </w:tcBorders>
        <w:shd w:color="auto" w:fill="772c2a" w:themeFill="accent2"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772c2a" w:themeFill="accent2" w:themeFillShade="000099" w:val="clear"/>
      </w:tcPr>
    </w:tblStylePr>
    <w:tblStylePr w:type="band1Vert">
      <w:tblPr/>
      <w:tcPr>
        <w:shd w:color="auto" w:fill="e5b8b7" w:themeFill="accent2" w:themeFillTint="000066" w:val="clear"/>
      </w:tcPr>
    </w:tblStylePr>
    <w:tblStylePr w:type="band1Horz">
      <w:tblPr/>
      <w:tcPr>
        <w:shd w:color="auto" w:fill="dfa7a6" w:themeFill="accent2" w:themeFillTint="00007F" w:val="clear"/>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0" w:type="dxa"/>
      <w:tblBorders>
        <w:top w:color="8064a2" w:space="0" w:sz="24" w:themeColor="accent4" w:val="single"/>
        <w:left w:color="9bbb59" w:space="0" w:sz="4" w:themeColor="accent3" w:val="single"/>
        <w:bottom w:color="9bbb59" w:space="0" w:sz="4" w:themeColor="accent3" w:val="single"/>
        <w:right w:color="9bbb59" w:space="0" w:sz="4" w:themeColor="accent3"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5f8ee" w:themeFill="accent3" w:themeFillTint="000019" w:val="clear"/>
    </w:tcPr>
    <w:tblStylePr w:type="firstRow">
      <w:rPr>
        <w:b w:val="1"/>
        <w:bCs w:val="1"/>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5e7530" w:themeFill="accent3" w:themeFillShade="000099" w:val="clear"/>
      </w:tcPr>
    </w:tblStylePr>
    <w:tblStylePr w:type="firstCol">
      <w:rPr>
        <w:color w:val="ffffff" w:themeColor="background1"/>
      </w:rPr>
      <w:tblPr/>
      <w:tcPr>
        <w:tcBorders>
          <w:top w:space="0" w:sz="0" w:val="nil"/>
          <w:left w:space="0" w:sz="0" w:val="nil"/>
          <w:bottom w:space="0" w:sz="0" w:val="nil"/>
          <w:right w:space="0" w:sz="0" w:val="nil"/>
          <w:insideH w:color="5e7530" w:space="0" w:sz="4" w:themeColor="accent3" w:themeShade="000099" w:val="single"/>
          <w:insideV w:space="0" w:sz="0" w:val="nil"/>
        </w:tcBorders>
        <w:shd w:color="auto" w:fill="5e7530" w:themeFill="accent3"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5e7530" w:themeFill="accent3" w:themeFillShade="000099" w:val="clear"/>
      </w:tcPr>
    </w:tblStylePr>
    <w:tblStylePr w:type="band1Vert">
      <w:tblPr/>
      <w:tcPr>
        <w:shd w:color="auto" w:fill="d6e3bc" w:themeFill="accent3" w:themeFillTint="000066" w:val="clear"/>
      </w:tcPr>
    </w:tblStylePr>
    <w:tblStylePr w:type="band1Horz">
      <w:tblPr/>
      <w:tcPr>
        <w:shd w:color="auto" w:fill="cdddac" w:themeFill="accent3" w:themeFillTint="00007F" w:val="clear"/>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0" w:type="dxa"/>
      <w:tblBorders>
        <w:top w:color="9bbb59" w:space="0" w:sz="24" w:themeColor="accent3" w:val="single"/>
        <w:left w:color="8064a2" w:space="0" w:sz="4" w:themeColor="accent4" w:val="single"/>
        <w:bottom w:color="8064a2" w:space="0" w:sz="4" w:themeColor="accent4" w:val="single"/>
        <w:right w:color="8064a2" w:space="0" w:sz="4" w:themeColor="accent4"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2eff6" w:themeFill="accent4" w:themeFillTint="000019" w:val="clear"/>
    </w:tcPr>
    <w:tblStylePr w:type="firstRow">
      <w:rPr>
        <w:b w:val="1"/>
        <w:bCs w:val="1"/>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4c3b62" w:themeFill="accent4" w:themeFillShade="000099" w:val="clear"/>
      </w:tcPr>
    </w:tblStylePr>
    <w:tblStylePr w:type="firstCol">
      <w:rPr>
        <w:color w:val="ffffff" w:themeColor="background1"/>
      </w:rPr>
      <w:tblPr/>
      <w:tcPr>
        <w:tcBorders>
          <w:top w:space="0" w:sz="0" w:val="nil"/>
          <w:left w:space="0" w:sz="0" w:val="nil"/>
          <w:bottom w:space="0" w:sz="0" w:val="nil"/>
          <w:right w:space="0" w:sz="0" w:val="nil"/>
          <w:insideH w:color="4c3b62" w:space="0" w:sz="4" w:themeColor="accent4" w:themeShade="000099" w:val="single"/>
          <w:insideV w:space="0" w:sz="0" w:val="nil"/>
        </w:tcBorders>
        <w:shd w:color="auto" w:fill="4c3b62" w:themeFill="accent4"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4c3b62" w:themeFill="accent4" w:themeFillShade="000099" w:val="clear"/>
      </w:tcPr>
    </w:tblStylePr>
    <w:tblStylePr w:type="band1Vert">
      <w:tblPr/>
      <w:tcPr>
        <w:shd w:color="auto" w:fill="ccc0d9" w:themeFill="accent4" w:themeFillTint="000066" w:val="clear"/>
      </w:tcPr>
    </w:tblStylePr>
    <w:tblStylePr w:type="band1Horz">
      <w:tblPr/>
      <w:tcPr>
        <w:shd w:color="auto" w:fill="bfb1d0" w:themeFill="accent4" w:themeFillTint="00007F" w:val="clear"/>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0" w:type="dxa"/>
      <w:tblBorders>
        <w:top w:color="f79646" w:space="0" w:sz="24" w:themeColor="accent6" w:val="single"/>
        <w:left w:color="4bacc6" w:space="0" w:sz="4" w:themeColor="accent5" w:val="single"/>
        <w:bottom w:color="4bacc6" w:space="0" w:sz="4" w:themeColor="accent5" w:val="single"/>
        <w:right w:color="4bacc6" w:space="0" w:sz="4" w:themeColor="accent5"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6f9" w:themeFill="accent5" w:themeFillTint="000019" w:val="clear"/>
    </w:tcPr>
    <w:tblStylePr w:type="firstRow">
      <w:rPr>
        <w:b w:val="1"/>
        <w:bCs w:val="1"/>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76a7c" w:themeFill="accent5" w:themeFillShade="000099" w:val="clear"/>
      </w:tcPr>
    </w:tblStylePr>
    <w:tblStylePr w:type="firstCol">
      <w:rPr>
        <w:color w:val="ffffff" w:themeColor="background1"/>
      </w:rPr>
      <w:tblPr/>
      <w:tcPr>
        <w:tcBorders>
          <w:top w:space="0" w:sz="0" w:val="nil"/>
          <w:left w:space="0" w:sz="0" w:val="nil"/>
          <w:bottom w:space="0" w:sz="0" w:val="nil"/>
          <w:right w:space="0" w:sz="0" w:val="nil"/>
          <w:insideH w:color="276a7c" w:space="0" w:sz="4" w:themeColor="accent5" w:themeShade="000099" w:val="single"/>
          <w:insideV w:space="0" w:sz="0" w:val="nil"/>
        </w:tcBorders>
        <w:shd w:color="auto" w:fill="276a7c" w:themeFill="accent5"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76a7c" w:themeFill="accent5" w:themeFillShade="000099" w:val="clear"/>
      </w:tcPr>
    </w:tblStylePr>
    <w:tblStylePr w:type="band1Vert">
      <w:tblPr/>
      <w:tcPr>
        <w:shd w:color="auto" w:fill="b6dde8" w:themeFill="accent5" w:themeFillTint="000066" w:val="clear"/>
      </w:tcPr>
    </w:tblStylePr>
    <w:tblStylePr w:type="band1Horz">
      <w:tblPr/>
      <w:tcPr>
        <w:shd w:color="auto" w:fill="a5d5e2" w:themeFill="accent5" w:themeFillTint="00007F" w:val="clear"/>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0" w:type="dxa"/>
      <w:tblBorders>
        <w:top w:color="4bacc6" w:space="0" w:sz="24" w:themeColor="accent5" w:val="single"/>
        <w:left w:color="f79646" w:space="0" w:sz="4" w:themeColor="accent6" w:val="single"/>
        <w:bottom w:color="f79646" w:space="0" w:sz="4" w:themeColor="accent6" w:val="single"/>
        <w:right w:color="f79646" w:space="0" w:sz="4" w:themeColor="accent6"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ef4ec" w:themeFill="accent6" w:themeFillTint="000019" w:val="clear"/>
    </w:tcPr>
    <w:tblStylePr w:type="firstRow">
      <w:rPr>
        <w:b w:val="1"/>
        <w:bCs w:val="1"/>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b65608" w:themeFill="accent6" w:themeFillShade="000099" w:val="clear"/>
      </w:tcPr>
    </w:tblStylePr>
    <w:tblStylePr w:type="firstCol">
      <w:rPr>
        <w:color w:val="ffffff" w:themeColor="background1"/>
      </w:rPr>
      <w:tblPr/>
      <w:tcPr>
        <w:tcBorders>
          <w:top w:space="0" w:sz="0" w:val="nil"/>
          <w:left w:space="0" w:sz="0" w:val="nil"/>
          <w:bottom w:space="0" w:sz="0" w:val="nil"/>
          <w:right w:space="0" w:sz="0" w:val="nil"/>
          <w:insideH w:color="b65608" w:space="0" w:sz="4" w:themeColor="accent6" w:themeShade="000099" w:val="single"/>
          <w:insideV w:space="0" w:sz="0" w:val="nil"/>
        </w:tcBorders>
        <w:shd w:color="auto" w:fill="b65608" w:themeFill="accent6"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b65608" w:themeFill="accent6" w:themeFillShade="000099" w:val="clear"/>
      </w:tcPr>
    </w:tblStylePr>
    <w:tblStylePr w:type="band1Vert">
      <w:tblPr/>
      <w:tcPr>
        <w:shd w:color="auto" w:fill="fbd4b4" w:themeFill="accent6" w:themeFillTint="000066" w:val="clear"/>
      </w:tcPr>
    </w:tblStylePr>
    <w:tblStylePr w:type="band1Horz">
      <w:tblPr/>
      <w:tcPr>
        <w:shd w:color="auto" w:fill="fbcaa2" w:themeFill="accent6" w:themeFillTint="00007F" w:val="clear"/>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6e6e6" w:themeFill="tex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c0c0c0" w:themeFill="text1" w:themeFillTint="00003F" w:val="clear"/>
      </w:tcPr>
    </w:tblStylePr>
    <w:tblStylePr w:type="band1Horz">
      <w:tblPr/>
      <w:tcPr>
        <w:shd w:color="auto" w:fill="cccccc" w:themeFill="text1" w:themeFillTint="000033" w:val="clear"/>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2f8" w:themeFill="accen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3dfee" w:themeFill="accent1" w:themeFillTint="00003F" w:val="clear"/>
      </w:tcPr>
    </w:tblStylePr>
    <w:tblStylePr w:type="band1Horz">
      <w:tblPr/>
      <w:tcPr>
        <w:shd w:color="auto" w:fill="dbe5f1" w:themeFill="accent1" w:themeFillTint="000033" w:val="clear"/>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8eded" w:themeFill="accent2"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fd3d2" w:themeFill="accent2" w:themeFillTint="00003F" w:val="clear"/>
      </w:tcPr>
    </w:tblStylePr>
    <w:tblStylePr w:type="band1Horz">
      <w:tblPr/>
      <w:tcPr>
        <w:shd w:color="auto" w:fill="f2dbdb" w:themeFill="accent2" w:themeFillTint="000033" w:val="clear"/>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5f8ee" w:themeFill="accent3" w:themeFillTint="000019" w:val="clear"/>
    </w:tcPr>
    <w:tblStylePr w:type="firstRow">
      <w:rPr>
        <w:b w:val="1"/>
        <w:bCs w:val="1"/>
        <w:color w:val="ffffff" w:themeColor="background1"/>
      </w:rPr>
      <w:tblPr/>
      <w:tcPr>
        <w:tcBorders>
          <w:bottom w:color="ffffff" w:space="0" w:sz="12" w:themeColor="background1" w:val="single"/>
        </w:tcBorders>
        <w:shd w:color="auto" w:fill="664e82" w:themeFill="accent4" w:themeFillShade="0000CC" w:val="clear"/>
      </w:tcPr>
    </w:tblStylePr>
    <w:tblStylePr w:type="lastRow">
      <w:rPr>
        <w:b w:val="1"/>
        <w:bCs w:val="1"/>
        <w:color w:val="664e82" w:themeColor="accent4"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6eed5" w:themeFill="accent3" w:themeFillTint="00003F" w:val="clear"/>
      </w:tcPr>
    </w:tblStylePr>
    <w:tblStylePr w:type="band1Horz">
      <w:tblPr/>
      <w:tcPr>
        <w:shd w:color="auto" w:fill="eaf1dd" w:themeFill="accent3" w:themeFillTint="000033" w:val="clear"/>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2eff6" w:themeFill="accent4" w:themeFillTint="000019" w:val="clear"/>
    </w:tcPr>
    <w:tblStylePr w:type="firstRow">
      <w:rPr>
        <w:b w:val="1"/>
        <w:bCs w:val="1"/>
        <w:color w:val="ffffff" w:themeColor="background1"/>
      </w:rPr>
      <w:tblPr/>
      <w:tcPr>
        <w:tcBorders>
          <w:bottom w:color="ffffff" w:space="0" w:sz="12" w:themeColor="background1" w:val="single"/>
        </w:tcBorders>
        <w:shd w:color="auto" w:fill="7e9c40" w:themeFill="accent3" w:themeFillShade="0000CC" w:val="clear"/>
      </w:tcPr>
    </w:tblStylePr>
    <w:tblStylePr w:type="lastRow">
      <w:rPr>
        <w:b w:val="1"/>
        <w:bCs w:val="1"/>
        <w:color w:val="7e9c40" w:themeColor="accent3"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fd8e8" w:themeFill="accent4" w:themeFillTint="00003F" w:val="clear"/>
      </w:tcPr>
    </w:tblStylePr>
    <w:tblStylePr w:type="band1Horz">
      <w:tblPr/>
      <w:tcPr>
        <w:shd w:color="auto" w:fill="e5dfec" w:themeFill="accent4" w:themeFillTint="000033" w:val="clear"/>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6f9" w:themeFill="accent5" w:themeFillTint="000019" w:val="clear"/>
    </w:tcPr>
    <w:tblStylePr w:type="firstRow">
      <w:rPr>
        <w:b w:val="1"/>
        <w:bCs w:val="1"/>
        <w:color w:val="ffffff" w:themeColor="background1"/>
      </w:rPr>
      <w:tblPr/>
      <w:tcPr>
        <w:tcBorders>
          <w:bottom w:color="ffffff" w:space="0" w:sz="12" w:themeColor="background1" w:val="single"/>
        </w:tcBorders>
        <w:shd w:color="auto" w:fill="f2730a" w:themeFill="accent6" w:themeFillShade="0000CC" w:val="clear"/>
      </w:tcPr>
    </w:tblStylePr>
    <w:tblStylePr w:type="lastRow">
      <w:rPr>
        <w:b w:val="1"/>
        <w:bCs w:val="1"/>
        <w:color w:val="f2730a" w:themeColor="accent6"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2eaf1" w:themeFill="accent5" w:themeFillTint="00003F" w:val="clear"/>
      </w:tcPr>
    </w:tblStylePr>
    <w:tblStylePr w:type="band1Horz">
      <w:tblPr/>
      <w:tcPr>
        <w:shd w:color="auto" w:fill="daeef3" w:themeFill="accent5" w:themeFillTint="000033" w:val="clear"/>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ef4ec" w:themeFill="accent6" w:themeFillTint="000019" w:val="clear"/>
    </w:tcPr>
    <w:tblStylePr w:type="firstRow">
      <w:rPr>
        <w:b w:val="1"/>
        <w:bCs w:val="1"/>
        <w:color w:val="ffffff" w:themeColor="background1"/>
      </w:rPr>
      <w:tblPr/>
      <w:tcPr>
        <w:tcBorders>
          <w:bottom w:color="ffffff" w:space="0" w:sz="12" w:themeColor="background1" w:val="single"/>
        </w:tcBorders>
        <w:shd w:color="auto" w:fill="348da5" w:themeFill="accent5" w:themeFillShade="0000CC" w:val="clear"/>
      </w:tcPr>
    </w:tblStylePr>
    <w:tblStylePr w:type="lastRow">
      <w:rPr>
        <w:b w:val="1"/>
        <w:bCs w:val="1"/>
        <w:color w:val="348da5" w:themeColor="accent5"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fde4d0" w:themeFill="accent6" w:themeFillTint="00003F" w:val="clear"/>
      </w:tcPr>
    </w:tblStylePr>
    <w:tblStylePr w:type="band1Horz">
      <w:tblPr/>
      <w:tcPr>
        <w:shd w:color="auto" w:fill="fde9d9" w:themeFill="accent6" w:themeFillTint="000033" w:val="clear"/>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cccccc" w:themeFill="text1" w:themeFillTint="000033" w:val="clear"/>
    </w:tcPr>
    <w:tblStylePr w:type="firstRow">
      <w:rPr>
        <w:b w:val="1"/>
        <w:bCs w:val="1"/>
      </w:rPr>
      <w:tblPr/>
      <w:tcPr>
        <w:shd w:color="auto" w:fill="999999" w:themeFill="text1" w:themeFillTint="000066" w:val="clear"/>
      </w:tcPr>
    </w:tblStylePr>
    <w:tblStylePr w:type="lastRow">
      <w:rPr>
        <w:b w:val="1"/>
        <w:bCs w:val="1"/>
        <w:color w:val="000000" w:themeColor="text1"/>
      </w:rPr>
      <w:tblPr/>
      <w:tcPr>
        <w:shd w:color="auto" w:fill="999999" w:themeFill="text1" w:themeFillTint="000066" w:val="clear"/>
      </w:tcPr>
    </w:tblStylePr>
    <w:tblStylePr w:type="firstCol">
      <w:rPr>
        <w:color w:val="ffffff" w:themeColor="background1"/>
      </w:rPr>
      <w:tblPr/>
      <w:tcPr>
        <w:shd w:color="auto" w:fill="000000" w:themeFill="text1" w:themeFillShade="0000BF" w:val="clear"/>
      </w:tcPr>
    </w:tblStylePr>
    <w:tblStylePr w:type="lastCol">
      <w:rPr>
        <w:color w:val="ffffff" w:themeColor="background1"/>
      </w:rPr>
      <w:tblPr/>
      <w:tcPr>
        <w:shd w:color="auto" w:fill="000000" w:themeFill="text1" w:themeFillShade="0000BF" w:val="clear"/>
      </w:tc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be5f1" w:themeFill="accent1" w:themeFillTint="000033" w:val="clear"/>
    </w:tcPr>
    <w:tblStylePr w:type="firstRow">
      <w:rPr>
        <w:b w:val="1"/>
        <w:bCs w:val="1"/>
      </w:rPr>
      <w:tblPr/>
      <w:tcPr>
        <w:shd w:color="auto" w:fill="b8cce4" w:themeFill="accent1" w:themeFillTint="000066" w:val="clear"/>
      </w:tcPr>
    </w:tblStylePr>
    <w:tblStylePr w:type="lastRow">
      <w:rPr>
        <w:b w:val="1"/>
        <w:bCs w:val="1"/>
        <w:color w:val="000000" w:themeColor="text1"/>
      </w:rPr>
      <w:tblPr/>
      <w:tcPr>
        <w:shd w:color="auto" w:fill="b8cce4" w:themeFill="accent1" w:themeFillTint="000066" w:val="clear"/>
      </w:tcPr>
    </w:tblStylePr>
    <w:tblStylePr w:type="firstCol">
      <w:rPr>
        <w:color w:val="ffffff" w:themeColor="background1"/>
      </w:rPr>
      <w:tblPr/>
      <w:tcPr>
        <w:shd w:color="auto" w:fill="365f91" w:themeFill="accent1" w:themeFillShade="0000BF" w:val="clear"/>
      </w:tcPr>
    </w:tblStylePr>
    <w:tblStylePr w:type="lastCol">
      <w:rPr>
        <w:color w:val="ffffff" w:themeColor="background1"/>
      </w:rPr>
      <w:tblPr/>
      <w:tcPr>
        <w:shd w:color="auto" w:fill="365f91" w:themeFill="accent1" w:themeFillShade="0000BF" w:val="clear"/>
      </w:tc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2dbdb" w:themeFill="accent2" w:themeFillTint="000033" w:val="clear"/>
    </w:tcPr>
    <w:tblStylePr w:type="firstRow">
      <w:rPr>
        <w:b w:val="1"/>
        <w:bCs w:val="1"/>
      </w:rPr>
      <w:tblPr/>
      <w:tcPr>
        <w:shd w:color="auto" w:fill="e5b8b7" w:themeFill="accent2" w:themeFillTint="000066" w:val="clear"/>
      </w:tcPr>
    </w:tblStylePr>
    <w:tblStylePr w:type="lastRow">
      <w:rPr>
        <w:b w:val="1"/>
        <w:bCs w:val="1"/>
        <w:color w:val="000000" w:themeColor="text1"/>
      </w:rPr>
      <w:tblPr/>
      <w:tcPr>
        <w:shd w:color="auto" w:fill="e5b8b7" w:themeFill="accent2" w:themeFillTint="000066" w:val="clear"/>
      </w:tcPr>
    </w:tblStylePr>
    <w:tblStylePr w:type="firstCol">
      <w:rPr>
        <w:color w:val="ffffff" w:themeColor="background1"/>
      </w:rPr>
      <w:tblPr/>
      <w:tcPr>
        <w:shd w:color="auto" w:fill="943634" w:themeFill="accent2" w:themeFillShade="0000BF" w:val="clear"/>
      </w:tcPr>
    </w:tblStylePr>
    <w:tblStylePr w:type="lastCol">
      <w:rPr>
        <w:color w:val="ffffff" w:themeColor="background1"/>
      </w:rPr>
      <w:tblPr/>
      <w:tcPr>
        <w:shd w:color="auto" w:fill="943634" w:themeFill="accent2" w:themeFillShade="0000BF" w:val="clear"/>
      </w:tc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af1dd" w:themeFill="accent3" w:themeFillTint="000033" w:val="clear"/>
    </w:tcPr>
    <w:tblStylePr w:type="firstRow">
      <w:rPr>
        <w:b w:val="1"/>
        <w:bCs w:val="1"/>
      </w:rPr>
      <w:tblPr/>
      <w:tcPr>
        <w:shd w:color="auto" w:fill="d6e3bc" w:themeFill="accent3" w:themeFillTint="000066" w:val="clear"/>
      </w:tcPr>
    </w:tblStylePr>
    <w:tblStylePr w:type="lastRow">
      <w:rPr>
        <w:b w:val="1"/>
        <w:bCs w:val="1"/>
        <w:color w:val="000000" w:themeColor="text1"/>
      </w:rPr>
      <w:tblPr/>
      <w:tcPr>
        <w:shd w:color="auto" w:fill="d6e3bc" w:themeFill="accent3" w:themeFillTint="000066" w:val="clear"/>
      </w:tcPr>
    </w:tblStylePr>
    <w:tblStylePr w:type="firstCol">
      <w:rPr>
        <w:color w:val="ffffff" w:themeColor="background1"/>
      </w:rPr>
      <w:tblPr/>
      <w:tcPr>
        <w:shd w:color="auto" w:fill="76923c" w:themeFill="accent3" w:themeFillShade="0000BF" w:val="clear"/>
      </w:tcPr>
    </w:tblStylePr>
    <w:tblStylePr w:type="lastCol">
      <w:rPr>
        <w:color w:val="ffffff" w:themeColor="background1"/>
      </w:rPr>
      <w:tblPr/>
      <w:tcPr>
        <w:shd w:color="auto" w:fill="76923c" w:themeFill="accent3" w:themeFillShade="0000BF" w:val="clear"/>
      </w:tc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5dfec" w:themeFill="accent4" w:themeFillTint="000033" w:val="clear"/>
    </w:tcPr>
    <w:tblStylePr w:type="firstRow">
      <w:rPr>
        <w:b w:val="1"/>
        <w:bCs w:val="1"/>
      </w:rPr>
      <w:tblPr/>
      <w:tcPr>
        <w:shd w:color="auto" w:fill="ccc0d9" w:themeFill="accent4" w:themeFillTint="000066" w:val="clear"/>
      </w:tcPr>
    </w:tblStylePr>
    <w:tblStylePr w:type="lastRow">
      <w:rPr>
        <w:b w:val="1"/>
        <w:bCs w:val="1"/>
        <w:color w:val="000000" w:themeColor="text1"/>
      </w:rPr>
      <w:tblPr/>
      <w:tcPr>
        <w:shd w:color="auto" w:fill="ccc0d9" w:themeFill="accent4" w:themeFillTint="000066" w:val="clear"/>
      </w:tcPr>
    </w:tblStylePr>
    <w:tblStylePr w:type="firstCol">
      <w:rPr>
        <w:color w:val="ffffff" w:themeColor="background1"/>
      </w:rPr>
      <w:tblPr/>
      <w:tcPr>
        <w:shd w:color="auto" w:fill="5f497a" w:themeFill="accent4" w:themeFillShade="0000BF" w:val="clear"/>
      </w:tcPr>
    </w:tblStylePr>
    <w:tblStylePr w:type="lastCol">
      <w:rPr>
        <w:color w:val="ffffff" w:themeColor="background1"/>
      </w:rPr>
      <w:tblPr/>
      <w:tcPr>
        <w:shd w:color="auto" w:fill="5f497a" w:themeFill="accent4" w:themeFillShade="0000BF" w:val="clear"/>
      </w:tc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aeef3" w:themeFill="accent5" w:themeFillTint="000033" w:val="clear"/>
    </w:tcPr>
    <w:tblStylePr w:type="firstRow">
      <w:rPr>
        <w:b w:val="1"/>
        <w:bCs w:val="1"/>
      </w:rPr>
      <w:tblPr/>
      <w:tcPr>
        <w:shd w:color="auto" w:fill="b6dde8" w:themeFill="accent5" w:themeFillTint="000066" w:val="clear"/>
      </w:tcPr>
    </w:tblStylePr>
    <w:tblStylePr w:type="lastRow">
      <w:rPr>
        <w:b w:val="1"/>
        <w:bCs w:val="1"/>
        <w:color w:val="000000" w:themeColor="text1"/>
      </w:rPr>
      <w:tblPr/>
      <w:tcPr>
        <w:shd w:color="auto" w:fill="b6dde8" w:themeFill="accent5" w:themeFillTint="000066" w:val="clear"/>
      </w:tcPr>
    </w:tblStylePr>
    <w:tblStylePr w:type="firstCol">
      <w:rPr>
        <w:color w:val="ffffff" w:themeColor="background1"/>
      </w:rPr>
      <w:tblPr/>
      <w:tcPr>
        <w:shd w:color="auto" w:fill="31849b" w:themeFill="accent5" w:themeFillShade="0000BF" w:val="clear"/>
      </w:tcPr>
    </w:tblStylePr>
    <w:tblStylePr w:type="lastCol">
      <w:rPr>
        <w:color w:val="ffffff" w:themeColor="background1"/>
      </w:rPr>
      <w:tblPr/>
      <w:tcPr>
        <w:shd w:color="auto" w:fill="31849b" w:themeFill="accent5" w:themeFillShade="0000BF" w:val="clear"/>
      </w:tc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de9d9" w:themeFill="accent6" w:themeFillTint="000033" w:val="clear"/>
    </w:tcPr>
    <w:tblStylePr w:type="firstRow">
      <w:rPr>
        <w:b w:val="1"/>
        <w:bCs w:val="1"/>
      </w:rPr>
      <w:tblPr/>
      <w:tcPr>
        <w:shd w:color="auto" w:fill="fbd4b4" w:themeFill="accent6" w:themeFillTint="000066" w:val="clear"/>
      </w:tcPr>
    </w:tblStylePr>
    <w:tblStylePr w:type="lastRow">
      <w:rPr>
        <w:b w:val="1"/>
        <w:bCs w:val="1"/>
        <w:color w:val="000000" w:themeColor="text1"/>
      </w:rPr>
      <w:tblPr/>
      <w:tcPr>
        <w:shd w:color="auto" w:fill="fbd4b4" w:themeFill="accent6" w:themeFillTint="000066" w:val="clear"/>
      </w:tcPr>
    </w:tblStylePr>
    <w:tblStylePr w:type="firstCol">
      <w:rPr>
        <w:color w:val="ffffff" w:themeColor="background1"/>
      </w:rPr>
      <w:tblPr/>
      <w:tcPr>
        <w:shd w:color="auto" w:fill="e36c0a" w:themeFill="accent6" w:themeFillShade="0000BF" w:val="clear"/>
      </w:tcPr>
    </w:tblStylePr>
    <w:tblStylePr w:type="lastCol">
      <w:rPr>
        <w:color w:val="ffffff" w:themeColor="background1"/>
      </w:rPr>
      <w:tblPr/>
      <w:tcPr>
        <w:shd w:color="auto" w:fill="e36c0a" w:themeFill="accent6" w:themeFillShade="0000BF" w:val="clear"/>
      </w:tc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archive.org/details/lifecyclecomplet0000erik_j3j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A5srmHaaKTUQrz0AC+ezb4wm2Q==">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cp:coreProperties>
</file>