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948759" w14:textId="568C129F" w:rsidR="00CD2185" w:rsidRDefault="00CD2185"/>
    <w:p w14:paraId="56B34BFB" w14:textId="552F934A" w:rsidR="008C5E52" w:rsidRPr="00144A40" w:rsidRDefault="00F178A5" w:rsidP="00F178A5">
      <w:pPr>
        <w:jc w:val="center"/>
        <w:rPr>
          <w:rFonts w:ascii="Arial" w:hAnsi="Arial" w:cs="Arial"/>
          <w:b/>
          <w:bCs/>
          <w:sz w:val="44"/>
          <w:szCs w:val="44"/>
          <w:u w:val="single"/>
        </w:rPr>
      </w:pPr>
      <w:r w:rsidRPr="00144A40">
        <w:rPr>
          <w:rFonts w:ascii="Arial" w:hAnsi="Arial" w:cs="Arial"/>
          <w:b/>
          <w:bCs/>
          <w:sz w:val="44"/>
          <w:szCs w:val="44"/>
          <w:u w:val="single"/>
        </w:rPr>
        <w:t>Does Imaginative Play Benefit Children’s Social Development?</w:t>
      </w:r>
    </w:p>
    <w:p w14:paraId="1D325E9F" w14:textId="3064A85E" w:rsidR="00F178A5" w:rsidRPr="00144A40" w:rsidRDefault="00F178A5" w:rsidP="00F178A5">
      <w:pPr>
        <w:jc w:val="center"/>
        <w:rPr>
          <w:rFonts w:ascii="Arial" w:hAnsi="Arial" w:cs="Arial"/>
          <w:b/>
          <w:bCs/>
          <w:sz w:val="44"/>
          <w:szCs w:val="44"/>
          <w:u w:val="single"/>
        </w:rPr>
      </w:pPr>
    </w:p>
    <w:p w14:paraId="209BF73E" w14:textId="6145F2A7" w:rsidR="00F178A5" w:rsidRPr="00144A40" w:rsidRDefault="00F178A5" w:rsidP="00F178A5">
      <w:pPr>
        <w:jc w:val="center"/>
        <w:rPr>
          <w:rFonts w:ascii="Arial" w:hAnsi="Arial" w:cs="Arial"/>
          <w:b/>
          <w:bCs/>
          <w:sz w:val="44"/>
          <w:szCs w:val="44"/>
          <w:u w:val="single"/>
        </w:rPr>
      </w:pPr>
      <w:r w:rsidRPr="00144A40">
        <w:rPr>
          <w:rFonts w:ascii="Arial" w:hAnsi="Arial" w:cs="Arial"/>
          <w:b/>
          <w:bCs/>
          <w:sz w:val="44"/>
          <w:szCs w:val="44"/>
          <w:u w:val="single"/>
        </w:rPr>
        <w:t>Content</w:t>
      </w:r>
    </w:p>
    <w:p w14:paraId="33C925B7" w14:textId="77777777" w:rsidR="00D12715" w:rsidRDefault="00D12715" w:rsidP="00F178A5">
      <w:pPr>
        <w:jc w:val="center"/>
        <w:rPr>
          <w:rFonts w:ascii="Arial" w:hAnsi="Arial" w:cs="Arial"/>
          <w:sz w:val="36"/>
          <w:szCs w:val="36"/>
        </w:rPr>
      </w:pPr>
    </w:p>
    <w:p w14:paraId="537ACE07" w14:textId="51F9155E" w:rsidR="00F178A5" w:rsidRPr="00186F15" w:rsidRDefault="00F178A5" w:rsidP="00F178A5">
      <w:pPr>
        <w:jc w:val="center"/>
        <w:rPr>
          <w:rFonts w:ascii="Arial" w:hAnsi="Arial" w:cs="Arial"/>
          <w:sz w:val="32"/>
          <w:szCs w:val="32"/>
        </w:rPr>
      </w:pPr>
      <w:r w:rsidRPr="00186F15">
        <w:rPr>
          <w:rFonts w:ascii="Arial" w:hAnsi="Arial" w:cs="Arial"/>
          <w:sz w:val="32"/>
          <w:szCs w:val="32"/>
        </w:rPr>
        <w:t>Literature Review------</w:t>
      </w:r>
      <w:r w:rsidR="00186F15">
        <w:rPr>
          <w:rFonts w:ascii="Arial" w:hAnsi="Arial" w:cs="Arial"/>
          <w:sz w:val="32"/>
          <w:szCs w:val="32"/>
        </w:rPr>
        <w:t>------------------</w:t>
      </w:r>
      <w:r w:rsidRPr="00186F15">
        <w:rPr>
          <w:rFonts w:ascii="Arial" w:hAnsi="Arial" w:cs="Arial"/>
          <w:sz w:val="32"/>
          <w:szCs w:val="32"/>
        </w:rPr>
        <w:t>---------------------------Page 2</w:t>
      </w:r>
    </w:p>
    <w:p w14:paraId="0396BE67" w14:textId="77777777" w:rsidR="00F178A5" w:rsidRPr="00186F15" w:rsidRDefault="00F178A5" w:rsidP="00F178A5">
      <w:pPr>
        <w:jc w:val="center"/>
        <w:rPr>
          <w:rFonts w:ascii="Arial" w:hAnsi="Arial" w:cs="Arial"/>
          <w:sz w:val="32"/>
          <w:szCs w:val="32"/>
        </w:rPr>
      </w:pPr>
    </w:p>
    <w:p w14:paraId="79EB421E" w14:textId="1A0253BE" w:rsidR="00F178A5" w:rsidRPr="00186F15" w:rsidRDefault="00F178A5" w:rsidP="00F178A5">
      <w:pPr>
        <w:jc w:val="center"/>
        <w:rPr>
          <w:rFonts w:ascii="Arial" w:hAnsi="Arial" w:cs="Arial"/>
          <w:sz w:val="32"/>
          <w:szCs w:val="32"/>
        </w:rPr>
      </w:pPr>
      <w:r w:rsidRPr="00186F15">
        <w:rPr>
          <w:rFonts w:ascii="Arial" w:hAnsi="Arial" w:cs="Arial"/>
          <w:sz w:val="32"/>
          <w:szCs w:val="32"/>
        </w:rPr>
        <w:t>Methodology------------------</w:t>
      </w:r>
      <w:r w:rsidR="00186F15">
        <w:rPr>
          <w:rFonts w:ascii="Arial" w:hAnsi="Arial" w:cs="Arial"/>
          <w:sz w:val="32"/>
          <w:szCs w:val="32"/>
        </w:rPr>
        <w:t>------------------</w:t>
      </w:r>
      <w:r w:rsidRPr="00186F15">
        <w:rPr>
          <w:rFonts w:ascii="Arial" w:hAnsi="Arial" w:cs="Arial"/>
          <w:sz w:val="32"/>
          <w:szCs w:val="32"/>
        </w:rPr>
        <w:t xml:space="preserve">------------------Page </w:t>
      </w:r>
    </w:p>
    <w:p w14:paraId="0105F47E" w14:textId="77777777" w:rsidR="00F178A5" w:rsidRPr="00186F15" w:rsidRDefault="00F178A5" w:rsidP="00F178A5">
      <w:pPr>
        <w:jc w:val="center"/>
        <w:rPr>
          <w:rFonts w:ascii="Arial" w:hAnsi="Arial" w:cs="Arial"/>
          <w:sz w:val="32"/>
          <w:szCs w:val="32"/>
        </w:rPr>
      </w:pPr>
    </w:p>
    <w:p w14:paraId="366E004D" w14:textId="5FF35FD6" w:rsidR="00F178A5" w:rsidRPr="00186F15" w:rsidRDefault="00F178A5" w:rsidP="00F178A5">
      <w:pPr>
        <w:jc w:val="center"/>
        <w:rPr>
          <w:rFonts w:ascii="Arial" w:hAnsi="Arial" w:cs="Arial"/>
          <w:sz w:val="32"/>
          <w:szCs w:val="32"/>
        </w:rPr>
      </w:pPr>
      <w:r w:rsidRPr="00186F15">
        <w:rPr>
          <w:rFonts w:ascii="Arial" w:hAnsi="Arial" w:cs="Arial"/>
          <w:sz w:val="32"/>
          <w:szCs w:val="32"/>
        </w:rPr>
        <w:t>Ethical Considerations--------</w:t>
      </w:r>
      <w:r w:rsidR="00186F15">
        <w:rPr>
          <w:rFonts w:ascii="Arial" w:hAnsi="Arial" w:cs="Arial"/>
          <w:sz w:val="32"/>
          <w:szCs w:val="32"/>
        </w:rPr>
        <w:t>------------------</w:t>
      </w:r>
      <w:r w:rsidRPr="00186F15">
        <w:rPr>
          <w:rFonts w:ascii="Arial" w:hAnsi="Arial" w:cs="Arial"/>
          <w:sz w:val="32"/>
          <w:szCs w:val="32"/>
        </w:rPr>
        <w:t>----------------Page</w:t>
      </w:r>
    </w:p>
    <w:p w14:paraId="614E690C" w14:textId="1820D8C3" w:rsidR="008C5E52" w:rsidRPr="00144A40" w:rsidRDefault="008C5E52">
      <w:pPr>
        <w:rPr>
          <w:rFonts w:ascii="Arial" w:hAnsi="Arial" w:cs="Arial"/>
        </w:rPr>
      </w:pPr>
    </w:p>
    <w:p w14:paraId="3F287DCB" w14:textId="0F6E9D21" w:rsidR="008C5E52" w:rsidRPr="00144A40" w:rsidRDefault="008C5E52">
      <w:pPr>
        <w:rPr>
          <w:rFonts w:ascii="Arial" w:hAnsi="Arial" w:cs="Arial"/>
        </w:rPr>
      </w:pPr>
    </w:p>
    <w:p w14:paraId="218EC04D" w14:textId="7C73FE1F" w:rsidR="008C5E52" w:rsidRPr="00144A40" w:rsidRDefault="008C5E52">
      <w:pPr>
        <w:rPr>
          <w:rFonts w:ascii="Arial" w:hAnsi="Arial" w:cs="Arial"/>
        </w:rPr>
      </w:pPr>
    </w:p>
    <w:p w14:paraId="08E8D54A" w14:textId="674B2C41" w:rsidR="008C5E52" w:rsidRPr="00144A40" w:rsidRDefault="008C5E52">
      <w:pPr>
        <w:rPr>
          <w:rFonts w:ascii="Arial" w:hAnsi="Arial" w:cs="Arial"/>
        </w:rPr>
      </w:pPr>
    </w:p>
    <w:p w14:paraId="49EDB88B" w14:textId="3FCD7ACC" w:rsidR="008C5E52" w:rsidRPr="00144A40" w:rsidRDefault="008C5E52">
      <w:pPr>
        <w:rPr>
          <w:rFonts w:ascii="Arial" w:hAnsi="Arial" w:cs="Arial"/>
        </w:rPr>
      </w:pPr>
    </w:p>
    <w:p w14:paraId="48ECB6D4" w14:textId="3C2ED13C" w:rsidR="008C5E52" w:rsidRPr="00144A40" w:rsidRDefault="008C5E52">
      <w:pPr>
        <w:rPr>
          <w:rFonts w:ascii="Arial" w:hAnsi="Arial" w:cs="Arial"/>
        </w:rPr>
      </w:pPr>
    </w:p>
    <w:p w14:paraId="6B1DCC0D" w14:textId="712A0615" w:rsidR="008C5E52" w:rsidRPr="00144A40" w:rsidRDefault="008C5E52">
      <w:pPr>
        <w:rPr>
          <w:rFonts w:ascii="Arial" w:hAnsi="Arial" w:cs="Arial"/>
        </w:rPr>
      </w:pPr>
    </w:p>
    <w:p w14:paraId="74383B1A" w14:textId="2C404ECE" w:rsidR="008C5E52" w:rsidRPr="00144A40" w:rsidRDefault="008C5E52">
      <w:pPr>
        <w:rPr>
          <w:rFonts w:ascii="Arial" w:hAnsi="Arial" w:cs="Arial"/>
        </w:rPr>
      </w:pPr>
    </w:p>
    <w:p w14:paraId="3A1C0024" w14:textId="5F3E2D9B" w:rsidR="008C5E52" w:rsidRPr="00144A40" w:rsidRDefault="008C5E52">
      <w:pPr>
        <w:rPr>
          <w:rFonts w:ascii="Arial" w:hAnsi="Arial" w:cs="Arial"/>
        </w:rPr>
      </w:pPr>
    </w:p>
    <w:p w14:paraId="6F688CEA" w14:textId="18F2E5A5" w:rsidR="008C5E52" w:rsidRPr="00144A40" w:rsidRDefault="008C5E52">
      <w:pPr>
        <w:rPr>
          <w:rFonts w:ascii="Arial" w:hAnsi="Arial" w:cs="Arial"/>
        </w:rPr>
      </w:pPr>
    </w:p>
    <w:p w14:paraId="3960AF80" w14:textId="4D39A30E" w:rsidR="008C5E52" w:rsidRPr="00144A40" w:rsidRDefault="008C5E52">
      <w:pPr>
        <w:rPr>
          <w:rFonts w:ascii="Arial" w:hAnsi="Arial" w:cs="Arial"/>
        </w:rPr>
      </w:pPr>
    </w:p>
    <w:p w14:paraId="37313CF5" w14:textId="76FC59EB" w:rsidR="008C5E52" w:rsidRPr="00144A40" w:rsidRDefault="008C5E52">
      <w:pPr>
        <w:rPr>
          <w:rFonts w:ascii="Arial" w:hAnsi="Arial" w:cs="Arial"/>
        </w:rPr>
      </w:pPr>
    </w:p>
    <w:p w14:paraId="4A12812F" w14:textId="42F2C8CF" w:rsidR="008C5E52" w:rsidRPr="00144A40" w:rsidRDefault="008C5E52">
      <w:pPr>
        <w:rPr>
          <w:rFonts w:ascii="Arial" w:hAnsi="Arial" w:cs="Arial"/>
        </w:rPr>
      </w:pPr>
    </w:p>
    <w:p w14:paraId="770E73C7" w14:textId="007C9D8C" w:rsidR="008C5E52" w:rsidRPr="00144A40" w:rsidRDefault="008C5E52">
      <w:pPr>
        <w:rPr>
          <w:rFonts w:ascii="Arial" w:hAnsi="Arial" w:cs="Arial"/>
        </w:rPr>
      </w:pPr>
    </w:p>
    <w:p w14:paraId="47B4A7E6" w14:textId="789A0A8E" w:rsidR="008C5E52" w:rsidRPr="00144A40" w:rsidRDefault="008C5E52">
      <w:pPr>
        <w:rPr>
          <w:rFonts w:ascii="Arial" w:hAnsi="Arial" w:cs="Arial"/>
        </w:rPr>
      </w:pPr>
    </w:p>
    <w:p w14:paraId="701969E4" w14:textId="77777777" w:rsidR="00144A40" w:rsidRDefault="00144A40">
      <w:pPr>
        <w:rPr>
          <w:rFonts w:ascii="Arial" w:hAnsi="Arial" w:cs="Arial"/>
          <w:b/>
          <w:bCs/>
          <w:sz w:val="24"/>
          <w:szCs w:val="24"/>
          <w:u w:val="single"/>
        </w:rPr>
      </w:pPr>
    </w:p>
    <w:p w14:paraId="0E9401FF" w14:textId="77777777" w:rsidR="00186F15" w:rsidRDefault="00186F15">
      <w:pPr>
        <w:rPr>
          <w:rFonts w:ascii="Arial" w:hAnsi="Arial" w:cs="Arial"/>
          <w:b/>
          <w:bCs/>
          <w:sz w:val="24"/>
          <w:szCs w:val="24"/>
          <w:u w:val="single"/>
        </w:rPr>
      </w:pPr>
    </w:p>
    <w:p w14:paraId="4893D362" w14:textId="16B09014" w:rsidR="008C5E52" w:rsidRDefault="00144A40" w:rsidP="00186F15">
      <w:pPr>
        <w:spacing w:line="360" w:lineRule="auto"/>
        <w:rPr>
          <w:rFonts w:ascii="Arial" w:hAnsi="Arial" w:cs="Arial"/>
          <w:b/>
          <w:bCs/>
          <w:sz w:val="24"/>
          <w:szCs w:val="24"/>
          <w:u w:val="single"/>
        </w:rPr>
      </w:pPr>
      <w:r w:rsidRPr="00144A40">
        <w:rPr>
          <w:rFonts w:ascii="Arial" w:hAnsi="Arial" w:cs="Arial"/>
          <w:b/>
          <w:bCs/>
          <w:sz w:val="24"/>
          <w:szCs w:val="24"/>
          <w:u w:val="single"/>
        </w:rPr>
        <w:lastRenderedPageBreak/>
        <w:t>Literature Review</w:t>
      </w:r>
    </w:p>
    <w:p w14:paraId="1DC0E132" w14:textId="0ADCDF10" w:rsidR="00144A40" w:rsidRDefault="0078462D" w:rsidP="00186F15">
      <w:pPr>
        <w:spacing w:line="360" w:lineRule="auto"/>
        <w:rPr>
          <w:rFonts w:ascii="Arial" w:hAnsi="Arial" w:cs="Arial"/>
          <w:sz w:val="24"/>
          <w:szCs w:val="24"/>
        </w:rPr>
      </w:pPr>
      <w:r>
        <w:rPr>
          <w:rFonts w:ascii="Arial" w:hAnsi="Arial" w:cs="Arial"/>
          <w:sz w:val="24"/>
          <w:szCs w:val="24"/>
        </w:rPr>
        <w:t xml:space="preserve">Imaginative play is often characterized by children creating scenarios, </w:t>
      </w:r>
      <w:proofErr w:type="gramStart"/>
      <w:r>
        <w:rPr>
          <w:rFonts w:ascii="Arial" w:hAnsi="Arial" w:cs="Arial"/>
          <w:sz w:val="24"/>
          <w:szCs w:val="24"/>
        </w:rPr>
        <w:t>narratives</w:t>
      </w:r>
      <w:proofErr w:type="gramEnd"/>
      <w:r>
        <w:rPr>
          <w:rFonts w:ascii="Arial" w:hAnsi="Arial" w:cs="Arial"/>
          <w:sz w:val="24"/>
          <w:szCs w:val="24"/>
        </w:rPr>
        <w:t xml:space="preserve"> and roles. According to Goldman (2020) imaginative play has been long recognised as a key aspect of early childhood experiences. This form of play provides an opportunity for the children to express emotions and collaborate with their peers, </w:t>
      </w:r>
      <w:r w:rsidR="00693683">
        <w:rPr>
          <w:rFonts w:ascii="Arial" w:hAnsi="Arial" w:cs="Arial"/>
          <w:sz w:val="24"/>
          <w:szCs w:val="24"/>
        </w:rPr>
        <w:t xml:space="preserve">these being significant skills to social competence (Goldman, 2020). Similarly, Goldstein and Winner (2012) suggest that understanding the relationship between imaginative play and social development is vital, as these early experiences shape children’s ability to form relationships </w:t>
      </w:r>
      <w:r w:rsidR="005136E8">
        <w:rPr>
          <w:rFonts w:ascii="Arial" w:hAnsi="Arial" w:cs="Arial"/>
          <w:sz w:val="24"/>
          <w:szCs w:val="24"/>
        </w:rPr>
        <w:t xml:space="preserve">and function effectively in social contexts. This review examines the theoretical and empirical research to determine how imaginative play supports social development, focusing on communication, cooperation, </w:t>
      </w:r>
      <w:proofErr w:type="gramStart"/>
      <w:r w:rsidR="005136E8">
        <w:rPr>
          <w:rFonts w:ascii="Arial" w:hAnsi="Arial" w:cs="Arial"/>
          <w:sz w:val="24"/>
          <w:szCs w:val="24"/>
        </w:rPr>
        <w:t>empathy</w:t>
      </w:r>
      <w:proofErr w:type="gramEnd"/>
      <w:r w:rsidR="005136E8">
        <w:rPr>
          <w:rFonts w:ascii="Arial" w:hAnsi="Arial" w:cs="Arial"/>
          <w:sz w:val="24"/>
          <w:szCs w:val="24"/>
        </w:rPr>
        <w:t xml:space="preserve"> and emotional regulation.  </w:t>
      </w:r>
      <w:r w:rsidR="00693683">
        <w:rPr>
          <w:rFonts w:ascii="Arial" w:hAnsi="Arial" w:cs="Arial"/>
          <w:sz w:val="24"/>
          <w:szCs w:val="24"/>
        </w:rPr>
        <w:t xml:space="preserve">   </w:t>
      </w:r>
    </w:p>
    <w:p w14:paraId="56661698" w14:textId="1DD41914" w:rsidR="005136E8" w:rsidRDefault="00B26117" w:rsidP="00186F15">
      <w:pPr>
        <w:spacing w:line="360" w:lineRule="auto"/>
        <w:rPr>
          <w:rFonts w:ascii="Arial" w:hAnsi="Arial" w:cs="Arial"/>
          <w:sz w:val="24"/>
          <w:szCs w:val="24"/>
        </w:rPr>
      </w:pPr>
      <w:r>
        <w:rPr>
          <w:rFonts w:ascii="Arial" w:hAnsi="Arial" w:cs="Arial"/>
          <w:sz w:val="24"/>
          <w:szCs w:val="24"/>
        </w:rPr>
        <w:t xml:space="preserve">Vygotsky’s Sociocultural Theory (1978) shows a good </w:t>
      </w:r>
      <w:r w:rsidR="00A323C0">
        <w:rPr>
          <w:rFonts w:ascii="Arial" w:hAnsi="Arial" w:cs="Arial"/>
          <w:sz w:val="24"/>
          <w:szCs w:val="24"/>
        </w:rPr>
        <w:t xml:space="preserve">perspective of how imaginative play develops a child’s social competence. </w:t>
      </w:r>
      <w:proofErr w:type="gramStart"/>
      <w:r w:rsidR="00A323C0">
        <w:rPr>
          <w:rFonts w:ascii="Arial" w:hAnsi="Arial" w:cs="Arial"/>
          <w:sz w:val="24"/>
          <w:szCs w:val="24"/>
        </w:rPr>
        <w:t>Vygotsky (1978),</w:t>
      </w:r>
      <w:proofErr w:type="gramEnd"/>
      <w:r w:rsidR="00A323C0">
        <w:rPr>
          <w:rFonts w:ascii="Arial" w:hAnsi="Arial" w:cs="Arial"/>
          <w:sz w:val="24"/>
          <w:szCs w:val="24"/>
        </w:rPr>
        <w:t xml:space="preserve"> emphasises play as a “zone of proximal development” where children internalise social norms through collaboration and role play. </w:t>
      </w:r>
      <w:r w:rsidR="00D12715">
        <w:rPr>
          <w:rFonts w:ascii="Arial" w:hAnsi="Arial" w:cs="Arial"/>
          <w:sz w:val="24"/>
          <w:szCs w:val="24"/>
        </w:rPr>
        <w:t xml:space="preserve">For example, in pretend play, a child learns to </w:t>
      </w:r>
      <w:r w:rsidR="009B6349">
        <w:rPr>
          <w:rFonts w:ascii="Arial" w:hAnsi="Arial" w:cs="Arial"/>
          <w:sz w:val="24"/>
          <w:szCs w:val="24"/>
        </w:rPr>
        <w:t>‘</w:t>
      </w:r>
      <w:r w:rsidR="00D12715">
        <w:rPr>
          <w:rFonts w:ascii="Arial" w:hAnsi="Arial" w:cs="Arial"/>
          <w:sz w:val="24"/>
          <w:szCs w:val="24"/>
        </w:rPr>
        <w:t>be the teacher</w:t>
      </w:r>
      <w:r w:rsidR="009B6349">
        <w:rPr>
          <w:rFonts w:ascii="Arial" w:hAnsi="Arial" w:cs="Arial"/>
          <w:sz w:val="24"/>
          <w:szCs w:val="24"/>
        </w:rPr>
        <w:t>’</w:t>
      </w:r>
      <w:r w:rsidR="00D12715">
        <w:rPr>
          <w:rFonts w:ascii="Arial" w:hAnsi="Arial" w:cs="Arial"/>
          <w:sz w:val="24"/>
          <w:szCs w:val="24"/>
        </w:rPr>
        <w:t xml:space="preserve"> and regulate behaviour, reflecting self-control and understanding of roles. </w:t>
      </w:r>
      <w:r w:rsidR="005E591E">
        <w:rPr>
          <w:rFonts w:ascii="Arial" w:hAnsi="Arial" w:cs="Arial"/>
          <w:sz w:val="24"/>
          <w:szCs w:val="24"/>
        </w:rPr>
        <w:t>Piaget’s Cognitive</w:t>
      </w:r>
      <w:r w:rsidR="00985550">
        <w:rPr>
          <w:rFonts w:ascii="Arial" w:hAnsi="Arial" w:cs="Arial"/>
          <w:sz w:val="24"/>
          <w:szCs w:val="24"/>
        </w:rPr>
        <w:t xml:space="preserve"> </w:t>
      </w:r>
      <w:r w:rsidR="005E591E">
        <w:rPr>
          <w:rFonts w:ascii="Arial" w:hAnsi="Arial" w:cs="Arial"/>
          <w:sz w:val="24"/>
          <w:szCs w:val="24"/>
        </w:rPr>
        <w:t>Development Theory (1959) coincides with Vygotsk</w:t>
      </w:r>
      <w:r w:rsidR="004A6D7E">
        <w:rPr>
          <w:rFonts w:ascii="Arial" w:hAnsi="Arial" w:cs="Arial"/>
          <w:sz w:val="24"/>
          <w:szCs w:val="24"/>
        </w:rPr>
        <w:t xml:space="preserve">y’s theory </w:t>
      </w:r>
      <w:r w:rsidR="005E591E">
        <w:rPr>
          <w:rFonts w:ascii="Arial" w:hAnsi="Arial" w:cs="Arial"/>
          <w:sz w:val="24"/>
          <w:szCs w:val="24"/>
        </w:rPr>
        <w:t>(1978)</w:t>
      </w:r>
      <w:r w:rsidR="00C81618">
        <w:rPr>
          <w:rFonts w:ascii="Arial" w:hAnsi="Arial" w:cs="Arial"/>
          <w:sz w:val="24"/>
          <w:szCs w:val="24"/>
        </w:rPr>
        <w:t xml:space="preserve">, as they both view imaginative play as a way for children assimilate experiences and practice social cues. </w:t>
      </w:r>
      <w:r w:rsidR="00586736">
        <w:rPr>
          <w:rFonts w:ascii="Arial" w:hAnsi="Arial" w:cs="Arial"/>
          <w:sz w:val="24"/>
          <w:szCs w:val="24"/>
        </w:rPr>
        <w:t>For example, a child pretending to host a tea party mirrors real-life social situations, which according to Vygotsky (1978) strengthens social understanding.</w:t>
      </w:r>
      <w:r w:rsidR="009B6349">
        <w:rPr>
          <w:rFonts w:ascii="Arial" w:hAnsi="Arial" w:cs="Arial"/>
          <w:sz w:val="24"/>
          <w:szCs w:val="24"/>
        </w:rPr>
        <w:t xml:space="preserve"> Unlike Vygotsky (1978), Piaget (1959) viewed play as mostly individual at first</w:t>
      </w:r>
      <w:r w:rsidR="009B1922">
        <w:rPr>
          <w:rFonts w:ascii="Arial" w:hAnsi="Arial" w:cs="Arial"/>
          <w:sz w:val="24"/>
          <w:szCs w:val="24"/>
        </w:rPr>
        <w:t xml:space="preserve">, but later acknowledged that as children mature, play becomes more social and cooperative. </w:t>
      </w:r>
      <w:r w:rsidR="005D0015">
        <w:rPr>
          <w:rFonts w:ascii="Arial" w:hAnsi="Arial" w:cs="Arial"/>
          <w:sz w:val="24"/>
          <w:szCs w:val="24"/>
        </w:rPr>
        <w:t xml:space="preserve">Similar to what </w:t>
      </w:r>
      <w:proofErr w:type="gramStart"/>
      <w:r w:rsidR="005D0015">
        <w:rPr>
          <w:rFonts w:ascii="Arial" w:hAnsi="Arial" w:cs="Arial"/>
          <w:sz w:val="24"/>
          <w:szCs w:val="24"/>
        </w:rPr>
        <w:t>Vygotsky</w:t>
      </w:r>
      <w:r w:rsidR="000823D0">
        <w:rPr>
          <w:rFonts w:ascii="Arial" w:hAnsi="Arial" w:cs="Arial"/>
          <w:sz w:val="24"/>
          <w:szCs w:val="24"/>
        </w:rPr>
        <w:t>(</w:t>
      </w:r>
      <w:proofErr w:type="gramEnd"/>
      <w:r w:rsidR="000823D0">
        <w:rPr>
          <w:rFonts w:ascii="Arial" w:hAnsi="Arial" w:cs="Arial"/>
          <w:sz w:val="24"/>
          <w:szCs w:val="24"/>
        </w:rPr>
        <w:t>1978)</w:t>
      </w:r>
      <w:r w:rsidR="005D0015">
        <w:rPr>
          <w:rFonts w:ascii="Arial" w:hAnsi="Arial" w:cs="Arial"/>
          <w:sz w:val="24"/>
          <w:szCs w:val="24"/>
        </w:rPr>
        <w:t xml:space="preserve"> suggests,</w:t>
      </w:r>
      <w:r w:rsidR="000823D0">
        <w:rPr>
          <w:rFonts w:ascii="Arial" w:hAnsi="Arial" w:cs="Arial"/>
          <w:sz w:val="24"/>
          <w:szCs w:val="24"/>
        </w:rPr>
        <w:t xml:space="preserve"> Parten’s (1933) research focused directly on social participation in play. Parten (1933) identified six stages in play</w:t>
      </w:r>
      <w:r w:rsidR="00F66DCC">
        <w:rPr>
          <w:rFonts w:ascii="Arial" w:hAnsi="Arial" w:cs="Arial"/>
          <w:sz w:val="24"/>
          <w:szCs w:val="24"/>
        </w:rPr>
        <w:t xml:space="preserve">, but imaginative play typically becomes richer in the associative and cooperative stages. These stages being where children negotiate roles and create complex social narratives together. Parten (1933) demonstrates how social development and imaginative play are intertwined as children gain social awareness. </w:t>
      </w:r>
      <w:r w:rsidR="007E104E">
        <w:rPr>
          <w:rFonts w:ascii="Arial" w:hAnsi="Arial" w:cs="Arial"/>
          <w:sz w:val="24"/>
          <w:szCs w:val="24"/>
        </w:rPr>
        <w:t xml:space="preserve">Together, these theories show that imaginative play is not just fantasy but a key driver of both social and cognitive development. </w:t>
      </w:r>
    </w:p>
    <w:p w14:paraId="2BDC4FE1" w14:textId="3B2355BB" w:rsidR="00186F15" w:rsidRDefault="00786F1C" w:rsidP="00186F15">
      <w:pPr>
        <w:spacing w:line="360" w:lineRule="auto"/>
        <w:rPr>
          <w:rFonts w:ascii="Arial" w:hAnsi="Arial" w:cs="Arial"/>
          <w:sz w:val="24"/>
          <w:szCs w:val="24"/>
        </w:rPr>
      </w:pPr>
      <w:r>
        <w:rPr>
          <w:rFonts w:ascii="Arial" w:hAnsi="Arial" w:cs="Arial"/>
          <w:sz w:val="24"/>
          <w:szCs w:val="24"/>
        </w:rPr>
        <w:lastRenderedPageBreak/>
        <w:t xml:space="preserve">This section reviews empirical studies that have examined the relationship between imaginative play and social development in children. </w:t>
      </w:r>
      <w:r w:rsidR="00417CCB">
        <w:rPr>
          <w:rFonts w:ascii="Arial" w:hAnsi="Arial" w:cs="Arial"/>
          <w:sz w:val="24"/>
          <w:szCs w:val="24"/>
        </w:rPr>
        <w:t>This study is organised thematically, focusing on (1) communication and Language</w:t>
      </w:r>
      <w:r w:rsidR="00D54909">
        <w:rPr>
          <w:rFonts w:ascii="Arial" w:hAnsi="Arial" w:cs="Arial"/>
          <w:sz w:val="24"/>
          <w:szCs w:val="24"/>
        </w:rPr>
        <w:t xml:space="preserve"> skills, (2) cooperation and conflict resolution, (3) empathy and emotional understanding and (4) Relationships and inclusion. </w:t>
      </w:r>
      <w:proofErr w:type="spellStart"/>
      <w:r w:rsidR="006D4E7E">
        <w:rPr>
          <w:rFonts w:ascii="Arial" w:hAnsi="Arial" w:cs="Arial"/>
          <w:sz w:val="24"/>
          <w:szCs w:val="24"/>
        </w:rPr>
        <w:t>Nicolopoulou</w:t>
      </w:r>
      <w:proofErr w:type="spellEnd"/>
      <w:r w:rsidR="006D4E7E">
        <w:rPr>
          <w:rFonts w:ascii="Arial" w:hAnsi="Arial" w:cs="Arial"/>
          <w:sz w:val="24"/>
          <w:szCs w:val="24"/>
        </w:rPr>
        <w:t xml:space="preserve"> (2010) is a key study connecting narrative role play with children’s language and social development, specifically communication and language skills.</w:t>
      </w:r>
      <w:r w:rsidR="0061675B">
        <w:rPr>
          <w:rFonts w:ascii="Arial" w:hAnsi="Arial" w:cs="Arial"/>
          <w:sz w:val="24"/>
          <w:szCs w:val="24"/>
        </w:rPr>
        <w:t xml:space="preserve"> </w:t>
      </w:r>
      <w:proofErr w:type="spellStart"/>
      <w:r w:rsidR="0061675B">
        <w:rPr>
          <w:rFonts w:ascii="Arial" w:hAnsi="Arial" w:cs="Arial"/>
          <w:sz w:val="24"/>
          <w:szCs w:val="24"/>
        </w:rPr>
        <w:t>Nicolopoulou</w:t>
      </w:r>
      <w:proofErr w:type="spellEnd"/>
      <w:r w:rsidR="0061675B">
        <w:rPr>
          <w:rFonts w:ascii="Arial" w:hAnsi="Arial" w:cs="Arial"/>
          <w:sz w:val="24"/>
          <w:szCs w:val="24"/>
        </w:rPr>
        <w:t xml:space="preserve"> (2010) conducted research with preschool children, typically 3-5 years old, each coming from diverse socioeconomic backgrounds. </w:t>
      </w:r>
      <w:proofErr w:type="spellStart"/>
      <w:r w:rsidR="00F1553F">
        <w:rPr>
          <w:rFonts w:ascii="Arial" w:hAnsi="Arial" w:cs="Arial"/>
          <w:sz w:val="24"/>
          <w:szCs w:val="24"/>
        </w:rPr>
        <w:t>Nicolopoulou</w:t>
      </w:r>
      <w:proofErr w:type="spellEnd"/>
      <w:r w:rsidR="00F1553F">
        <w:rPr>
          <w:rFonts w:ascii="Arial" w:hAnsi="Arial" w:cs="Arial"/>
          <w:sz w:val="24"/>
          <w:szCs w:val="24"/>
        </w:rPr>
        <w:t xml:space="preserve"> (2010) conducted research in real preschool classrooms over multiple months, comparing two types of classroom </w:t>
      </w:r>
      <w:proofErr w:type="gramStart"/>
      <w:r w:rsidR="00F1553F">
        <w:rPr>
          <w:rFonts w:ascii="Arial" w:hAnsi="Arial" w:cs="Arial"/>
          <w:sz w:val="24"/>
          <w:szCs w:val="24"/>
        </w:rPr>
        <w:t>programs;</w:t>
      </w:r>
      <w:proofErr w:type="gramEnd"/>
      <w:r w:rsidR="00F1553F">
        <w:rPr>
          <w:rFonts w:ascii="Arial" w:hAnsi="Arial" w:cs="Arial"/>
          <w:sz w:val="24"/>
          <w:szCs w:val="24"/>
        </w:rPr>
        <w:t xml:space="preserve"> narrative play program and control program</w:t>
      </w:r>
      <w:r w:rsidR="003F567F">
        <w:rPr>
          <w:rFonts w:ascii="Arial" w:hAnsi="Arial" w:cs="Arial"/>
          <w:sz w:val="24"/>
          <w:szCs w:val="24"/>
        </w:rPr>
        <w:t xml:space="preserve">. Both programs resulting in different outcomes. For example, </w:t>
      </w:r>
      <w:proofErr w:type="spellStart"/>
      <w:r w:rsidR="006D4E7E">
        <w:rPr>
          <w:rFonts w:ascii="Arial" w:hAnsi="Arial" w:cs="Arial"/>
          <w:sz w:val="24"/>
          <w:szCs w:val="24"/>
        </w:rPr>
        <w:t>Nicolopoulou</w:t>
      </w:r>
      <w:proofErr w:type="spellEnd"/>
      <w:r w:rsidR="006D4E7E">
        <w:rPr>
          <w:rFonts w:ascii="Arial" w:hAnsi="Arial" w:cs="Arial"/>
          <w:sz w:val="24"/>
          <w:szCs w:val="24"/>
        </w:rPr>
        <w:t xml:space="preserve"> (2010) found that children in the narrative role-play classrooms showed significantly richer vocabulary and more complex sentence structures over time. </w:t>
      </w:r>
      <w:r w:rsidR="003F567F">
        <w:rPr>
          <w:rFonts w:ascii="Arial" w:hAnsi="Arial" w:cs="Arial"/>
          <w:sz w:val="24"/>
          <w:szCs w:val="24"/>
        </w:rPr>
        <w:t xml:space="preserve">This is important as it shows </w:t>
      </w:r>
      <w:r w:rsidR="00186F15">
        <w:rPr>
          <w:rFonts w:ascii="Arial" w:hAnsi="Arial" w:cs="Arial"/>
          <w:sz w:val="24"/>
          <w:szCs w:val="24"/>
        </w:rPr>
        <w:t xml:space="preserve">imaginative play merges with a child’s communication </w:t>
      </w:r>
      <w:proofErr w:type="gramStart"/>
      <w:r w:rsidR="00186F15">
        <w:rPr>
          <w:rFonts w:ascii="Arial" w:hAnsi="Arial" w:cs="Arial"/>
          <w:sz w:val="24"/>
          <w:szCs w:val="24"/>
        </w:rPr>
        <w:t>in view of the fact that</w:t>
      </w:r>
      <w:proofErr w:type="gramEnd"/>
      <w:r w:rsidR="00186F15">
        <w:rPr>
          <w:rFonts w:ascii="Arial" w:hAnsi="Arial" w:cs="Arial"/>
          <w:sz w:val="24"/>
          <w:szCs w:val="24"/>
        </w:rPr>
        <w:t xml:space="preserve"> children must use language to co-construct imaginary situations, which strengthens both expressive skills and cooperative abilities (Parten, 1933). </w:t>
      </w:r>
      <w:r w:rsidR="00394989">
        <w:rPr>
          <w:rFonts w:ascii="Arial" w:hAnsi="Arial" w:cs="Arial"/>
          <w:sz w:val="24"/>
          <w:szCs w:val="24"/>
        </w:rPr>
        <w:t>This is a clear example of how imaginative play serves as a bridge between individual imagination and shared social understanding</w:t>
      </w:r>
      <w:r w:rsidR="00800A70">
        <w:rPr>
          <w:rFonts w:ascii="Arial" w:hAnsi="Arial" w:cs="Arial"/>
          <w:sz w:val="24"/>
          <w:szCs w:val="24"/>
        </w:rPr>
        <w:t xml:space="preserve">. </w:t>
      </w:r>
    </w:p>
    <w:p w14:paraId="00B9EA40" w14:textId="0E26D188" w:rsidR="00DA2283" w:rsidRDefault="00DA2283" w:rsidP="00186F15">
      <w:pPr>
        <w:spacing w:line="360" w:lineRule="auto"/>
        <w:rPr>
          <w:rFonts w:ascii="Arial" w:hAnsi="Arial" w:cs="Arial"/>
          <w:b/>
          <w:bCs/>
          <w:sz w:val="24"/>
          <w:szCs w:val="24"/>
          <w:u w:val="single"/>
        </w:rPr>
      </w:pPr>
    </w:p>
    <w:p w14:paraId="56D88D89" w14:textId="77777777" w:rsidR="00DA2283" w:rsidRPr="00DA2283" w:rsidRDefault="00DA2283" w:rsidP="00DA2283">
      <w:pPr>
        <w:spacing w:line="360" w:lineRule="auto"/>
        <w:rPr>
          <w:rFonts w:ascii="Arial" w:hAnsi="Arial" w:cs="Arial"/>
          <w:b/>
          <w:bCs/>
          <w:sz w:val="24"/>
          <w:szCs w:val="24"/>
          <w:u w:val="single"/>
        </w:rPr>
      </w:pPr>
      <w:r w:rsidRPr="00DA2283">
        <w:rPr>
          <w:rFonts w:ascii="Arial" w:hAnsi="Arial" w:cs="Arial"/>
          <w:b/>
          <w:bCs/>
          <w:sz w:val="24"/>
          <w:szCs w:val="24"/>
          <w:u w:val="single"/>
        </w:rPr>
        <w:t>Reference list</w:t>
      </w:r>
    </w:p>
    <w:p w14:paraId="4CBA9357" w14:textId="77777777" w:rsidR="00DA2283" w:rsidRPr="00DA2283" w:rsidRDefault="00DA2283" w:rsidP="00DA2283">
      <w:pPr>
        <w:spacing w:line="360" w:lineRule="auto"/>
        <w:rPr>
          <w:rFonts w:ascii="Arial" w:hAnsi="Arial" w:cs="Arial"/>
          <w:sz w:val="24"/>
          <w:szCs w:val="24"/>
        </w:rPr>
      </w:pPr>
      <w:proofErr w:type="spellStart"/>
      <w:r w:rsidRPr="00DA2283">
        <w:rPr>
          <w:rFonts w:ascii="Arial" w:hAnsi="Arial" w:cs="Arial"/>
          <w:sz w:val="24"/>
          <w:szCs w:val="24"/>
        </w:rPr>
        <w:t>Garaigordobil</w:t>
      </w:r>
      <w:proofErr w:type="spellEnd"/>
      <w:r w:rsidRPr="00DA2283">
        <w:rPr>
          <w:rFonts w:ascii="Arial" w:hAnsi="Arial" w:cs="Arial"/>
          <w:sz w:val="24"/>
          <w:szCs w:val="24"/>
        </w:rPr>
        <w:t xml:space="preserve">, M., </w:t>
      </w:r>
      <w:proofErr w:type="spellStart"/>
      <w:r w:rsidRPr="00DA2283">
        <w:rPr>
          <w:rFonts w:ascii="Arial" w:hAnsi="Arial" w:cs="Arial"/>
          <w:sz w:val="24"/>
          <w:szCs w:val="24"/>
        </w:rPr>
        <w:t>Berrueco</w:t>
      </w:r>
      <w:proofErr w:type="spellEnd"/>
      <w:r w:rsidRPr="00DA2283">
        <w:rPr>
          <w:rFonts w:ascii="Arial" w:hAnsi="Arial" w:cs="Arial"/>
          <w:sz w:val="24"/>
          <w:szCs w:val="24"/>
        </w:rPr>
        <w:t xml:space="preserve">, L. and </w:t>
      </w:r>
      <w:proofErr w:type="spellStart"/>
      <w:r w:rsidRPr="00DA2283">
        <w:rPr>
          <w:rFonts w:ascii="Arial" w:hAnsi="Arial" w:cs="Arial"/>
          <w:sz w:val="24"/>
          <w:szCs w:val="24"/>
        </w:rPr>
        <w:t>Celume</w:t>
      </w:r>
      <w:proofErr w:type="spellEnd"/>
      <w:r w:rsidRPr="00DA2283">
        <w:rPr>
          <w:rFonts w:ascii="Arial" w:hAnsi="Arial" w:cs="Arial"/>
          <w:sz w:val="24"/>
          <w:szCs w:val="24"/>
        </w:rPr>
        <w:t xml:space="preserve">, M.-P. (2022). Developing Children’s Creativity and Social-Emotional Competencies through Play: Summary of Twenty Years of Findings of the Evidence-Based Interventions ‘Game Program’. </w:t>
      </w:r>
      <w:r w:rsidRPr="00DA2283">
        <w:rPr>
          <w:rFonts w:ascii="Arial" w:hAnsi="Arial" w:cs="Arial"/>
          <w:i/>
          <w:iCs/>
          <w:sz w:val="24"/>
          <w:szCs w:val="24"/>
        </w:rPr>
        <w:t>Journal of Intelligence</w:t>
      </w:r>
      <w:r w:rsidRPr="00DA2283">
        <w:rPr>
          <w:rFonts w:ascii="Arial" w:hAnsi="Arial" w:cs="Arial"/>
          <w:sz w:val="24"/>
          <w:szCs w:val="24"/>
        </w:rPr>
        <w:t xml:space="preserve">, [online] 10(4), p.77. </w:t>
      </w:r>
      <w:proofErr w:type="spellStart"/>
      <w:proofErr w:type="gramStart"/>
      <w:r w:rsidRPr="00DA2283">
        <w:rPr>
          <w:rFonts w:ascii="Arial" w:hAnsi="Arial" w:cs="Arial"/>
          <w:sz w:val="24"/>
          <w:szCs w:val="24"/>
        </w:rPr>
        <w:t>doi:https</w:t>
      </w:r>
      <w:proofErr w:type="spellEnd"/>
      <w:r w:rsidRPr="00DA2283">
        <w:rPr>
          <w:rFonts w:ascii="Arial" w:hAnsi="Arial" w:cs="Arial"/>
          <w:sz w:val="24"/>
          <w:szCs w:val="24"/>
        </w:rPr>
        <w:t>://doi.org/10.3390/jintelligence10040077</w:t>
      </w:r>
      <w:proofErr w:type="gramEnd"/>
      <w:r w:rsidRPr="00DA2283">
        <w:rPr>
          <w:rFonts w:ascii="Arial" w:hAnsi="Arial" w:cs="Arial"/>
          <w:sz w:val="24"/>
          <w:szCs w:val="24"/>
        </w:rPr>
        <w:t>.</w:t>
      </w:r>
    </w:p>
    <w:p w14:paraId="13AFC43E" w14:textId="77777777" w:rsidR="00DA2283" w:rsidRDefault="00DA2283" w:rsidP="00DA2283">
      <w:pPr>
        <w:spacing w:line="360" w:lineRule="auto"/>
        <w:rPr>
          <w:rFonts w:ascii="Arial" w:hAnsi="Arial" w:cs="Arial"/>
          <w:sz w:val="24"/>
          <w:szCs w:val="24"/>
        </w:rPr>
      </w:pPr>
    </w:p>
    <w:p w14:paraId="2CB350E4" w14:textId="024106D5" w:rsidR="00DA2283" w:rsidRPr="00DA2283" w:rsidRDefault="00DA2283" w:rsidP="00DA2283">
      <w:pPr>
        <w:spacing w:line="360" w:lineRule="auto"/>
        <w:rPr>
          <w:rFonts w:ascii="Arial" w:hAnsi="Arial" w:cs="Arial"/>
          <w:sz w:val="24"/>
          <w:szCs w:val="24"/>
        </w:rPr>
      </w:pPr>
      <w:r w:rsidRPr="00DA2283">
        <w:rPr>
          <w:rFonts w:ascii="Arial" w:hAnsi="Arial" w:cs="Arial"/>
          <w:sz w:val="24"/>
          <w:szCs w:val="24"/>
        </w:rPr>
        <w:t xml:space="preserve">Goldman, L.R. (2020). </w:t>
      </w:r>
      <w:r w:rsidRPr="00DA2283">
        <w:rPr>
          <w:rFonts w:ascii="Arial" w:hAnsi="Arial" w:cs="Arial"/>
          <w:i/>
          <w:iCs/>
          <w:sz w:val="24"/>
          <w:szCs w:val="24"/>
        </w:rPr>
        <w:t>Child’s Play</w:t>
      </w:r>
      <w:r w:rsidRPr="00DA2283">
        <w:rPr>
          <w:rFonts w:ascii="Arial" w:hAnsi="Arial" w:cs="Arial"/>
          <w:sz w:val="24"/>
          <w:szCs w:val="24"/>
        </w:rPr>
        <w:t>. London: Routledge.</w:t>
      </w:r>
    </w:p>
    <w:p w14:paraId="29DD9967" w14:textId="77777777" w:rsidR="00DA2283" w:rsidRDefault="00DA2283" w:rsidP="00DA2283">
      <w:pPr>
        <w:spacing w:line="360" w:lineRule="auto"/>
        <w:rPr>
          <w:rFonts w:ascii="Arial" w:hAnsi="Arial" w:cs="Arial"/>
          <w:sz w:val="24"/>
          <w:szCs w:val="24"/>
        </w:rPr>
      </w:pPr>
    </w:p>
    <w:p w14:paraId="7632FDF6" w14:textId="59082E1B" w:rsidR="00DA2283" w:rsidRPr="00DA2283" w:rsidRDefault="00DA2283" w:rsidP="00DA2283">
      <w:pPr>
        <w:spacing w:line="360" w:lineRule="auto"/>
        <w:rPr>
          <w:rFonts w:ascii="Arial" w:hAnsi="Arial" w:cs="Arial"/>
          <w:sz w:val="24"/>
          <w:szCs w:val="24"/>
        </w:rPr>
      </w:pPr>
      <w:r w:rsidRPr="00DA2283">
        <w:rPr>
          <w:rFonts w:ascii="Arial" w:hAnsi="Arial" w:cs="Arial"/>
          <w:sz w:val="24"/>
          <w:szCs w:val="24"/>
        </w:rPr>
        <w:t xml:space="preserve">Goldstein, T.R. and Winner, E. (2012). Enhancing Empathy and Theory of Mind. </w:t>
      </w:r>
      <w:r w:rsidRPr="00DA2283">
        <w:rPr>
          <w:rFonts w:ascii="Arial" w:hAnsi="Arial" w:cs="Arial"/>
          <w:i/>
          <w:iCs/>
          <w:sz w:val="24"/>
          <w:szCs w:val="24"/>
        </w:rPr>
        <w:t>Journal of Cognition and Development</w:t>
      </w:r>
      <w:r w:rsidRPr="00DA2283">
        <w:rPr>
          <w:rFonts w:ascii="Arial" w:hAnsi="Arial" w:cs="Arial"/>
          <w:sz w:val="24"/>
          <w:szCs w:val="24"/>
        </w:rPr>
        <w:t xml:space="preserve">, 13(1), pp.19–37. </w:t>
      </w:r>
      <w:proofErr w:type="spellStart"/>
      <w:proofErr w:type="gramStart"/>
      <w:r w:rsidRPr="00DA2283">
        <w:rPr>
          <w:rFonts w:ascii="Arial" w:hAnsi="Arial" w:cs="Arial"/>
          <w:sz w:val="24"/>
          <w:szCs w:val="24"/>
        </w:rPr>
        <w:t>doi:https</w:t>
      </w:r>
      <w:proofErr w:type="spellEnd"/>
      <w:r w:rsidRPr="00DA2283">
        <w:rPr>
          <w:rFonts w:ascii="Arial" w:hAnsi="Arial" w:cs="Arial"/>
          <w:sz w:val="24"/>
          <w:szCs w:val="24"/>
        </w:rPr>
        <w:t>://doi.org/10.1080/15248372.2011.573514</w:t>
      </w:r>
      <w:proofErr w:type="gramEnd"/>
      <w:r w:rsidRPr="00DA2283">
        <w:rPr>
          <w:rFonts w:ascii="Arial" w:hAnsi="Arial" w:cs="Arial"/>
          <w:sz w:val="24"/>
          <w:szCs w:val="24"/>
        </w:rPr>
        <w:t>.</w:t>
      </w:r>
    </w:p>
    <w:p w14:paraId="1D45BCFB" w14:textId="77777777" w:rsidR="00DA2283" w:rsidRPr="00DA2283" w:rsidRDefault="00DA2283" w:rsidP="00DA2283">
      <w:pPr>
        <w:spacing w:line="360" w:lineRule="auto"/>
        <w:rPr>
          <w:rFonts w:ascii="Arial" w:hAnsi="Arial" w:cs="Arial"/>
          <w:sz w:val="24"/>
          <w:szCs w:val="24"/>
        </w:rPr>
      </w:pPr>
      <w:r w:rsidRPr="00DA2283">
        <w:rPr>
          <w:rFonts w:ascii="Arial" w:hAnsi="Arial" w:cs="Arial"/>
          <w:sz w:val="24"/>
          <w:szCs w:val="24"/>
        </w:rPr>
        <w:lastRenderedPageBreak/>
        <w:t xml:space="preserve">Lindsey, </w:t>
      </w:r>
      <w:proofErr w:type="gramStart"/>
      <w:r w:rsidRPr="00DA2283">
        <w:rPr>
          <w:rFonts w:ascii="Arial" w:hAnsi="Arial" w:cs="Arial"/>
          <w:sz w:val="24"/>
          <w:szCs w:val="24"/>
        </w:rPr>
        <w:t>E.W.</w:t>
      </w:r>
      <w:proofErr w:type="gramEnd"/>
      <w:r w:rsidRPr="00DA2283">
        <w:rPr>
          <w:rFonts w:ascii="Arial" w:hAnsi="Arial" w:cs="Arial"/>
          <w:sz w:val="24"/>
          <w:szCs w:val="24"/>
        </w:rPr>
        <w:t xml:space="preserve"> and Colwell, M.J. (2013). Pretend and Physical Play: Links to </w:t>
      </w:r>
      <w:proofErr w:type="spellStart"/>
      <w:r w:rsidRPr="00DA2283">
        <w:rPr>
          <w:rFonts w:ascii="Arial" w:hAnsi="Arial" w:cs="Arial"/>
          <w:sz w:val="24"/>
          <w:szCs w:val="24"/>
        </w:rPr>
        <w:t>Preschoolers’</w:t>
      </w:r>
      <w:proofErr w:type="spellEnd"/>
      <w:r w:rsidRPr="00DA2283">
        <w:rPr>
          <w:rFonts w:ascii="Arial" w:hAnsi="Arial" w:cs="Arial"/>
          <w:sz w:val="24"/>
          <w:szCs w:val="24"/>
        </w:rPr>
        <w:t xml:space="preserve"> Affective Social Competence. </w:t>
      </w:r>
      <w:r w:rsidRPr="00DA2283">
        <w:rPr>
          <w:rFonts w:ascii="Arial" w:hAnsi="Arial" w:cs="Arial"/>
          <w:i/>
          <w:iCs/>
          <w:sz w:val="24"/>
          <w:szCs w:val="24"/>
        </w:rPr>
        <w:t>Merrill-Palmer Quarterly</w:t>
      </w:r>
      <w:r w:rsidRPr="00DA2283">
        <w:rPr>
          <w:rFonts w:ascii="Arial" w:hAnsi="Arial" w:cs="Arial"/>
          <w:sz w:val="24"/>
          <w:szCs w:val="24"/>
        </w:rPr>
        <w:t xml:space="preserve">, 59(3), pp.330–360. </w:t>
      </w:r>
      <w:proofErr w:type="spellStart"/>
      <w:proofErr w:type="gramStart"/>
      <w:r w:rsidRPr="00DA2283">
        <w:rPr>
          <w:rFonts w:ascii="Arial" w:hAnsi="Arial" w:cs="Arial"/>
          <w:sz w:val="24"/>
          <w:szCs w:val="24"/>
        </w:rPr>
        <w:t>doi:https</w:t>
      </w:r>
      <w:proofErr w:type="spellEnd"/>
      <w:r w:rsidRPr="00DA2283">
        <w:rPr>
          <w:rFonts w:ascii="Arial" w:hAnsi="Arial" w:cs="Arial"/>
          <w:sz w:val="24"/>
          <w:szCs w:val="24"/>
        </w:rPr>
        <w:t>://doi.org/10.1353/mpq.2013.0015</w:t>
      </w:r>
      <w:proofErr w:type="gramEnd"/>
      <w:r w:rsidRPr="00DA2283">
        <w:rPr>
          <w:rFonts w:ascii="Arial" w:hAnsi="Arial" w:cs="Arial"/>
          <w:sz w:val="24"/>
          <w:szCs w:val="24"/>
        </w:rPr>
        <w:t>.</w:t>
      </w:r>
    </w:p>
    <w:p w14:paraId="4356E77D" w14:textId="77777777" w:rsidR="00DA2283" w:rsidRDefault="00DA2283" w:rsidP="00DA2283">
      <w:pPr>
        <w:spacing w:line="360" w:lineRule="auto"/>
        <w:rPr>
          <w:rFonts w:ascii="Arial" w:hAnsi="Arial" w:cs="Arial"/>
          <w:sz w:val="24"/>
          <w:szCs w:val="24"/>
        </w:rPr>
      </w:pPr>
    </w:p>
    <w:p w14:paraId="176FB158" w14:textId="3552C4DB" w:rsidR="00DA2283" w:rsidRPr="00DA2283" w:rsidRDefault="00DA2283" w:rsidP="00DA2283">
      <w:pPr>
        <w:spacing w:line="360" w:lineRule="auto"/>
        <w:rPr>
          <w:rFonts w:ascii="Arial" w:hAnsi="Arial" w:cs="Arial"/>
          <w:sz w:val="24"/>
          <w:szCs w:val="24"/>
        </w:rPr>
      </w:pPr>
      <w:proofErr w:type="spellStart"/>
      <w:r w:rsidRPr="00DA2283">
        <w:rPr>
          <w:rFonts w:ascii="Arial" w:hAnsi="Arial" w:cs="Arial"/>
          <w:sz w:val="24"/>
          <w:szCs w:val="24"/>
        </w:rPr>
        <w:t>Nicolopoulou</w:t>
      </w:r>
      <w:proofErr w:type="spellEnd"/>
      <w:r w:rsidRPr="00DA2283">
        <w:rPr>
          <w:rFonts w:ascii="Arial" w:hAnsi="Arial" w:cs="Arial"/>
          <w:sz w:val="24"/>
          <w:szCs w:val="24"/>
        </w:rPr>
        <w:t xml:space="preserve">, A., Cortina, K.S., </w:t>
      </w:r>
      <w:proofErr w:type="spellStart"/>
      <w:r w:rsidRPr="00DA2283">
        <w:rPr>
          <w:rFonts w:ascii="Arial" w:hAnsi="Arial" w:cs="Arial"/>
          <w:sz w:val="24"/>
          <w:szCs w:val="24"/>
        </w:rPr>
        <w:t>Ilgaz</w:t>
      </w:r>
      <w:proofErr w:type="spellEnd"/>
      <w:r w:rsidRPr="00DA2283">
        <w:rPr>
          <w:rFonts w:ascii="Arial" w:hAnsi="Arial" w:cs="Arial"/>
          <w:sz w:val="24"/>
          <w:szCs w:val="24"/>
        </w:rPr>
        <w:t xml:space="preserve">, H., Cates, C.B. and de Sá, A.B. (2015). Using a narrative- and play-based activity to promote low-income </w:t>
      </w:r>
      <w:proofErr w:type="spellStart"/>
      <w:r w:rsidRPr="00DA2283">
        <w:rPr>
          <w:rFonts w:ascii="Arial" w:hAnsi="Arial" w:cs="Arial"/>
          <w:sz w:val="24"/>
          <w:szCs w:val="24"/>
        </w:rPr>
        <w:t>preschoolers’</w:t>
      </w:r>
      <w:proofErr w:type="spellEnd"/>
      <w:r w:rsidRPr="00DA2283">
        <w:rPr>
          <w:rFonts w:ascii="Arial" w:hAnsi="Arial" w:cs="Arial"/>
          <w:sz w:val="24"/>
          <w:szCs w:val="24"/>
        </w:rPr>
        <w:t xml:space="preserve"> oral language, emergent literacy, and social competence. </w:t>
      </w:r>
      <w:r w:rsidRPr="00DA2283">
        <w:rPr>
          <w:rFonts w:ascii="Arial" w:hAnsi="Arial" w:cs="Arial"/>
          <w:i/>
          <w:iCs/>
          <w:sz w:val="24"/>
          <w:szCs w:val="24"/>
        </w:rPr>
        <w:t>Early Childhood Research Quarterly</w:t>
      </w:r>
      <w:r w:rsidRPr="00DA2283">
        <w:rPr>
          <w:rFonts w:ascii="Arial" w:hAnsi="Arial" w:cs="Arial"/>
          <w:sz w:val="24"/>
          <w:szCs w:val="24"/>
        </w:rPr>
        <w:t xml:space="preserve">, 31(2), pp.147–162. </w:t>
      </w:r>
      <w:proofErr w:type="spellStart"/>
      <w:proofErr w:type="gramStart"/>
      <w:r w:rsidRPr="00DA2283">
        <w:rPr>
          <w:rFonts w:ascii="Arial" w:hAnsi="Arial" w:cs="Arial"/>
          <w:sz w:val="24"/>
          <w:szCs w:val="24"/>
        </w:rPr>
        <w:t>doi:https</w:t>
      </w:r>
      <w:proofErr w:type="spellEnd"/>
      <w:r w:rsidRPr="00DA2283">
        <w:rPr>
          <w:rFonts w:ascii="Arial" w:hAnsi="Arial" w:cs="Arial"/>
          <w:sz w:val="24"/>
          <w:szCs w:val="24"/>
        </w:rPr>
        <w:t>://doi.org/10.1016/j.ecresq.2015.01.006</w:t>
      </w:r>
      <w:proofErr w:type="gramEnd"/>
      <w:r w:rsidRPr="00DA2283">
        <w:rPr>
          <w:rFonts w:ascii="Arial" w:hAnsi="Arial" w:cs="Arial"/>
          <w:sz w:val="24"/>
          <w:szCs w:val="24"/>
        </w:rPr>
        <w:t>.</w:t>
      </w:r>
    </w:p>
    <w:p w14:paraId="08C6EE28" w14:textId="77777777" w:rsidR="00DA2283" w:rsidRDefault="00DA2283" w:rsidP="00DA2283">
      <w:pPr>
        <w:spacing w:line="360" w:lineRule="auto"/>
        <w:rPr>
          <w:rFonts w:ascii="Arial" w:hAnsi="Arial" w:cs="Arial"/>
          <w:sz w:val="24"/>
          <w:szCs w:val="24"/>
        </w:rPr>
      </w:pPr>
    </w:p>
    <w:p w14:paraId="32F32D60" w14:textId="77FB8FC2" w:rsidR="00DA2283" w:rsidRPr="00DA2283" w:rsidRDefault="00DA2283" w:rsidP="00DA2283">
      <w:pPr>
        <w:spacing w:line="360" w:lineRule="auto"/>
        <w:rPr>
          <w:rFonts w:ascii="Arial" w:hAnsi="Arial" w:cs="Arial"/>
          <w:sz w:val="24"/>
          <w:szCs w:val="24"/>
        </w:rPr>
      </w:pPr>
      <w:r w:rsidRPr="00DA2283">
        <w:rPr>
          <w:rFonts w:ascii="Arial" w:hAnsi="Arial" w:cs="Arial"/>
          <w:sz w:val="24"/>
          <w:szCs w:val="24"/>
        </w:rPr>
        <w:t xml:space="preserve">Nolan, A., Macfarlane, K. and Cartmel, J. (2013). </w:t>
      </w:r>
      <w:r w:rsidRPr="00DA2283">
        <w:rPr>
          <w:rFonts w:ascii="Arial" w:hAnsi="Arial" w:cs="Arial"/>
          <w:i/>
          <w:iCs/>
          <w:sz w:val="24"/>
          <w:szCs w:val="24"/>
        </w:rPr>
        <w:t>Research in early childhood</w:t>
      </w:r>
      <w:r w:rsidRPr="00DA2283">
        <w:rPr>
          <w:rFonts w:ascii="Arial" w:hAnsi="Arial" w:cs="Arial"/>
          <w:sz w:val="24"/>
          <w:szCs w:val="24"/>
        </w:rPr>
        <w:t>. Lons Angeles, Calif.: Sage.</w:t>
      </w:r>
    </w:p>
    <w:p w14:paraId="09C076B2" w14:textId="77777777" w:rsidR="00DA2283" w:rsidRDefault="00DA2283" w:rsidP="00DA2283">
      <w:pPr>
        <w:spacing w:line="360" w:lineRule="auto"/>
        <w:rPr>
          <w:rFonts w:ascii="Arial" w:hAnsi="Arial" w:cs="Arial"/>
          <w:sz w:val="24"/>
          <w:szCs w:val="24"/>
        </w:rPr>
      </w:pPr>
    </w:p>
    <w:p w14:paraId="36207C64" w14:textId="52AB1E91" w:rsidR="00DA2283" w:rsidRPr="00DA2283" w:rsidRDefault="00DA2283" w:rsidP="00DA2283">
      <w:pPr>
        <w:spacing w:line="360" w:lineRule="auto"/>
        <w:rPr>
          <w:rFonts w:ascii="Arial" w:hAnsi="Arial" w:cs="Arial"/>
          <w:sz w:val="24"/>
          <w:szCs w:val="24"/>
        </w:rPr>
      </w:pPr>
      <w:r w:rsidRPr="00DA2283">
        <w:rPr>
          <w:rFonts w:ascii="Arial" w:hAnsi="Arial" w:cs="Arial"/>
          <w:sz w:val="24"/>
          <w:szCs w:val="24"/>
        </w:rPr>
        <w:t xml:space="preserve">Parten, M.B. (1933). Social play among preschool children. </w:t>
      </w:r>
      <w:r w:rsidRPr="00DA2283">
        <w:rPr>
          <w:rFonts w:ascii="Arial" w:hAnsi="Arial" w:cs="Arial"/>
          <w:i/>
          <w:iCs/>
          <w:sz w:val="24"/>
          <w:szCs w:val="24"/>
        </w:rPr>
        <w:t>The Journal of Abnormal and Social Psychology</w:t>
      </w:r>
      <w:r w:rsidRPr="00DA2283">
        <w:rPr>
          <w:rFonts w:ascii="Arial" w:hAnsi="Arial" w:cs="Arial"/>
          <w:sz w:val="24"/>
          <w:szCs w:val="24"/>
        </w:rPr>
        <w:t xml:space="preserve">, 28(2), pp.136–147. </w:t>
      </w:r>
      <w:proofErr w:type="spellStart"/>
      <w:proofErr w:type="gramStart"/>
      <w:r w:rsidRPr="00DA2283">
        <w:rPr>
          <w:rFonts w:ascii="Arial" w:hAnsi="Arial" w:cs="Arial"/>
          <w:sz w:val="24"/>
          <w:szCs w:val="24"/>
        </w:rPr>
        <w:t>doi:https</w:t>
      </w:r>
      <w:proofErr w:type="spellEnd"/>
      <w:r w:rsidRPr="00DA2283">
        <w:rPr>
          <w:rFonts w:ascii="Arial" w:hAnsi="Arial" w:cs="Arial"/>
          <w:sz w:val="24"/>
          <w:szCs w:val="24"/>
        </w:rPr>
        <w:t>://doi.org/10.1037/h0073939</w:t>
      </w:r>
      <w:proofErr w:type="gramEnd"/>
      <w:r w:rsidRPr="00DA2283">
        <w:rPr>
          <w:rFonts w:ascii="Arial" w:hAnsi="Arial" w:cs="Arial"/>
          <w:sz w:val="24"/>
          <w:szCs w:val="24"/>
        </w:rPr>
        <w:t>.</w:t>
      </w:r>
    </w:p>
    <w:p w14:paraId="1CDD1A18" w14:textId="77777777" w:rsidR="00DA2283" w:rsidRDefault="00DA2283" w:rsidP="00DA2283">
      <w:pPr>
        <w:spacing w:line="360" w:lineRule="auto"/>
        <w:rPr>
          <w:rFonts w:ascii="Arial" w:hAnsi="Arial" w:cs="Arial"/>
          <w:sz w:val="24"/>
          <w:szCs w:val="24"/>
        </w:rPr>
      </w:pPr>
    </w:p>
    <w:p w14:paraId="1750CADE" w14:textId="37965239" w:rsidR="00DA2283" w:rsidRPr="00DA2283" w:rsidRDefault="00DA2283" w:rsidP="00DA2283">
      <w:pPr>
        <w:spacing w:line="360" w:lineRule="auto"/>
        <w:rPr>
          <w:rFonts w:ascii="Arial" w:hAnsi="Arial" w:cs="Arial"/>
          <w:sz w:val="24"/>
          <w:szCs w:val="24"/>
        </w:rPr>
      </w:pPr>
      <w:r w:rsidRPr="00DA2283">
        <w:rPr>
          <w:rFonts w:ascii="Arial" w:hAnsi="Arial" w:cs="Arial"/>
          <w:sz w:val="24"/>
          <w:szCs w:val="24"/>
        </w:rPr>
        <w:t xml:space="preserve">Piaget, J. (1959). </w:t>
      </w:r>
      <w:r w:rsidRPr="00DA2283">
        <w:rPr>
          <w:rFonts w:ascii="Arial" w:hAnsi="Arial" w:cs="Arial"/>
          <w:i/>
          <w:iCs/>
          <w:sz w:val="24"/>
          <w:szCs w:val="24"/>
        </w:rPr>
        <w:t>The language and thought of the child</w:t>
      </w:r>
      <w:r w:rsidRPr="00DA2283">
        <w:rPr>
          <w:rFonts w:ascii="Arial" w:hAnsi="Arial" w:cs="Arial"/>
          <w:sz w:val="24"/>
          <w:szCs w:val="24"/>
        </w:rPr>
        <w:t>. 3rd ed. London: Routledge &amp; Paul.</w:t>
      </w:r>
    </w:p>
    <w:p w14:paraId="283888A5" w14:textId="77777777" w:rsidR="00DA2283" w:rsidRDefault="00DA2283" w:rsidP="00DA2283">
      <w:pPr>
        <w:spacing w:line="360" w:lineRule="auto"/>
        <w:rPr>
          <w:rFonts w:ascii="Arial" w:hAnsi="Arial" w:cs="Arial"/>
          <w:sz w:val="24"/>
          <w:szCs w:val="24"/>
        </w:rPr>
      </w:pPr>
    </w:p>
    <w:p w14:paraId="11836584" w14:textId="3291A456" w:rsidR="00DA2283" w:rsidRPr="00DA2283" w:rsidRDefault="00DA2283" w:rsidP="00DA2283">
      <w:pPr>
        <w:spacing w:line="360" w:lineRule="auto"/>
        <w:rPr>
          <w:rFonts w:ascii="Arial" w:hAnsi="Arial" w:cs="Arial"/>
          <w:sz w:val="24"/>
          <w:szCs w:val="24"/>
        </w:rPr>
      </w:pPr>
      <w:r w:rsidRPr="00DA2283">
        <w:rPr>
          <w:rFonts w:ascii="Arial" w:hAnsi="Arial" w:cs="Arial"/>
          <w:sz w:val="24"/>
          <w:szCs w:val="24"/>
        </w:rPr>
        <w:t>Sawyer</w:t>
      </w:r>
      <w:r>
        <w:rPr>
          <w:rFonts w:ascii="Arial" w:hAnsi="Arial" w:cs="Arial"/>
          <w:sz w:val="24"/>
          <w:szCs w:val="24"/>
        </w:rPr>
        <w:t>, K.</w:t>
      </w:r>
      <w:r w:rsidRPr="00DA2283">
        <w:rPr>
          <w:rFonts w:ascii="Arial" w:hAnsi="Arial" w:cs="Arial"/>
          <w:sz w:val="24"/>
          <w:szCs w:val="24"/>
        </w:rPr>
        <w:t xml:space="preserve"> (2016). </w:t>
      </w:r>
      <w:r w:rsidRPr="00DA2283">
        <w:rPr>
          <w:rFonts w:ascii="Arial" w:hAnsi="Arial" w:cs="Arial"/>
          <w:i/>
          <w:iCs/>
          <w:sz w:val="24"/>
          <w:szCs w:val="24"/>
        </w:rPr>
        <w:t xml:space="preserve">Pretend play as </w:t>
      </w:r>
      <w:proofErr w:type="gramStart"/>
      <w:r w:rsidRPr="00DA2283">
        <w:rPr>
          <w:rFonts w:ascii="Arial" w:hAnsi="Arial" w:cs="Arial"/>
          <w:i/>
          <w:iCs/>
          <w:sz w:val="24"/>
          <w:szCs w:val="24"/>
        </w:rPr>
        <w:t>improvisation :</w:t>
      </w:r>
      <w:proofErr w:type="gramEnd"/>
      <w:r w:rsidRPr="00DA2283">
        <w:rPr>
          <w:rFonts w:ascii="Arial" w:hAnsi="Arial" w:cs="Arial"/>
          <w:i/>
          <w:iCs/>
          <w:sz w:val="24"/>
          <w:szCs w:val="24"/>
        </w:rPr>
        <w:t xml:space="preserve"> conversation in the preschool classroom</w:t>
      </w:r>
      <w:r w:rsidRPr="00DA2283">
        <w:rPr>
          <w:rFonts w:ascii="Arial" w:hAnsi="Arial" w:cs="Arial"/>
          <w:sz w:val="24"/>
          <w:szCs w:val="24"/>
        </w:rPr>
        <w:t xml:space="preserve">. New York, </w:t>
      </w:r>
      <w:proofErr w:type="gramStart"/>
      <w:r w:rsidRPr="00DA2283">
        <w:rPr>
          <w:rFonts w:ascii="Arial" w:hAnsi="Arial" w:cs="Arial"/>
          <w:sz w:val="24"/>
          <w:szCs w:val="24"/>
        </w:rPr>
        <w:t>Ny ;</w:t>
      </w:r>
      <w:proofErr w:type="gramEnd"/>
      <w:r w:rsidRPr="00DA2283">
        <w:rPr>
          <w:rFonts w:ascii="Arial" w:hAnsi="Arial" w:cs="Arial"/>
          <w:sz w:val="24"/>
          <w:szCs w:val="24"/>
        </w:rPr>
        <w:t xml:space="preserve"> Abingdon, Oxon: Routledge.</w:t>
      </w:r>
    </w:p>
    <w:p w14:paraId="57E61257" w14:textId="77777777" w:rsidR="00DA2283" w:rsidRDefault="00DA2283" w:rsidP="00DA2283">
      <w:pPr>
        <w:spacing w:line="360" w:lineRule="auto"/>
        <w:rPr>
          <w:rFonts w:ascii="Arial" w:hAnsi="Arial" w:cs="Arial"/>
          <w:sz w:val="24"/>
          <w:szCs w:val="24"/>
        </w:rPr>
      </w:pPr>
    </w:p>
    <w:p w14:paraId="78DA3BA3" w14:textId="185A3669" w:rsidR="00DA2283" w:rsidRPr="00DA2283" w:rsidRDefault="00DA2283" w:rsidP="00DA2283">
      <w:pPr>
        <w:spacing w:line="360" w:lineRule="auto"/>
        <w:rPr>
          <w:rFonts w:ascii="Arial" w:hAnsi="Arial" w:cs="Arial"/>
          <w:sz w:val="24"/>
          <w:szCs w:val="24"/>
        </w:rPr>
      </w:pPr>
      <w:r w:rsidRPr="00DA2283">
        <w:rPr>
          <w:rFonts w:ascii="Arial" w:hAnsi="Arial" w:cs="Arial"/>
          <w:sz w:val="24"/>
          <w:szCs w:val="24"/>
        </w:rPr>
        <w:t xml:space="preserve">Smits-van der Nat, M., van der Wilt, F., </w:t>
      </w:r>
      <w:proofErr w:type="spellStart"/>
      <w:r w:rsidRPr="00DA2283">
        <w:rPr>
          <w:rFonts w:ascii="Arial" w:hAnsi="Arial" w:cs="Arial"/>
          <w:sz w:val="24"/>
          <w:szCs w:val="24"/>
        </w:rPr>
        <w:t>Meeter</w:t>
      </w:r>
      <w:proofErr w:type="spellEnd"/>
      <w:r w:rsidRPr="00DA2283">
        <w:rPr>
          <w:rFonts w:ascii="Arial" w:hAnsi="Arial" w:cs="Arial"/>
          <w:sz w:val="24"/>
          <w:szCs w:val="24"/>
        </w:rPr>
        <w:t xml:space="preserve">, M. and van der Veen, C. (2024). The Value of Pretend Play for Social Competence in Early Childhood: A Meta-analysis. </w:t>
      </w:r>
      <w:r w:rsidRPr="00DA2283">
        <w:rPr>
          <w:rFonts w:ascii="Arial" w:hAnsi="Arial" w:cs="Arial"/>
          <w:i/>
          <w:iCs/>
          <w:sz w:val="24"/>
          <w:szCs w:val="24"/>
        </w:rPr>
        <w:t>Educational psychology review</w:t>
      </w:r>
      <w:r w:rsidRPr="00DA2283">
        <w:rPr>
          <w:rFonts w:ascii="Arial" w:hAnsi="Arial" w:cs="Arial"/>
          <w:sz w:val="24"/>
          <w:szCs w:val="24"/>
        </w:rPr>
        <w:t xml:space="preserve">, 36(2). </w:t>
      </w:r>
      <w:proofErr w:type="spellStart"/>
      <w:proofErr w:type="gramStart"/>
      <w:r w:rsidRPr="00DA2283">
        <w:rPr>
          <w:rFonts w:ascii="Arial" w:hAnsi="Arial" w:cs="Arial"/>
          <w:sz w:val="24"/>
          <w:szCs w:val="24"/>
        </w:rPr>
        <w:t>doi:https</w:t>
      </w:r>
      <w:proofErr w:type="spellEnd"/>
      <w:r w:rsidRPr="00DA2283">
        <w:rPr>
          <w:rFonts w:ascii="Arial" w:hAnsi="Arial" w:cs="Arial"/>
          <w:sz w:val="24"/>
          <w:szCs w:val="24"/>
        </w:rPr>
        <w:t>://doi.org/10.1007/s10648-024-09884-z</w:t>
      </w:r>
      <w:proofErr w:type="gramEnd"/>
      <w:r w:rsidRPr="00DA2283">
        <w:rPr>
          <w:rFonts w:ascii="Arial" w:hAnsi="Arial" w:cs="Arial"/>
          <w:sz w:val="24"/>
          <w:szCs w:val="24"/>
        </w:rPr>
        <w:t>.</w:t>
      </w:r>
    </w:p>
    <w:p w14:paraId="1978B0D4" w14:textId="77777777" w:rsidR="00DA2283" w:rsidRDefault="00DA2283" w:rsidP="00DA2283">
      <w:pPr>
        <w:spacing w:line="360" w:lineRule="auto"/>
        <w:rPr>
          <w:rFonts w:ascii="Arial" w:hAnsi="Arial" w:cs="Arial"/>
          <w:sz w:val="24"/>
          <w:szCs w:val="24"/>
        </w:rPr>
      </w:pPr>
    </w:p>
    <w:p w14:paraId="672ECF61" w14:textId="305A764A" w:rsidR="00DA2283" w:rsidRPr="00DA2283" w:rsidRDefault="00DA2283" w:rsidP="00DA2283">
      <w:pPr>
        <w:spacing w:line="360" w:lineRule="auto"/>
        <w:rPr>
          <w:rFonts w:ascii="Arial" w:hAnsi="Arial" w:cs="Arial"/>
          <w:sz w:val="24"/>
          <w:szCs w:val="24"/>
        </w:rPr>
      </w:pPr>
      <w:r w:rsidRPr="00DA2283">
        <w:rPr>
          <w:rFonts w:ascii="Arial" w:hAnsi="Arial" w:cs="Arial"/>
          <w:sz w:val="24"/>
          <w:szCs w:val="24"/>
        </w:rPr>
        <w:t xml:space="preserve">Vygotsky, L. (1978). </w:t>
      </w:r>
      <w:r w:rsidRPr="00DA2283">
        <w:rPr>
          <w:rFonts w:ascii="Arial" w:hAnsi="Arial" w:cs="Arial"/>
          <w:i/>
          <w:iCs/>
          <w:sz w:val="24"/>
          <w:szCs w:val="24"/>
        </w:rPr>
        <w:t>Mind in society: the Development of Higher Psychological Processes</w:t>
      </w:r>
      <w:r w:rsidRPr="00DA2283">
        <w:rPr>
          <w:rFonts w:ascii="Arial" w:hAnsi="Arial" w:cs="Arial"/>
          <w:sz w:val="24"/>
          <w:szCs w:val="24"/>
        </w:rPr>
        <w:t>. Harvard University Press.</w:t>
      </w:r>
    </w:p>
    <w:p w14:paraId="09D69D20" w14:textId="77777777" w:rsidR="00DA2283" w:rsidRPr="00DA2283" w:rsidRDefault="00DA2283" w:rsidP="00DA2283">
      <w:pPr>
        <w:spacing w:line="360" w:lineRule="auto"/>
        <w:rPr>
          <w:rFonts w:ascii="Arial" w:hAnsi="Arial" w:cs="Arial"/>
          <w:sz w:val="24"/>
          <w:szCs w:val="24"/>
        </w:rPr>
      </w:pPr>
      <w:r w:rsidRPr="00DA2283">
        <w:rPr>
          <w:rFonts w:ascii="Arial" w:hAnsi="Arial" w:cs="Arial"/>
          <w:sz w:val="24"/>
          <w:szCs w:val="24"/>
        </w:rPr>
        <w:lastRenderedPageBreak/>
        <w:t xml:space="preserve">Walker, R. and Solvason, C. (2014). </w:t>
      </w:r>
      <w:r w:rsidRPr="00DA2283">
        <w:rPr>
          <w:rFonts w:ascii="Arial" w:hAnsi="Arial" w:cs="Arial"/>
          <w:i/>
          <w:iCs/>
          <w:sz w:val="24"/>
          <w:szCs w:val="24"/>
        </w:rPr>
        <w:t>Success with your early years research project</w:t>
      </w:r>
      <w:r w:rsidRPr="00DA2283">
        <w:rPr>
          <w:rFonts w:ascii="Arial" w:hAnsi="Arial" w:cs="Arial"/>
          <w:sz w:val="24"/>
          <w:szCs w:val="24"/>
        </w:rPr>
        <w:t>. Los Angeles: Sage.</w:t>
      </w:r>
    </w:p>
    <w:p w14:paraId="4C58CDC5" w14:textId="05DAEBBE" w:rsidR="00DA2283" w:rsidRDefault="00DA2283" w:rsidP="00186F15">
      <w:pPr>
        <w:spacing w:line="360" w:lineRule="auto"/>
        <w:rPr>
          <w:rFonts w:ascii="Arial" w:hAnsi="Arial" w:cs="Arial"/>
          <w:b/>
          <w:bCs/>
          <w:sz w:val="24"/>
          <w:szCs w:val="24"/>
          <w:u w:val="single"/>
        </w:rPr>
      </w:pPr>
    </w:p>
    <w:p w14:paraId="3A927E16" w14:textId="77777777" w:rsidR="00DA2283" w:rsidRPr="00DA2283" w:rsidRDefault="00DA2283" w:rsidP="00186F15">
      <w:pPr>
        <w:spacing w:line="360" w:lineRule="auto"/>
        <w:rPr>
          <w:rFonts w:ascii="Arial" w:hAnsi="Arial" w:cs="Arial"/>
          <w:sz w:val="24"/>
          <w:szCs w:val="24"/>
        </w:rPr>
      </w:pPr>
    </w:p>
    <w:p w14:paraId="1909912B" w14:textId="1F12EFEC" w:rsidR="008C5E52" w:rsidRPr="00144A40" w:rsidRDefault="008C5E52">
      <w:pPr>
        <w:rPr>
          <w:rFonts w:ascii="Arial" w:hAnsi="Arial" w:cs="Arial"/>
        </w:rPr>
      </w:pPr>
    </w:p>
    <w:p w14:paraId="2F1A43EE" w14:textId="7817D264" w:rsidR="008C5E52" w:rsidRPr="00144A40" w:rsidRDefault="008C5E52">
      <w:pPr>
        <w:rPr>
          <w:rFonts w:ascii="Arial" w:hAnsi="Arial" w:cs="Arial"/>
        </w:rPr>
      </w:pPr>
    </w:p>
    <w:p w14:paraId="44EF3526" w14:textId="27D6BF29" w:rsidR="00F178A5" w:rsidRPr="00144A40" w:rsidRDefault="00F178A5">
      <w:pPr>
        <w:rPr>
          <w:rFonts w:ascii="Arial" w:hAnsi="Arial" w:cs="Arial"/>
        </w:rPr>
      </w:pPr>
    </w:p>
    <w:p w14:paraId="74703EE4" w14:textId="77777777" w:rsidR="00F178A5" w:rsidRPr="00144A40" w:rsidRDefault="00F178A5">
      <w:pPr>
        <w:rPr>
          <w:rFonts w:ascii="Arial" w:hAnsi="Arial" w:cs="Arial"/>
        </w:rPr>
      </w:pPr>
    </w:p>
    <w:sectPr w:rsidR="00F178A5" w:rsidRPr="00144A40">
      <w:headerReference w:type="default" r:id="rId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8B90E6D" w14:textId="77777777" w:rsidR="00613BA0" w:rsidRDefault="00613BA0" w:rsidP="008C5E52">
      <w:pPr>
        <w:spacing w:after="0" w:line="240" w:lineRule="auto"/>
      </w:pPr>
      <w:r>
        <w:separator/>
      </w:r>
    </w:p>
  </w:endnote>
  <w:endnote w:type="continuationSeparator" w:id="0">
    <w:p w14:paraId="3EBC2BC4" w14:textId="77777777" w:rsidR="00613BA0" w:rsidRDefault="00613BA0" w:rsidP="008C5E5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64062447"/>
      <w:docPartObj>
        <w:docPartGallery w:val="Page Numbers (Bottom of Page)"/>
        <w:docPartUnique/>
      </w:docPartObj>
    </w:sdtPr>
    <w:sdtEndPr>
      <w:rPr>
        <w:noProof/>
      </w:rPr>
    </w:sdtEndPr>
    <w:sdtContent>
      <w:p w14:paraId="5A40EF60" w14:textId="221DDAB5" w:rsidR="00F178A5" w:rsidRDefault="00F178A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EDB410E" w14:textId="77777777" w:rsidR="00F178A5" w:rsidRDefault="00F178A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020577" w14:textId="77777777" w:rsidR="00613BA0" w:rsidRDefault="00613BA0" w:rsidP="008C5E52">
      <w:pPr>
        <w:spacing w:after="0" w:line="240" w:lineRule="auto"/>
      </w:pPr>
      <w:r>
        <w:separator/>
      </w:r>
    </w:p>
  </w:footnote>
  <w:footnote w:type="continuationSeparator" w:id="0">
    <w:p w14:paraId="5B5EAE39" w14:textId="77777777" w:rsidR="00613BA0" w:rsidRDefault="00613BA0" w:rsidP="008C5E5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1C7817" w14:textId="1028AA51" w:rsidR="008C5E52" w:rsidRDefault="008C5E52">
    <w:pPr>
      <w:pStyle w:val="Header"/>
    </w:pPr>
    <w:r>
      <w:t>ECEY5010                                                   word count:                                                              2409002</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5E52"/>
    <w:rsid w:val="000823D0"/>
    <w:rsid w:val="00144A40"/>
    <w:rsid w:val="00186F15"/>
    <w:rsid w:val="00394989"/>
    <w:rsid w:val="003F567F"/>
    <w:rsid w:val="00417CCB"/>
    <w:rsid w:val="004A6D7E"/>
    <w:rsid w:val="005136E8"/>
    <w:rsid w:val="00586736"/>
    <w:rsid w:val="005D0015"/>
    <w:rsid w:val="005E591E"/>
    <w:rsid w:val="00613BA0"/>
    <w:rsid w:val="0061675B"/>
    <w:rsid w:val="006607F4"/>
    <w:rsid w:val="00693683"/>
    <w:rsid w:val="006D4E7E"/>
    <w:rsid w:val="0078462D"/>
    <w:rsid w:val="00786F1C"/>
    <w:rsid w:val="007E104E"/>
    <w:rsid w:val="00800A70"/>
    <w:rsid w:val="008C5E52"/>
    <w:rsid w:val="00985550"/>
    <w:rsid w:val="00986F8F"/>
    <w:rsid w:val="009B1922"/>
    <w:rsid w:val="009B6349"/>
    <w:rsid w:val="00A323C0"/>
    <w:rsid w:val="00B26117"/>
    <w:rsid w:val="00B420B3"/>
    <w:rsid w:val="00C81618"/>
    <w:rsid w:val="00CD2185"/>
    <w:rsid w:val="00D12715"/>
    <w:rsid w:val="00D54909"/>
    <w:rsid w:val="00DA2283"/>
    <w:rsid w:val="00DF49CF"/>
    <w:rsid w:val="00F1553F"/>
    <w:rsid w:val="00F178A5"/>
    <w:rsid w:val="00F66D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0EBA8A"/>
  <w15:chartTrackingRefBased/>
  <w15:docId w15:val="{E430C1DE-04D2-42FE-B06A-CE7AF04C50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C5E52"/>
    <w:pPr>
      <w:tabs>
        <w:tab w:val="center" w:pos="4513"/>
        <w:tab w:val="right" w:pos="9026"/>
      </w:tabs>
      <w:spacing w:after="0" w:line="240" w:lineRule="auto"/>
    </w:pPr>
  </w:style>
  <w:style w:type="character" w:customStyle="1" w:styleId="HeaderChar">
    <w:name w:val="Header Char"/>
    <w:basedOn w:val="DefaultParagraphFont"/>
    <w:link w:val="Header"/>
    <w:uiPriority w:val="99"/>
    <w:rsid w:val="008C5E52"/>
  </w:style>
  <w:style w:type="paragraph" w:styleId="Footer">
    <w:name w:val="footer"/>
    <w:basedOn w:val="Normal"/>
    <w:link w:val="FooterChar"/>
    <w:uiPriority w:val="99"/>
    <w:unhideWhenUsed/>
    <w:rsid w:val="008C5E52"/>
    <w:pPr>
      <w:tabs>
        <w:tab w:val="center" w:pos="4513"/>
        <w:tab w:val="right" w:pos="9026"/>
      </w:tabs>
      <w:spacing w:after="0" w:line="240" w:lineRule="auto"/>
    </w:pPr>
  </w:style>
  <w:style w:type="character" w:customStyle="1" w:styleId="FooterChar">
    <w:name w:val="Footer Char"/>
    <w:basedOn w:val="DefaultParagraphFont"/>
    <w:link w:val="Footer"/>
    <w:uiPriority w:val="99"/>
    <w:rsid w:val="008C5E5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66187114">
      <w:bodyDiv w:val="1"/>
      <w:marLeft w:val="0"/>
      <w:marRight w:val="0"/>
      <w:marTop w:val="0"/>
      <w:marBottom w:val="0"/>
      <w:divBdr>
        <w:top w:val="none" w:sz="0" w:space="0" w:color="auto"/>
        <w:left w:val="none" w:sz="0" w:space="0" w:color="auto"/>
        <w:bottom w:val="none" w:sz="0" w:space="0" w:color="auto"/>
        <w:right w:val="none" w:sz="0" w:space="0" w:color="auto"/>
      </w:divBdr>
      <w:divsChild>
        <w:div w:id="19303517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1653</TotalTime>
  <Pages>5</Pages>
  <Words>931</Words>
  <Characters>5308</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Liliwen Evans (2409002)</dc:creator>
  <cp:keywords/>
  <dc:description/>
  <cp:lastModifiedBy>Liliwen Evans (2409002)</cp:lastModifiedBy>
  <cp:revision>7</cp:revision>
  <dcterms:created xsi:type="dcterms:W3CDTF">2025-10-21T16:57:00Z</dcterms:created>
  <dcterms:modified xsi:type="dcterms:W3CDTF">2025-10-22T20:32:00Z</dcterms:modified>
</cp:coreProperties>
</file>