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9D826" w14:textId="77777777" w:rsidR="00584CE4" w:rsidRDefault="00584CE4" w:rsidP="00584CE4">
      <w:pPr>
        <w:pStyle w:val="Title"/>
      </w:pPr>
      <w:r w:rsidRPr="00527933">
        <w:t xml:space="preserve">International Business Communications </w:t>
      </w:r>
    </w:p>
    <w:p w14:paraId="1AD61E3F" w14:textId="77777777" w:rsidR="00584CE4" w:rsidRPr="00527933" w:rsidRDefault="00584CE4" w:rsidP="00584CE4">
      <w:pPr>
        <w:pStyle w:val="Title"/>
      </w:pPr>
      <w:r w:rsidRPr="00527933">
        <w:t>LCBB6001</w:t>
      </w:r>
    </w:p>
    <w:p w14:paraId="58FEE998" w14:textId="77777777" w:rsidR="00473D5D" w:rsidRPr="004F04F1" w:rsidRDefault="00473D5D" w:rsidP="00AA64A8">
      <w:pPr>
        <w:spacing w:line="360" w:lineRule="auto"/>
        <w:jc w:val="both"/>
        <w:rPr>
          <w:rFonts w:ascii="Arial" w:hAnsi="Arial" w:cs="Arial"/>
        </w:rPr>
      </w:pPr>
    </w:p>
    <w:p w14:paraId="2D075CFB" w14:textId="77777777" w:rsidR="00473D5D" w:rsidRPr="004F04F1" w:rsidRDefault="00473D5D" w:rsidP="00AA64A8">
      <w:pPr>
        <w:spacing w:line="360" w:lineRule="auto"/>
        <w:jc w:val="both"/>
        <w:rPr>
          <w:rFonts w:ascii="Arial" w:hAnsi="Arial" w:cs="Arial"/>
        </w:rPr>
      </w:pPr>
    </w:p>
    <w:p w14:paraId="659E076C" w14:textId="77777777" w:rsidR="00473D5D" w:rsidRPr="004F04F1" w:rsidRDefault="00473D5D" w:rsidP="00AA64A8">
      <w:pPr>
        <w:spacing w:line="360" w:lineRule="auto"/>
        <w:jc w:val="both"/>
        <w:rPr>
          <w:rFonts w:ascii="Arial" w:hAnsi="Arial" w:cs="Arial"/>
        </w:rPr>
      </w:pPr>
    </w:p>
    <w:p w14:paraId="737AD430" w14:textId="77777777" w:rsidR="00473D5D" w:rsidRPr="004F04F1" w:rsidRDefault="00473D5D" w:rsidP="00AA64A8">
      <w:pPr>
        <w:spacing w:line="360" w:lineRule="auto"/>
        <w:jc w:val="both"/>
        <w:rPr>
          <w:rFonts w:ascii="Arial" w:hAnsi="Arial" w:cs="Arial"/>
        </w:rPr>
      </w:pPr>
    </w:p>
    <w:p w14:paraId="14C67088" w14:textId="063412B8" w:rsidR="00584CE4" w:rsidRPr="004F04F1" w:rsidRDefault="00497020" w:rsidP="00584CE4">
      <w:pPr>
        <w:spacing w:line="360" w:lineRule="auto"/>
        <w:jc w:val="both"/>
        <w:rPr>
          <w:rFonts w:ascii="Arial" w:hAnsi="Arial" w:cs="Arial"/>
        </w:rPr>
      </w:pPr>
      <w:r>
        <w:rPr>
          <w:rFonts w:ascii="Arial" w:hAnsi="Arial" w:cs="Arial"/>
        </w:rPr>
        <w:t xml:space="preserve">Student name: </w:t>
      </w:r>
      <w:r w:rsidR="00584CE4" w:rsidRPr="004F04F1">
        <w:rPr>
          <w:rFonts w:ascii="Arial" w:hAnsi="Arial" w:cs="Arial"/>
        </w:rPr>
        <w:t xml:space="preserve">Simona </w:t>
      </w:r>
      <w:r w:rsidR="00A40D80">
        <w:rPr>
          <w:rFonts w:ascii="Arial" w:hAnsi="Arial" w:cs="Arial"/>
        </w:rPr>
        <w:t xml:space="preserve">Silvia </w:t>
      </w:r>
      <w:r w:rsidR="00584CE4" w:rsidRPr="004F04F1">
        <w:rPr>
          <w:rFonts w:ascii="Arial" w:hAnsi="Arial" w:cs="Arial"/>
        </w:rPr>
        <w:t>Guita</w:t>
      </w:r>
    </w:p>
    <w:p w14:paraId="7728A126" w14:textId="41537DD3" w:rsidR="00473D5D" w:rsidRPr="004F04F1" w:rsidRDefault="00497020" w:rsidP="00AA64A8">
      <w:pPr>
        <w:spacing w:line="360" w:lineRule="auto"/>
        <w:jc w:val="both"/>
        <w:rPr>
          <w:rFonts w:ascii="Arial" w:hAnsi="Arial" w:cs="Arial"/>
        </w:rPr>
      </w:pPr>
      <w:r>
        <w:rPr>
          <w:rFonts w:ascii="Arial" w:hAnsi="Arial" w:cs="Arial"/>
        </w:rPr>
        <w:t>Id number:</w:t>
      </w:r>
      <w:r w:rsidR="00A40D80">
        <w:rPr>
          <w:rFonts w:ascii="Arial" w:hAnsi="Arial" w:cs="Arial"/>
        </w:rPr>
        <w:t xml:space="preserve"> 2235981</w:t>
      </w:r>
    </w:p>
    <w:p w14:paraId="634C59F4" w14:textId="1D1821F7" w:rsidR="00473D5D" w:rsidRPr="004F04F1" w:rsidRDefault="00497020" w:rsidP="00AA64A8">
      <w:pPr>
        <w:spacing w:line="360" w:lineRule="auto"/>
        <w:jc w:val="both"/>
        <w:rPr>
          <w:rFonts w:ascii="Arial" w:hAnsi="Arial" w:cs="Arial"/>
        </w:rPr>
      </w:pPr>
      <w:r>
        <w:rPr>
          <w:rFonts w:ascii="Arial" w:hAnsi="Arial" w:cs="Arial"/>
        </w:rPr>
        <w:t xml:space="preserve">Lecturer: </w:t>
      </w:r>
      <w:r w:rsidR="00A40D80">
        <w:rPr>
          <w:rFonts w:ascii="Arial" w:hAnsi="Arial" w:cs="Arial"/>
        </w:rPr>
        <w:t>Afzal Sayed Munna</w:t>
      </w:r>
    </w:p>
    <w:p w14:paraId="0F640D1D" w14:textId="77777777" w:rsidR="00473D5D" w:rsidRPr="004F04F1" w:rsidRDefault="00473D5D" w:rsidP="00AA64A8">
      <w:pPr>
        <w:spacing w:line="360" w:lineRule="auto"/>
        <w:jc w:val="both"/>
        <w:rPr>
          <w:rFonts w:ascii="Arial" w:hAnsi="Arial" w:cs="Arial"/>
        </w:rPr>
      </w:pPr>
    </w:p>
    <w:p w14:paraId="211F0AE2" w14:textId="77777777" w:rsidR="00473D5D" w:rsidRPr="004F04F1" w:rsidRDefault="00473D5D" w:rsidP="00AA64A8">
      <w:pPr>
        <w:spacing w:line="360" w:lineRule="auto"/>
        <w:jc w:val="both"/>
        <w:rPr>
          <w:rFonts w:ascii="Arial" w:hAnsi="Arial" w:cs="Arial"/>
        </w:rPr>
      </w:pPr>
    </w:p>
    <w:p w14:paraId="49D27E38" w14:textId="77777777" w:rsidR="00473D5D" w:rsidRPr="004F04F1" w:rsidRDefault="00473D5D" w:rsidP="00AA64A8">
      <w:pPr>
        <w:spacing w:line="360" w:lineRule="auto"/>
        <w:jc w:val="both"/>
        <w:rPr>
          <w:rFonts w:ascii="Arial" w:hAnsi="Arial" w:cs="Arial"/>
        </w:rPr>
      </w:pPr>
    </w:p>
    <w:p w14:paraId="75E04C8C" w14:textId="77777777" w:rsidR="00473D5D" w:rsidRPr="004F04F1" w:rsidRDefault="00473D5D" w:rsidP="00AA64A8">
      <w:pPr>
        <w:spacing w:line="360" w:lineRule="auto"/>
        <w:jc w:val="both"/>
        <w:rPr>
          <w:rFonts w:ascii="Arial" w:hAnsi="Arial" w:cs="Arial"/>
        </w:rPr>
      </w:pPr>
    </w:p>
    <w:p w14:paraId="5B5CAD12" w14:textId="77777777" w:rsidR="00473D5D" w:rsidRPr="004F04F1" w:rsidRDefault="00473D5D" w:rsidP="00AA64A8">
      <w:pPr>
        <w:spacing w:line="360" w:lineRule="auto"/>
        <w:jc w:val="both"/>
        <w:rPr>
          <w:rFonts w:ascii="Arial" w:hAnsi="Arial" w:cs="Arial"/>
        </w:rPr>
      </w:pPr>
    </w:p>
    <w:p w14:paraId="7D3BFB69" w14:textId="77777777" w:rsidR="00473D5D" w:rsidRPr="004F04F1" w:rsidRDefault="00473D5D" w:rsidP="00AA64A8">
      <w:pPr>
        <w:spacing w:line="360" w:lineRule="auto"/>
        <w:jc w:val="both"/>
        <w:rPr>
          <w:rFonts w:ascii="Arial" w:hAnsi="Arial" w:cs="Arial"/>
        </w:rPr>
      </w:pPr>
    </w:p>
    <w:p w14:paraId="18277A89" w14:textId="77777777" w:rsidR="00473D5D" w:rsidRPr="004F04F1" w:rsidRDefault="00473D5D" w:rsidP="00AA64A8">
      <w:pPr>
        <w:spacing w:line="360" w:lineRule="auto"/>
        <w:jc w:val="both"/>
        <w:rPr>
          <w:rFonts w:ascii="Arial" w:hAnsi="Arial" w:cs="Arial"/>
        </w:rPr>
      </w:pPr>
    </w:p>
    <w:p w14:paraId="082F193A" w14:textId="77777777" w:rsidR="00473D5D" w:rsidRPr="004F04F1" w:rsidRDefault="00473D5D" w:rsidP="00AA64A8">
      <w:pPr>
        <w:spacing w:line="360" w:lineRule="auto"/>
        <w:jc w:val="both"/>
        <w:rPr>
          <w:rFonts w:ascii="Arial" w:hAnsi="Arial" w:cs="Arial"/>
        </w:rPr>
      </w:pPr>
    </w:p>
    <w:p w14:paraId="7779A9AD" w14:textId="77777777" w:rsidR="00473D5D" w:rsidRPr="004F04F1" w:rsidRDefault="00473D5D" w:rsidP="00AA64A8">
      <w:pPr>
        <w:spacing w:line="360" w:lineRule="auto"/>
        <w:jc w:val="both"/>
        <w:rPr>
          <w:rFonts w:ascii="Arial" w:hAnsi="Arial" w:cs="Arial"/>
        </w:rPr>
      </w:pPr>
    </w:p>
    <w:p w14:paraId="75443EB5" w14:textId="77777777" w:rsidR="00473D5D" w:rsidRPr="004F04F1" w:rsidRDefault="00473D5D" w:rsidP="00AA64A8">
      <w:pPr>
        <w:spacing w:line="360" w:lineRule="auto"/>
        <w:jc w:val="both"/>
        <w:rPr>
          <w:rFonts w:ascii="Arial" w:hAnsi="Arial" w:cs="Arial"/>
        </w:rPr>
      </w:pPr>
    </w:p>
    <w:p w14:paraId="2274A871" w14:textId="77777777" w:rsidR="00473D5D" w:rsidRPr="004F04F1" w:rsidRDefault="00473D5D" w:rsidP="00AA64A8">
      <w:pPr>
        <w:spacing w:line="360" w:lineRule="auto"/>
        <w:jc w:val="both"/>
        <w:rPr>
          <w:rFonts w:ascii="Arial" w:hAnsi="Arial" w:cs="Arial"/>
        </w:rPr>
      </w:pPr>
    </w:p>
    <w:p w14:paraId="63624E41" w14:textId="77777777" w:rsidR="00473D5D" w:rsidRPr="004F04F1" w:rsidRDefault="00473D5D" w:rsidP="00AA64A8">
      <w:pPr>
        <w:spacing w:line="360" w:lineRule="auto"/>
        <w:jc w:val="both"/>
        <w:rPr>
          <w:rFonts w:ascii="Arial" w:hAnsi="Arial" w:cs="Arial"/>
        </w:rPr>
      </w:pPr>
    </w:p>
    <w:p w14:paraId="1AAA8B01" w14:textId="77777777" w:rsidR="00473D5D" w:rsidRPr="004F04F1" w:rsidRDefault="00473D5D" w:rsidP="00AA64A8">
      <w:pPr>
        <w:spacing w:line="360" w:lineRule="auto"/>
        <w:jc w:val="both"/>
        <w:rPr>
          <w:rFonts w:ascii="Arial" w:hAnsi="Arial" w:cs="Arial"/>
        </w:rPr>
      </w:pPr>
    </w:p>
    <w:p w14:paraId="675CE1B4" w14:textId="77777777" w:rsidR="00473D5D" w:rsidRPr="004F04F1" w:rsidRDefault="00473D5D" w:rsidP="00AA64A8">
      <w:pPr>
        <w:spacing w:line="360" w:lineRule="auto"/>
        <w:jc w:val="both"/>
        <w:rPr>
          <w:rFonts w:ascii="Arial" w:hAnsi="Arial" w:cs="Arial"/>
        </w:rPr>
      </w:pPr>
    </w:p>
    <w:p w14:paraId="7CE8A215" w14:textId="77777777" w:rsidR="00473D5D" w:rsidRPr="004F04F1" w:rsidRDefault="00473D5D" w:rsidP="00AA64A8">
      <w:pPr>
        <w:spacing w:line="360" w:lineRule="auto"/>
        <w:jc w:val="both"/>
        <w:rPr>
          <w:rFonts w:ascii="Arial" w:hAnsi="Arial" w:cs="Arial"/>
        </w:rPr>
      </w:pPr>
    </w:p>
    <w:p w14:paraId="0505E8EC" w14:textId="77777777" w:rsidR="00473D5D" w:rsidRPr="004F04F1" w:rsidRDefault="00473D5D" w:rsidP="00AA64A8">
      <w:pPr>
        <w:spacing w:line="360" w:lineRule="auto"/>
        <w:jc w:val="both"/>
        <w:rPr>
          <w:rFonts w:ascii="Arial" w:hAnsi="Arial" w:cs="Arial"/>
        </w:rPr>
      </w:pPr>
    </w:p>
    <w:p w14:paraId="06B6BEDE" w14:textId="77777777" w:rsidR="00473D5D" w:rsidRPr="004F04F1" w:rsidRDefault="00473D5D" w:rsidP="00AA64A8">
      <w:pPr>
        <w:spacing w:line="360" w:lineRule="auto"/>
        <w:jc w:val="both"/>
        <w:rPr>
          <w:rFonts w:ascii="Arial" w:hAnsi="Arial" w:cs="Arial"/>
        </w:rPr>
      </w:pPr>
    </w:p>
    <w:p w14:paraId="2C4F8D29" w14:textId="49B97229" w:rsidR="00473D5D" w:rsidRPr="004F04F1" w:rsidRDefault="00473D5D" w:rsidP="002A2656">
      <w:r w:rsidRPr="004F04F1">
        <w:tab/>
      </w:r>
    </w:p>
    <w:sdt>
      <w:sdtPr>
        <w:rPr>
          <w:rFonts w:ascii="Arial" w:eastAsiaTheme="minorHAnsi" w:hAnsi="Arial" w:cs="Arial"/>
          <w:color w:val="auto"/>
          <w:kern w:val="2"/>
          <w:sz w:val="24"/>
          <w:szCs w:val="24"/>
          <w:lang w:val="en-GB"/>
          <w14:ligatures w14:val="standardContextual"/>
        </w:rPr>
        <w:id w:val="405192053"/>
        <w:docPartObj>
          <w:docPartGallery w:val="Table of Contents"/>
          <w:docPartUnique/>
        </w:docPartObj>
      </w:sdtPr>
      <w:sdtEndPr>
        <w:rPr>
          <w:b/>
          <w:bCs/>
          <w:noProof/>
        </w:rPr>
      </w:sdtEndPr>
      <w:sdtContent>
        <w:p w14:paraId="288DF9BC" w14:textId="30BE3566" w:rsidR="00F44893" w:rsidRPr="004F04F1" w:rsidRDefault="00F44893" w:rsidP="00AA64A8">
          <w:pPr>
            <w:pStyle w:val="TOCHeading"/>
            <w:spacing w:after="160" w:line="360" w:lineRule="auto"/>
            <w:jc w:val="both"/>
            <w:rPr>
              <w:rFonts w:ascii="Arial" w:hAnsi="Arial" w:cs="Arial"/>
            </w:rPr>
          </w:pPr>
          <w:r w:rsidRPr="004F04F1">
            <w:rPr>
              <w:rFonts w:ascii="Arial" w:hAnsi="Arial" w:cs="Arial"/>
            </w:rPr>
            <w:t>Contents</w:t>
          </w:r>
        </w:p>
        <w:p w14:paraId="603B347A" w14:textId="746D83B7" w:rsidR="00872A81" w:rsidRPr="004F04F1" w:rsidRDefault="00F44893" w:rsidP="00AA64A8">
          <w:pPr>
            <w:pStyle w:val="TOC1"/>
            <w:tabs>
              <w:tab w:val="left" w:pos="480"/>
              <w:tab w:val="right" w:leader="dot" w:pos="9016"/>
            </w:tabs>
            <w:spacing w:after="160" w:line="360" w:lineRule="auto"/>
            <w:jc w:val="both"/>
            <w:rPr>
              <w:rFonts w:ascii="Arial" w:eastAsiaTheme="minorEastAsia" w:hAnsi="Arial" w:cs="Arial"/>
              <w:noProof/>
              <w:lang w:eastAsia="en-GB"/>
            </w:rPr>
          </w:pPr>
          <w:r w:rsidRPr="004F04F1">
            <w:rPr>
              <w:rFonts w:ascii="Arial" w:hAnsi="Arial" w:cs="Arial"/>
            </w:rPr>
            <w:fldChar w:fldCharType="begin"/>
          </w:r>
          <w:r w:rsidRPr="004F04F1">
            <w:rPr>
              <w:rFonts w:ascii="Arial" w:hAnsi="Arial" w:cs="Arial"/>
            </w:rPr>
            <w:instrText xml:space="preserve"> TOC \o "1-3" \h \z \u </w:instrText>
          </w:r>
          <w:r w:rsidRPr="004F04F1">
            <w:rPr>
              <w:rFonts w:ascii="Arial" w:hAnsi="Arial" w:cs="Arial"/>
            </w:rPr>
            <w:fldChar w:fldCharType="separate"/>
          </w:r>
          <w:hyperlink w:anchor="_Toc193999019" w:history="1">
            <w:r w:rsidR="00872A81" w:rsidRPr="004F04F1">
              <w:rPr>
                <w:rStyle w:val="Hyperlink"/>
                <w:rFonts w:ascii="Arial" w:hAnsi="Arial" w:cs="Arial"/>
                <w:noProof/>
              </w:rPr>
              <w:t>1.Introduction</w:t>
            </w:r>
            <w:r w:rsidR="00872A81" w:rsidRPr="004F04F1">
              <w:rPr>
                <w:rFonts w:ascii="Arial" w:hAnsi="Arial" w:cs="Arial"/>
                <w:noProof/>
                <w:webHidden/>
              </w:rPr>
              <w:tab/>
            </w:r>
            <w:r w:rsidR="00872A81" w:rsidRPr="004F04F1">
              <w:rPr>
                <w:rFonts w:ascii="Arial" w:hAnsi="Arial" w:cs="Arial"/>
                <w:noProof/>
                <w:webHidden/>
              </w:rPr>
              <w:fldChar w:fldCharType="begin"/>
            </w:r>
            <w:r w:rsidR="00872A81" w:rsidRPr="004F04F1">
              <w:rPr>
                <w:rFonts w:ascii="Arial" w:hAnsi="Arial" w:cs="Arial"/>
                <w:noProof/>
                <w:webHidden/>
              </w:rPr>
              <w:instrText xml:space="preserve"> PAGEREF _Toc193999019 \h </w:instrText>
            </w:r>
            <w:r w:rsidR="00872A81" w:rsidRPr="004F04F1">
              <w:rPr>
                <w:rFonts w:ascii="Arial" w:hAnsi="Arial" w:cs="Arial"/>
                <w:noProof/>
                <w:webHidden/>
              </w:rPr>
            </w:r>
            <w:r w:rsidR="00872A81" w:rsidRPr="004F04F1">
              <w:rPr>
                <w:rFonts w:ascii="Arial" w:hAnsi="Arial" w:cs="Arial"/>
                <w:noProof/>
                <w:webHidden/>
              </w:rPr>
              <w:fldChar w:fldCharType="separate"/>
            </w:r>
            <w:r w:rsidR="00872A81" w:rsidRPr="004F04F1">
              <w:rPr>
                <w:rFonts w:ascii="Arial" w:hAnsi="Arial" w:cs="Arial"/>
                <w:noProof/>
                <w:webHidden/>
              </w:rPr>
              <w:t>3</w:t>
            </w:r>
            <w:r w:rsidR="00872A81" w:rsidRPr="004F04F1">
              <w:rPr>
                <w:rFonts w:ascii="Arial" w:hAnsi="Arial" w:cs="Arial"/>
                <w:noProof/>
                <w:webHidden/>
              </w:rPr>
              <w:fldChar w:fldCharType="end"/>
            </w:r>
          </w:hyperlink>
        </w:p>
        <w:p w14:paraId="5A5914D8" w14:textId="2BAA7325"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0" w:history="1">
            <w:r w:rsidRPr="004F04F1">
              <w:rPr>
                <w:rStyle w:val="Hyperlink"/>
                <w:rFonts w:ascii="Arial" w:hAnsi="Arial" w:cs="Arial"/>
                <w:noProof/>
              </w:rPr>
              <w:t>2. Background of the Companies and Market Context</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_Toc193999020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3</w:t>
            </w:r>
            <w:r w:rsidRPr="004F04F1">
              <w:rPr>
                <w:rFonts w:ascii="Arial" w:hAnsi="Arial" w:cs="Arial"/>
                <w:noProof/>
                <w:webHidden/>
              </w:rPr>
              <w:fldChar w:fldCharType="end"/>
            </w:r>
          </w:hyperlink>
        </w:p>
        <w:p w14:paraId="26818B38" w14:textId="741597AE"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1" w:history="1">
            <w:r w:rsidRPr="004F04F1">
              <w:rPr>
                <w:rStyle w:val="Hyperlink"/>
                <w:rFonts w:ascii="Arial" w:hAnsi="Arial" w:cs="Arial"/>
                <w:noProof/>
              </w:rPr>
              <w:t>3. Theoretical Framework: Intercultural Communication Theories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_Toc193999021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5</w:t>
            </w:r>
            <w:r w:rsidRPr="004F04F1">
              <w:rPr>
                <w:rFonts w:ascii="Arial" w:hAnsi="Arial" w:cs="Arial"/>
                <w:noProof/>
                <w:webHidden/>
              </w:rPr>
              <w:fldChar w:fldCharType="end"/>
            </w:r>
          </w:hyperlink>
        </w:p>
        <w:p w14:paraId="52C6BAA2" w14:textId="79430245" w:rsidR="00872A81" w:rsidRPr="004F04F1" w:rsidRDefault="00872A81" w:rsidP="00AA64A8">
          <w:pPr>
            <w:pStyle w:val="TOC2"/>
            <w:tabs>
              <w:tab w:val="right" w:leader="dot" w:pos="9016"/>
            </w:tabs>
            <w:spacing w:after="160" w:line="360" w:lineRule="auto"/>
            <w:jc w:val="both"/>
            <w:rPr>
              <w:rFonts w:ascii="Arial" w:eastAsiaTheme="minorEastAsia" w:hAnsi="Arial" w:cs="Arial"/>
              <w:noProof/>
              <w:lang w:eastAsia="en-GB"/>
            </w:rPr>
          </w:pPr>
          <w:hyperlink w:anchor="_Toc193999022" w:history="1">
            <w:r w:rsidRPr="004F04F1">
              <w:rPr>
                <w:rStyle w:val="Hyperlink"/>
                <w:rFonts w:ascii="Arial" w:hAnsi="Arial" w:cs="Arial"/>
                <w:noProof/>
              </w:rPr>
              <w:t>3.1 Hofstede’s Cultural Dimensions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_Toc193999022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5</w:t>
            </w:r>
            <w:r w:rsidRPr="004F04F1">
              <w:rPr>
                <w:rFonts w:ascii="Arial" w:hAnsi="Arial" w:cs="Arial"/>
                <w:noProof/>
                <w:webHidden/>
              </w:rPr>
              <w:fldChar w:fldCharType="end"/>
            </w:r>
          </w:hyperlink>
        </w:p>
        <w:p w14:paraId="2CF2CA25" w14:textId="418253D1" w:rsidR="00872A81" w:rsidRPr="004F04F1" w:rsidRDefault="00872A81" w:rsidP="00AA64A8">
          <w:pPr>
            <w:pStyle w:val="TOC2"/>
            <w:tabs>
              <w:tab w:val="right" w:leader="dot" w:pos="9016"/>
            </w:tabs>
            <w:spacing w:after="160" w:line="360" w:lineRule="auto"/>
            <w:jc w:val="both"/>
            <w:rPr>
              <w:rFonts w:ascii="Arial" w:eastAsiaTheme="minorEastAsia" w:hAnsi="Arial" w:cs="Arial"/>
              <w:noProof/>
              <w:lang w:eastAsia="en-GB"/>
            </w:rPr>
          </w:pPr>
          <w:hyperlink w:anchor="_Toc193999023" w:history="1">
            <w:r w:rsidRPr="004F04F1">
              <w:rPr>
                <w:rStyle w:val="Hyperlink"/>
                <w:rFonts w:ascii="Arial" w:hAnsi="Arial" w:cs="Arial"/>
                <w:noProof/>
              </w:rPr>
              <w:t>3.2 Hall’s High- and Low-Context Communication</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_Toc193999023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6</w:t>
            </w:r>
            <w:r w:rsidRPr="004F04F1">
              <w:rPr>
                <w:rFonts w:ascii="Arial" w:hAnsi="Arial" w:cs="Arial"/>
                <w:noProof/>
                <w:webHidden/>
              </w:rPr>
              <w:fldChar w:fldCharType="end"/>
            </w:r>
          </w:hyperlink>
        </w:p>
        <w:p w14:paraId="7941B97E" w14:textId="16C1ED96"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4" w:history="1">
            <w:r w:rsidRPr="004F04F1">
              <w:rPr>
                <w:rStyle w:val="Hyperlink"/>
                <w:rFonts w:ascii="Arial" w:hAnsi="Arial" w:cs="Arial"/>
                <w:noProof/>
              </w:rPr>
              <w:t>4. Communication Style Differences Between the UK and Japan: A Cultural Analysis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_Toc193999024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7</w:t>
            </w:r>
            <w:r w:rsidRPr="004F04F1">
              <w:rPr>
                <w:rFonts w:ascii="Arial" w:hAnsi="Arial" w:cs="Arial"/>
                <w:noProof/>
                <w:webHidden/>
              </w:rPr>
              <w:fldChar w:fldCharType="end"/>
            </w:r>
          </w:hyperlink>
        </w:p>
        <w:p w14:paraId="6975FE9F" w14:textId="5575EC9F"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5" w:history="1">
            <w:r w:rsidRPr="004F04F1">
              <w:rPr>
                <w:rStyle w:val="Hyperlink"/>
                <w:rFonts w:ascii="Arial" w:hAnsi="Arial" w:cs="Arial"/>
                <w:noProof/>
              </w:rPr>
              <w:t>5. Potential Misunderstandings in the Monzo–SMBC Partnership</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_Toc193999025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9</w:t>
            </w:r>
            <w:r w:rsidRPr="004F04F1">
              <w:rPr>
                <w:rFonts w:ascii="Arial" w:hAnsi="Arial" w:cs="Arial"/>
                <w:noProof/>
                <w:webHidden/>
              </w:rPr>
              <w:fldChar w:fldCharType="end"/>
            </w:r>
          </w:hyperlink>
        </w:p>
        <w:p w14:paraId="6EB610AC" w14:textId="18BC7ED5"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6" w:history="1">
            <w:r w:rsidRPr="004F04F1">
              <w:rPr>
                <w:rStyle w:val="Hyperlink"/>
                <w:rFonts w:ascii="Arial" w:hAnsi="Arial" w:cs="Arial"/>
                <w:noProof/>
              </w:rPr>
              <w:t>6. Strategies to Overcome Communication Barriers</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_Toc193999026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9</w:t>
            </w:r>
            <w:r w:rsidRPr="004F04F1">
              <w:rPr>
                <w:rFonts w:ascii="Arial" w:hAnsi="Arial" w:cs="Arial"/>
                <w:noProof/>
                <w:webHidden/>
              </w:rPr>
              <w:fldChar w:fldCharType="end"/>
            </w:r>
          </w:hyperlink>
        </w:p>
        <w:p w14:paraId="59AA7A70" w14:textId="48316CF1" w:rsidR="00872A81" w:rsidRPr="004F04F1" w:rsidRDefault="00872A81" w:rsidP="00AA64A8">
          <w:pPr>
            <w:pStyle w:val="TOC1"/>
            <w:tabs>
              <w:tab w:val="right" w:leader="dot" w:pos="9016"/>
            </w:tabs>
            <w:spacing w:after="160" w:line="360" w:lineRule="auto"/>
            <w:jc w:val="both"/>
            <w:rPr>
              <w:rFonts w:ascii="Arial" w:eastAsiaTheme="minorEastAsia" w:hAnsi="Arial" w:cs="Arial"/>
              <w:noProof/>
              <w:lang w:eastAsia="en-GB"/>
            </w:rPr>
          </w:pPr>
          <w:hyperlink w:anchor="_Toc193999027" w:history="1">
            <w:r w:rsidRPr="004F04F1">
              <w:rPr>
                <w:rStyle w:val="Hyperlink"/>
                <w:rFonts w:ascii="Arial" w:hAnsi="Arial" w:cs="Arial"/>
                <w:noProof/>
              </w:rPr>
              <w:t>7. Conclusion</w:t>
            </w:r>
            <w:r w:rsidRPr="004F04F1">
              <w:rPr>
                <w:rFonts w:ascii="Arial" w:hAnsi="Arial" w:cs="Arial"/>
                <w:noProof/>
                <w:webHidden/>
              </w:rPr>
              <w:tab/>
            </w:r>
            <w:r w:rsidRPr="004F04F1">
              <w:rPr>
                <w:rFonts w:ascii="Arial" w:hAnsi="Arial" w:cs="Arial"/>
                <w:noProof/>
                <w:webHidden/>
              </w:rPr>
              <w:fldChar w:fldCharType="begin"/>
            </w:r>
            <w:r w:rsidRPr="004F04F1">
              <w:rPr>
                <w:rFonts w:ascii="Arial" w:hAnsi="Arial" w:cs="Arial"/>
                <w:noProof/>
                <w:webHidden/>
              </w:rPr>
              <w:instrText xml:space="preserve"> PAGEREF _Toc193999027 \h </w:instrText>
            </w:r>
            <w:r w:rsidRPr="004F04F1">
              <w:rPr>
                <w:rFonts w:ascii="Arial" w:hAnsi="Arial" w:cs="Arial"/>
                <w:noProof/>
                <w:webHidden/>
              </w:rPr>
            </w:r>
            <w:r w:rsidRPr="004F04F1">
              <w:rPr>
                <w:rFonts w:ascii="Arial" w:hAnsi="Arial" w:cs="Arial"/>
                <w:noProof/>
                <w:webHidden/>
              </w:rPr>
              <w:fldChar w:fldCharType="separate"/>
            </w:r>
            <w:r w:rsidRPr="004F04F1">
              <w:rPr>
                <w:rFonts w:ascii="Arial" w:hAnsi="Arial" w:cs="Arial"/>
                <w:noProof/>
                <w:webHidden/>
              </w:rPr>
              <w:t>10</w:t>
            </w:r>
            <w:r w:rsidRPr="004F04F1">
              <w:rPr>
                <w:rFonts w:ascii="Arial" w:hAnsi="Arial" w:cs="Arial"/>
                <w:noProof/>
                <w:webHidden/>
              </w:rPr>
              <w:fldChar w:fldCharType="end"/>
            </w:r>
          </w:hyperlink>
        </w:p>
        <w:p w14:paraId="69B26FE5" w14:textId="7C280083" w:rsidR="00F44893" w:rsidRPr="004F04F1" w:rsidRDefault="00F44893" w:rsidP="00AA64A8">
          <w:pPr>
            <w:spacing w:line="360" w:lineRule="auto"/>
            <w:jc w:val="both"/>
            <w:rPr>
              <w:rFonts w:ascii="Arial" w:hAnsi="Arial" w:cs="Arial"/>
            </w:rPr>
          </w:pPr>
          <w:r w:rsidRPr="004F04F1">
            <w:rPr>
              <w:rFonts w:ascii="Arial" w:hAnsi="Arial" w:cs="Arial"/>
              <w:b/>
              <w:bCs/>
              <w:noProof/>
            </w:rPr>
            <w:fldChar w:fldCharType="end"/>
          </w:r>
        </w:p>
      </w:sdtContent>
    </w:sdt>
    <w:p w14:paraId="53F65ADA" w14:textId="77777777" w:rsidR="00473D5D" w:rsidRPr="004F04F1" w:rsidRDefault="00473D5D" w:rsidP="00AA64A8">
      <w:pPr>
        <w:spacing w:line="360" w:lineRule="auto"/>
        <w:jc w:val="both"/>
        <w:rPr>
          <w:rFonts w:ascii="Arial" w:hAnsi="Arial" w:cs="Arial"/>
        </w:rPr>
      </w:pPr>
    </w:p>
    <w:p w14:paraId="30031CA2" w14:textId="77777777" w:rsidR="00473D5D" w:rsidRPr="004F04F1" w:rsidRDefault="00473D5D" w:rsidP="00AA64A8">
      <w:pPr>
        <w:spacing w:line="360" w:lineRule="auto"/>
        <w:jc w:val="both"/>
        <w:rPr>
          <w:rFonts w:ascii="Arial" w:hAnsi="Arial" w:cs="Arial"/>
        </w:rPr>
      </w:pPr>
    </w:p>
    <w:p w14:paraId="5836E560" w14:textId="77777777" w:rsidR="00473D5D" w:rsidRPr="004F04F1" w:rsidRDefault="00473D5D" w:rsidP="00AA64A8">
      <w:pPr>
        <w:spacing w:line="360" w:lineRule="auto"/>
        <w:jc w:val="both"/>
        <w:rPr>
          <w:rFonts w:ascii="Arial" w:hAnsi="Arial" w:cs="Arial"/>
        </w:rPr>
      </w:pPr>
    </w:p>
    <w:p w14:paraId="24426C9B" w14:textId="77777777" w:rsidR="00473D5D" w:rsidRPr="004F04F1" w:rsidRDefault="00473D5D" w:rsidP="00AA64A8">
      <w:pPr>
        <w:spacing w:line="360" w:lineRule="auto"/>
        <w:jc w:val="both"/>
        <w:rPr>
          <w:rFonts w:ascii="Arial" w:hAnsi="Arial" w:cs="Arial"/>
        </w:rPr>
      </w:pPr>
    </w:p>
    <w:p w14:paraId="639B00C4" w14:textId="77777777" w:rsidR="00473D5D" w:rsidRPr="004F04F1" w:rsidRDefault="00473D5D" w:rsidP="00AA64A8">
      <w:pPr>
        <w:spacing w:line="360" w:lineRule="auto"/>
        <w:jc w:val="both"/>
        <w:rPr>
          <w:rFonts w:ascii="Arial" w:hAnsi="Arial" w:cs="Arial"/>
        </w:rPr>
      </w:pPr>
    </w:p>
    <w:p w14:paraId="64206F0D" w14:textId="77777777" w:rsidR="00473D5D" w:rsidRPr="004F04F1" w:rsidRDefault="00473D5D" w:rsidP="00AA64A8">
      <w:pPr>
        <w:spacing w:line="360" w:lineRule="auto"/>
        <w:jc w:val="both"/>
        <w:rPr>
          <w:rFonts w:ascii="Arial" w:hAnsi="Arial" w:cs="Arial"/>
        </w:rPr>
      </w:pPr>
    </w:p>
    <w:p w14:paraId="34FB281C" w14:textId="77777777" w:rsidR="00473D5D" w:rsidRDefault="00473D5D" w:rsidP="00AA64A8">
      <w:pPr>
        <w:spacing w:line="360" w:lineRule="auto"/>
        <w:jc w:val="both"/>
        <w:rPr>
          <w:rFonts w:ascii="Arial" w:hAnsi="Arial" w:cs="Arial"/>
        </w:rPr>
      </w:pPr>
    </w:p>
    <w:p w14:paraId="3F49A558" w14:textId="77777777" w:rsidR="002A2656" w:rsidRDefault="002A2656" w:rsidP="00AA64A8">
      <w:pPr>
        <w:spacing w:line="360" w:lineRule="auto"/>
        <w:jc w:val="both"/>
        <w:rPr>
          <w:rFonts w:ascii="Arial" w:hAnsi="Arial" w:cs="Arial"/>
        </w:rPr>
      </w:pPr>
    </w:p>
    <w:p w14:paraId="312BB28C" w14:textId="77777777" w:rsidR="002A2656" w:rsidRPr="004F04F1" w:rsidRDefault="002A2656" w:rsidP="00AA64A8">
      <w:pPr>
        <w:spacing w:line="360" w:lineRule="auto"/>
        <w:jc w:val="both"/>
        <w:rPr>
          <w:rFonts w:ascii="Arial" w:hAnsi="Arial" w:cs="Arial"/>
        </w:rPr>
      </w:pPr>
    </w:p>
    <w:p w14:paraId="52A4CC96" w14:textId="3C28B81E" w:rsidR="00473D5D" w:rsidRPr="004F04F1" w:rsidRDefault="00473D5D" w:rsidP="00AA64A8">
      <w:pPr>
        <w:pStyle w:val="Heading1"/>
        <w:numPr>
          <w:ilvl w:val="0"/>
          <w:numId w:val="3"/>
        </w:numPr>
        <w:spacing w:after="160" w:line="360" w:lineRule="auto"/>
        <w:jc w:val="both"/>
        <w:rPr>
          <w:rFonts w:ascii="Arial" w:hAnsi="Arial" w:cs="Arial"/>
        </w:rPr>
      </w:pPr>
      <w:bookmarkStart w:id="0" w:name="_Toc193999019"/>
      <w:r w:rsidRPr="004F04F1">
        <w:rPr>
          <w:rFonts w:ascii="Arial" w:hAnsi="Arial" w:cs="Arial"/>
        </w:rPr>
        <w:lastRenderedPageBreak/>
        <w:t>Introduction</w:t>
      </w:r>
      <w:bookmarkEnd w:id="0"/>
    </w:p>
    <w:p w14:paraId="458D7567" w14:textId="2E39AA07" w:rsidR="007F7645" w:rsidRPr="004F04F1" w:rsidRDefault="007F7645" w:rsidP="00AA64A8">
      <w:pPr>
        <w:spacing w:line="360" w:lineRule="auto"/>
        <w:jc w:val="both"/>
        <w:rPr>
          <w:rFonts w:ascii="Arial" w:hAnsi="Arial" w:cs="Arial"/>
        </w:rPr>
      </w:pPr>
      <w:r w:rsidRPr="004F04F1">
        <w:rPr>
          <w:rFonts w:ascii="Arial" w:hAnsi="Arial" w:cs="Arial"/>
        </w:rPr>
        <w:t>This essay explores the intercultural communication challenges that may arise in a business partnership between a UK-based digital bank and a major Japanese financial institution. As organisations increasingly expand across borders, cultural differences can influence how teams communicate, collaborate, and make decisions. These differences, if not acknowledged and managed effectively, may result in misunderstandings, reduced efficiency, or project delays. Therefore, when professionals from distinct cultural backgrounds work together, particularly in high-stakes business environments, it becomes essential to understand how national culture shapes communication practices.</w:t>
      </w:r>
    </w:p>
    <w:p w14:paraId="7ED30112" w14:textId="0932BE2D" w:rsidR="007F7645" w:rsidRPr="004F04F1" w:rsidRDefault="007F7645" w:rsidP="00AA64A8">
      <w:pPr>
        <w:spacing w:line="360" w:lineRule="auto"/>
        <w:jc w:val="both"/>
        <w:rPr>
          <w:rFonts w:ascii="Arial" w:hAnsi="Arial" w:cs="Arial"/>
        </w:rPr>
      </w:pPr>
      <w:r w:rsidRPr="004F04F1">
        <w:rPr>
          <w:rFonts w:ascii="Arial" w:hAnsi="Arial" w:cs="Arial"/>
        </w:rPr>
        <w:t>The essay focuses on analysing cultural variations in communication style by applying two widely recognised theories of intercultural communication: Hofstede’s cultural dimensions and Hall’s high- and low-context model. These frameworks help explain how values such as individualism, power distance, and communication context influence workplace interactions. Understanding these theoretical models is vital for identifying potential challenges that can arise when international teams collaborate on complex projects.</w:t>
      </w:r>
    </w:p>
    <w:p w14:paraId="6EE6EFE0" w14:textId="7FDCFB82" w:rsidR="00473D5D" w:rsidRPr="004F04F1" w:rsidRDefault="007F7645" w:rsidP="00AA64A8">
      <w:pPr>
        <w:spacing w:line="360" w:lineRule="auto"/>
        <w:jc w:val="both"/>
        <w:rPr>
          <w:rFonts w:ascii="Arial" w:hAnsi="Arial" w:cs="Arial"/>
        </w:rPr>
      </w:pPr>
      <w:r w:rsidRPr="004F04F1">
        <w:rPr>
          <w:rFonts w:ascii="Arial" w:hAnsi="Arial" w:cs="Arial"/>
        </w:rPr>
        <w:t>In addition to theoretical discussion, the essay also proposes practical strategies to address communication barriers that may emerge in cross-cultural business partnerships. These strategies aim to improve mutual understanding, foster collaboration, and support long-term project success. Ultimately, the ability to navigate cultural communication differences is a key competence in international business and essential for ensuring smooth cooperation between diverse teams. By critically assessing these issues, this essay contributes to a broader understanding of how communication in multicultural settings can be improved through thoughtful and proactive approaches.</w:t>
      </w:r>
    </w:p>
    <w:p w14:paraId="0C2AB383" w14:textId="31508FB3" w:rsidR="00087C82" w:rsidRPr="004F04F1" w:rsidRDefault="003B79F4" w:rsidP="00AA64A8">
      <w:pPr>
        <w:pStyle w:val="Heading1"/>
        <w:spacing w:after="160" w:line="360" w:lineRule="auto"/>
        <w:jc w:val="both"/>
        <w:rPr>
          <w:rFonts w:ascii="Arial" w:hAnsi="Arial" w:cs="Arial"/>
        </w:rPr>
      </w:pPr>
      <w:bookmarkStart w:id="1" w:name="_Toc193999020"/>
      <w:r w:rsidRPr="006F5FCB">
        <w:rPr>
          <w:rFonts w:ascii="Arial" w:hAnsi="Arial" w:cs="Arial"/>
        </w:rPr>
        <w:lastRenderedPageBreak/>
        <w:t>2. Background of the Companies and Market Context</w:t>
      </w:r>
      <w:bookmarkEnd w:id="1"/>
    </w:p>
    <w:p w14:paraId="4B325B9C" w14:textId="66B42376" w:rsidR="001A6049" w:rsidRPr="001A6049" w:rsidRDefault="001A6049" w:rsidP="00AA64A8">
      <w:pPr>
        <w:spacing w:line="360" w:lineRule="auto"/>
        <w:jc w:val="both"/>
        <w:rPr>
          <w:rFonts w:ascii="Arial" w:hAnsi="Arial" w:cs="Arial"/>
        </w:rPr>
      </w:pPr>
      <w:r w:rsidRPr="001A6049">
        <w:rPr>
          <w:rFonts w:ascii="Arial" w:hAnsi="Arial" w:cs="Arial"/>
        </w:rPr>
        <w:t xml:space="preserve">Monzo Bank Ltd is a UK-based financial technology company that has gained recognition for its app-driven, customer-centred banking experience. While it has built a strong domestic presence in the UK, Monzo has not yet expanded into the Japanese financial market. On the other hand, Sumitomo Mitsui Banking Corporation (SMBC) stands as one of Japan’s most established and influential banking institutions, with an expanding interest in digital transformation to address emerging consumer expectations </w:t>
      </w:r>
      <w:r w:rsidR="00E370A8" w:rsidRPr="004F04F1">
        <w:rPr>
          <w:rFonts w:ascii="Arial" w:hAnsi="Arial" w:cs="Arial"/>
        </w:rPr>
        <w:t xml:space="preserve">(Barquin, </w:t>
      </w:r>
      <w:proofErr w:type="spellStart"/>
      <w:r w:rsidR="00E370A8" w:rsidRPr="004F04F1">
        <w:rPr>
          <w:rFonts w:ascii="Arial" w:hAnsi="Arial" w:cs="Arial"/>
        </w:rPr>
        <w:t>Buntoro</w:t>
      </w:r>
      <w:proofErr w:type="spellEnd"/>
      <w:r w:rsidR="00E370A8" w:rsidRPr="004F04F1">
        <w:rPr>
          <w:rFonts w:ascii="Arial" w:hAnsi="Arial" w:cs="Arial"/>
        </w:rPr>
        <w:t xml:space="preserve">, Vinayak, and Pricillia, 2021). </w:t>
      </w:r>
      <w:r w:rsidRPr="001A6049">
        <w:rPr>
          <w:rFonts w:ascii="Arial" w:hAnsi="Arial" w:cs="Arial"/>
        </w:rPr>
        <w:t>Japan offers a promising market for digital banking due to several factors, including high smartphone usage, widespread internet access, and demographic shifts such as an aging population increasingly adopting online services (</w:t>
      </w:r>
      <w:r w:rsidR="0094240C" w:rsidRPr="00A570F0">
        <w:rPr>
          <w:rFonts w:ascii="Arial" w:hAnsi="Arial" w:cs="Arial"/>
        </w:rPr>
        <w:t xml:space="preserve">Inoue, and Ishikawa, </w:t>
      </w:r>
      <w:r w:rsidRPr="001A6049">
        <w:rPr>
          <w:rFonts w:ascii="Arial" w:hAnsi="Arial" w:cs="Arial"/>
        </w:rPr>
        <w:t>2023).</w:t>
      </w:r>
    </w:p>
    <w:p w14:paraId="65F152BA" w14:textId="2C6EE2E9" w:rsidR="001A6049" w:rsidRPr="001A6049" w:rsidRDefault="001A6049" w:rsidP="00AA64A8">
      <w:pPr>
        <w:spacing w:line="360" w:lineRule="auto"/>
        <w:jc w:val="both"/>
        <w:rPr>
          <w:rFonts w:ascii="Arial" w:hAnsi="Arial" w:cs="Arial"/>
        </w:rPr>
      </w:pPr>
      <w:r w:rsidRPr="001A6049">
        <w:rPr>
          <w:rFonts w:ascii="Arial" w:hAnsi="Arial" w:cs="Arial"/>
        </w:rPr>
        <w:t>A strategic partnership between Monzo and SMBC would present clear advantages for both organisations. Monzo could utilise SMBC’s regulatory insight and national infrastructure to navigate the Japanese financial environment, while SMBC could enhance its digital competitiveness by incorporating Monzo’s agile product development and user-friendly design</w:t>
      </w:r>
      <w:r w:rsidR="00DC7A51" w:rsidRPr="004F04F1">
        <w:rPr>
          <w:rFonts w:ascii="Arial" w:hAnsi="Arial" w:cs="Arial"/>
        </w:rPr>
        <w:t xml:space="preserve">. </w:t>
      </w:r>
      <w:r w:rsidRPr="001A6049">
        <w:rPr>
          <w:rFonts w:ascii="Arial" w:hAnsi="Arial" w:cs="Arial"/>
        </w:rPr>
        <w:t>Such collaboration would likely involve integrated teams focusing on innovation, user interface design, and customer engagement strategies. However, the differences in national business cultures, particularly in communication styles and decision-making processes, could pose barriers to smooth cooperation. If not effectively managed, these differences may lead to project delays, misalignment in goals, and reduced morale across teams. Therefore, recognising and addressing intercultural communication challenges is essential to the long-term success of this partnership and the effective delivery of digitally advanced financial solutions to the Japanese market</w:t>
      </w:r>
      <w:r w:rsidR="00502337" w:rsidRPr="004F04F1">
        <w:rPr>
          <w:rFonts w:ascii="Arial" w:hAnsi="Arial" w:cs="Arial"/>
        </w:rPr>
        <w:t xml:space="preserve"> (Saha, 2018). </w:t>
      </w:r>
    </w:p>
    <w:p w14:paraId="7ADD932D" w14:textId="30CEFAB2" w:rsidR="00014EAA" w:rsidRPr="004F04F1" w:rsidRDefault="004E37D9" w:rsidP="00AA64A8">
      <w:pPr>
        <w:pStyle w:val="Heading1"/>
        <w:spacing w:after="160" w:line="360" w:lineRule="auto"/>
        <w:jc w:val="both"/>
        <w:rPr>
          <w:rFonts w:ascii="Arial" w:hAnsi="Arial" w:cs="Arial"/>
        </w:rPr>
      </w:pPr>
      <w:bookmarkStart w:id="2" w:name="_Toc193999021"/>
      <w:r w:rsidRPr="004F04F1">
        <w:rPr>
          <w:rFonts w:ascii="Arial" w:hAnsi="Arial" w:cs="Arial"/>
        </w:rPr>
        <w:lastRenderedPageBreak/>
        <w:t>3. Theoretical Framework: Intercultural Communication Theories</w:t>
      </w:r>
      <w:bookmarkEnd w:id="2"/>
    </w:p>
    <w:p w14:paraId="199EECB8" w14:textId="0B0668AA" w:rsidR="0011637B" w:rsidRPr="004F04F1" w:rsidRDefault="0011637B" w:rsidP="00AA64A8">
      <w:pPr>
        <w:pStyle w:val="Heading2"/>
        <w:spacing w:after="160" w:line="360" w:lineRule="auto"/>
        <w:jc w:val="both"/>
        <w:rPr>
          <w:rFonts w:ascii="Arial" w:hAnsi="Arial" w:cs="Arial"/>
        </w:rPr>
      </w:pPr>
      <w:bookmarkStart w:id="3" w:name="_Toc193999022"/>
      <w:r w:rsidRPr="004F04F1">
        <w:rPr>
          <w:rFonts w:ascii="Arial" w:hAnsi="Arial" w:cs="Arial"/>
        </w:rPr>
        <w:t>3.1 Hofstede’s Cultural Dimensions</w:t>
      </w:r>
      <w:bookmarkEnd w:id="3"/>
    </w:p>
    <w:p w14:paraId="7B8E5463" w14:textId="1E485FA4" w:rsidR="00134479" w:rsidRPr="004F04F1" w:rsidRDefault="00134479" w:rsidP="00AA64A8">
      <w:pPr>
        <w:spacing w:line="360" w:lineRule="auto"/>
        <w:jc w:val="both"/>
        <w:rPr>
          <w:rFonts w:ascii="Arial" w:hAnsi="Arial" w:cs="Arial"/>
        </w:rPr>
      </w:pPr>
      <w:r w:rsidRPr="004F04F1">
        <w:rPr>
          <w:rFonts w:ascii="Arial" w:hAnsi="Arial" w:cs="Arial"/>
          <w:noProof/>
        </w:rPr>
        <w:drawing>
          <wp:inline distT="0" distB="0" distL="0" distR="0" wp14:anchorId="5989CBDA" wp14:editId="0E12189F">
            <wp:extent cx="5731510" cy="3817620"/>
            <wp:effectExtent l="0" t="0" r="2540" b="0"/>
            <wp:docPr id="1186755205"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55205" name="Picture 1" descr="A graph of different colored bars&#10;&#10;AI-generated content may be incorrect."/>
                    <pic:cNvPicPr/>
                  </pic:nvPicPr>
                  <pic:blipFill>
                    <a:blip r:embed="rId8"/>
                    <a:stretch>
                      <a:fillRect/>
                    </a:stretch>
                  </pic:blipFill>
                  <pic:spPr>
                    <a:xfrm>
                      <a:off x="0" y="0"/>
                      <a:ext cx="5731510" cy="3817620"/>
                    </a:xfrm>
                    <a:prstGeom prst="rect">
                      <a:avLst/>
                    </a:prstGeom>
                  </pic:spPr>
                </pic:pic>
              </a:graphicData>
            </a:graphic>
          </wp:inline>
        </w:drawing>
      </w:r>
    </w:p>
    <w:p w14:paraId="18931A91" w14:textId="5F26E380" w:rsidR="00A43964" w:rsidRPr="004F04F1" w:rsidRDefault="00A43964" w:rsidP="00AA64A8">
      <w:pPr>
        <w:spacing w:line="360" w:lineRule="auto"/>
        <w:jc w:val="both"/>
        <w:rPr>
          <w:rFonts w:ascii="Arial" w:hAnsi="Arial" w:cs="Arial"/>
        </w:rPr>
      </w:pPr>
      <w:r w:rsidRPr="0011637B">
        <w:rPr>
          <w:rFonts w:ascii="Arial" w:hAnsi="Arial" w:cs="Arial"/>
        </w:rPr>
        <w:t>(</w:t>
      </w:r>
      <w:r w:rsidRPr="004F04F1">
        <w:rPr>
          <w:rFonts w:ascii="Arial" w:hAnsi="Arial" w:cs="Arial"/>
        </w:rPr>
        <w:t>Gert Hofstede, 2025</w:t>
      </w:r>
      <w:r w:rsidRPr="0011637B">
        <w:rPr>
          <w:rFonts w:ascii="Arial" w:hAnsi="Arial" w:cs="Arial"/>
        </w:rPr>
        <w:t>)</w:t>
      </w:r>
    </w:p>
    <w:p w14:paraId="00EC1834" w14:textId="77777777" w:rsidR="0011637B" w:rsidRPr="0011637B" w:rsidRDefault="0011637B" w:rsidP="00AA64A8">
      <w:pPr>
        <w:spacing w:line="360" w:lineRule="auto"/>
        <w:jc w:val="both"/>
        <w:rPr>
          <w:rFonts w:ascii="Arial" w:hAnsi="Arial" w:cs="Arial"/>
        </w:rPr>
      </w:pPr>
      <w:r w:rsidRPr="0011637B">
        <w:rPr>
          <w:rFonts w:ascii="Arial" w:hAnsi="Arial" w:cs="Arial"/>
        </w:rPr>
        <w:t>Geert Hofstede’s cultural dimensions theory remains one of the most widely used frameworks in cross-cultural management. Originally developed through extensive research at IBM in the 1970s and later refined, Hofstede identified six key dimensions that capture fundamental differences in national cultures: Power Distance, Individualism vs Collectivism, Masculinity vs Femininity, Uncertainty Avoidance, Long-Term Orientation, and Indulgence vs Restraint (Hofstede, 2001). These dimensions continue to inform how researchers and practitioners interpret communication patterns, leadership styles, and workplace behaviour in international contexts.</w:t>
      </w:r>
    </w:p>
    <w:p w14:paraId="7C692FB2" w14:textId="59E3F268" w:rsidR="0011637B" w:rsidRPr="0011637B" w:rsidRDefault="0011637B" w:rsidP="00AA64A8">
      <w:pPr>
        <w:spacing w:line="360" w:lineRule="auto"/>
        <w:jc w:val="both"/>
        <w:rPr>
          <w:rFonts w:ascii="Arial" w:hAnsi="Arial" w:cs="Arial"/>
        </w:rPr>
      </w:pPr>
      <w:r w:rsidRPr="0011637B">
        <w:rPr>
          <w:rFonts w:ascii="Arial" w:hAnsi="Arial" w:cs="Arial"/>
        </w:rPr>
        <w:t xml:space="preserve">When comparing the United Kingdom and Japan using Hofstede’s model, notable differences emerge that are particularly relevant to business communication. The UK scores high on individualism, indicating that British culture tends to prioritise personal </w:t>
      </w:r>
      <w:r w:rsidRPr="0011637B">
        <w:rPr>
          <w:rFonts w:ascii="Arial" w:hAnsi="Arial" w:cs="Arial"/>
        </w:rPr>
        <w:lastRenderedPageBreak/>
        <w:t>initiative, self-expression, and individual achievement</w:t>
      </w:r>
      <w:r w:rsidR="00A43964" w:rsidRPr="004F04F1">
        <w:rPr>
          <w:rFonts w:ascii="Arial" w:hAnsi="Arial" w:cs="Arial"/>
        </w:rPr>
        <w:t xml:space="preserve">. </w:t>
      </w:r>
      <w:r w:rsidRPr="0011637B">
        <w:rPr>
          <w:rFonts w:ascii="Arial" w:hAnsi="Arial" w:cs="Arial"/>
        </w:rPr>
        <w:t>This often translates into a direct and assertive communication style, where employees are encouraged to voice opinions regardless of hierarchy. Conversely, Japan scores lower on individualism and higher on power distance, which suggests a greater emphasis on hierarchy, group consensus, and deference to seniority (Takai et al., 2016). In Japanese workplaces, it is often expected that junior staff avoid openly challenging superiors, and decisions are typically made through collective agreement.</w:t>
      </w:r>
    </w:p>
    <w:p w14:paraId="6A57B154" w14:textId="77777777" w:rsidR="0011637B" w:rsidRPr="0011637B" w:rsidRDefault="0011637B" w:rsidP="00AA64A8">
      <w:pPr>
        <w:spacing w:line="360" w:lineRule="auto"/>
        <w:jc w:val="both"/>
        <w:rPr>
          <w:rFonts w:ascii="Arial" w:hAnsi="Arial" w:cs="Arial"/>
        </w:rPr>
      </w:pPr>
      <w:r w:rsidRPr="0011637B">
        <w:rPr>
          <w:rFonts w:ascii="Arial" w:hAnsi="Arial" w:cs="Arial"/>
        </w:rPr>
        <w:t>Another significant difference lies in the dimension of uncertainty avoidance. Japan scores very high on this scale, reflecting a cultural preference for stability, predictability, and detailed planning. Japanese teams often seek clarity through formal procedures and risk mitigation (Barquin et al., 2021). In contrast, the UK has a relatively lower uncertainty avoidance score, indicating a more flexible and pragmatic approach to ambiguity. British teams may be more comfortable adapting plans as projects evolve, which can lead to friction if their Japanese counterparts expect detailed roadmaps from the outset.</w:t>
      </w:r>
    </w:p>
    <w:p w14:paraId="413ADE06" w14:textId="6A1DCDDE" w:rsidR="0011637B" w:rsidRPr="0011637B" w:rsidRDefault="0011637B" w:rsidP="00AA64A8">
      <w:pPr>
        <w:spacing w:line="360" w:lineRule="auto"/>
        <w:jc w:val="both"/>
        <w:rPr>
          <w:rFonts w:ascii="Arial" w:hAnsi="Arial" w:cs="Arial"/>
        </w:rPr>
      </w:pPr>
      <w:r w:rsidRPr="0011637B">
        <w:rPr>
          <w:rFonts w:ascii="Arial" w:hAnsi="Arial" w:cs="Arial"/>
        </w:rPr>
        <w:t>Despite some criticisms of Hofstede’s framework—such as its reliance on data collected decades ago and its tendency to generalise national cultures—it continues to provide valuable insight when interpreted contextually (</w:t>
      </w:r>
      <w:proofErr w:type="spellStart"/>
      <w:r w:rsidRPr="0011637B">
        <w:rPr>
          <w:rFonts w:ascii="Arial" w:hAnsi="Arial" w:cs="Arial"/>
        </w:rPr>
        <w:t>Beugelsdijk</w:t>
      </w:r>
      <w:proofErr w:type="spellEnd"/>
      <w:r w:rsidRPr="0011637B">
        <w:rPr>
          <w:rFonts w:ascii="Arial" w:hAnsi="Arial" w:cs="Arial"/>
        </w:rPr>
        <w:t>, Kostova and Roth, 201</w:t>
      </w:r>
      <w:r w:rsidR="005D317C" w:rsidRPr="004F04F1">
        <w:rPr>
          <w:rFonts w:ascii="Arial" w:hAnsi="Arial" w:cs="Arial"/>
        </w:rPr>
        <w:t>7</w:t>
      </w:r>
      <w:r w:rsidRPr="0011637B">
        <w:rPr>
          <w:rFonts w:ascii="Arial" w:hAnsi="Arial" w:cs="Arial"/>
        </w:rPr>
        <w:t>). For the Monzo–SMBC partnership, Hofstede’s dimensions highlight the need to consider hierarchical expectations, feedback styles, and planning preferences when forming multicultural teams.</w:t>
      </w:r>
    </w:p>
    <w:p w14:paraId="0A646559" w14:textId="77777777" w:rsidR="0011637B" w:rsidRPr="004F04F1" w:rsidRDefault="0011637B" w:rsidP="00AA64A8">
      <w:pPr>
        <w:pStyle w:val="Heading2"/>
        <w:spacing w:after="160" w:line="360" w:lineRule="auto"/>
        <w:jc w:val="both"/>
        <w:rPr>
          <w:rFonts w:ascii="Arial" w:hAnsi="Arial" w:cs="Arial"/>
        </w:rPr>
      </w:pPr>
      <w:bookmarkStart w:id="4" w:name="_Toc193999023"/>
      <w:r w:rsidRPr="004F04F1">
        <w:rPr>
          <w:rFonts w:ascii="Arial" w:hAnsi="Arial" w:cs="Arial"/>
        </w:rPr>
        <w:t>3.2 Hall’s High- and Low-Context Communication</w:t>
      </w:r>
      <w:bookmarkEnd w:id="4"/>
    </w:p>
    <w:p w14:paraId="4890C0A7" w14:textId="77777777" w:rsidR="0011637B" w:rsidRPr="0011637B" w:rsidRDefault="0011637B" w:rsidP="00AA64A8">
      <w:pPr>
        <w:spacing w:line="360" w:lineRule="auto"/>
        <w:jc w:val="both"/>
        <w:rPr>
          <w:rFonts w:ascii="Arial" w:hAnsi="Arial" w:cs="Arial"/>
        </w:rPr>
      </w:pPr>
      <w:r w:rsidRPr="0011637B">
        <w:rPr>
          <w:rFonts w:ascii="Arial" w:hAnsi="Arial" w:cs="Arial"/>
        </w:rPr>
        <w:t>In addition to Hofstede’s dimensions, Edward T. Hall’s theory of high- and low-context communication offers a useful lens for understanding how culture shapes the way information is conveyed and interpreted. In high-context cultures, such as Japan, communication is often indirect and heavily reliant on contextual elements, such as tone, body language, and shared background knowledge (Hall, 1976). What is not said can be just as important as what is spoken. In contrast, low-context cultures like the UK place greater value on explicit, verbal communication, where meaning is conveyed clearly and directly.</w:t>
      </w:r>
    </w:p>
    <w:p w14:paraId="743B9EC8" w14:textId="77777777" w:rsidR="0011637B" w:rsidRPr="0011637B" w:rsidRDefault="0011637B" w:rsidP="00AA64A8">
      <w:pPr>
        <w:spacing w:line="360" w:lineRule="auto"/>
        <w:jc w:val="both"/>
        <w:rPr>
          <w:rFonts w:ascii="Arial" w:hAnsi="Arial" w:cs="Arial"/>
        </w:rPr>
      </w:pPr>
      <w:r w:rsidRPr="0011637B">
        <w:rPr>
          <w:rFonts w:ascii="Arial" w:hAnsi="Arial" w:cs="Arial"/>
        </w:rPr>
        <w:lastRenderedPageBreak/>
        <w:t>These contrasting styles can lead to misunderstandings in cross-cultural teams. For example, in a UK–Japan partnership, British staff may expect open discussion and direct feedback in meetings, whereas Japanese colleagues may prefer to express disagreement more subtly or avoid confrontation altogether (Language Insight, 2021). In Japanese culture, silence can indicate disagreement, reflection, or politeness, while in the UK it might be interpreted as confusion or disengagement.</w:t>
      </w:r>
    </w:p>
    <w:p w14:paraId="2E474FE0" w14:textId="77777777" w:rsidR="0011637B" w:rsidRPr="0011637B" w:rsidRDefault="0011637B" w:rsidP="00AA64A8">
      <w:pPr>
        <w:spacing w:line="360" w:lineRule="auto"/>
        <w:jc w:val="both"/>
        <w:rPr>
          <w:rFonts w:ascii="Arial" w:hAnsi="Arial" w:cs="Arial"/>
        </w:rPr>
      </w:pPr>
      <w:r w:rsidRPr="0011637B">
        <w:rPr>
          <w:rFonts w:ascii="Arial" w:hAnsi="Arial" w:cs="Arial"/>
        </w:rPr>
        <w:t>Modern studies support Hall’s original observations. Cardon (2008) highlights that high-context communication is still prevalent in cultures that value relationship-building and non-verbal nuance. This has implications for virtual collaboration as well. In digital communication, non-verbal cues are often lost, increasing the risk of misinterpretation. Therefore, understanding context-driven communication becomes crucial when teams rely on tools like email or video conferencing.</w:t>
      </w:r>
    </w:p>
    <w:p w14:paraId="057F5587" w14:textId="17F226D3" w:rsidR="0011637B" w:rsidRPr="004F04F1" w:rsidRDefault="0011637B" w:rsidP="00AA64A8">
      <w:pPr>
        <w:spacing w:line="360" w:lineRule="auto"/>
        <w:jc w:val="both"/>
        <w:rPr>
          <w:rFonts w:ascii="Arial" w:hAnsi="Arial" w:cs="Arial"/>
        </w:rPr>
      </w:pPr>
      <w:r w:rsidRPr="0011637B">
        <w:rPr>
          <w:rFonts w:ascii="Arial" w:hAnsi="Arial" w:cs="Arial"/>
        </w:rPr>
        <w:t>Ultimately, recognising these communication differences allows international partners to develop strategies that reduce misunderstandings. For the Monzo–SMBC partnership, awareness of Hall’s model can guide decisions on meeting formats, feedback processes, and communication platforms, ensuring smoother collaboration between culturally diverse teams.</w:t>
      </w:r>
    </w:p>
    <w:p w14:paraId="75FCAD14" w14:textId="60832D0A" w:rsidR="005B04A5" w:rsidRPr="004F04F1" w:rsidRDefault="005B04A5" w:rsidP="00AA64A8">
      <w:pPr>
        <w:pStyle w:val="Heading1"/>
        <w:spacing w:after="160" w:line="360" w:lineRule="auto"/>
        <w:jc w:val="both"/>
        <w:rPr>
          <w:rFonts w:ascii="Arial" w:hAnsi="Arial" w:cs="Arial"/>
        </w:rPr>
      </w:pPr>
      <w:bookmarkStart w:id="5" w:name="_Toc193999024"/>
      <w:r w:rsidRPr="004F04F1">
        <w:rPr>
          <w:rFonts w:ascii="Arial" w:hAnsi="Arial" w:cs="Arial"/>
        </w:rPr>
        <w:t>4. Communication Style Differences Between the UK and Japan: A Cultural Analysis</w:t>
      </w:r>
      <w:bookmarkEnd w:id="5"/>
    </w:p>
    <w:p w14:paraId="7988C702" w14:textId="77777777" w:rsidR="005B04A5" w:rsidRPr="005B04A5" w:rsidRDefault="005B04A5" w:rsidP="00AA64A8">
      <w:pPr>
        <w:spacing w:line="360" w:lineRule="auto"/>
        <w:jc w:val="both"/>
        <w:rPr>
          <w:rFonts w:ascii="Arial" w:hAnsi="Arial" w:cs="Arial"/>
        </w:rPr>
      </w:pPr>
      <w:r w:rsidRPr="005B04A5">
        <w:rPr>
          <w:rFonts w:ascii="Arial" w:hAnsi="Arial" w:cs="Arial"/>
        </w:rPr>
        <w:t>Business communication is deeply shaped by national cultural values, influencing how professionals deliver feedback, participate in meetings, and choose communication channels. In the case of the United Kingdom and Japan, distinct cultural expectations around hierarchy, openness, and interpersonal sensitivity create both opportunities and challenges for collaboration in international teams.</w:t>
      </w:r>
    </w:p>
    <w:p w14:paraId="0F47838D" w14:textId="2F4A9B76" w:rsidR="005B04A5" w:rsidRPr="005B04A5" w:rsidRDefault="005B04A5" w:rsidP="00AA64A8">
      <w:pPr>
        <w:spacing w:line="360" w:lineRule="auto"/>
        <w:jc w:val="both"/>
        <w:rPr>
          <w:rFonts w:ascii="Arial" w:hAnsi="Arial" w:cs="Arial"/>
        </w:rPr>
      </w:pPr>
      <w:r w:rsidRPr="005B04A5">
        <w:rPr>
          <w:rFonts w:ascii="Arial" w:hAnsi="Arial" w:cs="Arial"/>
        </w:rPr>
        <w:t xml:space="preserve">British business communication is often defined by openness, individual accountability, and task orientation. Professionals are encouraged to share their opinions, challenge ideas constructively, and provide clear, direct feedback regardless of hierarchy </w:t>
      </w:r>
      <w:r w:rsidR="001D7B9F" w:rsidRPr="004F04F1">
        <w:rPr>
          <w:rFonts w:ascii="Arial" w:hAnsi="Arial" w:cs="Arial"/>
        </w:rPr>
        <w:t xml:space="preserve">(Warburton, n.d.).  </w:t>
      </w:r>
      <w:r w:rsidRPr="005B04A5">
        <w:rPr>
          <w:rFonts w:ascii="Arial" w:hAnsi="Arial" w:cs="Arial"/>
        </w:rPr>
        <w:t>This reflects the UK’s high individualism and low power distance in Hofstede’s cultural framework, which supports egalitarian relationships and informal interactions in the workplace (</w:t>
      </w:r>
      <w:r w:rsidR="00FB50FF" w:rsidRPr="004F04F1">
        <w:rPr>
          <w:rFonts w:ascii="Arial" w:hAnsi="Arial" w:cs="Arial"/>
        </w:rPr>
        <w:t xml:space="preserve">Gert Hofstede, </w:t>
      </w:r>
      <w:r w:rsidRPr="005B04A5">
        <w:rPr>
          <w:rFonts w:ascii="Arial" w:hAnsi="Arial" w:cs="Arial"/>
        </w:rPr>
        <w:t>202</w:t>
      </w:r>
      <w:r w:rsidR="001D7B9F" w:rsidRPr="004F04F1">
        <w:rPr>
          <w:rFonts w:ascii="Arial" w:hAnsi="Arial" w:cs="Arial"/>
        </w:rPr>
        <w:t>5</w:t>
      </w:r>
      <w:r w:rsidRPr="005B04A5">
        <w:rPr>
          <w:rFonts w:ascii="Arial" w:hAnsi="Arial" w:cs="Arial"/>
        </w:rPr>
        <w:t xml:space="preserve">). Managers in the UK often </w:t>
      </w:r>
      <w:r w:rsidRPr="005B04A5">
        <w:rPr>
          <w:rFonts w:ascii="Arial" w:hAnsi="Arial" w:cs="Arial"/>
        </w:rPr>
        <w:lastRenderedPageBreak/>
        <w:t>facilitate dialogue and expect team members to contribute ideas openly. Disagreement is not only tolerated but frequently encouraged as a sign of engagement and independent thinking (Lewis, 20</w:t>
      </w:r>
      <w:r w:rsidR="00F17F3D" w:rsidRPr="004F04F1">
        <w:rPr>
          <w:rFonts w:ascii="Arial" w:hAnsi="Arial" w:cs="Arial"/>
        </w:rPr>
        <w:t>18</w:t>
      </w:r>
      <w:r w:rsidRPr="005B04A5">
        <w:rPr>
          <w:rFonts w:ascii="Arial" w:hAnsi="Arial" w:cs="Arial"/>
        </w:rPr>
        <w:t>).</w:t>
      </w:r>
    </w:p>
    <w:p w14:paraId="458E7A62" w14:textId="28F98C78" w:rsidR="005B04A5" w:rsidRPr="005B04A5" w:rsidRDefault="005B04A5" w:rsidP="00AA64A8">
      <w:pPr>
        <w:spacing w:line="360" w:lineRule="auto"/>
        <w:jc w:val="both"/>
        <w:rPr>
          <w:rFonts w:ascii="Arial" w:hAnsi="Arial" w:cs="Arial"/>
        </w:rPr>
      </w:pPr>
      <w:r w:rsidRPr="005B04A5">
        <w:rPr>
          <w:rFonts w:ascii="Arial" w:hAnsi="Arial" w:cs="Arial"/>
        </w:rPr>
        <w:t xml:space="preserve">In contrast, Japanese business culture is strongly influenced by collectivism, respect for hierarchy, and the preservation of harmony. Japanese professionals may avoid expressing disagreement directly, particularly in group settings or when speaking to a superior. Instead, silence or vague statements are often used to signal disapproval or hesitation </w:t>
      </w:r>
      <w:r w:rsidR="00F17F3D" w:rsidRPr="005B04A5">
        <w:rPr>
          <w:rFonts w:ascii="Arial" w:hAnsi="Arial" w:cs="Arial"/>
        </w:rPr>
        <w:t>(Lewis, 20</w:t>
      </w:r>
      <w:r w:rsidR="00F17F3D" w:rsidRPr="004F04F1">
        <w:rPr>
          <w:rFonts w:ascii="Arial" w:hAnsi="Arial" w:cs="Arial"/>
        </w:rPr>
        <w:t>18</w:t>
      </w:r>
      <w:r w:rsidR="00F17F3D" w:rsidRPr="005B04A5">
        <w:rPr>
          <w:rFonts w:ascii="Arial" w:hAnsi="Arial" w:cs="Arial"/>
        </w:rPr>
        <w:t>).</w:t>
      </w:r>
      <w:r w:rsidR="00F17F3D" w:rsidRPr="004F04F1">
        <w:rPr>
          <w:rFonts w:ascii="Arial" w:hAnsi="Arial" w:cs="Arial"/>
        </w:rPr>
        <w:t xml:space="preserve"> </w:t>
      </w:r>
      <w:r w:rsidRPr="005B04A5">
        <w:rPr>
          <w:rFonts w:ascii="Arial" w:hAnsi="Arial" w:cs="Arial"/>
        </w:rPr>
        <w:t>Feedback is typically delivered in an indirect and nuanced manner to avoid embarrassment or loss of face, which is a key consideration in Japanese social interactions (Takai, 2003).</w:t>
      </w:r>
    </w:p>
    <w:p w14:paraId="05F9EA5B" w14:textId="77777777" w:rsidR="005B04A5" w:rsidRPr="005B04A5" w:rsidRDefault="005B04A5" w:rsidP="00AA64A8">
      <w:pPr>
        <w:spacing w:line="360" w:lineRule="auto"/>
        <w:jc w:val="both"/>
        <w:rPr>
          <w:rFonts w:ascii="Arial" w:hAnsi="Arial" w:cs="Arial"/>
        </w:rPr>
      </w:pPr>
      <w:r w:rsidRPr="005B04A5">
        <w:rPr>
          <w:rFonts w:ascii="Arial" w:hAnsi="Arial" w:cs="Arial"/>
        </w:rPr>
        <w:t xml:space="preserve">One of the most significant differences lies in how meetings are conducted. In British organisations, meetings tend to be fast-paced and solution-oriented. Objectives are clearly outlined, and decisions are often made through direct discussion. However, in Japanese organisations, meetings are frequently more formal and hierarchical. Rather than making decisions in the meeting, Japanese professionals often engage in </w:t>
      </w:r>
      <w:proofErr w:type="spellStart"/>
      <w:r w:rsidRPr="005B04A5">
        <w:rPr>
          <w:rFonts w:ascii="Arial" w:hAnsi="Arial" w:cs="Arial"/>
          <w:i/>
          <w:iCs/>
        </w:rPr>
        <w:t>nemawashi</w:t>
      </w:r>
      <w:proofErr w:type="spellEnd"/>
      <w:r w:rsidRPr="005B04A5">
        <w:rPr>
          <w:rFonts w:ascii="Arial" w:hAnsi="Arial" w:cs="Arial"/>
        </w:rPr>
        <w:t>—informal, behind-the-scenes consensus building—before the formal discussion takes place (Inoue and Ishikawa, 2023). As a result, Japanese meetings may seem non-committal or slow-moving to British participants, when in fact key decisions may have already been informally agreed upon.</w:t>
      </w:r>
    </w:p>
    <w:p w14:paraId="5FA055FC" w14:textId="77777777" w:rsidR="005B04A5" w:rsidRPr="005B04A5" w:rsidRDefault="005B04A5" w:rsidP="00AA64A8">
      <w:pPr>
        <w:spacing w:line="360" w:lineRule="auto"/>
        <w:jc w:val="both"/>
        <w:rPr>
          <w:rFonts w:ascii="Arial" w:hAnsi="Arial" w:cs="Arial"/>
        </w:rPr>
      </w:pPr>
      <w:r w:rsidRPr="005B04A5">
        <w:rPr>
          <w:rFonts w:ascii="Arial" w:hAnsi="Arial" w:cs="Arial"/>
        </w:rPr>
        <w:t>Feedback culture also diverges significantly. In the UK, feedback is often immediate and explicit. British professionals are generally comfortable receiving constructive criticism, especially when framed positively. Conversely, Japanese professionals may delay feedback until they have consulted others or reached a group consensus. Direct feedback can be perceived as rude or confrontational, especially if delivered without consideration for seniority or group dynamics (Cardon, 2008).</w:t>
      </w:r>
    </w:p>
    <w:p w14:paraId="250F95D7" w14:textId="708D7901" w:rsidR="005B04A5" w:rsidRPr="005B04A5" w:rsidRDefault="005B04A5" w:rsidP="00AA64A8">
      <w:pPr>
        <w:spacing w:line="360" w:lineRule="auto"/>
        <w:jc w:val="both"/>
        <w:rPr>
          <w:rFonts w:ascii="Arial" w:hAnsi="Arial" w:cs="Arial"/>
        </w:rPr>
      </w:pPr>
      <w:r w:rsidRPr="005B04A5">
        <w:rPr>
          <w:rFonts w:ascii="Arial" w:hAnsi="Arial" w:cs="Arial"/>
        </w:rPr>
        <w:t xml:space="preserve">Communication channels further reflect cultural preferences. UK professionals commonly use email, video calls, and instant messaging platforms to maintain transparency and efficiency. They expect prompt responses and action-oriented communication. Japanese teams, however, prefer in-person conversations for important discussions and may rely more on internal hierarchies for communication flow </w:t>
      </w:r>
      <w:r w:rsidR="00F17F3D" w:rsidRPr="005B04A5">
        <w:rPr>
          <w:rFonts w:ascii="Arial" w:hAnsi="Arial" w:cs="Arial"/>
        </w:rPr>
        <w:t>(Lewis, 20</w:t>
      </w:r>
      <w:r w:rsidR="00F17F3D" w:rsidRPr="004F04F1">
        <w:rPr>
          <w:rFonts w:ascii="Arial" w:hAnsi="Arial" w:cs="Arial"/>
        </w:rPr>
        <w:t>18</w:t>
      </w:r>
      <w:r w:rsidR="000A5800" w:rsidRPr="004F04F1">
        <w:rPr>
          <w:rFonts w:ascii="Arial" w:hAnsi="Arial" w:cs="Arial"/>
        </w:rPr>
        <w:t>). Even</w:t>
      </w:r>
      <w:r w:rsidRPr="005B04A5">
        <w:rPr>
          <w:rFonts w:ascii="Arial" w:hAnsi="Arial" w:cs="Arial"/>
        </w:rPr>
        <w:t xml:space="preserve"> written messages in Japanese companies often use formal and indirect language, designed to show respect and reduce the risk of offence.</w:t>
      </w:r>
    </w:p>
    <w:p w14:paraId="61F42528" w14:textId="5019D25C" w:rsidR="005B04A5" w:rsidRPr="005B04A5" w:rsidRDefault="005B04A5" w:rsidP="00AA64A8">
      <w:pPr>
        <w:spacing w:line="360" w:lineRule="auto"/>
        <w:jc w:val="both"/>
        <w:rPr>
          <w:rFonts w:ascii="Arial" w:hAnsi="Arial" w:cs="Arial"/>
        </w:rPr>
      </w:pPr>
      <w:r w:rsidRPr="005B04A5">
        <w:rPr>
          <w:rFonts w:ascii="Arial" w:hAnsi="Arial" w:cs="Arial"/>
        </w:rPr>
        <w:lastRenderedPageBreak/>
        <w:t xml:space="preserve">These contrasting styles can lead to misinterpretation. For instance, a British employee may misread a Japanese colleague’s silence as agreement, while it may </w:t>
      </w:r>
      <w:r w:rsidR="00F17F3D" w:rsidRPr="004F04F1">
        <w:rPr>
          <w:rFonts w:ascii="Arial" w:hAnsi="Arial" w:cs="Arial"/>
        </w:rPr>
        <w:t>signal</w:t>
      </w:r>
      <w:r w:rsidRPr="005B04A5">
        <w:rPr>
          <w:rFonts w:ascii="Arial" w:hAnsi="Arial" w:cs="Arial"/>
        </w:rPr>
        <w:t xml:space="preserve"> disagreement or discomfort. Similarly, a Japanese team member may perceive British directness as overly blunt or insensitive (Language Insight, 2021). Without cultural awareness, such differences can reduce trust and hinder effective collaboration.</w:t>
      </w:r>
    </w:p>
    <w:p w14:paraId="6E425761" w14:textId="77777777" w:rsidR="005B04A5" w:rsidRPr="005B04A5" w:rsidRDefault="005B04A5" w:rsidP="00AA64A8">
      <w:pPr>
        <w:spacing w:line="360" w:lineRule="auto"/>
        <w:jc w:val="both"/>
        <w:rPr>
          <w:rFonts w:ascii="Arial" w:hAnsi="Arial" w:cs="Arial"/>
        </w:rPr>
      </w:pPr>
      <w:r w:rsidRPr="005B04A5">
        <w:rPr>
          <w:rFonts w:ascii="Arial" w:hAnsi="Arial" w:cs="Arial"/>
        </w:rPr>
        <w:t>To bridge these gaps, cross-cultural training and communication protocols should be implemented in multinational teams. Managers should foster environments where diverse communication preferences are respected and understood. By combining the UK’s emphasis on openness with Japan’s focus on harmony, international teams can leverage both styles to enhance collaboration.</w:t>
      </w:r>
    </w:p>
    <w:p w14:paraId="71A324FB" w14:textId="11EF28BD" w:rsidR="00414D36" w:rsidRPr="004F04F1" w:rsidRDefault="00414D36" w:rsidP="00AA64A8">
      <w:pPr>
        <w:pStyle w:val="Heading1"/>
        <w:spacing w:after="160" w:line="360" w:lineRule="auto"/>
        <w:jc w:val="both"/>
        <w:rPr>
          <w:rFonts w:ascii="Arial" w:hAnsi="Arial" w:cs="Arial"/>
        </w:rPr>
      </w:pPr>
      <w:bookmarkStart w:id="6" w:name="_Toc193999025"/>
      <w:r w:rsidRPr="004F04F1">
        <w:rPr>
          <w:rFonts w:ascii="Arial" w:hAnsi="Arial" w:cs="Arial"/>
        </w:rPr>
        <w:t>5. Potential Misunderstandings in the Monzo–SMBC Partnership</w:t>
      </w:r>
      <w:bookmarkEnd w:id="6"/>
    </w:p>
    <w:p w14:paraId="1ACEAB8B" w14:textId="77777777" w:rsidR="00414D36" w:rsidRPr="00414D36" w:rsidRDefault="00414D36" w:rsidP="00AA64A8">
      <w:pPr>
        <w:spacing w:line="360" w:lineRule="auto"/>
        <w:jc w:val="both"/>
        <w:rPr>
          <w:rFonts w:ascii="Arial" w:hAnsi="Arial" w:cs="Arial"/>
        </w:rPr>
      </w:pPr>
      <w:r w:rsidRPr="00414D36">
        <w:rPr>
          <w:rFonts w:ascii="Arial" w:hAnsi="Arial" w:cs="Arial"/>
        </w:rPr>
        <w:t>Cultural communication differences between Monzo and SMBC could lead to a variety of misunderstandings during collaborative efforts. One of the most significant areas of tension involves feedback and disagreement. British employees at Monzo, accustomed to direct and clear communication, may interpret the more reserved or ambiguous responses from their Japanese counterparts as indecisive or lacking engagement. Conversely, Japanese professionals may perceive the UK team’s blunt or critical tone as impolite or confrontational, which could damage rapport and hinder open dialogue (Imai and Gelfand, 2010).</w:t>
      </w:r>
    </w:p>
    <w:p w14:paraId="0597BECE" w14:textId="77777777" w:rsidR="00414D36" w:rsidRPr="00414D36" w:rsidRDefault="00414D36" w:rsidP="00AA64A8">
      <w:pPr>
        <w:spacing w:line="360" w:lineRule="auto"/>
        <w:jc w:val="both"/>
        <w:rPr>
          <w:rFonts w:ascii="Arial" w:hAnsi="Arial" w:cs="Arial"/>
        </w:rPr>
      </w:pPr>
      <w:r w:rsidRPr="00414D36">
        <w:rPr>
          <w:rFonts w:ascii="Arial" w:hAnsi="Arial" w:cs="Arial"/>
        </w:rPr>
        <w:t xml:space="preserve">Decision-making is another potential source of misalignment. UK teams often favour fast, analytical decision-making based on available data and are comfortable taking calculated risks. Japanese teams, by contrast, typically engage in </w:t>
      </w:r>
      <w:proofErr w:type="spellStart"/>
      <w:r w:rsidRPr="00414D36">
        <w:rPr>
          <w:rFonts w:ascii="Arial" w:hAnsi="Arial" w:cs="Arial"/>
          <w:i/>
          <w:iCs/>
        </w:rPr>
        <w:t>nemawashi</w:t>
      </w:r>
      <w:proofErr w:type="spellEnd"/>
      <w:r w:rsidRPr="00414D36">
        <w:rPr>
          <w:rFonts w:ascii="Arial" w:hAnsi="Arial" w:cs="Arial"/>
        </w:rPr>
        <w:t>, a process of informal, behind-the-scenes consensus building before a formal decision is presented (Inoue and Ishikawa, 2023). This more deliberate approach may be seen by Monzo staff as unnecessarily slow or lacking transparency, creating frustration on both sides.</w:t>
      </w:r>
    </w:p>
    <w:p w14:paraId="297F8701" w14:textId="77777777" w:rsidR="00414D36" w:rsidRPr="00414D36" w:rsidRDefault="00414D36" w:rsidP="00AA64A8">
      <w:pPr>
        <w:spacing w:line="360" w:lineRule="auto"/>
        <w:jc w:val="both"/>
        <w:rPr>
          <w:rFonts w:ascii="Arial" w:hAnsi="Arial" w:cs="Arial"/>
        </w:rPr>
      </w:pPr>
      <w:r w:rsidRPr="00414D36">
        <w:rPr>
          <w:rFonts w:ascii="Arial" w:hAnsi="Arial" w:cs="Arial"/>
        </w:rPr>
        <w:t xml:space="preserve">Hierarchical expectations may also present challenges. Monzo operates with a flat organisational structure where junior staff are encouraged to contribute ideas and </w:t>
      </w:r>
      <w:r w:rsidRPr="00414D36">
        <w:rPr>
          <w:rFonts w:ascii="Arial" w:hAnsi="Arial" w:cs="Arial"/>
        </w:rPr>
        <w:lastRenderedPageBreak/>
        <w:t>challenge assumptions. In contrast, SMBC employees may defer to senior figures, leading to quieter participation among junior members and potential imbalances in team input and innovation (Warburton, n.d.).</w:t>
      </w:r>
    </w:p>
    <w:p w14:paraId="1C6B049C" w14:textId="77777777" w:rsidR="00414D36" w:rsidRPr="00414D36" w:rsidRDefault="00414D36" w:rsidP="00AA64A8">
      <w:pPr>
        <w:spacing w:line="360" w:lineRule="auto"/>
        <w:jc w:val="both"/>
        <w:rPr>
          <w:rFonts w:ascii="Arial" w:hAnsi="Arial" w:cs="Arial"/>
        </w:rPr>
      </w:pPr>
      <w:r w:rsidRPr="00414D36">
        <w:rPr>
          <w:rFonts w:ascii="Arial" w:hAnsi="Arial" w:cs="Arial"/>
        </w:rPr>
        <w:t>Lastly, differences in preferred communication tools and formats may affect efficiency. While Monzo may use instant digital tools like Slack or Asana to manage workflows, expecting rapid updates, SMBC may favour formal reports or structured meetings. This mismatch could result in delays or duplication of work if not addressed early. As Meyer (2014) argues, ignoring cultural communication patterns in international teams increases the risk of miscommunication, reduced productivity, and loss of trust.</w:t>
      </w:r>
    </w:p>
    <w:p w14:paraId="021D8CB5" w14:textId="24934826" w:rsidR="00BA4935" w:rsidRPr="004F04F1" w:rsidRDefault="00BA4935" w:rsidP="00AA64A8">
      <w:pPr>
        <w:pStyle w:val="Heading1"/>
        <w:spacing w:after="160" w:line="360" w:lineRule="auto"/>
        <w:jc w:val="both"/>
        <w:rPr>
          <w:rFonts w:ascii="Arial" w:hAnsi="Arial" w:cs="Arial"/>
        </w:rPr>
      </w:pPr>
      <w:bookmarkStart w:id="7" w:name="_Toc193999026"/>
      <w:r w:rsidRPr="004F04F1">
        <w:rPr>
          <w:rFonts w:ascii="Arial" w:hAnsi="Arial" w:cs="Arial"/>
        </w:rPr>
        <w:t>6. Strategies to Overcome Communication Barriers</w:t>
      </w:r>
      <w:bookmarkEnd w:id="7"/>
    </w:p>
    <w:p w14:paraId="42AB9B00" w14:textId="77777777" w:rsidR="00BA4935" w:rsidRPr="00BA4935" w:rsidRDefault="00BA4935" w:rsidP="00AA64A8">
      <w:pPr>
        <w:spacing w:line="360" w:lineRule="auto"/>
        <w:jc w:val="both"/>
        <w:rPr>
          <w:rFonts w:ascii="Arial" w:hAnsi="Arial" w:cs="Arial"/>
        </w:rPr>
      </w:pPr>
      <w:r w:rsidRPr="00BA4935">
        <w:rPr>
          <w:rFonts w:ascii="Arial" w:hAnsi="Arial" w:cs="Arial"/>
        </w:rPr>
        <w:t>To ensure effective collaboration between Monzo and SMBC, it is essential to adopt culturally sensitive communication strategies. These approaches aim to bridge the gap between differing business cultures and foster mutual understanding within a diverse team environment.</w:t>
      </w:r>
    </w:p>
    <w:p w14:paraId="4C661F06" w14:textId="04CA4EBD" w:rsidR="00BA4935" w:rsidRPr="00BA4935" w:rsidRDefault="00BA4935" w:rsidP="00AA64A8">
      <w:pPr>
        <w:spacing w:line="360" w:lineRule="auto"/>
        <w:jc w:val="both"/>
        <w:rPr>
          <w:rFonts w:ascii="Arial" w:hAnsi="Arial" w:cs="Arial"/>
        </w:rPr>
      </w:pPr>
      <w:r w:rsidRPr="00BA4935">
        <w:rPr>
          <w:rFonts w:ascii="Arial" w:hAnsi="Arial" w:cs="Arial"/>
        </w:rPr>
        <w:t xml:space="preserve">Firstly, </w:t>
      </w:r>
      <w:r w:rsidRPr="00BA4935">
        <w:rPr>
          <w:rFonts w:ascii="Arial" w:hAnsi="Arial" w:cs="Arial"/>
          <w:b/>
          <w:bCs/>
        </w:rPr>
        <w:t>cross-cultural training</w:t>
      </w:r>
      <w:r w:rsidRPr="00BA4935">
        <w:rPr>
          <w:rFonts w:ascii="Arial" w:hAnsi="Arial" w:cs="Arial"/>
        </w:rPr>
        <w:t xml:space="preserve"> should be implemented to educate employees on cultural values, norms, and communication preferences. According to</w:t>
      </w:r>
      <w:r w:rsidR="000B29A3" w:rsidRPr="004F04F1">
        <w:rPr>
          <w:rFonts w:ascii="Arial" w:hAnsi="Arial" w:cs="Arial"/>
        </w:rPr>
        <w:t xml:space="preserve"> Guo (2025)</w:t>
      </w:r>
      <w:r w:rsidRPr="00BA4935">
        <w:rPr>
          <w:rFonts w:ascii="Arial" w:hAnsi="Arial" w:cs="Arial"/>
        </w:rPr>
        <w:t>, such training enhances intercultural sensitivity and reduces the likelihood of misinterpretations by improving employees’ awareness of unconscious bias and ethnocentric assumptions. This foundation enables professionals from both organisations to approach interactions with greater empathy and open-mindedness.</w:t>
      </w:r>
    </w:p>
    <w:p w14:paraId="04C119BA"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Secondly, appointing </w:t>
      </w:r>
      <w:r w:rsidRPr="00BA4935">
        <w:rPr>
          <w:rFonts w:ascii="Arial" w:hAnsi="Arial" w:cs="Arial"/>
          <w:b/>
          <w:bCs/>
        </w:rPr>
        <w:t>bilingual cultural liaisons</w:t>
      </w:r>
      <w:r w:rsidRPr="00BA4935">
        <w:rPr>
          <w:rFonts w:ascii="Arial" w:hAnsi="Arial" w:cs="Arial"/>
        </w:rPr>
        <w:t xml:space="preserve"> can significantly support smooth communication. These individuals serve as intermediaries who can decode subtle cues, translate implicit messages, and help align expectations between both sides. Stahl et al. (2010) argue that culturally competent facilitators can prevent minor misunderstandings from escalating into significant conflicts, particularly in high-context environments like Japan.</w:t>
      </w:r>
    </w:p>
    <w:p w14:paraId="7F04A14D"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A </w:t>
      </w:r>
      <w:r w:rsidRPr="00BA4935">
        <w:rPr>
          <w:rFonts w:ascii="Arial" w:hAnsi="Arial" w:cs="Arial"/>
          <w:b/>
          <w:bCs/>
        </w:rPr>
        <w:t>unified communication framework</w:t>
      </w:r>
      <w:r w:rsidRPr="00BA4935">
        <w:rPr>
          <w:rFonts w:ascii="Arial" w:hAnsi="Arial" w:cs="Arial"/>
        </w:rPr>
        <w:t xml:space="preserve"> should also be established. This may include setting clear agendas for meetings, agreeing on preferred communication tools, and building flexibility into decision-making processes to accommodate both rapid </w:t>
      </w:r>
      <w:r w:rsidRPr="00BA4935">
        <w:rPr>
          <w:rFonts w:ascii="Arial" w:hAnsi="Arial" w:cs="Arial"/>
        </w:rPr>
        <w:lastRenderedPageBreak/>
        <w:t>feedback (common in UK settings) and more deliberate consensus-building practices typical in Japan (Inoue and Ishikawa, 2023).</w:t>
      </w:r>
    </w:p>
    <w:p w14:paraId="6FACF1AB" w14:textId="2087DDEF" w:rsidR="00BA4935" w:rsidRPr="00BA4935" w:rsidRDefault="00BA4935" w:rsidP="00AA64A8">
      <w:pPr>
        <w:spacing w:line="360" w:lineRule="auto"/>
        <w:jc w:val="both"/>
        <w:rPr>
          <w:rFonts w:ascii="Arial" w:hAnsi="Arial" w:cs="Arial"/>
        </w:rPr>
      </w:pPr>
      <w:r w:rsidRPr="00BA4935">
        <w:rPr>
          <w:rFonts w:ascii="Arial" w:hAnsi="Arial" w:cs="Arial"/>
          <w:b/>
          <w:bCs/>
        </w:rPr>
        <w:t>Multimodal communication methods</w:t>
      </w:r>
      <w:r w:rsidRPr="00BA4935">
        <w:rPr>
          <w:rFonts w:ascii="Arial" w:hAnsi="Arial" w:cs="Arial"/>
        </w:rPr>
        <w:t>, such as combining spoken, written, and visual content, are equally important. Tools like dashboards, timelines, and infographics can help bridge linguistic gaps and clarify abstract ideas, especially for team members communicating in a second language (Meyer, 20</w:t>
      </w:r>
      <w:r w:rsidR="00186382" w:rsidRPr="004F04F1">
        <w:rPr>
          <w:rFonts w:ascii="Arial" w:hAnsi="Arial" w:cs="Arial"/>
        </w:rPr>
        <w:t>21</w:t>
      </w:r>
      <w:r w:rsidRPr="00BA4935">
        <w:rPr>
          <w:rFonts w:ascii="Arial" w:hAnsi="Arial" w:cs="Arial"/>
        </w:rPr>
        <w:t>).</w:t>
      </w:r>
    </w:p>
    <w:p w14:paraId="58C02023"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Encouraging </w:t>
      </w:r>
      <w:r w:rsidRPr="00BA4935">
        <w:rPr>
          <w:rFonts w:ascii="Arial" w:hAnsi="Arial" w:cs="Arial"/>
          <w:b/>
          <w:bCs/>
        </w:rPr>
        <w:t>relationship-building activities</w:t>
      </w:r>
      <w:r w:rsidRPr="00BA4935">
        <w:rPr>
          <w:rFonts w:ascii="Arial" w:hAnsi="Arial" w:cs="Arial"/>
        </w:rPr>
        <w:t>, such as informal check-ins or team retreats, can also play a pivotal role in fostering trust. Informal interactions help build rapport and psychological safety, especially in collectivist cultures where strong interpersonal relationships often underpin business collaboration (Stahl et al., 2010).</w:t>
      </w:r>
    </w:p>
    <w:p w14:paraId="5D9DB1A9" w14:textId="77777777" w:rsidR="00BA4935" w:rsidRPr="00BA4935" w:rsidRDefault="00BA4935" w:rsidP="00AA64A8">
      <w:pPr>
        <w:spacing w:line="360" w:lineRule="auto"/>
        <w:jc w:val="both"/>
        <w:rPr>
          <w:rFonts w:ascii="Arial" w:hAnsi="Arial" w:cs="Arial"/>
        </w:rPr>
      </w:pPr>
      <w:r w:rsidRPr="00BA4935">
        <w:rPr>
          <w:rFonts w:ascii="Arial" w:hAnsi="Arial" w:cs="Arial"/>
        </w:rPr>
        <w:t xml:space="preserve">Finally, implementing a </w:t>
      </w:r>
      <w:r w:rsidRPr="00BA4935">
        <w:rPr>
          <w:rFonts w:ascii="Arial" w:hAnsi="Arial" w:cs="Arial"/>
          <w:b/>
          <w:bCs/>
        </w:rPr>
        <w:t>calibrated feedback system</w:t>
      </w:r>
      <w:r w:rsidRPr="00BA4935">
        <w:rPr>
          <w:rFonts w:ascii="Arial" w:hAnsi="Arial" w:cs="Arial"/>
        </w:rPr>
        <w:t xml:space="preserve"> that allows for both direct and indirect communication styles is vital. This might include anonymous surveys, structured feedback sessions, or 360-degree evaluations to ensure inclusive participation and diverse perspectives.</w:t>
      </w:r>
    </w:p>
    <w:p w14:paraId="05B57D29" w14:textId="77777777" w:rsidR="00BA4935" w:rsidRPr="00BA4935" w:rsidRDefault="00BA4935" w:rsidP="00AA64A8">
      <w:pPr>
        <w:spacing w:line="360" w:lineRule="auto"/>
        <w:jc w:val="both"/>
        <w:rPr>
          <w:rFonts w:ascii="Arial" w:hAnsi="Arial" w:cs="Arial"/>
        </w:rPr>
      </w:pPr>
      <w:r w:rsidRPr="00BA4935">
        <w:rPr>
          <w:rFonts w:ascii="Arial" w:hAnsi="Arial" w:cs="Arial"/>
        </w:rPr>
        <w:t>Together, these strategies provide a framework for inclusive communication and long-term success within the Monzo–SMBC partnership.</w:t>
      </w:r>
    </w:p>
    <w:p w14:paraId="64BDDEE7" w14:textId="1114CD5F" w:rsidR="006F6C75" w:rsidRPr="004F04F1" w:rsidRDefault="006F6C75" w:rsidP="00AA64A8">
      <w:pPr>
        <w:pStyle w:val="Heading1"/>
        <w:spacing w:after="160" w:line="360" w:lineRule="auto"/>
        <w:jc w:val="both"/>
        <w:rPr>
          <w:rFonts w:ascii="Arial" w:hAnsi="Arial" w:cs="Arial"/>
        </w:rPr>
      </w:pPr>
      <w:bookmarkStart w:id="8" w:name="_Toc193999027"/>
      <w:r w:rsidRPr="004F04F1">
        <w:rPr>
          <w:rFonts w:ascii="Arial" w:hAnsi="Arial" w:cs="Arial"/>
        </w:rPr>
        <w:t>7. Conclusion</w:t>
      </w:r>
      <w:bookmarkEnd w:id="8"/>
    </w:p>
    <w:p w14:paraId="631D3A87" w14:textId="77777777" w:rsidR="006F6C75" w:rsidRPr="006F6C75" w:rsidRDefault="006F6C75" w:rsidP="00AA64A8">
      <w:pPr>
        <w:spacing w:line="360" w:lineRule="auto"/>
        <w:jc w:val="both"/>
        <w:rPr>
          <w:rFonts w:ascii="Arial" w:hAnsi="Arial" w:cs="Arial"/>
        </w:rPr>
      </w:pPr>
      <w:r w:rsidRPr="006F6C75">
        <w:rPr>
          <w:rFonts w:ascii="Arial" w:hAnsi="Arial" w:cs="Arial"/>
        </w:rPr>
        <w:t>In today’s globalised business landscape, effective cross-cultural communication is fundamental to the success of international partnerships. This essay has critically examined the communication challenges that may arise in a potential collaboration between Monzo Bank Ltd and Sumitomo Mitsui Banking Corporation (SMBC), two institutions shaped by vastly different cultural norms. Drawing on Hofstede’s cultural dimensions and Hall’s context communication theory, the analysis has revealed deep contrasts in communication preferences, feedback styles, decision-making approaches, and hierarchy between UK and Japanese business cultures.</w:t>
      </w:r>
    </w:p>
    <w:p w14:paraId="735B3B7C" w14:textId="77777777" w:rsidR="006F6C75" w:rsidRPr="006F6C75" w:rsidRDefault="006F6C75" w:rsidP="00AA64A8">
      <w:pPr>
        <w:spacing w:line="360" w:lineRule="auto"/>
        <w:jc w:val="both"/>
        <w:rPr>
          <w:rFonts w:ascii="Arial" w:hAnsi="Arial" w:cs="Arial"/>
        </w:rPr>
      </w:pPr>
      <w:r w:rsidRPr="006F6C75">
        <w:rPr>
          <w:rFonts w:ascii="Arial" w:hAnsi="Arial" w:cs="Arial"/>
        </w:rPr>
        <w:t xml:space="preserve">While Monzo’s British context promotes openness, low power distance, and direct communication, SMBC’s Japanese setting values hierarchy, subtlety, and group consensus. These cultural differences, if unmanaged, can lead to misunderstandings, project delays, reduced morale, and a breakdown in trust. The discussion highlighted specific areas of friction, such as the interpretation of silence, communication </w:t>
      </w:r>
      <w:r w:rsidRPr="006F6C75">
        <w:rPr>
          <w:rFonts w:ascii="Arial" w:hAnsi="Arial" w:cs="Arial"/>
        </w:rPr>
        <w:lastRenderedPageBreak/>
        <w:t>mediums, and feedback expectations, which can hinder collaboration if left unaddressed.</w:t>
      </w:r>
    </w:p>
    <w:p w14:paraId="0E05FA36" w14:textId="77777777" w:rsidR="006F6C75" w:rsidRPr="006F6C75" w:rsidRDefault="006F6C75" w:rsidP="00AA64A8">
      <w:pPr>
        <w:spacing w:line="360" w:lineRule="auto"/>
        <w:jc w:val="both"/>
        <w:rPr>
          <w:rFonts w:ascii="Arial" w:hAnsi="Arial" w:cs="Arial"/>
        </w:rPr>
      </w:pPr>
      <w:r w:rsidRPr="006F6C75">
        <w:rPr>
          <w:rFonts w:ascii="Arial" w:hAnsi="Arial" w:cs="Arial"/>
        </w:rPr>
        <w:t>To mitigate these issues, the essay proposed practical strategies including cross-cultural training, appointment of cultural liaisons, multimodal communication tools, and relationship-building initiatives. These approaches aim to foster mutual respect, increase cultural awareness, and support inclusive collaboration. Implementing a unified communication framework that accommodates both cultural styles will be essential for long-term success.</w:t>
      </w:r>
    </w:p>
    <w:p w14:paraId="165CAE54" w14:textId="77777777" w:rsidR="006F6C75" w:rsidRPr="004F04F1" w:rsidRDefault="006F6C75" w:rsidP="00AA64A8">
      <w:pPr>
        <w:spacing w:line="360" w:lineRule="auto"/>
        <w:jc w:val="both"/>
        <w:rPr>
          <w:rFonts w:ascii="Arial" w:hAnsi="Arial" w:cs="Arial"/>
        </w:rPr>
      </w:pPr>
      <w:r w:rsidRPr="006F6C75">
        <w:rPr>
          <w:rFonts w:ascii="Arial" w:hAnsi="Arial" w:cs="Arial"/>
        </w:rPr>
        <w:t>In conclusion, intercultural competence is not only a valuable skill but a strategic necessity in global business. For the Monzo–SMBC partnership to thrive, cultural differences must be seen not as obstacles, but as opportunities to develop more resilient, adaptive, and innovative teams capable of navigating the complexities of international collaboration.</w:t>
      </w:r>
    </w:p>
    <w:p w14:paraId="6AC3292F" w14:textId="77777777" w:rsidR="00BB753F" w:rsidRPr="004F04F1" w:rsidRDefault="00BB753F" w:rsidP="00AA64A8">
      <w:pPr>
        <w:spacing w:line="360" w:lineRule="auto"/>
        <w:jc w:val="both"/>
        <w:rPr>
          <w:rFonts w:ascii="Arial" w:hAnsi="Arial" w:cs="Arial"/>
        </w:rPr>
      </w:pPr>
    </w:p>
    <w:p w14:paraId="666E3468" w14:textId="77777777" w:rsidR="00BB753F" w:rsidRPr="004F04F1" w:rsidRDefault="00BB753F" w:rsidP="00AA64A8">
      <w:pPr>
        <w:spacing w:line="360" w:lineRule="auto"/>
        <w:jc w:val="both"/>
        <w:rPr>
          <w:rFonts w:ascii="Arial" w:hAnsi="Arial" w:cs="Arial"/>
        </w:rPr>
      </w:pPr>
    </w:p>
    <w:p w14:paraId="4783AB62" w14:textId="77777777" w:rsidR="00BB753F" w:rsidRPr="004F04F1" w:rsidRDefault="00BB753F" w:rsidP="00AA64A8">
      <w:pPr>
        <w:spacing w:line="360" w:lineRule="auto"/>
        <w:jc w:val="both"/>
        <w:rPr>
          <w:rFonts w:ascii="Arial" w:hAnsi="Arial" w:cs="Arial"/>
        </w:rPr>
      </w:pPr>
    </w:p>
    <w:p w14:paraId="7AD2ABB2" w14:textId="77777777" w:rsidR="00BB753F" w:rsidRPr="004F04F1" w:rsidRDefault="00BB753F" w:rsidP="00AA64A8">
      <w:pPr>
        <w:spacing w:line="360" w:lineRule="auto"/>
        <w:jc w:val="both"/>
        <w:rPr>
          <w:rFonts w:ascii="Arial" w:hAnsi="Arial" w:cs="Arial"/>
        </w:rPr>
      </w:pPr>
    </w:p>
    <w:p w14:paraId="65AA994B" w14:textId="77777777" w:rsidR="00BB753F" w:rsidRPr="004F04F1" w:rsidRDefault="00BB753F" w:rsidP="00AA64A8">
      <w:pPr>
        <w:spacing w:line="360" w:lineRule="auto"/>
        <w:jc w:val="both"/>
        <w:rPr>
          <w:rFonts w:ascii="Arial" w:hAnsi="Arial" w:cs="Arial"/>
        </w:rPr>
      </w:pPr>
    </w:p>
    <w:p w14:paraId="73C2926B" w14:textId="77777777" w:rsidR="00BB753F" w:rsidRPr="004F04F1" w:rsidRDefault="00BB753F" w:rsidP="00AA64A8">
      <w:pPr>
        <w:spacing w:line="360" w:lineRule="auto"/>
        <w:jc w:val="both"/>
        <w:rPr>
          <w:rFonts w:ascii="Arial" w:hAnsi="Arial" w:cs="Arial"/>
        </w:rPr>
      </w:pPr>
    </w:p>
    <w:p w14:paraId="3B585376" w14:textId="77777777" w:rsidR="00BB753F" w:rsidRPr="004F04F1" w:rsidRDefault="00BB753F" w:rsidP="00AA64A8">
      <w:pPr>
        <w:spacing w:line="360" w:lineRule="auto"/>
        <w:jc w:val="both"/>
        <w:rPr>
          <w:rFonts w:ascii="Arial" w:hAnsi="Arial" w:cs="Arial"/>
        </w:rPr>
      </w:pPr>
    </w:p>
    <w:p w14:paraId="362F7A06" w14:textId="77777777" w:rsidR="00BB753F" w:rsidRPr="004F04F1" w:rsidRDefault="00BB753F" w:rsidP="00AA64A8">
      <w:pPr>
        <w:spacing w:line="360" w:lineRule="auto"/>
        <w:jc w:val="both"/>
        <w:rPr>
          <w:rFonts w:ascii="Arial" w:hAnsi="Arial" w:cs="Arial"/>
        </w:rPr>
      </w:pPr>
    </w:p>
    <w:p w14:paraId="177AC047" w14:textId="77777777" w:rsidR="00BB753F" w:rsidRPr="004F04F1" w:rsidRDefault="00BB753F" w:rsidP="00AA64A8">
      <w:pPr>
        <w:spacing w:line="360" w:lineRule="auto"/>
        <w:jc w:val="both"/>
        <w:rPr>
          <w:rFonts w:ascii="Arial" w:hAnsi="Arial" w:cs="Arial"/>
        </w:rPr>
      </w:pPr>
    </w:p>
    <w:p w14:paraId="535A34A9" w14:textId="77777777" w:rsidR="00BB753F" w:rsidRPr="004F04F1" w:rsidRDefault="00BB753F" w:rsidP="00AA64A8">
      <w:pPr>
        <w:spacing w:line="360" w:lineRule="auto"/>
        <w:jc w:val="both"/>
        <w:rPr>
          <w:rFonts w:ascii="Arial" w:hAnsi="Arial" w:cs="Arial"/>
        </w:rPr>
      </w:pPr>
    </w:p>
    <w:p w14:paraId="0217364D" w14:textId="77777777" w:rsidR="00BB753F" w:rsidRDefault="00BB753F" w:rsidP="00AA64A8">
      <w:pPr>
        <w:spacing w:line="360" w:lineRule="auto"/>
        <w:jc w:val="both"/>
        <w:rPr>
          <w:rFonts w:ascii="Arial" w:hAnsi="Arial" w:cs="Arial"/>
        </w:rPr>
      </w:pPr>
    </w:p>
    <w:p w14:paraId="39BE1CA4" w14:textId="77777777" w:rsidR="00AA64A8" w:rsidRPr="004F04F1" w:rsidRDefault="00AA64A8" w:rsidP="00AA64A8">
      <w:pPr>
        <w:spacing w:line="360" w:lineRule="auto"/>
        <w:jc w:val="both"/>
        <w:rPr>
          <w:rFonts w:ascii="Arial" w:hAnsi="Arial" w:cs="Arial"/>
        </w:rPr>
      </w:pPr>
    </w:p>
    <w:p w14:paraId="3082D8F4" w14:textId="3D4F392D" w:rsidR="00240153" w:rsidRPr="004F04F1" w:rsidRDefault="00BB753F" w:rsidP="00AA64A8">
      <w:pPr>
        <w:pStyle w:val="Heading1"/>
        <w:spacing w:after="160" w:line="360" w:lineRule="auto"/>
        <w:jc w:val="both"/>
        <w:rPr>
          <w:rFonts w:ascii="Arial" w:hAnsi="Arial" w:cs="Arial"/>
        </w:rPr>
      </w:pPr>
      <w:r w:rsidRPr="004F04F1">
        <w:rPr>
          <w:rFonts w:ascii="Arial" w:hAnsi="Arial" w:cs="Arial"/>
        </w:rPr>
        <w:lastRenderedPageBreak/>
        <w:t xml:space="preserve">8. References </w:t>
      </w:r>
    </w:p>
    <w:p w14:paraId="26E9C4AA"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Barquin, S., </w:t>
      </w:r>
      <w:proofErr w:type="spellStart"/>
      <w:r w:rsidRPr="004F04F1">
        <w:rPr>
          <w:rFonts w:ascii="Arial" w:hAnsi="Arial" w:cs="Arial"/>
        </w:rPr>
        <w:t>Buntoro</w:t>
      </w:r>
      <w:proofErr w:type="spellEnd"/>
      <w:r w:rsidRPr="004F04F1">
        <w:rPr>
          <w:rFonts w:ascii="Arial" w:hAnsi="Arial" w:cs="Arial"/>
        </w:rPr>
        <w:t xml:space="preserve">, E., Vinayak, H.V. and Pricillia, I. (2021) </w:t>
      </w:r>
      <w:r w:rsidRPr="004F04F1">
        <w:rPr>
          <w:rFonts w:ascii="Arial" w:hAnsi="Arial" w:cs="Arial"/>
          <w:i/>
          <w:iCs/>
        </w:rPr>
        <w:t>Emerging markets leap forward in digital banking innovation and adoption</w:t>
      </w:r>
      <w:r w:rsidRPr="004F04F1">
        <w:rPr>
          <w:rFonts w:ascii="Arial" w:hAnsi="Arial" w:cs="Arial"/>
        </w:rPr>
        <w:t xml:space="preserve">. McKinsey &amp; Company. Available at: </w:t>
      </w:r>
      <w:hyperlink r:id="rId9" w:history="1">
        <w:r w:rsidRPr="004F04F1">
          <w:rPr>
            <w:rStyle w:val="Hyperlink"/>
            <w:rFonts w:ascii="Arial" w:hAnsi="Arial" w:cs="Arial"/>
          </w:rPr>
          <w:t>Emerging markets leap forward in digital banking innovation and adoption | McKinsey</w:t>
        </w:r>
      </w:hyperlink>
      <w:r w:rsidRPr="004F04F1">
        <w:rPr>
          <w:rFonts w:ascii="Arial" w:hAnsi="Arial" w:cs="Arial"/>
        </w:rPr>
        <w:t>. (Accessed: 27 March 2025).</w:t>
      </w:r>
    </w:p>
    <w:p w14:paraId="712A8100" w14:textId="77777777" w:rsidR="004F04F1" w:rsidRPr="004F04F1" w:rsidRDefault="004F04F1" w:rsidP="00AA64A8">
      <w:pPr>
        <w:pStyle w:val="ListParagraph"/>
        <w:numPr>
          <w:ilvl w:val="0"/>
          <w:numId w:val="4"/>
        </w:numPr>
        <w:spacing w:line="360" w:lineRule="auto"/>
        <w:jc w:val="both"/>
        <w:rPr>
          <w:rFonts w:ascii="Arial" w:hAnsi="Arial" w:cs="Arial"/>
        </w:rPr>
      </w:pPr>
      <w:proofErr w:type="spellStart"/>
      <w:r w:rsidRPr="004F04F1">
        <w:rPr>
          <w:rFonts w:ascii="Arial" w:hAnsi="Arial" w:cs="Arial"/>
        </w:rPr>
        <w:t>Beugelsdijk</w:t>
      </w:r>
      <w:proofErr w:type="spellEnd"/>
      <w:r w:rsidRPr="004F04F1">
        <w:rPr>
          <w:rFonts w:ascii="Arial" w:hAnsi="Arial" w:cs="Arial"/>
        </w:rPr>
        <w:t xml:space="preserve">, S., Kostova, T. and Roth, K. (2017) ‘An overview of Hofstede-inspired country-level culture research in international business since 2006’, </w:t>
      </w:r>
      <w:r w:rsidRPr="004F04F1">
        <w:rPr>
          <w:rFonts w:ascii="Arial" w:hAnsi="Arial" w:cs="Arial"/>
          <w:i/>
          <w:iCs/>
        </w:rPr>
        <w:t>Journal of International Business Studies</w:t>
      </w:r>
      <w:r w:rsidRPr="004F04F1">
        <w:rPr>
          <w:rFonts w:ascii="Arial" w:hAnsi="Arial" w:cs="Arial"/>
        </w:rPr>
        <w:t>, 49(1), pp. 30–47.</w:t>
      </w:r>
    </w:p>
    <w:p w14:paraId="06A3D5A3"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Cardon, P.W. (2008) ‘A critique of Hall’s </w:t>
      </w:r>
      <w:proofErr w:type="spellStart"/>
      <w:r w:rsidRPr="004F04F1">
        <w:rPr>
          <w:rFonts w:ascii="Arial" w:hAnsi="Arial" w:cs="Arial"/>
        </w:rPr>
        <w:t>contexting</w:t>
      </w:r>
      <w:proofErr w:type="spellEnd"/>
      <w:r w:rsidRPr="004F04F1">
        <w:rPr>
          <w:rFonts w:ascii="Arial" w:hAnsi="Arial" w:cs="Arial"/>
        </w:rPr>
        <w:t xml:space="preserve"> model: A meta-analysis of literature on intercultural business and technical communication’, </w:t>
      </w:r>
      <w:r w:rsidRPr="004F04F1">
        <w:rPr>
          <w:rFonts w:ascii="Arial" w:hAnsi="Arial" w:cs="Arial"/>
          <w:i/>
          <w:iCs/>
        </w:rPr>
        <w:t>Journal of Business and Technical Communication</w:t>
      </w:r>
      <w:r w:rsidRPr="004F04F1">
        <w:rPr>
          <w:rFonts w:ascii="Arial" w:hAnsi="Arial" w:cs="Arial"/>
        </w:rPr>
        <w:t>, 22(4), pp. 399–428.</w:t>
      </w:r>
    </w:p>
    <w:p w14:paraId="564792C6"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Country Navigator (2023) 'What are the differences between high context and low context cultures'. Available at: </w:t>
      </w:r>
      <w:hyperlink r:id="rId10" w:tgtFrame="_new" w:history="1">
        <w:r w:rsidRPr="004F04F1">
          <w:rPr>
            <w:rStyle w:val="Hyperlink"/>
            <w:rFonts w:ascii="Arial" w:hAnsi="Arial" w:cs="Arial"/>
          </w:rPr>
          <w:t>https://www.countrynavigator.com/blog/what-are-the-differences-between-high-context-and-low-context-cultures</w:t>
        </w:r>
      </w:hyperlink>
      <w:r w:rsidRPr="004F04F1">
        <w:rPr>
          <w:rFonts w:ascii="Arial" w:hAnsi="Arial" w:cs="Arial"/>
        </w:rPr>
        <w:t xml:space="preserve"> (Accessed: 27 March 2025).</w:t>
      </w:r>
    </w:p>
    <w:p w14:paraId="12D6977D" w14:textId="77777777" w:rsidR="004F04F1" w:rsidRPr="004F04F1" w:rsidRDefault="004F04F1" w:rsidP="00AA64A8">
      <w:pPr>
        <w:pStyle w:val="ListParagraph"/>
        <w:numPr>
          <w:ilvl w:val="0"/>
          <w:numId w:val="4"/>
        </w:numPr>
        <w:spacing w:line="360" w:lineRule="auto"/>
        <w:jc w:val="both"/>
        <w:rPr>
          <w:rFonts w:ascii="Arial" w:hAnsi="Arial" w:cs="Arial"/>
          <w:i/>
          <w:iCs/>
        </w:rPr>
      </w:pPr>
      <w:r w:rsidRPr="004F04F1">
        <w:rPr>
          <w:rFonts w:ascii="Arial" w:hAnsi="Arial" w:cs="Arial"/>
        </w:rPr>
        <w:t xml:space="preserve">Gert Hofstede, (2025). </w:t>
      </w:r>
      <w:r w:rsidRPr="004F04F1">
        <w:rPr>
          <w:rFonts w:ascii="Arial" w:hAnsi="Arial" w:cs="Arial"/>
          <w:i/>
          <w:iCs/>
        </w:rPr>
        <w:t xml:space="preserve">Country comparison bar charts. </w:t>
      </w:r>
      <w:r w:rsidRPr="004F04F1">
        <w:rPr>
          <w:rFonts w:ascii="Arial" w:hAnsi="Arial" w:cs="Arial"/>
        </w:rPr>
        <w:t xml:space="preserve">Available at: </w:t>
      </w:r>
      <w:hyperlink r:id="rId11" w:history="1">
        <w:r w:rsidRPr="004F04F1">
          <w:rPr>
            <w:rStyle w:val="Hyperlink"/>
            <w:rFonts w:ascii="Arial" w:hAnsi="Arial" w:cs="Arial"/>
          </w:rPr>
          <w:t>Country Comparison Bar Charts - Geert Hofstede</w:t>
        </w:r>
      </w:hyperlink>
      <w:r w:rsidRPr="004F04F1">
        <w:rPr>
          <w:rFonts w:ascii="Arial" w:hAnsi="Arial" w:cs="Arial"/>
        </w:rPr>
        <w:t xml:space="preserve">. </w:t>
      </w:r>
    </w:p>
    <w:p w14:paraId="4D7E5CEB"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Guo, W., (2025). Conflict resolution in intercultural communication: strategies for managing cultural conflicts. </w:t>
      </w:r>
      <w:proofErr w:type="spellStart"/>
      <w:r w:rsidRPr="004F04F1">
        <w:rPr>
          <w:rFonts w:ascii="Arial" w:hAnsi="Arial" w:cs="Arial"/>
          <w:i/>
          <w:iCs/>
        </w:rPr>
        <w:t>Humanit</w:t>
      </w:r>
      <w:proofErr w:type="spellEnd"/>
      <w:r w:rsidRPr="004F04F1">
        <w:rPr>
          <w:rFonts w:ascii="Arial" w:hAnsi="Arial" w:cs="Arial"/>
          <w:i/>
          <w:iCs/>
        </w:rPr>
        <w:t xml:space="preserve"> Soc Sci Commun</w:t>
      </w:r>
      <w:r w:rsidRPr="004F04F1">
        <w:rPr>
          <w:rFonts w:ascii="Arial" w:hAnsi="Arial" w:cs="Arial"/>
        </w:rPr>
        <w:t> </w:t>
      </w:r>
      <w:r w:rsidRPr="004F04F1">
        <w:rPr>
          <w:rFonts w:ascii="Arial" w:hAnsi="Arial" w:cs="Arial"/>
          <w:b/>
          <w:bCs/>
        </w:rPr>
        <w:t>12</w:t>
      </w:r>
      <w:r w:rsidRPr="004F04F1">
        <w:rPr>
          <w:rFonts w:ascii="Arial" w:hAnsi="Arial" w:cs="Arial"/>
        </w:rPr>
        <w:t xml:space="preserve">, 73 </w:t>
      </w:r>
    </w:p>
    <w:p w14:paraId="03BF7A4B"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Hall, E.T. (1976) </w:t>
      </w:r>
      <w:r w:rsidRPr="004F04F1">
        <w:rPr>
          <w:rFonts w:ascii="Arial" w:hAnsi="Arial" w:cs="Arial"/>
          <w:i/>
          <w:iCs/>
        </w:rPr>
        <w:t>Beyond Culture</w:t>
      </w:r>
      <w:r w:rsidRPr="004F04F1">
        <w:rPr>
          <w:rFonts w:ascii="Arial" w:hAnsi="Arial" w:cs="Arial"/>
        </w:rPr>
        <w:t>. New York: Anchor Books.</w:t>
      </w:r>
    </w:p>
    <w:p w14:paraId="63C33755"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Hofstede, G. (2001) </w:t>
      </w:r>
      <w:r w:rsidRPr="004F04F1">
        <w:rPr>
          <w:rFonts w:ascii="Arial" w:hAnsi="Arial" w:cs="Arial"/>
          <w:i/>
          <w:iCs/>
        </w:rPr>
        <w:t xml:space="preserve">Culture’s Consequences: Comparing Values, </w:t>
      </w:r>
      <w:proofErr w:type="spellStart"/>
      <w:r w:rsidRPr="004F04F1">
        <w:rPr>
          <w:rFonts w:ascii="Arial" w:hAnsi="Arial" w:cs="Arial"/>
          <w:i/>
          <w:iCs/>
        </w:rPr>
        <w:t>Behaviors</w:t>
      </w:r>
      <w:proofErr w:type="spellEnd"/>
      <w:r w:rsidRPr="004F04F1">
        <w:rPr>
          <w:rFonts w:ascii="Arial" w:hAnsi="Arial" w:cs="Arial"/>
          <w:i/>
          <w:iCs/>
        </w:rPr>
        <w:t>, Institutions and Organizations Across Nations</w:t>
      </w:r>
      <w:r w:rsidRPr="004F04F1">
        <w:rPr>
          <w:rFonts w:ascii="Arial" w:hAnsi="Arial" w:cs="Arial"/>
        </w:rPr>
        <w:t xml:space="preserve">. 2nd </w:t>
      </w:r>
      <w:proofErr w:type="spellStart"/>
      <w:r w:rsidRPr="004F04F1">
        <w:rPr>
          <w:rFonts w:ascii="Arial" w:hAnsi="Arial" w:cs="Arial"/>
        </w:rPr>
        <w:t>edn</w:t>
      </w:r>
      <w:proofErr w:type="spellEnd"/>
      <w:r w:rsidRPr="004F04F1">
        <w:rPr>
          <w:rFonts w:ascii="Arial" w:hAnsi="Arial" w:cs="Arial"/>
        </w:rPr>
        <w:t>. Thousand Oaks, CA: Sage.</w:t>
      </w:r>
    </w:p>
    <w:p w14:paraId="532E9889"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Imai, L. and Gelfand, M.J. (2010) ‘The culturally intelligent negotiator: The impact of cultural intelligence (CQ) on negotiation sequences and outcomes’, </w:t>
      </w:r>
      <w:r w:rsidRPr="004F04F1">
        <w:rPr>
          <w:rFonts w:ascii="Arial" w:hAnsi="Arial" w:cs="Arial"/>
          <w:i/>
          <w:iCs/>
        </w:rPr>
        <w:t xml:space="preserve">Organizational </w:t>
      </w:r>
      <w:proofErr w:type="spellStart"/>
      <w:r w:rsidRPr="004F04F1">
        <w:rPr>
          <w:rFonts w:ascii="Arial" w:hAnsi="Arial" w:cs="Arial"/>
          <w:i/>
          <w:iCs/>
        </w:rPr>
        <w:t>behavior</w:t>
      </w:r>
      <w:proofErr w:type="spellEnd"/>
      <w:r w:rsidRPr="004F04F1">
        <w:rPr>
          <w:rFonts w:ascii="Arial" w:hAnsi="Arial" w:cs="Arial"/>
          <w:i/>
          <w:iCs/>
        </w:rPr>
        <w:t xml:space="preserve"> and human decision processes</w:t>
      </w:r>
      <w:r w:rsidRPr="004F04F1">
        <w:rPr>
          <w:rFonts w:ascii="Arial" w:hAnsi="Arial" w:cs="Arial"/>
        </w:rPr>
        <w:t>, 112(2), pp. 83–98.</w:t>
      </w:r>
    </w:p>
    <w:p w14:paraId="3D9EA5BF"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Inoue, T. and Ishikawa, J. (2023) ‘Prospects for a Central Bank Digital Currency in Japan, and Three Use Scenarios for Individuals’, </w:t>
      </w:r>
      <w:r w:rsidRPr="004F04F1">
        <w:rPr>
          <w:rFonts w:ascii="Arial" w:hAnsi="Arial" w:cs="Arial"/>
          <w:i/>
          <w:iCs/>
        </w:rPr>
        <w:t>NRI Journal</w:t>
      </w:r>
      <w:r w:rsidRPr="004F04F1">
        <w:rPr>
          <w:rFonts w:ascii="Arial" w:hAnsi="Arial" w:cs="Arial"/>
        </w:rPr>
        <w:t xml:space="preserve">, 6 July. Financial Market &amp; Digital Business Research Department. Available at: </w:t>
      </w:r>
      <w:hyperlink r:id="rId12" w:history="1">
        <w:r w:rsidRPr="004F04F1">
          <w:rPr>
            <w:rStyle w:val="Hyperlink"/>
            <w:rFonts w:ascii="Arial" w:hAnsi="Arial" w:cs="Arial"/>
          </w:rPr>
          <w:t>Prospects for a Central Bank Digital Currency in Japan, and Three Use Scenarios for Individuals | NRI JOURNAL | Nomura Research Institute (NRI)</w:t>
        </w:r>
      </w:hyperlink>
      <w:r w:rsidRPr="004F04F1">
        <w:rPr>
          <w:rFonts w:ascii="Arial" w:hAnsi="Arial" w:cs="Arial"/>
        </w:rPr>
        <w:t xml:space="preserve"> (Accessed: 27 March 2025).</w:t>
      </w:r>
    </w:p>
    <w:p w14:paraId="0A497266"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lastRenderedPageBreak/>
        <w:t xml:space="preserve">Language Insight (2021) 'How does culture affect international business in Japan?'. Available at: </w:t>
      </w:r>
      <w:hyperlink r:id="rId13" w:tgtFrame="_new" w:history="1">
        <w:r w:rsidRPr="004F04F1">
          <w:rPr>
            <w:rStyle w:val="Hyperlink"/>
            <w:rFonts w:ascii="Arial" w:hAnsi="Arial" w:cs="Arial"/>
          </w:rPr>
          <w:t>https://languageinsight.com/blog/2021/culture-business-japan-2/</w:t>
        </w:r>
      </w:hyperlink>
      <w:r w:rsidRPr="004F04F1">
        <w:rPr>
          <w:rFonts w:ascii="Arial" w:hAnsi="Arial" w:cs="Arial"/>
        </w:rPr>
        <w:t xml:space="preserve"> (Accessed: 27 March 2025).</w:t>
      </w:r>
    </w:p>
    <w:p w14:paraId="3EB656A5"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Lewis, R.D. (2018) </w:t>
      </w:r>
      <w:r w:rsidRPr="004F04F1">
        <w:rPr>
          <w:rFonts w:ascii="Arial" w:hAnsi="Arial" w:cs="Arial"/>
          <w:i/>
          <w:iCs/>
        </w:rPr>
        <w:t>When Cultures Collide: Leading Across Cultures</w:t>
      </w:r>
      <w:r w:rsidRPr="004F04F1">
        <w:rPr>
          <w:rFonts w:ascii="Arial" w:hAnsi="Arial" w:cs="Arial"/>
        </w:rPr>
        <w:t xml:space="preserve">. </w:t>
      </w:r>
      <w:proofErr w:type="gramStart"/>
      <w:r w:rsidRPr="004F04F1">
        <w:rPr>
          <w:rFonts w:ascii="Arial" w:hAnsi="Arial" w:cs="Arial"/>
        </w:rPr>
        <w:t>4rd</w:t>
      </w:r>
      <w:proofErr w:type="gramEnd"/>
      <w:r w:rsidRPr="004F04F1">
        <w:rPr>
          <w:rFonts w:ascii="Arial" w:hAnsi="Arial" w:cs="Arial"/>
        </w:rPr>
        <w:t xml:space="preserve"> </w:t>
      </w:r>
      <w:proofErr w:type="spellStart"/>
      <w:r w:rsidRPr="004F04F1">
        <w:rPr>
          <w:rFonts w:ascii="Arial" w:hAnsi="Arial" w:cs="Arial"/>
        </w:rPr>
        <w:t>edn</w:t>
      </w:r>
      <w:proofErr w:type="spellEnd"/>
      <w:r w:rsidRPr="004F04F1">
        <w:rPr>
          <w:rFonts w:ascii="Arial" w:hAnsi="Arial" w:cs="Arial"/>
        </w:rPr>
        <w:t>. Boston: Nicholas Brealey Publishing.</w:t>
      </w:r>
    </w:p>
    <w:p w14:paraId="7426DC7E"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Meyer, E. (2021) ‘The Culture Map: Breaking Through the Invisible Boundaries of Global Business’, </w:t>
      </w:r>
      <w:r w:rsidRPr="004F04F1">
        <w:rPr>
          <w:rFonts w:ascii="Arial" w:hAnsi="Arial" w:cs="Arial"/>
          <w:i/>
          <w:iCs/>
        </w:rPr>
        <w:t>Interior design</w:t>
      </w:r>
      <w:r w:rsidRPr="004F04F1">
        <w:rPr>
          <w:rFonts w:ascii="Arial" w:hAnsi="Arial" w:cs="Arial"/>
        </w:rPr>
        <w:t>. Boca Raton: Sandow Media, pp. 222-.</w:t>
      </w:r>
    </w:p>
    <w:p w14:paraId="11E5C4D6"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Saha, D. (Ed.). (2018). </w:t>
      </w:r>
      <w:r w:rsidRPr="004F04F1">
        <w:rPr>
          <w:rFonts w:ascii="Arial" w:hAnsi="Arial" w:cs="Arial"/>
          <w:i/>
          <w:iCs/>
        </w:rPr>
        <w:t>Advances in Data Communications and Networking for Digital Business Transformation</w:t>
      </w:r>
      <w:r w:rsidRPr="004F04F1">
        <w:rPr>
          <w:rFonts w:ascii="Arial" w:hAnsi="Arial" w:cs="Arial"/>
        </w:rPr>
        <w:t>. IGI Global.</w:t>
      </w:r>
    </w:p>
    <w:p w14:paraId="36BD1159"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Stahl, G.K. </w:t>
      </w:r>
      <w:r w:rsidRPr="004F04F1">
        <w:rPr>
          <w:rFonts w:ascii="Arial" w:hAnsi="Arial" w:cs="Arial"/>
          <w:i/>
          <w:iCs/>
        </w:rPr>
        <w:t>et al.</w:t>
      </w:r>
      <w:r w:rsidRPr="004F04F1">
        <w:rPr>
          <w:rFonts w:ascii="Arial" w:hAnsi="Arial" w:cs="Arial"/>
        </w:rPr>
        <w:t> (2010) ‘</w:t>
      </w:r>
      <w:proofErr w:type="spellStart"/>
      <w:r w:rsidRPr="004F04F1">
        <w:rPr>
          <w:rFonts w:ascii="Arial" w:hAnsi="Arial" w:cs="Arial"/>
        </w:rPr>
        <w:t>Unraveling</w:t>
      </w:r>
      <w:proofErr w:type="spellEnd"/>
      <w:r w:rsidRPr="004F04F1">
        <w:rPr>
          <w:rFonts w:ascii="Arial" w:hAnsi="Arial" w:cs="Arial"/>
        </w:rPr>
        <w:t xml:space="preserve"> the effects of cultural diversity in teams: A meta-analysis of research on multicultural work groups’, </w:t>
      </w:r>
      <w:r w:rsidRPr="004F04F1">
        <w:rPr>
          <w:rFonts w:ascii="Arial" w:hAnsi="Arial" w:cs="Arial"/>
          <w:i/>
          <w:iCs/>
        </w:rPr>
        <w:t>Journal of international business studies</w:t>
      </w:r>
      <w:r w:rsidRPr="004F04F1">
        <w:rPr>
          <w:rFonts w:ascii="Arial" w:hAnsi="Arial" w:cs="Arial"/>
        </w:rPr>
        <w:t>, 41(4), pp. 690–709</w:t>
      </w:r>
    </w:p>
    <w:p w14:paraId="0E4F4160"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Takai, J. (2003) ‘Current trends of intercultural communication research in Japan’, </w:t>
      </w:r>
      <w:r w:rsidRPr="004F04F1">
        <w:rPr>
          <w:rFonts w:ascii="Arial" w:hAnsi="Arial" w:cs="Arial"/>
          <w:i/>
          <w:iCs/>
        </w:rPr>
        <w:t>The Annual Report of Educational Psychology in Japan</w:t>
      </w:r>
      <w:r w:rsidRPr="004F04F1">
        <w:rPr>
          <w:rFonts w:ascii="Arial" w:hAnsi="Arial" w:cs="Arial"/>
        </w:rPr>
        <w:t>, 42, pp. 240–254.</w:t>
      </w:r>
    </w:p>
    <w:p w14:paraId="118BC2A4" w14:textId="77777777" w:rsidR="004F04F1" w:rsidRPr="004F04F1" w:rsidRDefault="004F04F1" w:rsidP="00AA64A8">
      <w:pPr>
        <w:pStyle w:val="ListParagraph"/>
        <w:numPr>
          <w:ilvl w:val="0"/>
          <w:numId w:val="4"/>
        </w:numPr>
        <w:spacing w:line="360" w:lineRule="auto"/>
        <w:jc w:val="both"/>
        <w:rPr>
          <w:rFonts w:ascii="Arial" w:hAnsi="Arial" w:cs="Arial"/>
        </w:rPr>
      </w:pPr>
      <w:r w:rsidRPr="004F04F1">
        <w:rPr>
          <w:rFonts w:ascii="Arial" w:hAnsi="Arial" w:cs="Arial"/>
        </w:rPr>
        <w:t xml:space="preserve">Warburton, K. (n.d.) </w:t>
      </w:r>
      <w:r w:rsidRPr="004F04F1">
        <w:rPr>
          <w:rFonts w:ascii="Arial" w:hAnsi="Arial" w:cs="Arial"/>
          <w:i/>
          <w:iCs/>
        </w:rPr>
        <w:t>British Business Communication Styles</w:t>
      </w:r>
      <w:r w:rsidRPr="004F04F1">
        <w:rPr>
          <w:rFonts w:ascii="Arial" w:hAnsi="Arial" w:cs="Arial"/>
        </w:rPr>
        <w:t xml:space="preserve">. World Business Culture. Available at: </w:t>
      </w:r>
      <w:hyperlink r:id="rId14" w:history="1">
        <w:r w:rsidRPr="004F04F1">
          <w:rPr>
            <w:rStyle w:val="Hyperlink"/>
            <w:rFonts w:ascii="Arial" w:hAnsi="Arial" w:cs="Arial"/>
          </w:rPr>
          <w:t>British Communication Styles | World Business Culture</w:t>
        </w:r>
      </w:hyperlink>
      <w:r w:rsidRPr="004F04F1">
        <w:rPr>
          <w:rFonts w:ascii="Arial" w:hAnsi="Arial" w:cs="Arial"/>
        </w:rPr>
        <w:t xml:space="preserve"> (Accessed: 27 March 2025).</w:t>
      </w:r>
    </w:p>
    <w:p w14:paraId="1AA79842" w14:textId="77777777" w:rsidR="00BB753F" w:rsidRPr="004F04F1" w:rsidRDefault="00BB753F" w:rsidP="00AA64A8">
      <w:pPr>
        <w:spacing w:line="360" w:lineRule="auto"/>
        <w:jc w:val="both"/>
        <w:rPr>
          <w:rFonts w:ascii="Arial" w:hAnsi="Arial" w:cs="Arial"/>
        </w:rPr>
      </w:pPr>
    </w:p>
    <w:p w14:paraId="4771FC71" w14:textId="77777777" w:rsidR="005B04A5" w:rsidRPr="004F04F1" w:rsidRDefault="005B04A5" w:rsidP="00AA64A8">
      <w:pPr>
        <w:spacing w:line="360" w:lineRule="auto"/>
        <w:jc w:val="both"/>
        <w:rPr>
          <w:rFonts w:ascii="Arial" w:hAnsi="Arial" w:cs="Arial"/>
        </w:rPr>
      </w:pPr>
    </w:p>
    <w:p w14:paraId="75EEAF7D" w14:textId="77777777" w:rsidR="00473D5D" w:rsidRPr="004F04F1" w:rsidRDefault="00473D5D" w:rsidP="00AA64A8">
      <w:pPr>
        <w:spacing w:line="360" w:lineRule="auto"/>
        <w:jc w:val="both"/>
        <w:rPr>
          <w:rFonts w:ascii="Arial" w:hAnsi="Arial" w:cs="Arial"/>
        </w:rPr>
      </w:pPr>
    </w:p>
    <w:sectPr w:rsidR="00473D5D" w:rsidRPr="004F04F1" w:rsidSect="006F6C75">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9DE38" w14:textId="77777777" w:rsidR="00756185" w:rsidRDefault="00756185" w:rsidP="006F6C75">
      <w:pPr>
        <w:spacing w:after="0" w:line="240" w:lineRule="auto"/>
      </w:pPr>
      <w:r>
        <w:separator/>
      </w:r>
    </w:p>
  </w:endnote>
  <w:endnote w:type="continuationSeparator" w:id="0">
    <w:p w14:paraId="4012368D" w14:textId="77777777" w:rsidR="00756185" w:rsidRDefault="00756185" w:rsidP="006F6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5C720" w14:textId="77777777" w:rsidR="00756185" w:rsidRDefault="00756185" w:rsidP="006F6C75">
      <w:pPr>
        <w:spacing w:after="0" w:line="240" w:lineRule="auto"/>
      </w:pPr>
      <w:r>
        <w:separator/>
      </w:r>
    </w:p>
  </w:footnote>
  <w:footnote w:type="continuationSeparator" w:id="0">
    <w:p w14:paraId="4162558F" w14:textId="77777777" w:rsidR="00756185" w:rsidRDefault="00756185" w:rsidP="006F6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20259"/>
      <w:docPartObj>
        <w:docPartGallery w:val="Page Numbers (Top of Page)"/>
        <w:docPartUnique/>
      </w:docPartObj>
    </w:sdtPr>
    <w:sdtEndPr>
      <w:rPr>
        <w:noProof/>
      </w:rPr>
    </w:sdtEndPr>
    <w:sdtContent>
      <w:p w14:paraId="14EDDCAF" w14:textId="7AC3BFB6" w:rsidR="006F6C75" w:rsidRDefault="006F6C7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23D652" w14:textId="77777777" w:rsidR="006F6C75" w:rsidRDefault="006F6C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05A9B"/>
    <w:multiLevelType w:val="hybridMultilevel"/>
    <w:tmpl w:val="7D0A5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D23BF"/>
    <w:multiLevelType w:val="hybridMultilevel"/>
    <w:tmpl w:val="A962A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66585F"/>
    <w:multiLevelType w:val="hybridMultilevel"/>
    <w:tmpl w:val="870AF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CB6B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75940161">
    <w:abstractNumId w:val="2"/>
  </w:num>
  <w:num w:numId="2" w16cid:durableId="1772508557">
    <w:abstractNumId w:val="0"/>
  </w:num>
  <w:num w:numId="3" w16cid:durableId="894118309">
    <w:abstractNumId w:val="1"/>
  </w:num>
  <w:num w:numId="4" w16cid:durableId="2832694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AA"/>
    <w:rsid w:val="00014EAA"/>
    <w:rsid w:val="00087C82"/>
    <w:rsid w:val="000A5800"/>
    <w:rsid w:val="000B29A3"/>
    <w:rsid w:val="0011637B"/>
    <w:rsid w:val="00134479"/>
    <w:rsid w:val="00151083"/>
    <w:rsid w:val="00186382"/>
    <w:rsid w:val="001A6049"/>
    <w:rsid w:val="001D7B9F"/>
    <w:rsid w:val="001E6105"/>
    <w:rsid w:val="0022525A"/>
    <w:rsid w:val="00240153"/>
    <w:rsid w:val="002A2656"/>
    <w:rsid w:val="002D33F6"/>
    <w:rsid w:val="003A74E0"/>
    <w:rsid w:val="003B79F4"/>
    <w:rsid w:val="00414D36"/>
    <w:rsid w:val="00465A7A"/>
    <w:rsid w:val="00472BEF"/>
    <w:rsid w:val="00473D5D"/>
    <w:rsid w:val="004934AA"/>
    <w:rsid w:val="00497020"/>
    <w:rsid w:val="004C769F"/>
    <w:rsid w:val="004E37D9"/>
    <w:rsid w:val="004F04F1"/>
    <w:rsid w:val="00502337"/>
    <w:rsid w:val="00516A65"/>
    <w:rsid w:val="00584CE4"/>
    <w:rsid w:val="005B04A5"/>
    <w:rsid w:val="005D317C"/>
    <w:rsid w:val="005D5C17"/>
    <w:rsid w:val="006F6C75"/>
    <w:rsid w:val="00756185"/>
    <w:rsid w:val="007B10AD"/>
    <w:rsid w:val="007E6368"/>
    <w:rsid w:val="007F7645"/>
    <w:rsid w:val="00872A81"/>
    <w:rsid w:val="0094240C"/>
    <w:rsid w:val="00A40D80"/>
    <w:rsid w:val="00A43964"/>
    <w:rsid w:val="00AA64A8"/>
    <w:rsid w:val="00BA4935"/>
    <w:rsid w:val="00BB753F"/>
    <w:rsid w:val="00DC7A51"/>
    <w:rsid w:val="00E370A8"/>
    <w:rsid w:val="00EF20AA"/>
    <w:rsid w:val="00F17F3D"/>
    <w:rsid w:val="00F44893"/>
    <w:rsid w:val="00F53434"/>
    <w:rsid w:val="00FB5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11F12"/>
  <w15:chartTrackingRefBased/>
  <w15:docId w15:val="{4B0D475A-7734-4A47-B8FD-451B58281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3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4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934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4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4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4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4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4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3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93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4AA"/>
    <w:rPr>
      <w:rFonts w:eastAsiaTheme="majorEastAsia" w:cstheme="majorBidi"/>
      <w:color w:val="272727" w:themeColor="text1" w:themeTint="D8"/>
    </w:rPr>
  </w:style>
  <w:style w:type="paragraph" w:styleId="Title">
    <w:name w:val="Title"/>
    <w:basedOn w:val="Normal"/>
    <w:next w:val="Normal"/>
    <w:link w:val="TitleChar"/>
    <w:uiPriority w:val="10"/>
    <w:qFormat/>
    <w:rsid w:val="004934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4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4AA"/>
    <w:pPr>
      <w:spacing w:before="160"/>
      <w:jc w:val="center"/>
    </w:pPr>
    <w:rPr>
      <w:i/>
      <w:iCs/>
      <w:color w:val="404040" w:themeColor="text1" w:themeTint="BF"/>
    </w:rPr>
  </w:style>
  <w:style w:type="character" w:customStyle="1" w:styleId="QuoteChar">
    <w:name w:val="Quote Char"/>
    <w:basedOn w:val="DefaultParagraphFont"/>
    <w:link w:val="Quote"/>
    <w:uiPriority w:val="29"/>
    <w:rsid w:val="004934AA"/>
    <w:rPr>
      <w:i/>
      <w:iCs/>
      <w:color w:val="404040" w:themeColor="text1" w:themeTint="BF"/>
    </w:rPr>
  </w:style>
  <w:style w:type="paragraph" w:styleId="ListParagraph">
    <w:name w:val="List Paragraph"/>
    <w:basedOn w:val="Normal"/>
    <w:uiPriority w:val="34"/>
    <w:qFormat/>
    <w:rsid w:val="004934AA"/>
    <w:pPr>
      <w:ind w:left="720"/>
      <w:contextualSpacing/>
    </w:pPr>
  </w:style>
  <w:style w:type="character" w:styleId="IntenseEmphasis">
    <w:name w:val="Intense Emphasis"/>
    <w:basedOn w:val="DefaultParagraphFont"/>
    <w:uiPriority w:val="21"/>
    <w:qFormat/>
    <w:rsid w:val="004934AA"/>
    <w:rPr>
      <w:i/>
      <w:iCs/>
      <w:color w:val="0F4761" w:themeColor="accent1" w:themeShade="BF"/>
    </w:rPr>
  </w:style>
  <w:style w:type="paragraph" w:styleId="IntenseQuote">
    <w:name w:val="Intense Quote"/>
    <w:basedOn w:val="Normal"/>
    <w:next w:val="Normal"/>
    <w:link w:val="IntenseQuoteChar"/>
    <w:uiPriority w:val="30"/>
    <w:qFormat/>
    <w:rsid w:val="004934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4AA"/>
    <w:rPr>
      <w:i/>
      <w:iCs/>
      <w:color w:val="0F4761" w:themeColor="accent1" w:themeShade="BF"/>
    </w:rPr>
  </w:style>
  <w:style w:type="character" w:styleId="IntenseReference">
    <w:name w:val="Intense Reference"/>
    <w:basedOn w:val="DefaultParagraphFont"/>
    <w:uiPriority w:val="32"/>
    <w:qFormat/>
    <w:rsid w:val="004934AA"/>
    <w:rPr>
      <w:b/>
      <w:bCs/>
      <w:smallCaps/>
      <w:color w:val="0F4761" w:themeColor="accent1" w:themeShade="BF"/>
      <w:spacing w:val="5"/>
    </w:rPr>
  </w:style>
  <w:style w:type="character" w:styleId="Hyperlink">
    <w:name w:val="Hyperlink"/>
    <w:basedOn w:val="DefaultParagraphFont"/>
    <w:uiPriority w:val="99"/>
    <w:unhideWhenUsed/>
    <w:rsid w:val="00F53434"/>
    <w:rPr>
      <w:color w:val="467886" w:themeColor="hyperlink"/>
      <w:u w:val="single"/>
    </w:rPr>
  </w:style>
  <w:style w:type="character" w:styleId="UnresolvedMention">
    <w:name w:val="Unresolved Mention"/>
    <w:basedOn w:val="DefaultParagraphFont"/>
    <w:uiPriority w:val="99"/>
    <w:semiHidden/>
    <w:unhideWhenUsed/>
    <w:rsid w:val="00F53434"/>
    <w:rPr>
      <w:color w:val="605E5C"/>
      <w:shd w:val="clear" w:color="auto" w:fill="E1DFDD"/>
    </w:rPr>
  </w:style>
  <w:style w:type="paragraph" w:styleId="Header">
    <w:name w:val="header"/>
    <w:basedOn w:val="Normal"/>
    <w:link w:val="HeaderChar"/>
    <w:uiPriority w:val="99"/>
    <w:unhideWhenUsed/>
    <w:rsid w:val="006F6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C75"/>
  </w:style>
  <w:style w:type="paragraph" w:styleId="Footer">
    <w:name w:val="footer"/>
    <w:basedOn w:val="Normal"/>
    <w:link w:val="FooterChar"/>
    <w:uiPriority w:val="99"/>
    <w:unhideWhenUsed/>
    <w:rsid w:val="006F6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C75"/>
  </w:style>
  <w:style w:type="paragraph" w:styleId="TOCHeading">
    <w:name w:val="TOC Heading"/>
    <w:basedOn w:val="Heading1"/>
    <w:next w:val="Normal"/>
    <w:uiPriority w:val="39"/>
    <w:unhideWhenUsed/>
    <w:qFormat/>
    <w:rsid w:val="00F4489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4893"/>
    <w:pPr>
      <w:spacing w:after="100"/>
    </w:pPr>
  </w:style>
  <w:style w:type="paragraph" w:styleId="TOC2">
    <w:name w:val="toc 2"/>
    <w:basedOn w:val="Normal"/>
    <w:next w:val="Normal"/>
    <w:autoRedefine/>
    <w:uiPriority w:val="39"/>
    <w:unhideWhenUsed/>
    <w:rsid w:val="00F44893"/>
    <w:pPr>
      <w:spacing w:after="100"/>
      <w:ind w:left="240"/>
    </w:pPr>
  </w:style>
  <w:style w:type="character" w:styleId="FollowedHyperlink">
    <w:name w:val="FollowedHyperlink"/>
    <w:basedOn w:val="DefaultParagraphFont"/>
    <w:uiPriority w:val="99"/>
    <w:semiHidden/>
    <w:unhideWhenUsed/>
    <w:rsid w:val="004F04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660100">
      <w:bodyDiv w:val="1"/>
      <w:marLeft w:val="0"/>
      <w:marRight w:val="0"/>
      <w:marTop w:val="0"/>
      <w:marBottom w:val="0"/>
      <w:divBdr>
        <w:top w:val="none" w:sz="0" w:space="0" w:color="auto"/>
        <w:left w:val="none" w:sz="0" w:space="0" w:color="auto"/>
        <w:bottom w:val="none" w:sz="0" w:space="0" w:color="auto"/>
        <w:right w:val="none" w:sz="0" w:space="0" w:color="auto"/>
      </w:divBdr>
    </w:div>
    <w:div w:id="630791590">
      <w:bodyDiv w:val="1"/>
      <w:marLeft w:val="0"/>
      <w:marRight w:val="0"/>
      <w:marTop w:val="0"/>
      <w:marBottom w:val="0"/>
      <w:divBdr>
        <w:top w:val="none" w:sz="0" w:space="0" w:color="auto"/>
        <w:left w:val="none" w:sz="0" w:space="0" w:color="auto"/>
        <w:bottom w:val="none" w:sz="0" w:space="0" w:color="auto"/>
        <w:right w:val="none" w:sz="0" w:space="0" w:color="auto"/>
      </w:divBdr>
    </w:div>
    <w:div w:id="757482603">
      <w:bodyDiv w:val="1"/>
      <w:marLeft w:val="0"/>
      <w:marRight w:val="0"/>
      <w:marTop w:val="0"/>
      <w:marBottom w:val="0"/>
      <w:divBdr>
        <w:top w:val="none" w:sz="0" w:space="0" w:color="auto"/>
        <w:left w:val="none" w:sz="0" w:space="0" w:color="auto"/>
        <w:bottom w:val="none" w:sz="0" w:space="0" w:color="auto"/>
        <w:right w:val="none" w:sz="0" w:space="0" w:color="auto"/>
      </w:divBdr>
    </w:div>
    <w:div w:id="840006443">
      <w:bodyDiv w:val="1"/>
      <w:marLeft w:val="0"/>
      <w:marRight w:val="0"/>
      <w:marTop w:val="0"/>
      <w:marBottom w:val="0"/>
      <w:divBdr>
        <w:top w:val="none" w:sz="0" w:space="0" w:color="auto"/>
        <w:left w:val="none" w:sz="0" w:space="0" w:color="auto"/>
        <w:bottom w:val="none" w:sz="0" w:space="0" w:color="auto"/>
        <w:right w:val="none" w:sz="0" w:space="0" w:color="auto"/>
      </w:divBdr>
    </w:div>
    <w:div w:id="1294092369">
      <w:bodyDiv w:val="1"/>
      <w:marLeft w:val="0"/>
      <w:marRight w:val="0"/>
      <w:marTop w:val="0"/>
      <w:marBottom w:val="0"/>
      <w:divBdr>
        <w:top w:val="none" w:sz="0" w:space="0" w:color="auto"/>
        <w:left w:val="none" w:sz="0" w:space="0" w:color="auto"/>
        <w:bottom w:val="none" w:sz="0" w:space="0" w:color="auto"/>
        <w:right w:val="none" w:sz="0" w:space="0" w:color="auto"/>
      </w:divBdr>
    </w:div>
    <w:div w:id="139639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anguageinsight.com/blog/2021/culture-business-japan-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ri.com/en/media/journal/20230706.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erthofstede.com/country-comparison-bar-chart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ountrynavigator.com/blog/what-are-the-differences-between-high-context-and-low-context-cultures" TargetMode="External"/><Relationship Id="rId4" Type="http://schemas.openxmlformats.org/officeDocument/2006/relationships/settings" Target="settings.xml"/><Relationship Id="rId9" Type="http://schemas.openxmlformats.org/officeDocument/2006/relationships/hyperlink" Target="https://www.mckinsey.com/industries/financial-services/our-insights/emerging-markets-leap-forward-in-digital-banking-innovation-and-adoption" TargetMode="External"/><Relationship Id="rId14" Type="http://schemas.openxmlformats.org/officeDocument/2006/relationships/hyperlink" Target="https://www.worldbusinessculture.com/country-profiles/great-britain/business-communication-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69B30-9E00-4F0C-8BAE-A427C7DDF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3631</Words>
  <Characters>20700</Characters>
  <Application>Microsoft Office Word</Application>
  <DocSecurity>0</DocSecurity>
  <Lines>172</Lines>
  <Paragraphs>48</Paragraphs>
  <ScaleCrop>false</ScaleCrop>
  <Company/>
  <LinksUpToDate>false</LinksUpToDate>
  <CharactersWithSpaces>24283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Simona Silvia Guita (2235981)</cp:lastModifiedBy>
  <cp:revision>2</cp:revision>
  <dcterms:created xsi:type="dcterms:W3CDTF">2025-03-27T20:48:00Z</dcterms:created>
  <dcterms:modified xsi:type="dcterms:W3CDTF">2025-03-27T20:48:00Z</dcterms:modified>
</cp:coreProperties>
</file>