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CBC89" w14:textId="77777777" w:rsidR="00C6446F" w:rsidRDefault="00C6446F">
      <w:pPr>
        <w:spacing w:line="360" w:lineRule="auto"/>
        <w:jc w:val="center"/>
        <w:rPr>
          <w:rFonts w:ascii="Arial" w:eastAsia="Arial" w:hAnsi="Arial" w:cs="Arial"/>
          <w:b/>
        </w:rPr>
      </w:pPr>
    </w:p>
    <w:p w14:paraId="2E29A345" w14:textId="77777777" w:rsidR="00C6446F" w:rsidRDefault="00895D85">
      <w:pPr>
        <w:spacing w:line="360" w:lineRule="auto"/>
        <w:jc w:val="center"/>
        <w:rPr>
          <w:rFonts w:ascii="Arial" w:eastAsia="Arial" w:hAnsi="Arial" w:cs="Arial"/>
          <w:b/>
        </w:rPr>
      </w:pPr>
      <w:r>
        <w:rPr>
          <w:rFonts w:ascii="Arial" w:eastAsia="Arial" w:hAnsi="Arial" w:cs="Arial"/>
          <w:b/>
          <w:noProof/>
        </w:rPr>
        <w:drawing>
          <wp:inline distT="0" distB="0" distL="0" distR="0" wp14:anchorId="7A1BD114" wp14:editId="1830F34A">
            <wp:extent cx="2331720" cy="1219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2331922" cy="1219306"/>
                    </a:xfrm>
                    <a:prstGeom prst="rect">
                      <a:avLst/>
                    </a:prstGeom>
                  </pic:spPr>
                </pic:pic>
              </a:graphicData>
            </a:graphic>
          </wp:inline>
        </w:drawing>
      </w:r>
    </w:p>
    <w:p w14:paraId="0E695D32" w14:textId="77777777" w:rsidR="00C6446F" w:rsidRDefault="00895D85">
      <w:pPr>
        <w:spacing w:line="360" w:lineRule="auto"/>
        <w:jc w:val="center"/>
        <w:rPr>
          <w:rFonts w:ascii="Arial" w:eastAsia="Arial" w:hAnsi="Arial" w:cs="Arial"/>
          <w:b/>
          <w:sz w:val="28"/>
          <w:szCs w:val="28"/>
        </w:rPr>
      </w:pPr>
      <w:r>
        <w:rPr>
          <w:rFonts w:ascii="Arial" w:eastAsia="Arial" w:hAnsi="Arial" w:cs="Arial"/>
          <w:b/>
          <w:sz w:val="28"/>
          <w:szCs w:val="28"/>
        </w:rPr>
        <w:t>Assignment: Component 1</w:t>
      </w:r>
    </w:p>
    <w:p w14:paraId="7B28F372" w14:textId="77777777" w:rsidR="00C6446F" w:rsidRDefault="00895D85">
      <w:pPr>
        <w:spacing w:line="360" w:lineRule="auto"/>
        <w:jc w:val="center"/>
        <w:rPr>
          <w:rFonts w:ascii="Arial" w:eastAsia="Arial" w:hAnsi="Arial" w:cs="Arial"/>
          <w:b/>
          <w:sz w:val="28"/>
          <w:szCs w:val="28"/>
        </w:rPr>
      </w:pPr>
      <w:r>
        <w:rPr>
          <w:rFonts w:ascii="Arial" w:eastAsia="Arial" w:hAnsi="Arial" w:cs="Arial"/>
          <w:b/>
          <w:sz w:val="28"/>
          <w:szCs w:val="28"/>
        </w:rPr>
        <w:t>Programme: MSc Public Health and Social Care in Practice</w:t>
      </w:r>
    </w:p>
    <w:p w14:paraId="6D1043AA" w14:textId="77777777" w:rsidR="00C6446F" w:rsidRDefault="00895D85">
      <w:pPr>
        <w:spacing w:line="360" w:lineRule="auto"/>
        <w:jc w:val="center"/>
        <w:rPr>
          <w:rFonts w:ascii="Arial" w:eastAsia="Arial" w:hAnsi="Arial" w:cs="Arial"/>
          <w:b/>
          <w:sz w:val="28"/>
          <w:szCs w:val="28"/>
        </w:rPr>
      </w:pPr>
      <w:r>
        <w:rPr>
          <w:rFonts w:ascii="Arial" w:eastAsia="Arial" w:hAnsi="Arial" w:cs="Arial"/>
          <w:b/>
          <w:sz w:val="28"/>
          <w:szCs w:val="28"/>
        </w:rPr>
        <w:t>Module: Population Health and Digital Health Promotion</w:t>
      </w:r>
    </w:p>
    <w:p w14:paraId="2400B64A" w14:textId="77777777" w:rsidR="00C6446F" w:rsidRDefault="00895D85">
      <w:pPr>
        <w:spacing w:line="360" w:lineRule="auto"/>
        <w:jc w:val="center"/>
        <w:rPr>
          <w:rFonts w:ascii="Arial" w:eastAsia="Arial" w:hAnsi="Arial" w:cs="Arial"/>
        </w:rPr>
      </w:pPr>
      <w:r>
        <w:rPr>
          <w:rFonts w:ascii="Arial" w:eastAsia="Arial" w:hAnsi="Arial" w:cs="Arial"/>
        </w:rPr>
        <w:t>Module Code: LCHS7009</w:t>
      </w:r>
    </w:p>
    <w:p w14:paraId="5BC7C668" w14:textId="77777777" w:rsidR="00895D85" w:rsidRDefault="00895D85">
      <w:pPr>
        <w:spacing w:line="360" w:lineRule="auto"/>
        <w:jc w:val="center"/>
        <w:rPr>
          <w:rFonts w:ascii="Arial" w:eastAsia="Arial" w:hAnsi="Arial" w:cs="Arial"/>
        </w:rPr>
      </w:pPr>
      <w:r>
        <w:rPr>
          <w:rFonts w:ascii="Arial" w:eastAsia="Arial" w:hAnsi="Arial" w:cs="Arial"/>
        </w:rPr>
        <w:t>Student Name:Pati Asha</w:t>
      </w:r>
    </w:p>
    <w:p w14:paraId="4A5DED27" w14:textId="78F8ACB5" w:rsidR="00C6446F" w:rsidRDefault="00895D85">
      <w:pPr>
        <w:spacing w:line="360" w:lineRule="auto"/>
        <w:jc w:val="center"/>
        <w:rPr>
          <w:rFonts w:ascii="Arial" w:eastAsia="Arial" w:hAnsi="Arial" w:cs="Arial"/>
        </w:rPr>
      </w:pPr>
      <w:r>
        <w:rPr>
          <w:rFonts w:ascii="Arial" w:eastAsia="Arial" w:hAnsi="Arial" w:cs="Arial"/>
        </w:rPr>
        <w:t xml:space="preserve"> Student Id:2513192</w:t>
      </w:r>
    </w:p>
    <w:p w14:paraId="105FDAD2" w14:textId="77777777" w:rsidR="00C6446F" w:rsidRDefault="00895D85">
      <w:pPr>
        <w:spacing w:line="360" w:lineRule="auto"/>
        <w:jc w:val="both"/>
        <w:rPr>
          <w:rFonts w:ascii="Arial" w:eastAsia="Arial" w:hAnsi="Arial" w:cs="Arial"/>
          <w:b/>
        </w:rPr>
      </w:pPr>
      <w:r>
        <w:br w:type="page"/>
      </w:r>
    </w:p>
    <w:p w14:paraId="485A621C" w14:textId="77777777" w:rsidR="00C6446F" w:rsidRDefault="00895D85">
      <w:pPr>
        <w:keepNext/>
        <w:keepLines/>
        <w:spacing w:before="240" w:after="0" w:line="360" w:lineRule="auto"/>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rPr>
          <w:szCs w:val="24"/>
        </w:rPr>
        <w:id w:val="-1928415399"/>
        <w:docPartObj>
          <w:docPartGallery w:val="Table of Contents"/>
          <w:docPartUnique/>
        </w:docPartObj>
      </w:sdtPr>
      <w:sdtEndPr/>
      <w:sdtContent>
        <w:p w14:paraId="4E72B260" w14:textId="77777777" w:rsidR="00C6446F" w:rsidRDefault="00895D85" w:rsidP="00895D85">
          <w:pPr>
            <w:pStyle w:val="TOC1"/>
            <w:tabs>
              <w:tab w:val="right" w:pos="9350"/>
            </w:tabs>
            <w:jc w:val="both"/>
            <w:rPr>
              <w:rFonts w:ascii="Arial" w:hAnsi="Arial" w:cs="Arial"/>
            </w:rPr>
          </w:pPr>
          <w:r>
            <w:fldChar w:fldCharType="begin"/>
          </w:r>
          <w:r>
            <w:instrText xml:space="preserve"> TOC \h \u \z \t "Heading 1,1,Heading 2,2,Heading 3,3,"</w:instrText>
          </w:r>
          <w:r>
            <w:fldChar w:fldCharType="separate"/>
          </w:r>
          <w:hyperlink w:anchor="_Toc222439002" w:history="1">
            <w:r>
              <w:rPr>
                <w:rStyle w:val="Hyperlink"/>
                <w:rFonts w:ascii="Arial" w:eastAsia="Arial" w:hAnsi="Arial" w:cs="Arial"/>
              </w:rPr>
              <w:t>Blog 1: Wearable Fitness Trackers Really Promote Physical Activity</w:t>
            </w:r>
            <w:r>
              <w:rPr>
                <w:rFonts w:ascii="Arial" w:hAnsi="Arial" w:cs="Arial"/>
              </w:rPr>
              <w:tab/>
            </w:r>
            <w:r>
              <w:rPr>
                <w:rFonts w:ascii="Arial" w:hAnsi="Arial" w:cs="Arial"/>
              </w:rPr>
              <w:fldChar w:fldCharType="begin"/>
            </w:r>
            <w:r>
              <w:rPr>
                <w:rFonts w:ascii="Arial" w:hAnsi="Arial" w:cs="Arial"/>
              </w:rPr>
              <w:instrText xml:space="preserve"> PAGEREF _Toc222439002 \h </w:instrText>
            </w:r>
            <w:r>
              <w:rPr>
                <w:rFonts w:ascii="Arial" w:hAnsi="Arial" w:cs="Arial"/>
              </w:rPr>
            </w:r>
            <w:r>
              <w:rPr>
                <w:rFonts w:ascii="Arial" w:hAnsi="Arial" w:cs="Arial"/>
              </w:rPr>
              <w:fldChar w:fldCharType="separate"/>
            </w:r>
            <w:r>
              <w:rPr>
                <w:rFonts w:ascii="Arial" w:hAnsi="Arial" w:cs="Arial"/>
              </w:rPr>
              <w:t>3</w:t>
            </w:r>
            <w:r>
              <w:rPr>
                <w:rFonts w:ascii="Arial" w:hAnsi="Arial" w:cs="Arial"/>
              </w:rPr>
              <w:fldChar w:fldCharType="end"/>
            </w:r>
          </w:hyperlink>
        </w:p>
        <w:p w14:paraId="2131DD6D" w14:textId="77777777" w:rsidR="00C6446F" w:rsidRDefault="00895D85" w:rsidP="00895D85">
          <w:pPr>
            <w:pStyle w:val="TOC1"/>
            <w:tabs>
              <w:tab w:val="right" w:pos="9350"/>
            </w:tabs>
            <w:jc w:val="both"/>
            <w:rPr>
              <w:rFonts w:ascii="Arial" w:hAnsi="Arial" w:cs="Arial"/>
            </w:rPr>
          </w:pPr>
          <w:hyperlink w:anchor="_Toc222439003" w:history="1">
            <w:r>
              <w:rPr>
                <w:rStyle w:val="Hyperlink"/>
                <w:rFonts w:ascii="Arial" w:eastAsia="Arial" w:hAnsi="Arial" w:cs="Arial"/>
              </w:rPr>
              <w:t>Reference List</w:t>
            </w:r>
            <w:r>
              <w:rPr>
                <w:rFonts w:ascii="Arial" w:hAnsi="Arial" w:cs="Arial"/>
              </w:rPr>
              <w:tab/>
            </w:r>
            <w:r>
              <w:rPr>
                <w:rFonts w:ascii="Arial" w:hAnsi="Arial" w:cs="Arial"/>
              </w:rPr>
              <w:fldChar w:fldCharType="begin"/>
            </w:r>
            <w:r>
              <w:rPr>
                <w:rFonts w:ascii="Arial" w:hAnsi="Arial" w:cs="Arial"/>
              </w:rPr>
              <w:instrText xml:space="preserve"> PAGEREF _Toc222439003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11085C31" w14:textId="77777777" w:rsidR="00C6446F" w:rsidRDefault="00895D85" w:rsidP="00895D85">
          <w:pPr>
            <w:pStyle w:val="TOC1"/>
            <w:tabs>
              <w:tab w:val="right" w:pos="9350"/>
            </w:tabs>
            <w:jc w:val="both"/>
            <w:rPr>
              <w:rFonts w:ascii="Arial" w:hAnsi="Arial" w:cs="Arial"/>
            </w:rPr>
          </w:pPr>
          <w:hyperlink w:anchor="_Toc222439004" w:history="1">
            <w:r>
              <w:rPr>
                <w:rStyle w:val="Hyperlink"/>
                <w:rFonts w:ascii="Arial" w:eastAsia="Arial" w:hAnsi="Arial" w:cs="Arial"/>
              </w:rPr>
              <w:t>Blog 2: ActiveLife+ — Designing Smarter Digital Health Promotion</w:t>
            </w:r>
            <w:r>
              <w:rPr>
                <w:rFonts w:ascii="Arial" w:hAnsi="Arial" w:cs="Arial"/>
              </w:rPr>
              <w:tab/>
            </w:r>
            <w:r>
              <w:rPr>
                <w:rFonts w:ascii="Arial" w:hAnsi="Arial" w:cs="Arial"/>
              </w:rPr>
              <w:fldChar w:fldCharType="begin"/>
            </w:r>
            <w:r>
              <w:rPr>
                <w:rFonts w:ascii="Arial" w:hAnsi="Arial" w:cs="Arial"/>
              </w:rPr>
              <w:instrText xml:space="preserve"> PAGEREF _Toc222439004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08C5831E" w14:textId="77777777" w:rsidR="00C6446F" w:rsidRDefault="00895D85" w:rsidP="00895D85">
          <w:pPr>
            <w:pStyle w:val="TOC1"/>
            <w:tabs>
              <w:tab w:val="right" w:pos="9350"/>
            </w:tabs>
            <w:jc w:val="both"/>
          </w:pPr>
          <w:hyperlink w:anchor="_Toc222439005" w:history="1">
            <w:r>
              <w:rPr>
                <w:rStyle w:val="Hyperlink"/>
                <w:rFonts w:ascii="Arial" w:eastAsia="Arial" w:hAnsi="Arial" w:cs="Arial"/>
              </w:rPr>
              <w:t>Reference list</w:t>
            </w:r>
            <w:r>
              <w:rPr>
                <w:rFonts w:ascii="Arial" w:hAnsi="Arial" w:cs="Arial"/>
              </w:rPr>
              <w:tab/>
            </w:r>
            <w:r>
              <w:rPr>
                <w:rFonts w:ascii="Arial" w:hAnsi="Arial" w:cs="Arial"/>
              </w:rPr>
              <w:fldChar w:fldCharType="begin"/>
            </w:r>
            <w:r>
              <w:rPr>
                <w:rFonts w:ascii="Arial" w:hAnsi="Arial" w:cs="Arial"/>
              </w:rPr>
              <w:instrText xml:space="preserve"> PAGEREF _Toc222439005 \h </w:instrText>
            </w:r>
            <w:r>
              <w:rPr>
                <w:rFonts w:ascii="Arial" w:hAnsi="Arial" w:cs="Arial"/>
              </w:rPr>
            </w:r>
            <w:r>
              <w:rPr>
                <w:rFonts w:ascii="Arial" w:hAnsi="Arial" w:cs="Arial"/>
              </w:rPr>
              <w:fldChar w:fldCharType="separate"/>
            </w:r>
            <w:r>
              <w:rPr>
                <w:rFonts w:ascii="Arial" w:hAnsi="Arial" w:cs="Arial"/>
              </w:rPr>
              <w:t>9</w:t>
            </w:r>
            <w:r>
              <w:rPr>
                <w:rFonts w:ascii="Arial" w:hAnsi="Arial" w:cs="Arial"/>
              </w:rPr>
              <w:fldChar w:fldCharType="end"/>
            </w:r>
          </w:hyperlink>
        </w:p>
        <w:p w14:paraId="1C43DC09" w14:textId="77777777" w:rsidR="00C6446F" w:rsidRDefault="00895D85" w:rsidP="00895D85">
          <w:pPr>
            <w:spacing w:line="360" w:lineRule="auto"/>
            <w:jc w:val="both"/>
            <w:rPr>
              <w:rFonts w:ascii="Arial" w:eastAsia="Arial" w:hAnsi="Arial" w:cs="Arial"/>
            </w:rPr>
          </w:pPr>
          <w:r>
            <w:fldChar w:fldCharType="end"/>
          </w:r>
        </w:p>
      </w:sdtContent>
    </w:sdt>
    <w:p w14:paraId="725CF958" w14:textId="77777777" w:rsidR="00C6446F" w:rsidRDefault="00895D85" w:rsidP="00895D85">
      <w:pPr>
        <w:spacing w:line="360" w:lineRule="auto"/>
        <w:jc w:val="both"/>
        <w:rPr>
          <w:rFonts w:ascii="Arial" w:eastAsia="Arial" w:hAnsi="Arial" w:cs="Arial"/>
          <w:b/>
        </w:rPr>
      </w:pPr>
      <w:r>
        <w:br w:type="page"/>
      </w:r>
    </w:p>
    <w:p w14:paraId="73D68805" w14:textId="77777777" w:rsidR="00C6446F" w:rsidRDefault="00895D85" w:rsidP="00895D85">
      <w:pPr>
        <w:pStyle w:val="Heading1"/>
        <w:spacing w:line="360" w:lineRule="auto"/>
        <w:jc w:val="both"/>
        <w:rPr>
          <w:rFonts w:ascii="Arial" w:eastAsia="Arial" w:hAnsi="Arial" w:cs="Arial"/>
        </w:rPr>
      </w:pPr>
      <w:bookmarkStart w:id="0" w:name="_Toc222439002"/>
      <w:r>
        <w:rPr>
          <w:rFonts w:ascii="Arial" w:eastAsia="Arial" w:hAnsi="Arial" w:cs="Arial"/>
        </w:rPr>
        <w:lastRenderedPageBreak/>
        <w:t>Blog 1: Wearable Fitness Trackers Really Promote Physical Activity</w:t>
      </w:r>
      <w:bookmarkEnd w:id="0"/>
    </w:p>
    <w:p w14:paraId="082D2D1E" w14:textId="77777777" w:rsidR="00C6446F" w:rsidRDefault="00895D85" w:rsidP="00895D85">
      <w:pPr>
        <w:spacing w:line="360" w:lineRule="auto"/>
        <w:jc w:val="both"/>
        <w:rPr>
          <w:rFonts w:ascii="Arial" w:eastAsia="Arial" w:hAnsi="Arial" w:cs="Arial"/>
          <w:b/>
        </w:rPr>
      </w:pPr>
      <w:r>
        <w:rPr>
          <w:rFonts w:ascii="Arial" w:eastAsia="Arial" w:hAnsi="Arial" w:cs="Arial"/>
          <w:b/>
        </w:rPr>
        <w:t>Health Issue in the Community: Physical Inactivity</w:t>
      </w:r>
    </w:p>
    <w:p w14:paraId="482890C5" w14:textId="77777777" w:rsidR="00C6446F" w:rsidRDefault="00895D85" w:rsidP="00895D85">
      <w:pPr>
        <w:spacing w:line="360" w:lineRule="auto"/>
        <w:jc w:val="both"/>
        <w:rPr>
          <w:rFonts w:ascii="Arial" w:eastAsia="Arial" w:hAnsi="Arial" w:cs="Arial"/>
        </w:rPr>
      </w:pPr>
      <w:r>
        <w:rPr>
          <w:rFonts w:ascii="Arial" w:eastAsia="Arial" w:hAnsi="Arial" w:cs="Arial"/>
        </w:rPr>
        <w:t>One of the health problems of the population is obesity. The World Health Organisation (WHO) supports this fact by noting that about 27.5 percent of the adult population across the world is not exercising as much as it is recommended, which places them at risk of cardiovascular diseases, obesity, type 2 diabetes, and mental health problems. Sedentary lives are largely related to desk-based jobs and increased time at the screen which is majorly common in city societies. This helps in avoidable chronic illness and medical spending and thus is physical inactivity.</w:t>
      </w:r>
    </w:p>
    <w:p w14:paraId="5746AA3C" w14:textId="77777777" w:rsidR="00C6446F" w:rsidRDefault="00895D85" w:rsidP="00895D85">
      <w:pPr>
        <w:spacing w:line="360" w:lineRule="auto"/>
        <w:jc w:val="center"/>
        <w:rPr>
          <w:rFonts w:ascii="Arial" w:eastAsia="Arial" w:hAnsi="Arial" w:cs="Arial"/>
        </w:rPr>
      </w:pPr>
      <w:r>
        <w:rPr>
          <w:rFonts w:ascii="Arial" w:eastAsia="Arial" w:hAnsi="Arial" w:cs="Arial"/>
          <w:noProof/>
        </w:rPr>
        <w:drawing>
          <wp:inline distT="0" distB="0" distL="0" distR="0" wp14:anchorId="28F21DA6" wp14:editId="280A9ADD">
            <wp:extent cx="2546350" cy="3454400"/>
            <wp:effectExtent l="0" t="0" r="635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8"/>
                    <a:srcRect/>
                    <a:stretch>
                      <a:fillRect/>
                    </a:stretch>
                  </pic:blipFill>
                  <pic:spPr>
                    <a:xfrm>
                      <a:off x="0" y="0"/>
                      <a:ext cx="2546575" cy="3454705"/>
                    </a:xfrm>
                    <a:prstGeom prst="rect">
                      <a:avLst/>
                    </a:prstGeom>
                  </pic:spPr>
                </pic:pic>
              </a:graphicData>
            </a:graphic>
          </wp:inline>
        </w:drawing>
      </w:r>
    </w:p>
    <w:p w14:paraId="4CFDA360" w14:textId="77777777" w:rsidR="00C6446F" w:rsidRDefault="00895D85" w:rsidP="00895D85">
      <w:pPr>
        <w:spacing w:line="360" w:lineRule="auto"/>
        <w:jc w:val="center"/>
        <w:rPr>
          <w:rFonts w:ascii="Arial" w:eastAsia="Arial" w:hAnsi="Arial" w:cs="Arial"/>
          <w:b/>
        </w:rPr>
      </w:pPr>
      <w:r>
        <w:rPr>
          <w:rFonts w:ascii="Arial" w:eastAsia="Arial" w:hAnsi="Arial" w:cs="Arial"/>
          <w:b/>
        </w:rPr>
        <w:t>Diagram: Impact of Wearable Fitness Trackers on Physical Activity</w:t>
      </w:r>
    </w:p>
    <w:p w14:paraId="39718313" w14:textId="0A760F02" w:rsidR="00C6446F" w:rsidRDefault="00895D85" w:rsidP="00895D85">
      <w:pPr>
        <w:spacing w:line="360" w:lineRule="auto"/>
        <w:jc w:val="center"/>
        <w:rPr>
          <w:rFonts w:ascii="Arial" w:eastAsia="Arial" w:hAnsi="Arial" w:cs="Arial"/>
          <w:lang w:val="en-IN"/>
        </w:rPr>
      </w:pPr>
      <w:r>
        <w:rPr>
          <w:rFonts w:ascii="Arial" w:eastAsia="Arial" w:hAnsi="Arial" w:cs="Arial"/>
        </w:rPr>
        <w:t>(Source: Self-created)</w:t>
      </w:r>
    </w:p>
    <w:p w14:paraId="52BE4AA4" w14:textId="77777777" w:rsidR="00C6446F" w:rsidRDefault="00C6446F" w:rsidP="00895D85">
      <w:pPr>
        <w:spacing w:line="360" w:lineRule="auto"/>
        <w:jc w:val="center"/>
        <w:rPr>
          <w:rFonts w:ascii="Arial" w:eastAsia="Arial" w:hAnsi="Arial" w:cs="Arial"/>
          <w:lang w:val="en-IN"/>
        </w:rPr>
      </w:pPr>
    </w:p>
    <w:p w14:paraId="2FBCAFBE" w14:textId="77777777" w:rsidR="00C6446F" w:rsidRDefault="00895D85" w:rsidP="00895D85">
      <w:pPr>
        <w:spacing w:line="360" w:lineRule="auto"/>
        <w:jc w:val="both"/>
        <w:rPr>
          <w:rFonts w:ascii="Arial" w:eastAsia="Arial" w:hAnsi="Arial" w:cs="Arial"/>
          <w:b/>
        </w:rPr>
      </w:pPr>
      <w:r>
        <w:rPr>
          <w:rFonts w:ascii="Arial" w:eastAsia="Arial" w:hAnsi="Arial" w:cs="Arial"/>
          <w:b/>
        </w:rPr>
        <w:t xml:space="preserve">Technology in </w:t>
      </w:r>
      <w:r>
        <w:rPr>
          <w:rFonts w:ascii="Arial" w:eastAsia="Arial" w:hAnsi="Arial" w:cs="Arial"/>
          <w:b/>
          <w:lang w:val="en-IN"/>
        </w:rPr>
        <w:t>Question:</w:t>
      </w:r>
      <w:r>
        <w:rPr>
          <w:rFonts w:ascii="Arial" w:eastAsia="Arial" w:hAnsi="Arial" w:cs="Arial"/>
          <w:b/>
        </w:rPr>
        <w:t xml:space="preserve"> Wearable Fitness Trackers</w:t>
      </w:r>
    </w:p>
    <w:p w14:paraId="74AEDEBE"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The wearable fitness </w:t>
      </w:r>
      <w:r>
        <w:rPr>
          <w:rFonts w:ascii="Arial" w:eastAsia="Arial" w:hAnsi="Arial" w:cs="Arial"/>
          <w:lang w:val="en-IN"/>
        </w:rPr>
        <w:t>trackers,</w:t>
      </w:r>
      <w:r>
        <w:rPr>
          <w:rFonts w:ascii="Arial" w:eastAsia="Arial" w:hAnsi="Arial" w:cs="Arial"/>
        </w:rPr>
        <w:t xml:space="preserve"> such as the Fitbit, Apple Health, and Google Fit can be listed as the digital health promotion tools which are the most popular. According to (Lewis </w:t>
      </w:r>
      <w:r>
        <w:rPr>
          <w:rFonts w:ascii="Arial" w:eastAsia="Arial" w:hAnsi="Arial" w:cs="Arial"/>
        </w:rPr>
        <w:lastRenderedPageBreak/>
        <w:t>et al. 2020) devices monitor the calories burned, steps, heart rate and sleep patterns and activity level. They will make users more active and self-direct their health by providing real-time feedback, reminders, and goal-setting capabilities.</w:t>
      </w:r>
    </w:p>
    <w:p w14:paraId="73A40D3D" w14:textId="77777777" w:rsidR="00C6446F" w:rsidRDefault="00895D85" w:rsidP="00895D85">
      <w:pPr>
        <w:spacing w:line="360" w:lineRule="auto"/>
        <w:jc w:val="both"/>
        <w:rPr>
          <w:rFonts w:ascii="Arial" w:eastAsia="Arial" w:hAnsi="Arial" w:cs="Arial"/>
        </w:rPr>
      </w:pPr>
      <w:r>
        <w:rPr>
          <w:rFonts w:ascii="Arial" w:eastAsia="Arial" w:hAnsi="Arial" w:cs="Arial"/>
          <w:b/>
        </w:rPr>
        <w:t>Evidence of Effectiveness</w:t>
      </w:r>
    </w:p>
    <w:p w14:paraId="779CE4DA"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The use of wearable trackers in supporting physical activity has been supported by research evidence. According to Shadare (2024), the commercial wearables available today (Apple and Fitbit) are reliable in predicting the intensity of physical activity and enhancing awareness of the user about daily movement. Equally, a longitudinal randomised controlled trial conducted by Zahrt </w:t>
      </w:r>
      <w:r>
        <w:rPr>
          <w:rFonts w:ascii="Arial" w:eastAsia="Arial" w:hAnsi="Arial" w:cs="Arial"/>
          <w:i/>
        </w:rPr>
        <w:t>et al.,</w:t>
      </w:r>
      <w:r>
        <w:rPr>
          <w:rFonts w:ascii="Arial" w:eastAsia="Arial" w:hAnsi="Arial" w:cs="Arial"/>
        </w:rPr>
        <w:t xml:space="preserve"> (2023) proved that wearable devices have positive effects and impact, especially when users feel that their activity is sufficient. George </w:t>
      </w:r>
      <w:r>
        <w:rPr>
          <w:rFonts w:ascii="Arial" w:eastAsia="Arial" w:hAnsi="Arial" w:cs="Arial"/>
          <w:i/>
        </w:rPr>
        <w:t>et al.,</w:t>
      </w:r>
      <w:r>
        <w:rPr>
          <w:rFonts w:ascii="Arial" w:eastAsia="Arial" w:hAnsi="Arial" w:cs="Arial"/>
        </w:rPr>
        <w:t xml:space="preserve"> (2023) also emphasise that wearable sensors improve long-term involvement in health monitoring as they render health data visible and actionable.</w:t>
      </w:r>
    </w:p>
    <w:p w14:paraId="59047D99" w14:textId="77777777" w:rsidR="00C6446F" w:rsidRDefault="00895D85" w:rsidP="00895D85">
      <w:pPr>
        <w:spacing w:line="360" w:lineRule="auto"/>
        <w:jc w:val="both"/>
        <w:rPr>
          <w:rFonts w:ascii="Arial" w:eastAsia="Arial" w:hAnsi="Arial" w:cs="Arial"/>
          <w:b/>
        </w:rPr>
      </w:pPr>
      <w:r>
        <w:rPr>
          <w:rFonts w:ascii="Arial" w:eastAsia="Arial" w:hAnsi="Arial" w:cs="Arial"/>
          <w:b/>
        </w:rPr>
        <w:t>Strengths and Limitations: Critical Impact</w:t>
      </w:r>
    </w:p>
    <w:p w14:paraId="1C5340E8"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The benefits of wearable fitness trackers are continuous monitoring, personalised feedback and greater motivation due to gamification and goal tracking. They can be scaled, comparatively cheap, and can be easily incorporated into everyday life. However, limitations exist. According to He </w:t>
      </w:r>
      <w:r>
        <w:rPr>
          <w:rFonts w:ascii="Arial" w:eastAsia="Arial" w:hAnsi="Arial" w:cs="Arial"/>
          <w:i/>
        </w:rPr>
        <w:t>et al</w:t>
      </w:r>
      <w:r>
        <w:rPr>
          <w:rFonts w:ascii="Arial" w:eastAsia="Arial" w:hAnsi="Arial" w:cs="Arial"/>
        </w:rPr>
        <w:t>., (2025), the engagement of the users has a tendency to decrease with time. According to (Lynch et al. 2020) Wearables can also enhance guilt or anxiety among users who do not meet goals, and it might not be accurate across populations. Also, there is unequal access, the issue of cost, digital literacy and privacy of data can lock out needy groups.</w:t>
      </w:r>
    </w:p>
    <w:p w14:paraId="40EDD474" w14:textId="77777777" w:rsidR="00C6446F" w:rsidRDefault="00895D85" w:rsidP="00895D85">
      <w:pPr>
        <w:spacing w:line="360" w:lineRule="auto"/>
        <w:jc w:val="both"/>
        <w:rPr>
          <w:rFonts w:ascii="Arial" w:eastAsia="Arial" w:hAnsi="Arial" w:cs="Arial"/>
          <w:b/>
        </w:rPr>
      </w:pPr>
      <w:r>
        <w:rPr>
          <w:rFonts w:ascii="Arial" w:eastAsia="Arial" w:hAnsi="Arial" w:cs="Arial"/>
          <w:b/>
        </w:rPr>
        <w:t>Addressing the Shortfalls</w:t>
      </w:r>
    </w:p>
    <w:p w14:paraId="7EFC4D9D" w14:textId="77777777" w:rsidR="00C6446F" w:rsidRDefault="00895D85" w:rsidP="00895D85">
      <w:pPr>
        <w:spacing w:line="360" w:lineRule="auto"/>
        <w:jc w:val="both"/>
        <w:rPr>
          <w:rFonts w:ascii="Arial" w:eastAsia="Arial" w:hAnsi="Arial" w:cs="Arial"/>
        </w:rPr>
      </w:pPr>
      <w:r>
        <w:rPr>
          <w:rFonts w:ascii="Arial" w:eastAsia="Arial" w:hAnsi="Arial" w:cs="Arial"/>
        </w:rPr>
        <w:t>However, wearable technologies will also require behavioral support, inclusive design and mental-health-sensitive feedback. Subsidised social devices that can be made easy to use and have stronger data governance can assist in checking inequality and creating deeper, sustained engagement.</w:t>
      </w:r>
    </w:p>
    <w:p w14:paraId="303A7A52" w14:textId="77777777" w:rsidR="00C6446F" w:rsidRDefault="00895D85" w:rsidP="00895D85">
      <w:pPr>
        <w:pStyle w:val="Heading1"/>
        <w:spacing w:line="360" w:lineRule="auto"/>
        <w:jc w:val="both"/>
        <w:rPr>
          <w:rFonts w:ascii="Arial" w:eastAsia="Arial" w:hAnsi="Arial" w:cs="Arial"/>
        </w:rPr>
      </w:pPr>
      <w:bookmarkStart w:id="1" w:name="_Toc222439003"/>
      <w:r>
        <w:rPr>
          <w:rFonts w:ascii="Arial" w:eastAsia="Arial" w:hAnsi="Arial" w:cs="Arial"/>
        </w:rPr>
        <w:lastRenderedPageBreak/>
        <w:t>Reference List</w:t>
      </w:r>
      <w:bookmarkEnd w:id="1"/>
    </w:p>
    <w:p w14:paraId="4E73600C" w14:textId="77777777" w:rsidR="00C6446F" w:rsidRDefault="00895D85" w:rsidP="00895D85">
      <w:pPr>
        <w:numPr>
          <w:ilvl w:val="0"/>
          <w:numId w:val="1"/>
        </w:numPr>
        <w:spacing w:line="360" w:lineRule="auto"/>
        <w:jc w:val="both"/>
        <w:rPr>
          <w:rFonts w:ascii="Arial" w:hAnsi="Arial" w:cs="Arial"/>
          <w:lang w:val="en-GB"/>
        </w:rPr>
      </w:pPr>
      <w:r>
        <w:rPr>
          <w:rFonts w:ascii="Arial" w:hAnsi="Arial" w:cs="Arial"/>
          <w:lang w:val="en-GB"/>
        </w:rPr>
        <w:t>George, A.H., Shahul, A. and George, A.S., 2023. Wearable sensors: A new way to track health and wellness. </w:t>
      </w:r>
      <w:r>
        <w:rPr>
          <w:rFonts w:ascii="Arial" w:hAnsi="Arial" w:cs="Arial"/>
          <w:i/>
          <w:iCs/>
          <w:lang w:val="en-GB"/>
        </w:rPr>
        <w:t>Partners Universal International Innovation Journal</w:t>
      </w:r>
      <w:r>
        <w:rPr>
          <w:rFonts w:ascii="Arial" w:hAnsi="Arial" w:cs="Arial"/>
          <w:lang w:val="en-GB"/>
        </w:rPr>
        <w:t>, </w:t>
      </w:r>
      <w:r>
        <w:rPr>
          <w:rFonts w:ascii="Arial" w:hAnsi="Arial" w:cs="Arial"/>
          <w:i/>
          <w:iCs/>
          <w:lang w:val="en-GB"/>
        </w:rPr>
        <w:t>1</w:t>
      </w:r>
      <w:r>
        <w:rPr>
          <w:rFonts w:ascii="Arial" w:hAnsi="Arial" w:cs="Arial"/>
          <w:lang w:val="en-GB"/>
        </w:rPr>
        <w:t>(4), pp.15-34.</w:t>
      </w:r>
    </w:p>
    <w:p w14:paraId="3B389868" w14:textId="77777777" w:rsidR="00C6446F" w:rsidRDefault="00895D85" w:rsidP="00895D85">
      <w:pPr>
        <w:numPr>
          <w:ilvl w:val="0"/>
          <w:numId w:val="1"/>
        </w:numPr>
        <w:spacing w:line="360" w:lineRule="auto"/>
        <w:jc w:val="both"/>
        <w:rPr>
          <w:rFonts w:ascii="Arial" w:hAnsi="Arial" w:cs="Arial"/>
          <w:lang w:val="en-IN"/>
        </w:rPr>
      </w:pPr>
      <w:r>
        <w:rPr>
          <w:rFonts w:ascii="Arial" w:hAnsi="Arial" w:cs="Arial"/>
        </w:rPr>
        <w:t>Lewis, Z.H., Pritting, L., Picazo, A.L. and JeanMarie-Tucker, M., 2020. The utility of wearable fitness trackers and implications for increased engagement: An exploratory, mixed methods observational study. </w:t>
      </w:r>
      <w:r>
        <w:rPr>
          <w:rFonts w:ascii="Arial" w:hAnsi="Arial" w:cs="Arial"/>
          <w:i/>
          <w:iCs/>
        </w:rPr>
        <w:t>Digital health</w:t>
      </w:r>
      <w:r>
        <w:rPr>
          <w:rFonts w:ascii="Arial" w:hAnsi="Arial" w:cs="Arial"/>
        </w:rPr>
        <w:t>, </w:t>
      </w:r>
      <w:r>
        <w:rPr>
          <w:rFonts w:ascii="Arial" w:hAnsi="Arial" w:cs="Arial"/>
          <w:i/>
          <w:iCs/>
        </w:rPr>
        <w:t>6</w:t>
      </w:r>
      <w:r>
        <w:rPr>
          <w:rFonts w:ascii="Arial" w:hAnsi="Arial" w:cs="Arial"/>
        </w:rPr>
        <w:t>, p.2055207619900059.</w:t>
      </w:r>
    </w:p>
    <w:p w14:paraId="053BA4C7" w14:textId="77777777" w:rsidR="00C6446F" w:rsidRDefault="00895D85" w:rsidP="00895D85">
      <w:pPr>
        <w:numPr>
          <w:ilvl w:val="0"/>
          <w:numId w:val="1"/>
        </w:numPr>
        <w:spacing w:line="360" w:lineRule="auto"/>
        <w:jc w:val="both"/>
        <w:rPr>
          <w:rFonts w:ascii="Arial" w:hAnsi="Arial" w:cs="Arial"/>
        </w:rPr>
      </w:pPr>
      <w:r>
        <w:rPr>
          <w:rFonts w:ascii="Arial" w:hAnsi="Arial" w:cs="Arial"/>
        </w:rPr>
        <w:t>Lynch, C., Bird, S., Lythgo, N. and Selva-Raj, I., 2020. Changing the physical activity behavior of adults with fitness trackers: a systematic review and meta-analysis. </w:t>
      </w:r>
      <w:r>
        <w:rPr>
          <w:rFonts w:ascii="Arial" w:hAnsi="Arial" w:cs="Arial"/>
          <w:i/>
          <w:iCs/>
        </w:rPr>
        <w:t>American Journal of Health Promotion</w:t>
      </w:r>
      <w:r>
        <w:rPr>
          <w:rFonts w:ascii="Arial" w:hAnsi="Arial" w:cs="Arial"/>
        </w:rPr>
        <w:t>, </w:t>
      </w:r>
      <w:r>
        <w:rPr>
          <w:rFonts w:ascii="Arial" w:hAnsi="Arial" w:cs="Arial"/>
          <w:i/>
          <w:iCs/>
        </w:rPr>
        <w:t>34</w:t>
      </w:r>
      <w:r>
        <w:rPr>
          <w:rFonts w:ascii="Arial" w:hAnsi="Arial" w:cs="Arial"/>
        </w:rPr>
        <w:t>(4), pp.418-430.</w:t>
      </w:r>
    </w:p>
    <w:p w14:paraId="5C2D1559" w14:textId="77777777" w:rsidR="00C6446F" w:rsidRDefault="00895D85" w:rsidP="00895D85">
      <w:pPr>
        <w:numPr>
          <w:ilvl w:val="0"/>
          <w:numId w:val="1"/>
        </w:numPr>
        <w:spacing w:line="360" w:lineRule="auto"/>
        <w:jc w:val="both"/>
        <w:rPr>
          <w:rFonts w:ascii="Arial" w:eastAsia="Arial" w:hAnsi="Arial" w:cs="Arial"/>
        </w:rPr>
      </w:pPr>
      <w:r>
        <w:rPr>
          <w:rFonts w:ascii="Arial" w:eastAsia="Arial" w:hAnsi="Arial" w:cs="Arial"/>
        </w:rPr>
        <w:t>Shadare, A., (2024). </w:t>
      </w:r>
      <w:r>
        <w:rPr>
          <w:rFonts w:ascii="Arial" w:eastAsia="Arial" w:hAnsi="Arial" w:cs="Arial"/>
          <w:i/>
        </w:rPr>
        <w:t>Assessing Commercial Wearables in Predicting Physical Activity: A Case Study of Apple and Fitbit</w:t>
      </w:r>
      <w:r>
        <w:rPr>
          <w:rFonts w:ascii="Arial" w:eastAsia="Arial" w:hAnsi="Arial" w:cs="Arial"/>
        </w:rPr>
        <w:t> (Doctoral dissertation, Dublin Business School).</w:t>
      </w:r>
    </w:p>
    <w:p w14:paraId="4898D3DE" w14:textId="77777777" w:rsidR="00C6446F" w:rsidRDefault="00895D85" w:rsidP="00895D85">
      <w:pPr>
        <w:numPr>
          <w:ilvl w:val="0"/>
          <w:numId w:val="1"/>
        </w:numPr>
        <w:spacing w:line="360" w:lineRule="auto"/>
        <w:jc w:val="both"/>
        <w:rPr>
          <w:rFonts w:ascii="Arial" w:eastAsia="Arial" w:hAnsi="Arial" w:cs="Arial"/>
        </w:rPr>
      </w:pPr>
      <w:r>
        <w:rPr>
          <w:rFonts w:ascii="Arial" w:eastAsia="Arial" w:hAnsi="Arial" w:cs="Arial"/>
        </w:rPr>
        <w:t>Zahrt, O.H., Evans, K., Murnane, E., Santoro, E., Baiocchi, M., Landay, J., Delp, S. and Crum, A., (2023). Effects of wearable fitness trackers and activity adequacy mindsets on affect, behavior, and health: Longitudinal randomized controlled trial. </w:t>
      </w:r>
      <w:r>
        <w:rPr>
          <w:rFonts w:ascii="Arial" w:eastAsia="Arial" w:hAnsi="Arial" w:cs="Arial"/>
          <w:i/>
        </w:rPr>
        <w:t>Journal of Medical Internet Research</w:t>
      </w:r>
      <w:r>
        <w:rPr>
          <w:rFonts w:ascii="Arial" w:eastAsia="Arial" w:hAnsi="Arial" w:cs="Arial"/>
        </w:rPr>
        <w:t>, </w:t>
      </w:r>
      <w:r>
        <w:rPr>
          <w:rFonts w:ascii="Arial" w:eastAsia="Arial" w:hAnsi="Arial" w:cs="Arial"/>
          <w:i/>
        </w:rPr>
        <w:t>25</w:t>
      </w:r>
      <w:r>
        <w:rPr>
          <w:rFonts w:ascii="Arial" w:eastAsia="Arial" w:hAnsi="Arial" w:cs="Arial"/>
        </w:rPr>
        <w:t>, p.e40529.</w:t>
      </w:r>
    </w:p>
    <w:p w14:paraId="2A04D201" w14:textId="77777777" w:rsidR="00C6446F" w:rsidRDefault="00895D85" w:rsidP="00895D85">
      <w:pPr>
        <w:spacing w:line="360" w:lineRule="auto"/>
        <w:jc w:val="both"/>
        <w:rPr>
          <w:rFonts w:ascii="Arial" w:eastAsia="Arial" w:hAnsi="Arial" w:cs="Arial"/>
        </w:rPr>
      </w:pPr>
      <w:r>
        <w:rPr>
          <w:rFonts w:ascii="Arial" w:hAnsi="Arial" w:cs="Arial"/>
        </w:rPr>
        <w:br w:type="page"/>
      </w:r>
    </w:p>
    <w:p w14:paraId="15F9287D" w14:textId="77777777" w:rsidR="00C6446F" w:rsidRDefault="00895D85" w:rsidP="00895D85">
      <w:pPr>
        <w:pStyle w:val="Heading1"/>
        <w:spacing w:line="360" w:lineRule="auto"/>
        <w:jc w:val="both"/>
        <w:rPr>
          <w:rFonts w:ascii="Arial" w:eastAsia="Arial" w:hAnsi="Arial" w:cs="Arial"/>
        </w:rPr>
      </w:pPr>
      <w:bookmarkStart w:id="2" w:name="_Toc222439004"/>
      <w:r>
        <w:rPr>
          <w:rFonts w:ascii="Arial" w:eastAsia="Arial" w:hAnsi="Arial" w:cs="Arial"/>
        </w:rPr>
        <w:lastRenderedPageBreak/>
        <w:t>Blog 2: ActiveLife+ — Designing Smarter Digital Health Promotion</w:t>
      </w:r>
      <w:bookmarkEnd w:id="2"/>
    </w:p>
    <w:p w14:paraId="1292F8C3" w14:textId="77777777" w:rsidR="00C6446F" w:rsidRDefault="00895D85" w:rsidP="00895D85">
      <w:pPr>
        <w:spacing w:line="360" w:lineRule="auto"/>
        <w:jc w:val="both"/>
        <w:rPr>
          <w:rFonts w:ascii="Arial" w:eastAsia="Arial" w:hAnsi="Arial" w:cs="Arial"/>
          <w:b/>
        </w:rPr>
      </w:pPr>
      <w:r>
        <w:rPr>
          <w:rFonts w:ascii="Arial" w:eastAsia="Arial" w:hAnsi="Arial" w:cs="Arial"/>
          <w:b/>
        </w:rPr>
        <w:t>Health Issue: Physical Exercise and Mental Health</w:t>
      </w:r>
    </w:p>
    <w:p w14:paraId="2B5E10E8"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Physical inactivity is a significant social health issue and is growing to be associated with poor mental health effects including depression, anxiety, and decreasing wellbeing. There is evidence worldwide that people under stress, low mood or socially disadvantaged are much less likely to exercise regularly. According to Li </w:t>
      </w:r>
      <w:r>
        <w:rPr>
          <w:rFonts w:ascii="Arial" w:eastAsia="Arial" w:hAnsi="Arial" w:cs="Arial"/>
          <w:i/>
        </w:rPr>
        <w:t>et al.,</w:t>
      </w:r>
      <w:r>
        <w:rPr>
          <w:rFonts w:ascii="Arial" w:eastAsia="Arial" w:hAnsi="Arial" w:cs="Arial"/>
        </w:rPr>
        <w:t xml:space="preserve"> (2025), compounded barriers, such as lack of motivation, unsafe environment, and access to supportive health resources, apply to older individuals and individuals with the lower socioeconomic background. </w:t>
      </w:r>
    </w:p>
    <w:p w14:paraId="52BB535F" w14:textId="77777777" w:rsidR="00C6446F" w:rsidRDefault="00895D85" w:rsidP="00895D85">
      <w:pPr>
        <w:spacing w:line="360" w:lineRule="auto"/>
        <w:jc w:val="both"/>
        <w:rPr>
          <w:rFonts w:ascii="Arial" w:eastAsia="Arial" w:hAnsi="Arial" w:cs="Arial"/>
          <w:b/>
        </w:rPr>
      </w:pPr>
      <w:r>
        <w:rPr>
          <w:rFonts w:ascii="Arial" w:eastAsia="Arial" w:hAnsi="Arial" w:cs="Arial"/>
          <w:b/>
        </w:rPr>
        <w:t>Designed Digital Technology: ActiveLife+.</w:t>
      </w:r>
    </w:p>
    <w:p w14:paraId="777A3B1A" w14:textId="77777777" w:rsidR="00C6446F" w:rsidRDefault="00895D85" w:rsidP="00895D85">
      <w:pPr>
        <w:spacing w:line="360" w:lineRule="auto"/>
        <w:jc w:val="both"/>
        <w:rPr>
          <w:rFonts w:ascii="Arial" w:eastAsia="Arial" w:hAnsi="Arial" w:cs="Arial"/>
        </w:rPr>
      </w:pPr>
      <w:r>
        <w:rPr>
          <w:rFonts w:ascii="Arial" w:eastAsia="Arial" w:hAnsi="Arial" w:cs="Arial"/>
        </w:rPr>
        <w:t>ActiveLife+ is a suggested AI-based mobile health application that will encourage physical activity by setting goals that adjust to the current environment. In contrast to typical fitness apps, ActiveLife+ will adapt the physical activity recommendations according to the level of mental health, socioeconomic factors and environmental factors, including weather or neighbourhood security. According to (Montelaghi et al. 2025), The technology combines self-reported mood tracking, wearable sensor information and contextual inputs to generate personalised and realistic activity objectives.</w:t>
      </w:r>
    </w:p>
    <w:p w14:paraId="273A3B40" w14:textId="77777777" w:rsidR="00C6446F" w:rsidRDefault="00895D85" w:rsidP="00895D85">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1774F02E" wp14:editId="7C2ED3B9">
            <wp:extent cx="2743200" cy="35585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2743438" cy="3558848"/>
                    </a:xfrm>
                    <a:prstGeom prst="rect">
                      <a:avLst/>
                    </a:prstGeom>
                  </pic:spPr>
                </pic:pic>
              </a:graphicData>
            </a:graphic>
          </wp:inline>
        </w:drawing>
      </w:r>
    </w:p>
    <w:p w14:paraId="7FFFC1D0" w14:textId="77777777" w:rsidR="00C6446F" w:rsidRDefault="00895D85" w:rsidP="00895D85">
      <w:pPr>
        <w:spacing w:line="360" w:lineRule="auto"/>
        <w:jc w:val="center"/>
        <w:rPr>
          <w:rFonts w:ascii="Arial" w:eastAsia="Arial" w:hAnsi="Arial" w:cs="Arial"/>
          <w:b/>
        </w:rPr>
      </w:pPr>
      <w:r>
        <w:rPr>
          <w:rFonts w:ascii="Arial" w:eastAsia="Arial" w:hAnsi="Arial" w:cs="Arial"/>
          <w:b/>
        </w:rPr>
        <w:t>Diagram: ActiveLife+</w:t>
      </w:r>
    </w:p>
    <w:p w14:paraId="11BB5847" w14:textId="77777777" w:rsidR="00C6446F" w:rsidRDefault="00895D85" w:rsidP="00895D85">
      <w:pPr>
        <w:spacing w:line="360" w:lineRule="auto"/>
        <w:jc w:val="center"/>
        <w:rPr>
          <w:rFonts w:ascii="Arial" w:eastAsia="Arial" w:hAnsi="Arial" w:cs="Arial"/>
        </w:rPr>
      </w:pPr>
      <w:r>
        <w:rPr>
          <w:rFonts w:ascii="Arial" w:eastAsia="Arial" w:hAnsi="Arial" w:cs="Arial"/>
        </w:rPr>
        <w:t>(Source: Self-created)</w:t>
      </w:r>
    </w:p>
    <w:p w14:paraId="5B365E41" w14:textId="77777777" w:rsidR="00C6446F" w:rsidRDefault="00895D85" w:rsidP="00895D85">
      <w:pPr>
        <w:spacing w:line="360" w:lineRule="auto"/>
        <w:jc w:val="both"/>
        <w:rPr>
          <w:rFonts w:ascii="Arial" w:eastAsia="Arial" w:hAnsi="Arial" w:cs="Arial"/>
          <w:b/>
        </w:rPr>
      </w:pPr>
      <w:r>
        <w:rPr>
          <w:rFonts w:ascii="Arial" w:eastAsia="Arial" w:hAnsi="Arial" w:cs="Arial"/>
          <w:b/>
        </w:rPr>
        <w:t>Health Promotion by ActiveLife+</w:t>
      </w:r>
    </w:p>
    <w:p w14:paraId="4FCAC1DF"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ActiveLife+ encourages health promotion through meeting physical activity goals in accordance with the daily capacity and psychological condition of users. As an example, when one is in a low mood or under the influence of high stress, the app could suggest low-intensity and short activities instead of the regular step goals. </w:t>
      </w:r>
      <w:r>
        <w:rPr>
          <w:rFonts w:ascii="Arial" w:eastAsia="Arial" w:hAnsi="Arial" w:cs="Arial"/>
          <w:color w:val="000000"/>
        </w:rPr>
        <w:t>Lee and Lin, (2023</w:t>
      </w:r>
      <w:r>
        <w:rPr>
          <w:rFonts w:ascii="Arial" w:eastAsia="Arial" w:hAnsi="Arial" w:cs="Arial"/>
        </w:rPr>
        <w:t xml:space="preserve">) discovered that AI-powered fitness applications enhance the achievement of objectives by providing people with solutions that are personalised. Also, the application includes motivational messages, progress visualisation, and optional games with AI, which increase the engagement as stated by </w:t>
      </w:r>
      <w:r>
        <w:rPr>
          <w:rFonts w:ascii="Arial" w:eastAsia="Arial" w:hAnsi="Arial" w:cs="Arial"/>
          <w:color w:val="000000"/>
        </w:rPr>
        <w:t xml:space="preserve">Brownie </w:t>
      </w:r>
      <w:r>
        <w:rPr>
          <w:rFonts w:ascii="Arial" w:eastAsia="Arial" w:hAnsi="Arial" w:cs="Arial"/>
          <w:i/>
          <w:color w:val="000000"/>
        </w:rPr>
        <w:t>et al</w:t>
      </w:r>
      <w:r>
        <w:rPr>
          <w:rFonts w:ascii="Arial" w:eastAsia="Arial" w:hAnsi="Arial" w:cs="Arial"/>
          <w:color w:val="000000"/>
        </w:rPr>
        <w:t xml:space="preserve">., (2023). </w:t>
      </w:r>
    </w:p>
    <w:p w14:paraId="307C752F" w14:textId="77777777" w:rsidR="00C6446F" w:rsidRDefault="00895D85" w:rsidP="00895D85">
      <w:pPr>
        <w:spacing w:line="360" w:lineRule="auto"/>
        <w:jc w:val="both"/>
        <w:rPr>
          <w:rFonts w:ascii="Arial" w:eastAsia="Arial" w:hAnsi="Arial" w:cs="Arial"/>
          <w:b/>
        </w:rPr>
      </w:pPr>
      <w:r>
        <w:rPr>
          <w:rFonts w:ascii="Arial" w:eastAsia="Arial" w:hAnsi="Arial" w:cs="Arial"/>
          <w:b/>
        </w:rPr>
        <w:t>Critical Discussion: Effect and Lackings</w:t>
      </w:r>
    </w:p>
    <w:p w14:paraId="31A85881" w14:textId="77777777" w:rsidR="00C6446F" w:rsidRDefault="00895D85" w:rsidP="00895D85">
      <w:pPr>
        <w:spacing w:line="360" w:lineRule="auto"/>
        <w:jc w:val="both"/>
        <w:rPr>
          <w:rFonts w:ascii="Arial" w:eastAsia="Arial" w:hAnsi="Arial" w:cs="Arial"/>
        </w:rPr>
      </w:pPr>
      <w:r>
        <w:rPr>
          <w:rFonts w:ascii="Arial" w:eastAsia="Arial" w:hAnsi="Arial" w:cs="Arial"/>
        </w:rPr>
        <w:t xml:space="preserve">ActiveLife+ has a major strength of personalisation and inclusivity. The app alleviates pressure and guilt that comes with having an individual commit to fitness tracking by dealing with mental health and situational obstacles. According to </w:t>
      </w:r>
      <w:r>
        <w:rPr>
          <w:rFonts w:ascii="Arial" w:eastAsia="Arial" w:hAnsi="Arial" w:cs="Arial"/>
          <w:color w:val="000000"/>
        </w:rPr>
        <w:t xml:space="preserve">Lodhi and Zeb, (2025), </w:t>
      </w:r>
      <w:r>
        <w:rPr>
          <w:rFonts w:ascii="Arial" w:eastAsia="Arial" w:hAnsi="Arial" w:cs="Arial"/>
        </w:rPr>
        <w:lastRenderedPageBreak/>
        <w:t xml:space="preserve">creating AI in a human-centred way enhances trust, adherence, and sustained participation in digital health interventions. Nevertheless, there are a number of shortcomings. According to (Kuru, 2024), AI systems are very dependent on the quality of data and can pose algorithmic bias to the disadvantage of some populations. Privacy is also an important issue especially because of the acquisition of sensitive mental health information. </w:t>
      </w:r>
    </w:p>
    <w:p w14:paraId="22580AD5" w14:textId="77777777" w:rsidR="00C6446F" w:rsidRDefault="00895D85" w:rsidP="00895D85">
      <w:pPr>
        <w:spacing w:line="360" w:lineRule="auto"/>
        <w:jc w:val="both"/>
        <w:rPr>
          <w:rFonts w:ascii="Arial" w:eastAsia="Arial" w:hAnsi="Arial" w:cs="Arial"/>
          <w:b/>
        </w:rPr>
      </w:pPr>
      <w:r>
        <w:rPr>
          <w:rFonts w:ascii="Arial" w:eastAsia="Arial" w:hAnsi="Arial" w:cs="Arial"/>
          <w:b/>
        </w:rPr>
        <w:t>Addressing the Shortfalls</w:t>
      </w:r>
    </w:p>
    <w:p w14:paraId="26A4492C" w14:textId="3B7F6D73" w:rsidR="00C6446F" w:rsidRDefault="00895D85" w:rsidP="00895D85">
      <w:pPr>
        <w:spacing w:line="360" w:lineRule="auto"/>
        <w:jc w:val="both"/>
        <w:rPr>
          <w:rFonts w:ascii="Arial" w:eastAsia="Arial" w:hAnsi="Arial" w:cs="Arial"/>
        </w:rPr>
      </w:pPr>
      <w:r>
        <w:rPr>
          <w:rFonts w:ascii="Arial" w:eastAsia="Arial" w:hAnsi="Arial" w:cs="Arial"/>
        </w:rPr>
        <w:t>However, these problems may be alleviated with the help of explicit AI algorithms, voluntary information sharing, elevated ethical principles, and simplified user interfaces. The accessibility and trust, in addition to the long-term effect, can further be enhanced with the help of offline functionality and collaboration with organisations that operate within the area of public heal Georgeth.</w:t>
      </w:r>
      <w:r>
        <w:rPr>
          <w:rFonts w:ascii="Arial" w:hAnsi="Arial" w:cs="Arial"/>
        </w:rPr>
        <w:br w:type="page"/>
      </w:r>
    </w:p>
    <w:p w14:paraId="0797F4E1" w14:textId="434394A3" w:rsidR="00C6446F" w:rsidRPr="00895D85" w:rsidRDefault="00895D85" w:rsidP="00895D85">
      <w:pPr>
        <w:pStyle w:val="Heading1"/>
        <w:spacing w:line="360" w:lineRule="auto"/>
        <w:jc w:val="both"/>
        <w:rPr>
          <w:rFonts w:ascii="Arial" w:eastAsia="Arial" w:hAnsi="Arial" w:cs="Arial"/>
        </w:rPr>
      </w:pPr>
      <w:r>
        <w:rPr>
          <w:rFonts w:ascii="Arial" w:eastAsia="Arial" w:hAnsi="Arial" w:cs="Arial"/>
          <w:lang w:val="en-IN"/>
        </w:rPr>
        <w:lastRenderedPageBreak/>
        <w:t xml:space="preserve">  </w:t>
      </w:r>
      <w:r>
        <w:rPr>
          <w:rFonts w:ascii="Arial" w:eastAsia="Arial" w:hAnsi="Arial" w:cs="Arial"/>
        </w:rPr>
        <w:t>Reference list</w:t>
      </w:r>
    </w:p>
    <w:p w14:paraId="6B9A11AF" w14:textId="77777777" w:rsidR="00C6446F" w:rsidRDefault="00895D85" w:rsidP="00895D85">
      <w:pPr>
        <w:numPr>
          <w:ilvl w:val="0"/>
          <w:numId w:val="2"/>
        </w:numPr>
        <w:spacing w:line="360" w:lineRule="auto"/>
        <w:jc w:val="both"/>
        <w:rPr>
          <w:rFonts w:ascii="Arial" w:hAnsi="Arial" w:cs="Arial"/>
          <w:lang w:val="en-GB"/>
        </w:rPr>
      </w:pPr>
      <w:bookmarkStart w:id="3" w:name="_Toc222439005"/>
      <w:r>
        <w:rPr>
          <w:rFonts w:ascii="Arial" w:hAnsi="Arial" w:cs="Arial"/>
          <w:lang w:val="en-GB"/>
        </w:rPr>
        <w:t>Brownie, S., Ackers, L., Murphy, G. and Shumba, C., 2023. Transforming health and social education to include a greater focus on public health education in the curriculum. </w:t>
      </w:r>
      <w:r>
        <w:rPr>
          <w:rFonts w:ascii="Arial" w:hAnsi="Arial" w:cs="Arial"/>
          <w:i/>
          <w:iCs/>
          <w:lang w:val="en-GB"/>
        </w:rPr>
        <w:t>Frontiers in Public Health</w:t>
      </w:r>
      <w:r>
        <w:rPr>
          <w:rFonts w:ascii="Arial" w:hAnsi="Arial" w:cs="Arial"/>
          <w:lang w:val="en-GB"/>
        </w:rPr>
        <w:t>, </w:t>
      </w:r>
      <w:r>
        <w:rPr>
          <w:rFonts w:ascii="Arial" w:hAnsi="Arial" w:cs="Arial"/>
          <w:i/>
          <w:iCs/>
          <w:lang w:val="en-GB"/>
        </w:rPr>
        <w:t>11</w:t>
      </w:r>
      <w:r>
        <w:rPr>
          <w:rFonts w:ascii="Arial" w:hAnsi="Arial" w:cs="Arial"/>
          <w:lang w:val="en-GB"/>
        </w:rPr>
        <w:t xml:space="preserve">, p.1306124. </w:t>
      </w:r>
    </w:p>
    <w:p w14:paraId="10A55E63" w14:textId="77777777" w:rsidR="00C6446F" w:rsidRDefault="00895D85" w:rsidP="00895D85">
      <w:pPr>
        <w:numPr>
          <w:ilvl w:val="0"/>
          <w:numId w:val="2"/>
        </w:numPr>
        <w:spacing w:line="360" w:lineRule="auto"/>
        <w:jc w:val="both"/>
        <w:rPr>
          <w:rFonts w:ascii="Arial" w:hAnsi="Arial" w:cs="Arial"/>
          <w:lang w:val="en-IN"/>
        </w:rPr>
      </w:pPr>
      <w:r>
        <w:rPr>
          <w:rFonts w:ascii="Arial" w:hAnsi="Arial" w:cs="Arial"/>
        </w:rPr>
        <w:t>Kuru, H., 2024. Identifying behavior change techniques in an artificial intelligence-based fitness app: a content analysis. </w:t>
      </w:r>
      <w:r>
        <w:rPr>
          <w:rFonts w:ascii="Arial" w:hAnsi="Arial" w:cs="Arial"/>
          <w:i/>
          <w:iCs/>
        </w:rPr>
        <w:t>Health Education &amp; Behavior</w:t>
      </w:r>
      <w:r>
        <w:rPr>
          <w:rFonts w:ascii="Arial" w:hAnsi="Arial" w:cs="Arial"/>
        </w:rPr>
        <w:t>, </w:t>
      </w:r>
      <w:r>
        <w:rPr>
          <w:rFonts w:ascii="Arial" w:hAnsi="Arial" w:cs="Arial"/>
          <w:i/>
          <w:iCs/>
        </w:rPr>
        <w:t>51</w:t>
      </w:r>
      <w:r>
        <w:rPr>
          <w:rFonts w:ascii="Arial" w:hAnsi="Arial" w:cs="Arial"/>
        </w:rPr>
        <w:t>(4), pp.636-647.</w:t>
      </w:r>
    </w:p>
    <w:p w14:paraId="3322C086" w14:textId="77777777" w:rsidR="00C6446F" w:rsidRDefault="00895D85" w:rsidP="00895D85">
      <w:pPr>
        <w:numPr>
          <w:ilvl w:val="0"/>
          <w:numId w:val="2"/>
        </w:numPr>
        <w:spacing w:line="360" w:lineRule="auto"/>
        <w:jc w:val="both"/>
        <w:rPr>
          <w:rFonts w:ascii="Arial" w:hAnsi="Arial" w:cs="Arial"/>
          <w:lang w:val="en-GB"/>
        </w:rPr>
      </w:pPr>
      <w:r>
        <w:rPr>
          <w:rFonts w:ascii="Arial" w:hAnsi="Arial" w:cs="Arial"/>
          <w:lang w:val="en-GB"/>
        </w:rPr>
        <w:t>Lee, J.C. and Lin, R., 2023. The continuous usage of artificial intelligence (AI)-powered mobile fitness applications: the goal-setting theory perspective. </w:t>
      </w:r>
      <w:r>
        <w:rPr>
          <w:rFonts w:ascii="Arial" w:hAnsi="Arial" w:cs="Arial"/>
          <w:i/>
          <w:iCs/>
          <w:lang w:val="en-GB"/>
        </w:rPr>
        <w:t>Industrial Management &amp; Data Systems</w:t>
      </w:r>
      <w:r>
        <w:rPr>
          <w:rFonts w:ascii="Arial" w:hAnsi="Arial" w:cs="Arial"/>
          <w:lang w:val="en-GB"/>
        </w:rPr>
        <w:t>, </w:t>
      </w:r>
      <w:r>
        <w:rPr>
          <w:rFonts w:ascii="Arial" w:hAnsi="Arial" w:cs="Arial"/>
          <w:i/>
          <w:iCs/>
          <w:lang w:val="en-GB"/>
        </w:rPr>
        <w:t>123</w:t>
      </w:r>
      <w:r>
        <w:rPr>
          <w:rFonts w:ascii="Arial" w:hAnsi="Arial" w:cs="Arial"/>
          <w:lang w:val="en-GB"/>
        </w:rPr>
        <w:t xml:space="preserve">(6), pp.1840-1860. </w:t>
      </w:r>
    </w:p>
    <w:p w14:paraId="5740B63C" w14:textId="77777777" w:rsidR="00C6446F" w:rsidRDefault="00895D85" w:rsidP="00895D85">
      <w:pPr>
        <w:numPr>
          <w:ilvl w:val="0"/>
          <w:numId w:val="2"/>
        </w:numPr>
        <w:spacing w:line="360" w:lineRule="auto"/>
        <w:jc w:val="both"/>
        <w:rPr>
          <w:rFonts w:ascii="Arial" w:hAnsi="Arial" w:cs="Arial"/>
          <w:lang w:val="en-GB"/>
        </w:rPr>
      </w:pPr>
      <w:r>
        <w:rPr>
          <w:rFonts w:ascii="Arial" w:hAnsi="Arial" w:cs="Arial"/>
          <w:lang w:val="en-GB"/>
        </w:rPr>
        <w:t>Lodhi, S.K. and Zeb, S., 2025. Ai-Driven Robotics and Automation: The Evolution of Human-Machine Collaboration. </w:t>
      </w:r>
      <w:r>
        <w:rPr>
          <w:rFonts w:ascii="Arial" w:hAnsi="Arial" w:cs="Arial"/>
          <w:i/>
          <w:iCs/>
          <w:lang w:val="en-GB"/>
        </w:rPr>
        <w:t>Journal of World Science</w:t>
      </w:r>
      <w:r>
        <w:rPr>
          <w:rFonts w:ascii="Arial" w:hAnsi="Arial" w:cs="Arial"/>
          <w:lang w:val="en-GB"/>
        </w:rPr>
        <w:t>, </w:t>
      </w:r>
      <w:r>
        <w:rPr>
          <w:rFonts w:ascii="Arial" w:hAnsi="Arial" w:cs="Arial"/>
          <w:i/>
          <w:iCs/>
          <w:lang w:val="en-GB"/>
        </w:rPr>
        <w:t>4</w:t>
      </w:r>
      <w:r>
        <w:rPr>
          <w:rFonts w:ascii="Arial" w:hAnsi="Arial" w:cs="Arial"/>
          <w:lang w:val="en-GB"/>
        </w:rPr>
        <w:t>(4), pp.422-437.</w:t>
      </w:r>
    </w:p>
    <w:p w14:paraId="45055F0A" w14:textId="4CA01634" w:rsidR="00C6446F" w:rsidRPr="00895D85" w:rsidRDefault="00895D85" w:rsidP="00895D85">
      <w:pPr>
        <w:numPr>
          <w:ilvl w:val="0"/>
          <w:numId w:val="2"/>
        </w:numPr>
        <w:spacing w:line="360" w:lineRule="auto"/>
        <w:jc w:val="both"/>
        <w:rPr>
          <w:rFonts w:ascii="Arial" w:hAnsi="Arial" w:cs="Arial"/>
        </w:rPr>
      </w:pPr>
      <w:r>
        <w:rPr>
          <w:rFonts w:ascii="Arial" w:hAnsi="Arial" w:cs="Arial"/>
        </w:rPr>
        <w:t>Montelaghi, A., Ciorciari, A., Roklicer, R., Jurak, G. and Carraro, A., 2025. AI in motion: a systematic review of artificial intelligence-driven virtual assistants for physical activity promotion and their comparison with traditional strategies. </w:t>
      </w:r>
      <w:r>
        <w:rPr>
          <w:rFonts w:ascii="Arial" w:hAnsi="Arial" w:cs="Arial"/>
          <w:i/>
          <w:iCs/>
        </w:rPr>
        <w:t>Artificial Intelligence Review</w:t>
      </w:r>
      <w:r>
        <w:rPr>
          <w:rFonts w:ascii="Arial" w:hAnsi="Arial" w:cs="Arial"/>
        </w:rPr>
        <w:t>, </w:t>
      </w:r>
      <w:r>
        <w:rPr>
          <w:rFonts w:ascii="Arial" w:hAnsi="Arial" w:cs="Arial"/>
          <w:i/>
          <w:iCs/>
        </w:rPr>
        <w:t>58</w:t>
      </w:r>
      <w:r>
        <w:rPr>
          <w:rFonts w:ascii="Arial" w:hAnsi="Arial" w:cs="Arial"/>
        </w:rPr>
        <w:t>(12), p.367.</w:t>
      </w:r>
      <w:bookmarkEnd w:id="3"/>
    </w:p>
    <w:sectPr w:rsidR="00C6446F" w:rsidRPr="00895D8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94915" w14:textId="77777777" w:rsidR="00C6446F" w:rsidRDefault="00895D85">
      <w:pPr>
        <w:spacing w:line="240" w:lineRule="auto"/>
      </w:pPr>
      <w:r>
        <w:separator/>
      </w:r>
    </w:p>
  </w:endnote>
  <w:endnote w:type="continuationSeparator" w:id="0">
    <w:p w14:paraId="79FAEDC0" w14:textId="77777777" w:rsidR="00C6446F" w:rsidRDefault="00895D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lay">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6DDBA" w14:textId="77777777" w:rsidR="00C6446F" w:rsidRDefault="00895D85">
      <w:pPr>
        <w:spacing w:after="0"/>
      </w:pPr>
      <w:r>
        <w:separator/>
      </w:r>
    </w:p>
  </w:footnote>
  <w:footnote w:type="continuationSeparator" w:id="0">
    <w:p w14:paraId="6FD29CB6" w14:textId="77777777" w:rsidR="00C6446F" w:rsidRDefault="00895D8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FB1CD8"/>
    <w:multiLevelType w:val="singleLevel"/>
    <w:tmpl w:val="64FB1CD8"/>
    <w:lvl w:ilvl="0">
      <w:start w:val="1"/>
      <w:numFmt w:val="bullet"/>
      <w:lvlText w:val=""/>
      <w:lvlJc w:val="left"/>
      <w:pPr>
        <w:tabs>
          <w:tab w:val="left" w:pos="420"/>
        </w:tabs>
        <w:ind w:left="420" w:hanging="420"/>
      </w:pPr>
      <w:rPr>
        <w:rFonts w:ascii="Wingdings" w:hAnsi="Wingdings" w:hint="default"/>
        <w:b w:val="0"/>
        <w:bCs w:val="0"/>
        <w:sz w:val="18"/>
        <w:szCs w:val="18"/>
      </w:rPr>
    </w:lvl>
  </w:abstractNum>
  <w:abstractNum w:abstractNumId="1" w15:restartNumberingAfterBreak="0">
    <w:nsid w:val="7049E558"/>
    <w:multiLevelType w:val="singleLevel"/>
    <w:tmpl w:val="7049E558"/>
    <w:lvl w:ilvl="0">
      <w:start w:val="1"/>
      <w:numFmt w:val="bullet"/>
      <w:lvlText w:val=""/>
      <w:lvlJc w:val="left"/>
      <w:pPr>
        <w:tabs>
          <w:tab w:val="left" w:pos="420"/>
        </w:tabs>
        <w:ind w:left="420" w:hanging="420"/>
      </w:pPr>
      <w:rPr>
        <w:rFonts w:ascii="Wingdings" w:hAnsi="Wingdings" w:hint="default"/>
      </w:rPr>
    </w:lvl>
  </w:abstractNum>
  <w:num w:numId="1" w16cid:durableId="1139759075">
    <w:abstractNumId w:val="0"/>
  </w:num>
  <w:num w:numId="2" w16cid:durableId="1120299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990"/>
    <w:rsid w:val="000914FC"/>
    <w:rsid w:val="000E00EE"/>
    <w:rsid w:val="002B1F02"/>
    <w:rsid w:val="0035169A"/>
    <w:rsid w:val="004C22C7"/>
    <w:rsid w:val="005F143C"/>
    <w:rsid w:val="006A444E"/>
    <w:rsid w:val="00716BCF"/>
    <w:rsid w:val="007C7210"/>
    <w:rsid w:val="00895D85"/>
    <w:rsid w:val="00926990"/>
    <w:rsid w:val="0095285B"/>
    <w:rsid w:val="00AE192C"/>
    <w:rsid w:val="00BC0205"/>
    <w:rsid w:val="00C6446F"/>
    <w:rsid w:val="00CF2F52"/>
    <w:rsid w:val="00EB21DF"/>
    <w:rsid w:val="67260E75"/>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C3A2C"/>
  <w15:docId w15:val="{A842128B-AD0B-468B-AF27-CA2C4A540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4"/>
      <w:szCs w:val="24"/>
      <w:lang w:val="en-US" w:bidi="bn-IN"/>
    </w:rPr>
  </w:style>
  <w:style w:type="paragraph" w:styleId="Heading1">
    <w:name w:val="heading 1"/>
    <w:basedOn w:val="Normal"/>
    <w:next w:val="Normal"/>
    <w:uiPriority w:val="9"/>
    <w:qFormat/>
    <w:pPr>
      <w:keepNext/>
      <w:keepLines/>
      <w:spacing w:before="360" w:after="80"/>
      <w:outlineLvl w:val="0"/>
    </w:pPr>
    <w:rPr>
      <w:rFonts w:ascii="Times New Roman" w:eastAsia="Times New Roman" w:hAnsi="Times New Roman" w:cs="Times New Roman"/>
      <w:b/>
      <w:color w:val="00000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rPr>
      <w:color w:val="595959"/>
      <w:sz w:val="28"/>
      <w:szCs w:val="28"/>
    </w:r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TOC1">
    <w:name w:val="toc 1"/>
    <w:basedOn w:val="Normal"/>
    <w:next w:val="Normal"/>
    <w:autoRedefine/>
    <w:uiPriority w:val="39"/>
    <w:unhideWhenUsed/>
    <w:qFormat/>
    <w:pPr>
      <w:spacing w:after="100"/>
    </w:pPr>
    <w:rPr>
      <w:szCs w:val="30"/>
    </w:rPr>
  </w:style>
  <w:style w:type="paragraph" w:styleId="ListParagraph">
    <w:name w:val="List Paragraph"/>
    <w:basedOn w:val="Normal"/>
    <w:uiPriority w:val="34"/>
    <w:qFormat/>
    <w:pPr>
      <w:ind w:left="720"/>
      <w:contextualSpacing/>
    </w:pPr>
    <w:rPr>
      <w:szCs w:val="30"/>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1354</Words>
  <Characters>7721</Characters>
  <Application>Microsoft Office Word</Application>
  <DocSecurity>0</DocSecurity>
  <Lines>64</Lines>
  <Paragraphs>18</Paragraphs>
  <ScaleCrop>false</ScaleCrop>
  <Company/>
  <LinksUpToDate>false</LinksUpToDate>
  <CharactersWithSpaces>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jagad</dc:creator>
  <cp:lastModifiedBy>asha Chowdary</cp:lastModifiedBy>
  <cp:revision>2</cp:revision>
  <dcterms:created xsi:type="dcterms:W3CDTF">2026-03-05T22:16:00Z</dcterms:created>
  <dcterms:modified xsi:type="dcterms:W3CDTF">2026-03-05T22:16:00Z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4426C74CA5ED438A83ACA8A511A49291_12</vt:lpwstr>
  </property>
  <property fmtid="{D5CDD505-2E9C-101B-9397-08002B2CF9AE}" pid="4" name="GrammarlyDocumentId">
    <vt:lpwstr>d93d75d6-957f-4f47-ada3-da8c3399bd0e</vt:lpwstr>
  </property>
</Properties>
</file>