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CBAF4" w14:textId="77777777" w:rsidR="008375B5" w:rsidRDefault="00125285" w:rsidP="008375B5">
      <w:pPr>
        <w:spacing w:line="360" w:lineRule="auto"/>
      </w:pPr>
      <w:r>
        <w:rPr>
          <w:noProof/>
        </w:rPr>
        <w:pict w14:anchorId="3499CF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5pt;height:106pt;visibility:visible">
            <v:imagedata r:id="rId10" r:href="rId11"/>
          </v:shape>
        </w:pict>
      </w:r>
    </w:p>
    <w:p w14:paraId="0BFCC809" w14:textId="77777777" w:rsidR="008375B5" w:rsidRDefault="008375B5" w:rsidP="008375B5">
      <w:pPr>
        <w:spacing w:line="360" w:lineRule="auto"/>
        <w:rPr>
          <w:rStyle w:val="Strong"/>
          <w:rFonts w:ascii="Segoe UI" w:hAnsi="Segoe UI" w:cs="Segoe UI"/>
          <w:color w:val="1D2125"/>
        </w:rPr>
      </w:pPr>
    </w:p>
    <w:p w14:paraId="7B92A6E2" w14:textId="77777777" w:rsidR="008375B5" w:rsidRDefault="008375B5" w:rsidP="008375B5">
      <w:pPr>
        <w:spacing w:line="360" w:lineRule="auto"/>
        <w:rPr>
          <w:rStyle w:val="Strong"/>
          <w:rFonts w:ascii="Arial" w:hAnsi="Arial" w:cs="Arial"/>
          <w:color w:val="1D2125"/>
          <w:sz w:val="36"/>
          <w:szCs w:val="36"/>
        </w:rPr>
      </w:pPr>
    </w:p>
    <w:p w14:paraId="441923FA"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13861081"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1933E0CF" w14:textId="77777777" w:rsidR="008375B5" w:rsidRDefault="008375B5" w:rsidP="008375B5">
      <w:pPr>
        <w:spacing w:line="360" w:lineRule="auto"/>
        <w:jc w:val="center"/>
        <w:rPr>
          <w:rStyle w:val="Strong"/>
          <w:rFonts w:ascii="Arial" w:hAnsi="Arial" w:cs="Arial"/>
          <w:color w:val="1D2125"/>
          <w:sz w:val="36"/>
          <w:szCs w:val="36"/>
        </w:rPr>
      </w:pPr>
    </w:p>
    <w:p w14:paraId="764424A9" w14:textId="77777777" w:rsidR="008375B5" w:rsidRDefault="008375B5" w:rsidP="008375B5">
      <w:pPr>
        <w:spacing w:line="360" w:lineRule="auto"/>
        <w:jc w:val="center"/>
        <w:rPr>
          <w:rStyle w:val="Strong"/>
          <w:rFonts w:ascii="Arial" w:hAnsi="Arial" w:cs="Arial"/>
          <w:color w:val="1D2125"/>
          <w:sz w:val="36"/>
          <w:szCs w:val="36"/>
        </w:rPr>
      </w:pPr>
    </w:p>
    <w:p w14:paraId="2F3F61D4"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2D98D45D" w14:textId="77777777" w:rsidR="008375B5" w:rsidRDefault="008375B5" w:rsidP="008375B5">
      <w:pPr>
        <w:spacing w:line="360" w:lineRule="auto"/>
        <w:rPr>
          <w:rStyle w:val="Strong"/>
          <w:rFonts w:ascii="Arial" w:hAnsi="Arial" w:cs="Arial"/>
          <w:color w:val="1D2125"/>
          <w:sz w:val="32"/>
          <w:szCs w:val="32"/>
        </w:rPr>
      </w:pPr>
    </w:p>
    <w:p w14:paraId="5B17BF29" w14:textId="0BB2D0F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C7FC4">
        <w:rPr>
          <w:rStyle w:val="Strong"/>
          <w:rFonts w:ascii="Arial" w:hAnsi="Arial" w:cs="Arial"/>
          <w:color w:val="1D2125"/>
          <w:sz w:val="32"/>
          <w:szCs w:val="32"/>
        </w:rPr>
        <w:t xml:space="preserve"> Paulina Slowik</w:t>
      </w:r>
    </w:p>
    <w:p w14:paraId="390D7DC2" w14:textId="570C440E"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C7FC4">
        <w:rPr>
          <w:rStyle w:val="Strong"/>
          <w:rFonts w:ascii="Arial" w:hAnsi="Arial" w:cs="Arial"/>
          <w:color w:val="1D2125"/>
          <w:sz w:val="32"/>
          <w:szCs w:val="32"/>
        </w:rPr>
        <w:t xml:space="preserve"> 2332439</w:t>
      </w:r>
    </w:p>
    <w:p w14:paraId="559E4A9A" w14:textId="703B9DFF"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3C7FC4">
        <w:rPr>
          <w:rStyle w:val="Strong"/>
          <w:rFonts w:ascii="Arial" w:hAnsi="Arial" w:cs="Arial"/>
          <w:color w:val="1D2125"/>
          <w:sz w:val="32"/>
          <w:szCs w:val="32"/>
        </w:rPr>
        <w:t xml:space="preserve"> Laila Surani</w:t>
      </w:r>
    </w:p>
    <w:p w14:paraId="34A0C898" w14:textId="77777777" w:rsidR="008375B5" w:rsidRDefault="008375B5" w:rsidP="008375B5">
      <w:pPr>
        <w:spacing w:line="360" w:lineRule="auto"/>
        <w:rPr>
          <w:sz w:val="36"/>
          <w:szCs w:val="36"/>
        </w:rPr>
      </w:pPr>
    </w:p>
    <w:p w14:paraId="173C301C" w14:textId="77777777" w:rsidR="008375B5" w:rsidRDefault="008375B5" w:rsidP="008375B5">
      <w:pPr>
        <w:spacing w:line="360" w:lineRule="auto"/>
        <w:rPr>
          <w:rFonts w:ascii="Arial" w:hAnsi="Arial" w:cs="Arial"/>
          <w:sz w:val="36"/>
          <w:szCs w:val="36"/>
        </w:rPr>
      </w:pPr>
    </w:p>
    <w:p w14:paraId="7B0E612F" w14:textId="77777777" w:rsidR="008375B5" w:rsidRDefault="008375B5" w:rsidP="008375B5">
      <w:pPr>
        <w:spacing w:line="360" w:lineRule="auto"/>
        <w:rPr>
          <w:rFonts w:ascii="Arial" w:hAnsi="Arial" w:cs="Arial"/>
          <w:sz w:val="36"/>
          <w:szCs w:val="36"/>
        </w:rPr>
      </w:pPr>
    </w:p>
    <w:p w14:paraId="71B33F0F" w14:textId="77777777" w:rsidR="008375B5" w:rsidRDefault="008375B5" w:rsidP="008375B5">
      <w:pPr>
        <w:spacing w:line="360" w:lineRule="auto"/>
        <w:rPr>
          <w:rFonts w:ascii="Arial" w:hAnsi="Arial" w:cs="Arial"/>
          <w:sz w:val="36"/>
          <w:szCs w:val="36"/>
        </w:rPr>
      </w:pPr>
    </w:p>
    <w:p w14:paraId="04870D60"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4C18D725" w14:textId="77777777" w:rsidR="008375B5" w:rsidRDefault="008375B5" w:rsidP="008375B5">
      <w:pPr>
        <w:pStyle w:val="NormalWeb"/>
        <w:spacing w:line="360" w:lineRule="auto"/>
        <w:rPr>
          <w:rFonts w:ascii="Arial" w:hAnsi="Arial" w:cs="Arial"/>
          <w:b/>
          <w:bCs/>
          <w:color w:val="000000"/>
        </w:rPr>
      </w:pPr>
    </w:p>
    <w:p w14:paraId="700273EA" w14:textId="77777777" w:rsidR="008375B5" w:rsidRDefault="008375B5" w:rsidP="008375B5">
      <w:pPr>
        <w:pStyle w:val="NormalWeb"/>
        <w:spacing w:line="360" w:lineRule="auto"/>
        <w:rPr>
          <w:rFonts w:ascii="Arial" w:hAnsi="Arial" w:cs="Arial"/>
          <w:b/>
          <w:bCs/>
          <w:color w:val="000000"/>
        </w:rPr>
      </w:pPr>
    </w:p>
    <w:p w14:paraId="2925D12B" w14:textId="77777777" w:rsidR="008375B5" w:rsidRDefault="008375B5" w:rsidP="008375B5">
      <w:pPr>
        <w:pStyle w:val="NormalWeb"/>
        <w:spacing w:line="360" w:lineRule="auto"/>
        <w:rPr>
          <w:rFonts w:ascii="Arial" w:hAnsi="Arial" w:cs="Arial"/>
          <w:b/>
          <w:bCs/>
          <w:color w:val="000000"/>
        </w:rPr>
      </w:pPr>
    </w:p>
    <w:p w14:paraId="2AD62D86" w14:textId="77777777" w:rsidR="008375B5" w:rsidRDefault="008375B5" w:rsidP="008375B5">
      <w:pPr>
        <w:pStyle w:val="NormalWeb"/>
        <w:spacing w:line="360" w:lineRule="auto"/>
        <w:rPr>
          <w:rFonts w:ascii="Arial" w:hAnsi="Arial" w:cs="Arial"/>
          <w:b/>
          <w:bCs/>
          <w:color w:val="000000"/>
        </w:rPr>
      </w:pPr>
    </w:p>
    <w:p w14:paraId="759D2B6B" w14:textId="77777777" w:rsidR="008375B5" w:rsidRDefault="008375B5" w:rsidP="008375B5">
      <w:pPr>
        <w:pStyle w:val="NormalWeb"/>
        <w:spacing w:line="360" w:lineRule="auto"/>
        <w:rPr>
          <w:rFonts w:ascii="Arial" w:hAnsi="Arial" w:cs="Arial"/>
          <w:b/>
          <w:bCs/>
          <w:color w:val="000000"/>
        </w:rPr>
      </w:pPr>
    </w:p>
    <w:p w14:paraId="29979B7D" w14:textId="77777777" w:rsidR="008375B5" w:rsidRDefault="008375B5" w:rsidP="008375B5">
      <w:pPr>
        <w:pStyle w:val="NormalWeb"/>
        <w:spacing w:line="360" w:lineRule="auto"/>
        <w:rPr>
          <w:rFonts w:ascii="Arial" w:hAnsi="Arial" w:cs="Arial"/>
          <w:b/>
          <w:bCs/>
          <w:color w:val="000000"/>
        </w:rPr>
      </w:pPr>
    </w:p>
    <w:p w14:paraId="3834C860" w14:textId="77777777" w:rsidR="008375B5" w:rsidRDefault="008375B5" w:rsidP="008375B5">
      <w:pPr>
        <w:pStyle w:val="NormalWeb"/>
        <w:spacing w:line="360" w:lineRule="auto"/>
        <w:rPr>
          <w:rFonts w:ascii="Arial" w:hAnsi="Arial" w:cs="Arial"/>
          <w:b/>
          <w:bCs/>
          <w:color w:val="000000"/>
        </w:rPr>
      </w:pPr>
    </w:p>
    <w:p w14:paraId="5BF7ED08" w14:textId="77777777" w:rsidR="008375B5" w:rsidRDefault="008375B5" w:rsidP="008375B5">
      <w:pPr>
        <w:pStyle w:val="NormalWeb"/>
        <w:spacing w:line="360" w:lineRule="auto"/>
        <w:rPr>
          <w:rFonts w:ascii="Arial" w:hAnsi="Arial" w:cs="Arial"/>
          <w:b/>
          <w:bCs/>
          <w:color w:val="000000"/>
        </w:rPr>
      </w:pPr>
    </w:p>
    <w:p w14:paraId="514D23CC" w14:textId="77777777" w:rsidR="008375B5" w:rsidRDefault="008375B5" w:rsidP="008375B5">
      <w:pPr>
        <w:pStyle w:val="NormalWeb"/>
        <w:spacing w:line="360" w:lineRule="auto"/>
        <w:rPr>
          <w:rFonts w:ascii="Arial" w:hAnsi="Arial" w:cs="Arial"/>
          <w:b/>
          <w:bCs/>
          <w:color w:val="000000"/>
        </w:rPr>
      </w:pPr>
    </w:p>
    <w:p w14:paraId="1763256D" w14:textId="77777777" w:rsidR="008375B5" w:rsidRDefault="008375B5" w:rsidP="008375B5">
      <w:pPr>
        <w:pStyle w:val="NormalWeb"/>
        <w:spacing w:line="360" w:lineRule="auto"/>
        <w:rPr>
          <w:rFonts w:ascii="Arial" w:hAnsi="Arial" w:cs="Arial"/>
          <w:b/>
          <w:bCs/>
          <w:color w:val="000000"/>
        </w:rPr>
      </w:pPr>
    </w:p>
    <w:p w14:paraId="519F71AE" w14:textId="77777777" w:rsidR="008375B5" w:rsidRDefault="008375B5" w:rsidP="008375B5">
      <w:pPr>
        <w:pStyle w:val="NormalWeb"/>
        <w:spacing w:line="360" w:lineRule="auto"/>
        <w:rPr>
          <w:rFonts w:ascii="Arial" w:hAnsi="Arial" w:cs="Arial"/>
          <w:b/>
          <w:bCs/>
          <w:color w:val="000000"/>
        </w:rPr>
      </w:pPr>
    </w:p>
    <w:p w14:paraId="6CD90B0E" w14:textId="77777777" w:rsidR="008375B5" w:rsidRDefault="008375B5" w:rsidP="008375B5">
      <w:pPr>
        <w:pStyle w:val="NormalWeb"/>
        <w:spacing w:line="360" w:lineRule="auto"/>
        <w:rPr>
          <w:rFonts w:ascii="Arial" w:hAnsi="Arial" w:cs="Arial"/>
          <w:b/>
          <w:bCs/>
          <w:color w:val="000000"/>
        </w:rPr>
      </w:pPr>
    </w:p>
    <w:p w14:paraId="5D8A1909" w14:textId="77777777" w:rsidR="008375B5" w:rsidRDefault="008375B5" w:rsidP="008375B5">
      <w:pPr>
        <w:pStyle w:val="NormalWeb"/>
        <w:spacing w:line="360" w:lineRule="auto"/>
        <w:rPr>
          <w:rFonts w:ascii="Arial" w:hAnsi="Arial" w:cs="Arial"/>
          <w:b/>
          <w:bCs/>
          <w:color w:val="000000"/>
        </w:rPr>
      </w:pPr>
    </w:p>
    <w:p w14:paraId="15EF5F57" w14:textId="77777777" w:rsidR="008375B5" w:rsidRDefault="008375B5" w:rsidP="008375B5">
      <w:pPr>
        <w:pStyle w:val="NormalWeb"/>
        <w:spacing w:line="360" w:lineRule="auto"/>
        <w:rPr>
          <w:rFonts w:ascii="Arial" w:hAnsi="Arial" w:cs="Arial"/>
          <w:b/>
          <w:bCs/>
          <w:color w:val="000000"/>
        </w:rPr>
      </w:pPr>
    </w:p>
    <w:p w14:paraId="1B2943C1" w14:textId="77777777" w:rsidR="008375B5" w:rsidRDefault="008375B5" w:rsidP="008375B5">
      <w:pPr>
        <w:pStyle w:val="NormalWeb"/>
        <w:spacing w:line="360" w:lineRule="auto"/>
        <w:rPr>
          <w:rFonts w:ascii="Arial" w:hAnsi="Arial" w:cs="Arial"/>
          <w:b/>
          <w:bCs/>
          <w:color w:val="000000"/>
        </w:rPr>
      </w:pPr>
    </w:p>
    <w:p w14:paraId="191910F7" w14:textId="77777777" w:rsidR="008375B5" w:rsidRDefault="008375B5" w:rsidP="008375B5">
      <w:pPr>
        <w:pStyle w:val="NormalWeb"/>
        <w:spacing w:line="360" w:lineRule="auto"/>
        <w:rPr>
          <w:rFonts w:ascii="Arial" w:hAnsi="Arial" w:cs="Arial"/>
          <w:b/>
          <w:bCs/>
          <w:color w:val="000000"/>
        </w:rPr>
      </w:pPr>
    </w:p>
    <w:p w14:paraId="71ACA300" w14:textId="77777777" w:rsidR="008375B5" w:rsidRDefault="008375B5" w:rsidP="008375B5">
      <w:pPr>
        <w:pStyle w:val="NormalWeb"/>
        <w:spacing w:line="360" w:lineRule="auto"/>
        <w:rPr>
          <w:rFonts w:ascii="Arial" w:hAnsi="Arial" w:cs="Arial"/>
          <w:b/>
          <w:bCs/>
          <w:color w:val="000000"/>
        </w:rPr>
      </w:pPr>
    </w:p>
    <w:p w14:paraId="06F63DF3" w14:textId="77777777" w:rsidR="008375B5" w:rsidRDefault="008375B5" w:rsidP="008375B5">
      <w:pPr>
        <w:pStyle w:val="NormalWeb"/>
        <w:spacing w:line="360" w:lineRule="auto"/>
        <w:rPr>
          <w:rFonts w:ascii="Arial" w:hAnsi="Arial" w:cs="Arial"/>
          <w:b/>
          <w:bCs/>
          <w:color w:val="000000"/>
        </w:rPr>
      </w:pPr>
    </w:p>
    <w:p w14:paraId="2FB34C00" w14:textId="77777777" w:rsidR="008375B5" w:rsidRDefault="008375B5" w:rsidP="008375B5">
      <w:pPr>
        <w:pStyle w:val="NormalWeb"/>
        <w:spacing w:line="360" w:lineRule="auto"/>
        <w:rPr>
          <w:rFonts w:ascii="Arial" w:hAnsi="Arial" w:cs="Arial"/>
          <w:b/>
          <w:bCs/>
          <w:color w:val="000000"/>
        </w:rPr>
      </w:pPr>
    </w:p>
    <w:p w14:paraId="0C7762BC" w14:textId="77777777" w:rsidR="00A9474F" w:rsidRPr="00F807A7" w:rsidRDefault="00A9474F" w:rsidP="008375B5">
      <w:pPr>
        <w:spacing w:line="360" w:lineRule="auto"/>
        <w:rPr>
          <w:rFonts w:ascii="Times New Roman" w:hAnsi="Times New Roman"/>
          <w:sz w:val="28"/>
          <w:szCs w:val="28"/>
        </w:rPr>
      </w:pPr>
      <w:r w:rsidRPr="00F807A7">
        <w:rPr>
          <w:rFonts w:ascii="Times New Roman" w:hAnsi="Times New Roman"/>
          <w:b/>
          <w:bCs/>
          <w:sz w:val="28"/>
          <w:szCs w:val="28"/>
        </w:rPr>
        <w:lastRenderedPageBreak/>
        <w:t>Introduction </w:t>
      </w:r>
    </w:p>
    <w:p w14:paraId="17E55391" w14:textId="443871CB" w:rsidR="00C80D0F" w:rsidRPr="009E4193" w:rsidRDefault="009E4193" w:rsidP="008375B5">
      <w:pPr>
        <w:spacing w:line="360" w:lineRule="auto"/>
        <w:rPr>
          <w:rFonts w:ascii="Arial" w:hAnsi="Arial" w:cs="Arial"/>
        </w:rPr>
      </w:pPr>
      <w:r w:rsidRPr="009E4193">
        <w:rPr>
          <w:rFonts w:ascii="Arial" w:hAnsi="Arial" w:cs="Arial"/>
        </w:rPr>
        <w:t>This portfolio explores creativity, innovation, and value creation in health and social care, focusing on practical examples from the NHS. It reflects on digital tools, leadership frameworks, and collaborative practice, aiming to demonstrate how innovative thinking can improve patient care, enhance teamwork, and support professional development in future roles.</w:t>
      </w:r>
    </w:p>
    <w:p w14:paraId="0B30E1D2" w14:textId="77777777" w:rsidR="009E4193" w:rsidRDefault="009E4193" w:rsidP="008375B5">
      <w:pPr>
        <w:spacing w:line="360" w:lineRule="auto"/>
        <w:rPr>
          <w:rFonts w:ascii="Times New Roman" w:hAnsi="Times New Roman"/>
          <w:b/>
          <w:bCs/>
          <w:sz w:val="28"/>
          <w:szCs w:val="28"/>
        </w:rPr>
      </w:pPr>
    </w:p>
    <w:p w14:paraId="53C39D18" w14:textId="60CA8DE5" w:rsidR="00871C29"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 xml:space="preserve">Task 1- Defining Key Concepts in Practice </w:t>
      </w:r>
    </w:p>
    <w:p w14:paraId="0E67755C" w14:textId="77777777" w:rsidR="009310C5" w:rsidRDefault="009310C5" w:rsidP="009310C5">
      <w:pPr>
        <w:spacing w:line="360" w:lineRule="auto"/>
        <w:rPr>
          <w:rFonts w:ascii="Arial" w:hAnsi="Arial" w:cs="Arial"/>
          <w:b/>
          <w:bCs/>
          <w:color w:val="000000"/>
        </w:rPr>
      </w:pPr>
      <w:r>
        <w:rPr>
          <w:rFonts w:ascii="Arial" w:hAnsi="Arial" w:cs="Arial"/>
          <w:b/>
          <w:bCs/>
          <w:color w:val="000000"/>
        </w:rPr>
        <w:t>Innovation</w:t>
      </w:r>
    </w:p>
    <w:p w14:paraId="320E0A43" w14:textId="77777777" w:rsidR="009310C5" w:rsidRDefault="009310C5" w:rsidP="009310C5">
      <w:pPr>
        <w:spacing w:line="360" w:lineRule="auto"/>
        <w:rPr>
          <w:rFonts w:ascii="Arial" w:hAnsi="Arial" w:cs="Arial"/>
          <w:color w:val="000000"/>
        </w:rPr>
      </w:pPr>
      <w:r>
        <w:rPr>
          <w:rFonts w:ascii="Arial" w:hAnsi="Arial" w:cs="Arial"/>
          <w:color w:val="000000"/>
        </w:rPr>
        <w:t>Definition:</w:t>
      </w:r>
      <w:r>
        <w:rPr>
          <w:rFonts w:ascii="Arial" w:hAnsi="Arial" w:cs="Arial"/>
          <w:color w:val="000000"/>
        </w:rPr>
        <w:br/>
        <w:t>Innovation is “the application of new ideas, processes or services that create positive change within healthcare settings” (NHS England, 2023).</w:t>
      </w:r>
    </w:p>
    <w:p w14:paraId="5FAC7CE3" w14:textId="77777777" w:rsidR="009310C5" w:rsidRDefault="009310C5" w:rsidP="009310C5">
      <w:pPr>
        <w:spacing w:line="360" w:lineRule="auto"/>
        <w:rPr>
          <w:rFonts w:ascii="Arial" w:hAnsi="Arial" w:cs="Arial"/>
          <w:color w:val="000000"/>
        </w:rPr>
      </w:pPr>
      <w:r>
        <w:rPr>
          <w:rFonts w:ascii="Arial" w:hAnsi="Arial" w:cs="Arial"/>
          <w:color w:val="000000"/>
        </w:rPr>
        <w:t>Paraphrased:</w:t>
      </w:r>
      <w:r>
        <w:rPr>
          <w:rFonts w:ascii="Arial" w:hAnsi="Arial" w:cs="Arial"/>
          <w:color w:val="000000"/>
        </w:rPr>
        <w:br/>
        <w:t>In simple terms, innovation means introducing something new that improves how care is delivered, making services safer, quicker, or more effective.</w:t>
      </w:r>
    </w:p>
    <w:p w14:paraId="773FF46B" w14:textId="77777777" w:rsidR="009310C5" w:rsidRDefault="009310C5" w:rsidP="009310C5">
      <w:pPr>
        <w:spacing w:line="360" w:lineRule="auto"/>
        <w:rPr>
          <w:rFonts w:ascii="Arial" w:hAnsi="Arial" w:cs="Arial"/>
          <w:color w:val="000000"/>
        </w:rPr>
      </w:pPr>
      <w:r>
        <w:rPr>
          <w:rFonts w:ascii="Arial" w:hAnsi="Arial" w:cs="Arial"/>
          <w:color w:val="000000"/>
        </w:rPr>
        <w:t>Example:</w:t>
      </w:r>
      <w:r>
        <w:rPr>
          <w:rFonts w:ascii="Arial" w:hAnsi="Arial" w:cs="Arial"/>
          <w:color w:val="000000"/>
        </w:rPr>
        <w:br/>
        <w:t>An NHS trust introduced a remote monitoring system for patients with heart failure, allowing clinicians to track symptoms through an app and intervene early. This reduced hospital admissions and improved patient confidence in managing their condition.</w:t>
      </w:r>
    </w:p>
    <w:p w14:paraId="3D1B2EB4" w14:textId="0A152624" w:rsidR="00500642" w:rsidRDefault="009310C5" w:rsidP="009310C5">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example shows how innovation can modernise practice and directly improve patient outcomes.</w:t>
      </w:r>
    </w:p>
    <w:p w14:paraId="03C5120D" w14:textId="77777777" w:rsidR="009E4193" w:rsidRDefault="009E4193" w:rsidP="009310C5">
      <w:pPr>
        <w:spacing w:line="360" w:lineRule="auto"/>
        <w:rPr>
          <w:rFonts w:ascii="Arial" w:hAnsi="Arial" w:cs="Arial"/>
          <w:color w:val="000000"/>
        </w:rPr>
      </w:pPr>
    </w:p>
    <w:p w14:paraId="6D450E2D" w14:textId="77777777" w:rsidR="00343113" w:rsidRDefault="00343113" w:rsidP="00343113">
      <w:pPr>
        <w:spacing w:line="360" w:lineRule="auto"/>
        <w:rPr>
          <w:rFonts w:ascii="Arial" w:hAnsi="Arial" w:cs="Arial"/>
          <w:b/>
          <w:bCs/>
          <w:color w:val="000000"/>
        </w:rPr>
      </w:pPr>
      <w:r>
        <w:rPr>
          <w:rFonts w:ascii="Arial" w:hAnsi="Arial" w:cs="Arial"/>
          <w:b/>
          <w:bCs/>
          <w:color w:val="000000"/>
        </w:rPr>
        <w:t>Creativity</w:t>
      </w:r>
    </w:p>
    <w:p w14:paraId="0D3DD095" w14:textId="77777777" w:rsidR="00343113" w:rsidRDefault="00343113" w:rsidP="00343113">
      <w:pPr>
        <w:spacing w:line="360" w:lineRule="auto"/>
        <w:rPr>
          <w:rFonts w:ascii="Arial" w:hAnsi="Arial" w:cs="Arial"/>
          <w:color w:val="000000"/>
        </w:rPr>
      </w:pPr>
      <w:r>
        <w:rPr>
          <w:rFonts w:ascii="Arial" w:hAnsi="Arial" w:cs="Arial"/>
          <w:color w:val="000000"/>
        </w:rPr>
        <w:t>Definition:</w:t>
      </w:r>
      <w:r>
        <w:rPr>
          <w:rFonts w:ascii="Arial" w:hAnsi="Arial" w:cs="Arial"/>
          <w:color w:val="000000"/>
        </w:rPr>
        <w:br/>
        <w:t>Creativity is “the ability to generate original and useful ideas in order to solve problems or improve practice” (Adams, 2019).</w:t>
      </w:r>
    </w:p>
    <w:p w14:paraId="17779DE7" w14:textId="77777777" w:rsidR="00343113" w:rsidRDefault="00343113" w:rsidP="00343113">
      <w:pPr>
        <w:spacing w:line="360" w:lineRule="auto"/>
        <w:rPr>
          <w:rFonts w:ascii="Arial" w:hAnsi="Arial" w:cs="Arial"/>
          <w:color w:val="000000"/>
        </w:rPr>
      </w:pPr>
      <w:r>
        <w:rPr>
          <w:rFonts w:ascii="Arial" w:hAnsi="Arial" w:cs="Arial"/>
          <w:color w:val="000000"/>
        </w:rPr>
        <w:lastRenderedPageBreak/>
        <w:t>Paraphrased:</w:t>
      </w:r>
      <w:r>
        <w:rPr>
          <w:rFonts w:ascii="Arial" w:hAnsi="Arial" w:cs="Arial"/>
          <w:color w:val="000000"/>
        </w:rPr>
        <w:br/>
        <w:t>Creativity means thinking in flexible, imaginative ways to find new solutions when traditional approaches are not working.</w:t>
      </w:r>
    </w:p>
    <w:p w14:paraId="62F15C1E" w14:textId="77777777" w:rsidR="00343113" w:rsidRDefault="00343113" w:rsidP="00343113">
      <w:pPr>
        <w:spacing w:line="360" w:lineRule="auto"/>
        <w:rPr>
          <w:rFonts w:ascii="Arial" w:hAnsi="Arial" w:cs="Arial"/>
          <w:color w:val="000000"/>
        </w:rPr>
      </w:pPr>
      <w:r>
        <w:rPr>
          <w:rFonts w:ascii="Arial" w:hAnsi="Arial" w:cs="Arial"/>
          <w:color w:val="000000"/>
        </w:rPr>
        <w:t>Example:</w:t>
      </w:r>
      <w:r>
        <w:rPr>
          <w:rFonts w:ascii="Arial" w:hAnsi="Arial" w:cs="Arial"/>
          <w:color w:val="000000"/>
        </w:rPr>
        <w:br/>
        <w:t>A social worker used creative engagement tools—such as drawing and story cards—to help a child in foster care express feelings they struggled to verbalise. This led to a clearer assessment of the child’s emotional needs.</w:t>
      </w:r>
    </w:p>
    <w:p w14:paraId="6067C363" w14:textId="77777777" w:rsidR="00343113" w:rsidRDefault="00343113" w:rsidP="00343113">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It shows how creative methods can help vulnerable service users communicate more effectively.</w:t>
      </w:r>
    </w:p>
    <w:p w14:paraId="2C6ABC1C" w14:textId="77777777" w:rsidR="00977CD9" w:rsidRDefault="00977CD9" w:rsidP="00343113">
      <w:pPr>
        <w:spacing w:line="360" w:lineRule="auto"/>
        <w:rPr>
          <w:rFonts w:ascii="Arial" w:hAnsi="Arial" w:cs="Arial"/>
          <w:color w:val="000000"/>
        </w:rPr>
      </w:pPr>
    </w:p>
    <w:p w14:paraId="774575AF" w14:textId="77777777" w:rsidR="00977CD9" w:rsidRDefault="00977CD9" w:rsidP="00977CD9">
      <w:pPr>
        <w:spacing w:line="360" w:lineRule="auto"/>
        <w:rPr>
          <w:rFonts w:ascii="Arial" w:hAnsi="Arial" w:cs="Arial"/>
          <w:b/>
          <w:bCs/>
          <w:color w:val="000000"/>
        </w:rPr>
      </w:pPr>
      <w:r>
        <w:rPr>
          <w:rFonts w:ascii="Arial" w:hAnsi="Arial" w:cs="Arial"/>
          <w:b/>
          <w:bCs/>
          <w:color w:val="000000"/>
        </w:rPr>
        <w:t>Value Creation</w:t>
      </w:r>
    </w:p>
    <w:p w14:paraId="3EC0ABB7" w14:textId="77777777" w:rsidR="00977CD9" w:rsidRDefault="00977CD9" w:rsidP="00977CD9">
      <w:pPr>
        <w:spacing w:line="360" w:lineRule="auto"/>
        <w:rPr>
          <w:rFonts w:ascii="Arial" w:hAnsi="Arial" w:cs="Arial"/>
          <w:color w:val="000000"/>
        </w:rPr>
      </w:pPr>
      <w:r>
        <w:rPr>
          <w:rFonts w:ascii="Arial" w:hAnsi="Arial" w:cs="Arial"/>
          <w:color w:val="000000"/>
        </w:rPr>
        <w:t>Definition:</w:t>
      </w:r>
      <w:r>
        <w:rPr>
          <w:rFonts w:ascii="Arial" w:hAnsi="Arial" w:cs="Arial"/>
          <w:color w:val="000000"/>
        </w:rPr>
        <w:br/>
        <w:t>Value creation occurs when services “deliver benefits that matter to patients while using resources efficiently” (Porter, 2010).</w:t>
      </w:r>
    </w:p>
    <w:p w14:paraId="0088701D" w14:textId="77777777" w:rsidR="00977CD9" w:rsidRDefault="00977CD9" w:rsidP="00977CD9">
      <w:pPr>
        <w:spacing w:line="360" w:lineRule="auto"/>
        <w:rPr>
          <w:rFonts w:ascii="Arial" w:hAnsi="Arial" w:cs="Arial"/>
          <w:color w:val="000000"/>
        </w:rPr>
      </w:pPr>
      <w:r>
        <w:rPr>
          <w:rFonts w:ascii="Arial" w:hAnsi="Arial" w:cs="Arial"/>
          <w:color w:val="000000"/>
        </w:rPr>
        <w:t>Paraphrased:</w:t>
      </w:r>
      <w:r>
        <w:rPr>
          <w:rFonts w:ascii="Arial" w:hAnsi="Arial" w:cs="Arial"/>
          <w:color w:val="000000"/>
        </w:rPr>
        <w:br/>
        <w:t>In simple terms, value creation means providing care that makes a real difference to service users without wasting time, money, or staff effort.</w:t>
      </w:r>
    </w:p>
    <w:p w14:paraId="0D41B9D7" w14:textId="77777777" w:rsidR="00977CD9" w:rsidRDefault="00977CD9" w:rsidP="00977CD9">
      <w:pPr>
        <w:spacing w:line="360" w:lineRule="auto"/>
        <w:rPr>
          <w:rFonts w:ascii="Arial" w:hAnsi="Arial" w:cs="Arial"/>
          <w:color w:val="000000"/>
        </w:rPr>
      </w:pPr>
      <w:r>
        <w:rPr>
          <w:rFonts w:ascii="Arial" w:hAnsi="Arial" w:cs="Arial"/>
          <w:color w:val="000000"/>
        </w:rPr>
        <w:t>Example:</w:t>
      </w:r>
      <w:r>
        <w:rPr>
          <w:rFonts w:ascii="Arial" w:hAnsi="Arial" w:cs="Arial"/>
          <w:color w:val="000000"/>
        </w:rPr>
        <w:br/>
        <w:t>A community mental health team streamlined their referral process, reducing waiting times from eight weeks to three. This improved access to therapy and reduced client drop-outs.</w:t>
      </w:r>
    </w:p>
    <w:p w14:paraId="2D833484" w14:textId="77777777" w:rsidR="00977CD9" w:rsidRDefault="00977CD9" w:rsidP="00977CD9">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demonstrates how value creation improves both service quality and operational efficiency.</w:t>
      </w:r>
    </w:p>
    <w:p w14:paraId="25E75D7A" w14:textId="77777777" w:rsidR="00CC492F" w:rsidRDefault="00CC492F" w:rsidP="00977CD9">
      <w:pPr>
        <w:spacing w:line="360" w:lineRule="auto"/>
        <w:rPr>
          <w:rFonts w:ascii="Arial" w:hAnsi="Arial" w:cs="Arial"/>
          <w:color w:val="000000"/>
        </w:rPr>
      </w:pPr>
    </w:p>
    <w:p w14:paraId="27C1C925" w14:textId="77777777" w:rsidR="00C316FD" w:rsidRDefault="00C316FD" w:rsidP="00C316FD">
      <w:pPr>
        <w:spacing w:line="360" w:lineRule="auto"/>
        <w:rPr>
          <w:rFonts w:ascii="Arial" w:hAnsi="Arial" w:cs="Arial"/>
          <w:b/>
          <w:bCs/>
          <w:color w:val="000000"/>
        </w:rPr>
      </w:pPr>
      <w:r>
        <w:rPr>
          <w:rFonts w:ascii="Arial" w:hAnsi="Arial" w:cs="Arial"/>
          <w:b/>
          <w:bCs/>
          <w:color w:val="000000"/>
        </w:rPr>
        <w:t>Change</w:t>
      </w:r>
    </w:p>
    <w:p w14:paraId="504E457E" w14:textId="77777777" w:rsidR="00C316FD" w:rsidRDefault="00C316FD" w:rsidP="00C316FD">
      <w:pPr>
        <w:spacing w:line="360" w:lineRule="auto"/>
        <w:rPr>
          <w:rFonts w:ascii="Arial" w:hAnsi="Arial" w:cs="Arial"/>
          <w:color w:val="000000"/>
        </w:rPr>
      </w:pPr>
      <w:r>
        <w:rPr>
          <w:rFonts w:ascii="Arial" w:hAnsi="Arial" w:cs="Arial"/>
          <w:color w:val="000000"/>
        </w:rPr>
        <w:t>Definition:</w:t>
      </w:r>
      <w:r>
        <w:rPr>
          <w:rFonts w:ascii="Arial" w:hAnsi="Arial" w:cs="Arial"/>
          <w:color w:val="000000"/>
        </w:rPr>
        <w:br/>
        <w:t xml:space="preserve">Lewin’s Change Management Model describes change as a three-stage process: </w:t>
      </w:r>
      <w:r>
        <w:rPr>
          <w:rFonts w:ascii="Arial" w:hAnsi="Arial" w:cs="Arial"/>
          <w:color w:val="000000"/>
        </w:rPr>
        <w:lastRenderedPageBreak/>
        <w:t>unfreezing existing behaviour, moving to new practice, and refreezing to make it stable (Burnes, 2017).</w:t>
      </w:r>
    </w:p>
    <w:p w14:paraId="65CCC8D4" w14:textId="77777777" w:rsidR="00C316FD" w:rsidRDefault="00C316FD" w:rsidP="00C316FD">
      <w:pPr>
        <w:spacing w:line="360" w:lineRule="auto"/>
        <w:rPr>
          <w:rFonts w:ascii="Arial" w:hAnsi="Arial" w:cs="Arial"/>
          <w:color w:val="000000"/>
        </w:rPr>
      </w:pPr>
      <w:r>
        <w:rPr>
          <w:rFonts w:ascii="Arial" w:hAnsi="Arial" w:cs="Arial"/>
          <w:color w:val="000000"/>
        </w:rPr>
        <w:t>Paraphrased:</w:t>
      </w:r>
      <w:r>
        <w:rPr>
          <w:rFonts w:ascii="Arial" w:hAnsi="Arial" w:cs="Arial"/>
          <w:color w:val="000000"/>
        </w:rPr>
        <w:br/>
        <w:t>This means change happens when old habits are challenged, new ways of working are introduced, and staff adopt these changes long-term.</w:t>
      </w:r>
    </w:p>
    <w:p w14:paraId="7C414B46" w14:textId="77777777" w:rsidR="00C316FD" w:rsidRDefault="00C316FD" w:rsidP="00C316FD">
      <w:pPr>
        <w:spacing w:line="360" w:lineRule="auto"/>
        <w:rPr>
          <w:rFonts w:ascii="Arial" w:hAnsi="Arial" w:cs="Arial"/>
          <w:color w:val="000000"/>
        </w:rPr>
      </w:pPr>
      <w:r>
        <w:rPr>
          <w:rFonts w:ascii="Arial" w:hAnsi="Arial" w:cs="Arial"/>
          <w:color w:val="000000"/>
        </w:rPr>
        <w:t>Example:</w:t>
      </w:r>
      <w:r>
        <w:rPr>
          <w:rFonts w:ascii="Arial" w:hAnsi="Arial" w:cs="Arial"/>
          <w:color w:val="000000"/>
        </w:rPr>
        <w:br/>
        <w:t>A care home introduced electronic handover notes. Staff were supported through training, and the new system became part of daily practice.</w:t>
      </w:r>
    </w:p>
    <w:p w14:paraId="6FF1A999" w14:textId="77777777" w:rsidR="00C316FD" w:rsidRDefault="00C316FD" w:rsidP="00C316FD">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shows how structured change improves communication and reduces risk.</w:t>
      </w:r>
    </w:p>
    <w:p w14:paraId="08E7BF45" w14:textId="77777777" w:rsidR="00CC492F" w:rsidRDefault="00CC492F" w:rsidP="00977CD9">
      <w:pPr>
        <w:spacing w:line="360" w:lineRule="auto"/>
        <w:rPr>
          <w:rFonts w:ascii="Arial" w:hAnsi="Arial" w:cs="Arial"/>
          <w:color w:val="000000"/>
        </w:rPr>
      </w:pPr>
    </w:p>
    <w:p w14:paraId="52FCF1A6" w14:textId="00320DA2" w:rsidR="00871C29"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 xml:space="preserve">Task 2 - Mind Map </w:t>
      </w:r>
    </w:p>
    <w:p w14:paraId="71618E4A" w14:textId="3A523E6F" w:rsidR="00B7123B" w:rsidRDefault="00B7123B" w:rsidP="008375B5">
      <w:pPr>
        <w:spacing w:line="360" w:lineRule="auto"/>
        <w:rPr>
          <w:rFonts w:ascii="Arial" w:hAnsi="Arial" w:cs="Arial"/>
        </w:rPr>
      </w:pPr>
      <w:r w:rsidRPr="00B7123B">
        <w:rPr>
          <w:rFonts w:ascii="Arial" w:hAnsi="Arial" w:cs="Arial"/>
          <w:b/>
          <w:bCs/>
        </w:rPr>
        <w:t xml:space="preserve">POOR COMMUNICATION </w:t>
      </w:r>
      <w:r w:rsidRPr="00B7123B">
        <w:rPr>
          <w:rFonts w:ascii="Arial" w:hAnsi="Arial" w:cs="Arial"/>
        </w:rPr>
        <w:br/>
      </w:r>
    </w:p>
    <w:p w14:paraId="61A1E9D4" w14:textId="1B41A325" w:rsidR="00B7123B" w:rsidRDefault="00B7123B" w:rsidP="008375B5">
      <w:pPr>
        <w:spacing w:line="360" w:lineRule="auto"/>
        <w:rPr>
          <w:rFonts w:ascii="Arial" w:hAnsi="Arial" w:cs="Arial"/>
        </w:rPr>
      </w:pPr>
      <w:r w:rsidRPr="00B7123B">
        <w:rPr>
          <w:rFonts w:ascii="Arial" w:hAnsi="Arial" w:cs="Arial"/>
          <w:b/>
          <w:bCs/>
        </w:rPr>
        <w:t>Causes</w:t>
      </w:r>
      <w:r>
        <w:rPr>
          <w:rFonts w:ascii="Arial" w:hAnsi="Arial" w:cs="Arial"/>
          <w:b/>
          <w:bCs/>
        </w:rPr>
        <w:t>:</w:t>
      </w:r>
      <w:r w:rsidRPr="00B7123B">
        <w:rPr>
          <w:rFonts w:ascii="Arial" w:hAnsi="Arial" w:cs="Arial"/>
        </w:rPr>
        <w:br/>
        <w:t>Staff burnout and time pressure</w:t>
      </w:r>
      <w:r w:rsidRPr="00B7123B">
        <w:rPr>
          <w:rFonts w:ascii="Arial" w:hAnsi="Arial" w:cs="Arial"/>
        </w:rPr>
        <w:br/>
        <w:t>Inconsistent record-keeping</w:t>
      </w:r>
      <w:r w:rsidRPr="00B7123B">
        <w:rPr>
          <w:rFonts w:ascii="Arial" w:hAnsi="Arial" w:cs="Arial"/>
        </w:rPr>
        <w:br/>
        <w:t>Lack of shared digital systems</w:t>
      </w:r>
      <w:r w:rsidRPr="00B7123B">
        <w:rPr>
          <w:rFonts w:ascii="Arial" w:hAnsi="Arial" w:cs="Arial"/>
        </w:rPr>
        <w:br/>
        <w:t>Low health literacy / language barriers</w:t>
      </w:r>
    </w:p>
    <w:p w14:paraId="083BF6A1" w14:textId="77777777" w:rsidR="00852C96" w:rsidRDefault="00852C96" w:rsidP="008375B5">
      <w:pPr>
        <w:spacing w:line="360" w:lineRule="auto"/>
        <w:rPr>
          <w:rFonts w:ascii="Arial" w:hAnsi="Arial" w:cs="Arial"/>
        </w:rPr>
      </w:pPr>
    </w:p>
    <w:p w14:paraId="4AF6D96D" w14:textId="7E055E16" w:rsidR="00871C29" w:rsidRPr="00B7123B" w:rsidRDefault="00B7123B" w:rsidP="008375B5">
      <w:pPr>
        <w:spacing w:line="360" w:lineRule="auto"/>
        <w:rPr>
          <w:rFonts w:ascii="Arial" w:hAnsi="Arial" w:cs="Arial"/>
        </w:rPr>
      </w:pPr>
      <w:r w:rsidRPr="00B7123B">
        <w:rPr>
          <w:rFonts w:ascii="Arial" w:hAnsi="Arial" w:cs="Arial"/>
          <w:b/>
          <w:bCs/>
        </w:rPr>
        <w:t>Impacts</w:t>
      </w:r>
      <w:r>
        <w:rPr>
          <w:rFonts w:ascii="Arial" w:hAnsi="Arial" w:cs="Arial"/>
          <w:b/>
          <w:bCs/>
        </w:rPr>
        <w:t>:</w:t>
      </w:r>
      <w:r w:rsidRPr="00B7123B">
        <w:rPr>
          <w:rFonts w:ascii="Arial" w:hAnsi="Arial" w:cs="Arial"/>
        </w:rPr>
        <w:br/>
        <w:t>Missed or delayed care</w:t>
      </w:r>
      <w:r w:rsidRPr="00B7123B">
        <w:rPr>
          <w:rFonts w:ascii="Arial" w:hAnsi="Arial" w:cs="Arial"/>
        </w:rPr>
        <w:br/>
        <w:t>Reduced patient trust</w:t>
      </w:r>
      <w:r w:rsidRPr="00B7123B">
        <w:rPr>
          <w:rFonts w:ascii="Arial" w:hAnsi="Arial" w:cs="Arial"/>
        </w:rPr>
        <w:br/>
        <w:t>Duplicate work for staff</w:t>
      </w:r>
      <w:r w:rsidRPr="00B7123B">
        <w:rPr>
          <w:rFonts w:ascii="Arial" w:hAnsi="Arial" w:cs="Arial"/>
        </w:rPr>
        <w:br/>
        <w:t>Higher risk of safety incidents</w:t>
      </w:r>
      <w:r w:rsidRPr="00B7123B">
        <w:rPr>
          <w:rFonts w:ascii="Arial" w:hAnsi="Arial" w:cs="Arial"/>
        </w:rPr>
        <w:br/>
      </w:r>
      <w:r w:rsidRPr="00B7123B">
        <w:rPr>
          <w:rFonts w:ascii="Arial" w:hAnsi="Arial" w:cs="Arial"/>
        </w:rPr>
        <w:br/>
      </w:r>
      <w:r w:rsidRPr="00B7123B">
        <w:rPr>
          <w:rFonts w:ascii="Arial" w:hAnsi="Arial" w:cs="Arial"/>
          <w:b/>
          <w:bCs/>
        </w:rPr>
        <w:t>Possible Solutions</w:t>
      </w:r>
      <w:r w:rsidRPr="00B7123B">
        <w:rPr>
          <w:rFonts w:ascii="Arial" w:hAnsi="Arial" w:cs="Arial"/>
        </w:rPr>
        <w:br/>
        <w:t>Shared electronic records</w:t>
      </w:r>
      <w:r w:rsidRPr="00B7123B">
        <w:rPr>
          <w:rFonts w:ascii="Arial" w:hAnsi="Arial" w:cs="Arial"/>
        </w:rPr>
        <w:br/>
        <w:t>Communication training for staff</w:t>
      </w:r>
      <w:r w:rsidRPr="00B7123B">
        <w:rPr>
          <w:rFonts w:ascii="Arial" w:hAnsi="Arial" w:cs="Arial"/>
        </w:rPr>
        <w:br/>
      </w:r>
      <w:r w:rsidRPr="00B7123B">
        <w:rPr>
          <w:rFonts w:ascii="Arial" w:hAnsi="Arial" w:cs="Arial"/>
        </w:rPr>
        <w:lastRenderedPageBreak/>
        <w:t>Use of plain-language and interpreters</w:t>
      </w:r>
      <w:r w:rsidRPr="00B7123B">
        <w:rPr>
          <w:rFonts w:ascii="Arial" w:hAnsi="Arial" w:cs="Arial"/>
        </w:rPr>
        <w:br/>
        <w:t>Multi-agency briefings and handovers</w:t>
      </w:r>
    </w:p>
    <w:p w14:paraId="438F3EE8" w14:textId="77777777" w:rsidR="00B7123B" w:rsidRDefault="00B7123B" w:rsidP="008375B5">
      <w:pPr>
        <w:spacing w:line="360" w:lineRule="auto"/>
        <w:rPr>
          <w:rFonts w:ascii="Arial" w:hAnsi="Arial" w:cs="Arial"/>
        </w:rPr>
      </w:pPr>
    </w:p>
    <w:p w14:paraId="7B000C73" w14:textId="325009A8" w:rsidR="00871C29" w:rsidRPr="00852C96" w:rsidRDefault="00B7123B" w:rsidP="008375B5">
      <w:pPr>
        <w:spacing w:line="360" w:lineRule="auto"/>
        <w:rPr>
          <w:rFonts w:ascii="Arial" w:hAnsi="Arial" w:cs="Arial"/>
          <w:b/>
          <w:bCs/>
        </w:rPr>
      </w:pPr>
      <w:r w:rsidRPr="00852C96">
        <w:rPr>
          <w:rFonts w:ascii="Arial" w:hAnsi="Arial" w:cs="Arial"/>
          <w:b/>
          <w:bCs/>
        </w:rPr>
        <w:t>Explanation:</w:t>
      </w:r>
    </w:p>
    <w:p w14:paraId="312986AE" w14:textId="2F788A3A" w:rsidR="005863AF" w:rsidRPr="005863AF" w:rsidRDefault="005863AF" w:rsidP="00871C29">
      <w:pPr>
        <w:spacing w:after="100" w:afterAutospacing="1" w:line="360" w:lineRule="auto"/>
        <w:rPr>
          <w:rFonts w:ascii="Arial" w:hAnsi="Arial" w:cs="Arial"/>
        </w:rPr>
      </w:pPr>
      <w:r w:rsidRPr="005863AF">
        <w:rPr>
          <w:rFonts w:ascii="Arial" w:hAnsi="Arial" w:cs="Arial"/>
        </w:rPr>
        <w:t>The problem of poor communication in health and social care is serious because failures in information sharing can lead to safety incidents, delayed treatment and reduced trust (NHS England, 2022). Using a systems-thinking approach, the mind map shows how factors such as staff burnout, digital incompatibility and language barriers interact to weaken communication flows between professionals and service users (</w:t>
      </w:r>
      <w:proofErr w:type="spellStart"/>
      <w:r w:rsidRPr="005863AF">
        <w:rPr>
          <w:rFonts w:ascii="Arial" w:hAnsi="Arial" w:cs="Arial"/>
        </w:rPr>
        <w:t>Checkland</w:t>
      </w:r>
      <w:proofErr w:type="spellEnd"/>
      <w:r w:rsidRPr="005863AF">
        <w:rPr>
          <w:rFonts w:ascii="Arial" w:hAnsi="Arial" w:cs="Arial"/>
        </w:rPr>
        <w:t>, 2011). Vulnerable groups—including older adults, people with disabilities and those with low health literacy—are most affected because they depend heavily on clear, coordinated care (Marmot, 2020). If the problem is not addressed, risks will increase and existing health inequalities may widen. Solutions such as shared electronic records, accessible communication strategies and improved handover processes can strengthen overall system safety and efficiency (CQC, 2023).</w:t>
      </w:r>
      <w:r w:rsidRPr="005863AF">
        <w:rPr>
          <w:rFonts w:ascii="Arial" w:hAnsi="Arial" w:cs="Arial"/>
        </w:rPr>
        <w:t xml:space="preserve"> </w:t>
      </w:r>
    </w:p>
    <w:p w14:paraId="62E53C5D" w14:textId="77777777" w:rsidR="00852C96" w:rsidRDefault="00852C96" w:rsidP="00871C29">
      <w:pPr>
        <w:spacing w:after="100" w:afterAutospacing="1" w:line="360" w:lineRule="auto"/>
        <w:rPr>
          <w:rFonts w:ascii="Times New Roman" w:eastAsia="Times New Roman" w:hAnsi="Times New Roman"/>
          <w:b/>
          <w:bCs/>
          <w:color w:val="1D2125"/>
          <w:kern w:val="0"/>
          <w:sz w:val="28"/>
          <w:szCs w:val="28"/>
          <w:lang w:val="en-US" w:eastAsia="en-GB"/>
        </w:rPr>
      </w:pPr>
    </w:p>
    <w:p w14:paraId="4BEAA085" w14:textId="0A72F0C2" w:rsidR="00871C29" w:rsidRPr="00F807A7" w:rsidRDefault="00871C29" w:rsidP="00871C29">
      <w:pPr>
        <w:spacing w:after="100" w:afterAutospacing="1" w:line="360" w:lineRule="auto"/>
        <w:rPr>
          <w:rFonts w:ascii="Times New Roman" w:eastAsia="Times New Roman" w:hAnsi="Times New Roman"/>
          <w:b/>
          <w:bCs/>
          <w:color w:val="1D2125"/>
          <w:kern w:val="0"/>
          <w:sz w:val="28"/>
          <w:szCs w:val="28"/>
          <w:lang w:val="en-US" w:eastAsia="en-GB"/>
        </w:rPr>
      </w:pPr>
      <w:r w:rsidRPr="00F807A7">
        <w:rPr>
          <w:rFonts w:ascii="Times New Roman" w:eastAsia="Times New Roman" w:hAnsi="Times New Roman"/>
          <w:b/>
          <w:bCs/>
          <w:color w:val="1D2125"/>
          <w:kern w:val="0"/>
          <w:sz w:val="28"/>
          <w:szCs w:val="28"/>
          <w:lang w:val="en-US" w:eastAsia="en-GB"/>
        </w:rPr>
        <w:t>Task 3 - Self-Reflection of Group Activity</w:t>
      </w:r>
    </w:p>
    <w:p w14:paraId="36019C93" w14:textId="77777777" w:rsidR="00EF269B" w:rsidRDefault="00EF269B" w:rsidP="00EF269B">
      <w:pPr>
        <w:spacing w:line="360" w:lineRule="auto"/>
        <w:rPr>
          <w:rFonts w:ascii="Arial" w:hAnsi="Arial" w:cs="Arial"/>
          <w:color w:val="000000"/>
        </w:rPr>
      </w:pPr>
      <w:r>
        <w:rPr>
          <w:rFonts w:ascii="Arial" w:hAnsi="Arial" w:cs="Arial"/>
          <w:color w:val="000000"/>
        </w:rPr>
        <w:t>I used Gibbs’ Reflective Cycle (1988) to reflect on the group activity. We used both divergent thinking—generating many ideas—and convergent thinking, where we narrowed options into one clear plan (Cropley, 2006). During the brainstorming stage, I contributed several possibilities without judging them, which showed my confidence in divergent thinking. However, when the group struggled to decide, I suggested using a “pros and cons” list, which helped us converge on the most practical solution.</w:t>
      </w:r>
    </w:p>
    <w:p w14:paraId="76E07B25" w14:textId="77777777" w:rsidR="00EF269B" w:rsidRDefault="00EF269B" w:rsidP="00EF269B">
      <w:pPr>
        <w:spacing w:line="360" w:lineRule="auto"/>
        <w:rPr>
          <w:rFonts w:ascii="Arial" w:hAnsi="Arial" w:cs="Arial"/>
          <w:color w:val="000000"/>
        </w:rPr>
      </w:pPr>
      <w:r>
        <w:rPr>
          <w:rFonts w:ascii="Arial" w:hAnsi="Arial" w:cs="Arial"/>
          <w:color w:val="000000"/>
        </w:rPr>
        <w:t>Emotionally, I felt comfortable generating ideas but more hesitant when directing the group. Evaluating the experience, I realised that although I enjoy creative thinking, I also rely heavily on structured decision-making. This mix helped the team move forward when we were stuck.</w:t>
      </w:r>
    </w:p>
    <w:p w14:paraId="1CE132C7" w14:textId="77777777" w:rsidR="00EF269B" w:rsidRDefault="00EF269B" w:rsidP="00EF269B">
      <w:pPr>
        <w:spacing w:line="360" w:lineRule="auto"/>
        <w:rPr>
          <w:rFonts w:ascii="Arial" w:hAnsi="Arial" w:cs="Arial"/>
          <w:color w:val="000000"/>
        </w:rPr>
      </w:pPr>
      <w:r>
        <w:rPr>
          <w:rFonts w:ascii="Arial" w:hAnsi="Arial" w:cs="Arial"/>
          <w:color w:val="000000"/>
        </w:rPr>
        <w:lastRenderedPageBreak/>
        <w:t>From analysing my actions, I learned that I tend to step up when clarity is needed, which supports teamwork but could risk closing discussions too early. In conclusion, next time I would balance both thinking styles more evenly by giving the group more space to explore ideas before moving to decision-making. This would support more collaborative problem-solving.</w:t>
      </w:r>
    </w:p>
    <w:p w14:paraId="4FBBE358" w14:textId="77777777" w:rsidR="008B0CA5" w:rsidRDefault="008B0CA5" w:rsidP="008375B5">
      <w:pPr>
        <w:spacing w:line="360" w:lineRule="auto"/>
        <w:rPr>
          <w:rFonts w:ascii="Times New Roman" w:hAnsi="Times New Roman"/>
          <w:i/>
          <w:iCs/>
          <w:color w:val="0070C0"/>
        </w:rPr>
      </w:pPr>
    </w:p>
    <w:p w14:paraId="79CCAEE0" w14:textId="43E7286A" w:rsidR="00C80D0F"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Task 4 - Case Study Analysis of a UK Innovation</w:t>
      </w:r>
    </w:p>
    <w:p w14:paraId="0F70B451" w14:textId="77777777" w:rsidR="00461856" w:rsidRPr="00461856" w:rsidRDefault="00461856" w:rsidP="00461856">
      <w:pPr>
        <w:spacing w:line="360" w:lineRule="auto"/>
        <w:rPr>
          <w:rFonts w:ascii="Arial" w:hAnsi="Arial" w:cs="Arial"/>
        </w:rPr>
      </w:pPr>
      <w:r w:rsidRPr="00461856">
        <w:rPr>
          <w:rFonts w:ascii="Arial" w:hAnsi="Arial" w:cs="Arial"/>
        </w:rPr>
        <w:t>The NHS introduced virtual wards to address the growing problem of hospital bed shortages and delayed discharge, especially for older adults with complex needs (NHS England, 2022). Patients often stayed in hospital longer than necessary, increasing the risk of infection and reducing system capacity.</w:t>
      </w:r>
    </w:p>
    <w:p w14:paraId="71C24790" w14:textId="77777777" w:rsidR="00461856" w:rsidRPr="00461856" w:rsidRDefault="00461856" w:rsidP="00461856">
      <w:pPr>
        <w:spacing w:line="360" w:lineRule="auto"/>
        <w:rPr>
          <w:rFonts w:ascii="Arial" w:hAnsi="Arial" w:cs="Arial"/>
        </w:rPr>
      </w:pPr>
      <w:r w:rsidRPr="00461856">
        <w:rPr>
          <w:rFonts w:ascii="Arial" w:hAnsi="Arial" w:cs="Arial"/>
        </w:rPr>
        <w:t>Creativity played a key role by using technology in an unconventional way: remote monitoring devices, digital dashboards, and coordinated multidisciplinary teams allowed patients to receive acute-level care at home. This required staff to redesign workflows and reimagine traditional inpatient care, aligning with innovation theory, which emphasizes combining novel ideas with practical implementation to create value (Tidd &amp; Bessant, 2020).</w:t>
      </w:r>
    </w:p>
    <w:p w14:paraId="45404BBC" w14:textId="77777777" w:rsidR="00461856" w:rsidRPr="00461856" w:rsidRDefault="00461856" w:rsidP="00461856">
      <w:pPr>
        <w:spacing w:line="360" w:lineRule="auto"/>
        <w:rPr>
          <w:rFonts w:ascii="Arial" w:hAnsi="Arial" w:cs="Arial"/>
        </w:rPr>
      </w:pPr>
      <w:r w:rsidRPr="00461856">
        <w:rPr>
          <w:rFonts w:ascii="Arial" w:hAnsi="Arial" w:cs="Arial"/>
        </w:rPr>
        <w:t>Value was created for multiple stakeholders: patients experienced care in the comfort of their homes, reducing stress and exposure to hospital infections; staff could manage patients more efficiently, reducing workload pressures; and the system gained greater bed capacity and reduced delayed transfers.</w:t>
      </w:r>
    </w:p>
    <w:p w14:paraId="6B04E054" w14:textId="112FED1A" w:rsidR="00871C29" w:rsidRPr="00A75F5E" w:rsidRDefault="00461856" w:rsidP="008375B5">
      <w:pPr>
        <w:spacing w:line="360" w:lineRule="auto"/>
        <w:rPr>
          <w:rFonts w:ascii="Arial" w:hAnsi="Arial" w:cs="Arial"/>
        </w:rPr>
      </w:pPr>
      <w:r w:rsidRPr="00461856">
        <w:rPr>
          <w:rFonts w:ascii="Arial" w:hAnsi="Arial" w:cs="Arial"/>
        </w:rPr>
        <w:t>Reported outcomes include fewer hospital admissions, improved patient satisfaction, and better health outcomes for frail elderly patients (NHS England, 2022). Early evaluations suggest virtual wards could be scaled across other regions, demonstrating how creative, technology-driven approaches can transform care delivery while creating measurable value.</w:t>
      </w:r>
    </w:p>
    <w:p w14:paraId="19DD425C" w14:textId="77777777" w:rsidR="00A75F5E" w:rsidRDefault="00A75F5E" w:rsidP="008375B5">
      <w:pPr>
        <w:spacing w:line="360" w:lineRule="auto"/>
        <w:rPr>
          <w:rFonts w:ascii="Times New Roman" w:hAnsi="Times New Roman"/>
          <w:b/>
          <w:bCs/>
          <w:sz w:val="28"/>
          <w:szCs w:val="28"/>
        </w:rPr>
      </w:pPr>
    </w:p>
    <w:p w14:paraId="549AD369" w14:textId="77777777" w:rsidR="00A75F5E" w:rsidRDefault="00A75F5E" w:rsidP="008375B5">
      <w:pPr>
        <w:spacing w:line="360" w:lineRule="auto"/>
        <w:rPr>
          <w:rFonts w:ascii="Times New Roman" w:hAnsi="Times New Roman"/>
          <w:b/>
          <w:bCs/>
          <w:sz w:val="28"/>
          <w:szCs w:val="28"/>
        </w:rPr>
      </w:pPr>
    </w:p>
    <w:p w14:paraId="5ECF35C3" w14:textId="77777777" w:rsidR="00A75F5E" w:rsidRDefault="00A75F5E" w:rsidP="008375B5">
      <w:pPr>
        <w:spacing w:line="360" w:lineRule="auto"/>
        <w:rPr>
          <w:rFonts w:ascii="Times New Roman" w:hAnsi="Times New Roman"/>
          <w:b/>
          <w:bCs/>
          <w:sz w:val="28"/>
          <w:szCs w:val="28"/>
        </w:rPr>
      </w:pPr>
    </w:p>
    <w:p w14:paraId="351EE5C9" w14:textId="4E4E75FF" w:rsidR="00871C29"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lastRenderedPageBreak/>
        <w:t>Task 5 - Research Task</w:t>
      </w:r>
    </w:p>
    <w:p w14:paraId="4643FD93" w14:textId="7B67917E" w:rsidR="00104408" w:rsidRPr="00104408" w:rsidRDefault="00441FC0" w:rsidP="00104408">
      <w:pPr>
        <w:spacing w:line="360" w:lineRule="auto"/>
        <w:rPr>
          <w:rFonts w:ascii="Arial" w:hAnsi="Arial" w:cs="Arial"/>
          <w:b/>
          <w:bCs/>
        </w:rPr>
      </w:pPr>
      <w:r>
        <w:rPr>
          <w:rFonts w:ascii="Arial" w:hAnsi="Arial" w:cs="Arial"/>
        </w:rPr>
        <w:t>S</w:t>
      </w:r>
      <w:r w:rsidR="00104408" w:rsidRPr="00104408">
        <w:rPr>
          <w:rFonts w:ascii="Arial" w:hAnsi="Arial" w:cs="Arial"/>
        </w:rPr>
        <w:t>taff stress and burnout among nurses remains a serious issue. In the first article, a theoretical review found that poor working conditions — including high workload, long shifts, low staffing levels, lack of control and poor social support — are strongly associated with nurse burnout</w:t>
      </w:r>
      <w:r w:rsidR="00B275B8">
        <w:rPr>
          <w:rFonts w:ascii="Arial" w:hAnsi="Arial" w:cs="Arial"/>
        </w:rPr>
        <w:t xml:space="preserve"> (</w:t>
      </w:r>
      <w:proofErr w:type="spellStart"/>
      <w:r w:rsidR="00B275B8" w:rsidRPr="00441FC0">
        <w:rPr>
          <w:rFonts w:ascii="Arial" w:hAnsi="Arial" w:cs="Arial"/>
        </w:rPr>
        <w:t>Dall’Ora</w:t>
      </w:r>
      <w:proofErr w:type="spellEnd"/>
      <w:r w:rsidR="00B275B8" w:rsidRPr="00441FC0">
        <w:rPr>
          <w:rFonts w:ascii="Arial" w:hAnsi="Arial" w:cs="Arial"/>
        </w:rPr>
        <w:t xml:space="preserve"> </w:t>
      </w:r>
      <w:r w:rsidRPr="00441FC0">
        <w:rPr>
          <w:rFonts w:ascii="Arial" w:hAnsi="Arial" w:cs="Arial"/>
        </w:rPr>
        <w:t>et al. 2020)</w:t>
      </w:r>
      <w:r w:rsidR="00104408" w:rsidRPr="00104408">
        <w:rPr>
          <w:rFonts w:ascii="Arial" w:hAnsi="Arial" w:cs="Arial"/>
        </w:rPr>
        <w:t>. The authors draw on Maslach Burnout Theory, which describes burnout as emotional exhaustion, depersonalization and reduced personal accomplishment (Maslach et al. 2001).</w:t>
      </w:r>
      <w:r w:rsidR="00104408" w:rsidRPr="00104408">
        <w:rPr>
          <w:rFonts w:ascii="Arial" w:hAnsi="Arial" w:cs="Arial"/>
        </w:rPr>
        <w:t xml:space="preserve"> This theory helps explain why persistent job stress leads to emotional and professional decline, potentially reducing quality of care and increasing job turnover</w:t>
      </w:r>
      <w:r w:rsidR="007872ED">
        <w:rPr>
          <w:rFonts w:ascii="Arial" w:hAnsi="Arial" w:cs="Arial"/>
        </w:rPr>
        <w:t xml:space="preserve"> (</w:t>
      </w:r>
      <w:r w:rsidR="007872ED" w:rsidRPr="007872ED">
        <w:rPr>
          <w:rFonts w:ascii="Arial" w:hAnsi="Arial" w:cs="Arial"/>
        </w:rPr>
        <w:t>LIAO</w:t>
      </w:r>
      <w:r w:rsidR="007872ED">
        <w:rPr>
          <w:rFonts w:ascii="Arial" w:hAnsi="Arial" w:cs="Arial"/>
        </w:rPr>
        <w:t xml:space="preserve"> et</w:t>
      </w:r>
      <w:r w:rsidR="00970224">
        <w:rPr>
          <w:rFonts w:ascii="Arial" w:hAnsi="Arial" w:cs="Arial"/>
        </w:rPr>
        <w:t xml:space="preserve"> al. </w:t>
      </w:r>
      <w:r w:rsidR="003F4E07">
        <w:rPr>
          <w:rFonts w:ascii="Arial" w:hAnsi="Arial" w:cs="Arial"/>
        </w:rPr>
        <w:t>2020)</w:t>
      </w:r>
      <w:r w:rsidR="00104408" w:rsidRPr="00104408">
        <w:rPr>
          <w:rFonts w:ascii="Arial" w:hAnsi="Arial" w:cs="Arial"/>
        </w:rPr>
        <w:t>.</w:t>
      </w:r>
    </w:p>
    <w:p w14:paraId="3963CF56" w14:textId="1FCF5262" w:rsidR="00104408" w:rsidRPr="00104408" w:rsidRDefault="00104408" w:rsidP="00104408">
      <w:pPr>
        <w:spacing w:line="360" w:lineRule="auto"/>
        <w:rPr>
          <w:rFonts w:ascii="Arial" w:hAnsi="Arial" w:cs="Arial"/>
        </w:rPr>
      </w:pPr>
      <w:r w:rsidRPr="00104408">
        <w:rPr>
          <w:rFonts w:ascii="Arial" w:hAnsi="Arial" w:cs="Arial"/>
        </w:rPr>
        <w:t>The second article tracked hospital staff over a year during the COVID</w:t>
      </w:r>
      <w:r w:rsidRPr="00104408">
        <w:rPr>
          <w:rFonts w:ascii="Arial" w:hAnsi="Arial" w:cs="Arial"/>
        </w:rPr>
        <w:noBreakHyphen/>
        <w:t xml:space="preserve">19 pandemic. It found that burnout and psychological distress rose significantly over that period, especially among those working in high-pressure areas, with heavy workloads, frequent shifts and exposure to COVID </w:t>
      </w:r>
      <w:r w:rsidR="00D63D96" w:rsidRPr="00104408">
        <w:rPr>
          <w:rFonts w:ascii="Arial" w:hAnsi="Arial" w:cs="Arial"/>
        </w:rPr>
        <w:t>patients. The</w:t>
      </w:r>
      <w:r w:rsidRPr="00104408">
        <w:rPr>
          <w:rFonts w:ascii="Arial" w:hAnsi="Arial" w:cs="Arial"/>
        </w:rPr>
        <w:t xml:space="preserve"> study reports that these stressors led to increased absenteeism, risk of errors, and reduced staff well-being</w:t>
      </w:r>
      <w:r w:rsidR="000E35AA">
        <w:rPr>
          <w:rFonts w:ascii="Arial" w:hAnsi="Arial" w:cs="Arial"/>
        </w:rPr>
        <w:t xml:space="preserve"> (Maunder et al. </w:t>
      </w:r>
      <w:r w:rsidR="00D63D96">
        <w:rPr>
          <w:rFonts w:ascii="Arial" w:hAnsi="Arial" w:cs="Arial"/>
        </w:rPr>
        <w:t>2022)</w:t>
      </w:r>
    </w:p>
    <w:p w14:paraId="4515F567" w14:textId="77777777" w:rsidR="00104408" w:rsidRDefault="00104408" w:rsidP="00104408">
      <w:pPr>
        <w:spacing w:line="360" w:lineRule="auto"/>
        <w:rPr>
          <w:rFonts w:ascii="Arial" w:hAnsi="Arial" w:cs="Arial"/>
        </w:rPr>
      </w:pPr>
      <w:r w:rsidRPr="00104408">
        <w:rPr>
          <w:rFonts w:ascii="Arial" w:hAnsi="Arial" w:cs="Arial"/>
        </w:rPr>
        <w:t>Together, the two sources show that burnout arises from structural and situational causes — chronic understaffing and workplace demands (pre-existing) and crisis conditions (e.g., pandemic pressures). They agree that workload, poor staffing, and lack of support are central, but the second article highlights how extraordinary events (pandemic) exacerbate stress. Understanding this helps make clear that to protect staff health — and by extension patient care — organisations need to address systemic job conditions, staffing levels, and ensure support, especially during crises.</w:t>
      </w:r>
    </w:p>
    <w:p w14:paraId="4188EAC7" w14:textId="77777777" w:rsidR="00D74363" w:rsidRDefault="00D74363" w:rsidP="00104408">
      <w:pPr>
        <w:spacing w:line="360" w:lineRule="auto"/>
        <w:rPr>
          <w:rFonts w:ascii="Arial" w:hAnsi="Arial" w:cs="Arial"/>
        </w:rPr>
      </w:pPr>
    </w:p>
    <w:p w14:paraId="6CE950B4" w14:textId="77777777" w:rsidR="00D74363" w:rsidRDefault="00D74363" w:rsidP="00104408">
      <w:pPr>
        <w:spacing w:line="360" w:lineRule="auto"/>
        <w:rPr>
          <w:rFonts w:ascii="Arial" w:hAnsi="Arial" w:cs="Arial"/>
        </w:rPr>
      </w:pPr>
    </w:p>
    <w:p w14:paraId="59FBC81B" w14:textId="77777777" w:rsidR="00D74363" w:rsidRDefault="00D74363" w:rsidP="00104408">
      <w:pPr>
        <w:spacing w:line="360" w:lineRule="auto"/>
        <w:rPr>
          <w:rFonts w:ascii="Arial" w:hAnsi="Arial" w:cs="Arial"/>
        </w:rPr>
      </w:pPr>
    </w:p>
    <w:p w14:paraId="36596B8D" w14:textId="77777777" w:rsidR="00D74363" w:rsidRDefault="00D74363" w:rsidP="00104408">
      <w:pPr>
        <w:spacing w:line="360" w:lineRule="auto"/>
        <w:rPr>
          <w:rFonts w:ascii="Arial" w:hAnsi="Arial" w:cs="Arial"/>
        </w:rPr>
      </w:pPr>
    </w:p>
    <w:p w14:paraId="0633D11E" w14:textId="77777777" w:rsidR="00D74363" w:rsidRDefault="00D74363" w:rsidP="00104408">
      <w:pPr>
        <w:spacing w:line="360" w:lineRule="auto"/>
        <w:rPr>
          <w:rFonts w:ascii="Arial" w:hAnsi="Arial" w:cs="Arial"/>
        </w:rPr>
      </w:pPr>
    </w:p>
    <w:p w14:paraId="0EA281F4" w14:textId="77777777" w:rsidR="00D74363" w:rsidRDefault="00D74363" w:rsidP="00104408">
      <w:pPr>
        <w:spacing w:line="360" w:lineRule="auto"/>
        <w:rPr>
          <w:rFonts w:ascii="Arial" w:hAnsi="Arial" w:cs="Arial"/>
        </w:rPr>
      </w:pPr>
    </w:p>
    <w:p w14:paraId="022B2A57" w14:textId="77777777" w:rsidR="00D74363" w:rsidRDefault="00D74363" w:rsidP="00104408">
      <w:pPr>
        <w:spacing w:line="360" w:lineRule="auto"/>
        <w:rPr>
          <w:rFonts w:ascii="Arial" w:hAnsi="Arial" w:cs="Arial"/>
        </w:rPr>
      </w:pPr>
    </w:p>
    <w:p w14:paraId="5E16F143" w14:textId="0B6022FE" w:rsidR="001F155C" w:rsidRPr="00104408" w:rsidRDefault="001F155C" w:rsidP="00104408">
      <w:pPr>
        <w:spacing w:line="360" w:lineRule="auto"/>
        <w:rPr>
          <w:rFonts w:ascii="Arial" w:hAnsi="Arial" w:cs="Arial"/>
        </w:rPr>
      </w:pPr>
      <w:r w:rsidRPr="001F155C">
        <w:rPr>
          <w:rFonts w:ascii="Arial" w:hAnsi="Arial" w:cs="Arial"/>
        </w:rPr>
        <w:lastRenderedPageBreak/>
        <w:t>A hierarchical model of occupational burnout</w:t>
      </w:r>
      <w:r>
        <w:rPr>
          <w:rFonts w:ascii="Arial" w:hAnsi="Arial" w:cs="Arial"/>
        </w:rPr>
        <w:t>:</w:t>
      </w:r>
    </w:p>
    <w:p w14:paraId="386B7FED" w14:textId="3FA691AB" w:rsidR="00871C29" w:rsidRPr="00104408" w:rsidRDefault="009C525D" w:rsidP="008375B5">
      <w:pPr>
        <w:spacing w:line="360" w:lineRule="auto"/>
        <w:rPr>
          <w:rFonts w:ascii="Arial" w:hAnsi="Arial" w:cs="Arial"/>
        </w:rPr>
      </w:pPr>
      <w:r>
        <w:rPr>
          <w:rFonts w:ascii="Arial" w:hAnsi="Arial" w:cs="Arial"/>
        </w:rPr>
        <w:pict w14:anchorId="03FA9804">
          <v:shape id="_x0000_i1031" type="#_x0000_t75" style="width:300pt;height:254pt">
            <v:imagedata r:id="rId12" o:title=""/>
          </v:shape>
        </w:pict>
      </w:r>
    </w:p>
    <w:p w14:paraId="0F176943" w14:textId="6414908F" w:rsidR="00C80D0F" w:rsidRPr="00F807A7" w:rsidRDefault="00C80D0F" w:rsidP="008375B5">
      <w:pPr>
        <w:spacing w:line="360" w:lineRule="auto"/>
        <w:rPr>
          <w:rFonts w:ascii="Times New Roman" w:hAnsi="Times New Roman"/>
        </w:rPr>
      </w:pPr>
    </w:p>
    <w:p w14:paraId="102DF1BB" w14:textId="77777777" w:rsidR="00C80D0F" w:rsidRPr="00F807A7" w:rsidRDefault="00C80D0F" w:rsidP="008375B5">
      <w:pPr>
        <w:spacing w:line="360" w:lineRule="auto"/>
        <w:rPr>
          <w:rFonts w:ascii="Times New Roman" w:hAnsi="Times New Roman"/>
        </w:rPr>
      </w:pPr>
    </w:p>
    <w:p w14:paraId="4D9F43DC" w14:textId="0D85C3F4" w:rsidR="00871C29" w:rsidRPr="00F807A7" w:rsidRDefault="00871C29" w:rsidP="00871C29">
      <w:pPr>
        <w:spacing w:after="100" w:afterAutospacing="1" w:line="360" w:lineRule="auto"/>
        <w:rPr>
          <w:rFonts w:ascii="Times New Roman" w:eastAsia="Times New Roman" w:hAnsi="Times New Roman"/>
          <w:b/>
          <w:bCs/>
          <w:color w:val="1D2125"/>
          <w:kern w:val="0"/>
          <w:sz w:val="28"/>
          <w:szCs w:val="28"/>
          <w:lang w:val="en-US" w:eastAsia="en-GB"/>
        </w:rPr>
      </w:pPr>
      <w:r w:rsidRPr="00F807A7">
        <w:rPr>
          <w:rFonts w:ascii="Times New Roman" w:eastAsia="Times New Roman" w:hAnsi="Times New Roman"/>
          <w:b/>
          <w:bCs/>
          <w:color w:val="1D2125"/>
          <w:kern w:val="0"/>
          <w:sz w:val="28"/>
          <w:szCs w:val="28"/>
          <w:lang w:val="en-US" w:eastAsia="en-GB"/>
        </w:rPr>
        <w:t>Task 6 - Exploring Digital Innovation in Health and Social Care</w:t>
      </w:r>
    </w:p>
    <w:p w14:paraId="22FD298A" w14:textId="77777777" w:rsidR="006D59D1" w:rsidRPr="006D59D1" w:rsidRDefault="006D59D1" w:rsidP="006D59D1">
      <w:pPr>
        <w:spacing w:line="360" w:lineRule="auto"/>
        <w:rPr>
          <w:rFonts w:ascii="Arial" w:hAnsi="Arial" w:cs="Arial"/>
          <w:b/>
          <w:bCs/>
        </w:rPr>
      </w:pPr>
      <w:r w:rsidRPr="006D59D1">
        <w:rPr>
          <w:rFonts w:ascii="Arial" w:hAnsi="Arial" w:cs="Arial"/>
          <w:b/>
          <w:bCs/>
        </w:rPr>
        <w:t>Question 1: Electronic Patient Records (EPRs)</w:t>
      </w:r>
    </w:p>
    <w:p w14:paraId="652F49E7" w14:textId="77777777" w:rsidR="006D59D1" w:rsidRPr="006D59D1" w:rsidRDefault="006D59D1" w:rsidP="006D59D1">
      <w:pPr>
        <w:spacing w:line="360" w:lineRule="auto"/>
        <w:rPr>
          <w:rFonts w:ascii="Arial" w:hAnsi="Arial" w:cs="Arial"/>
        </w:rPr>
      </w:pPr>
      <w:r w:rsidRPr="006D59D1">
        <w:rPr>
          <w:rFonts w:ascii="Arial" w:hAnsi="Arial" w:cs="Arial"/>
        </w:rPr>
        <w:t>Electronic Patient Records (EPRs) are digital systems that replace paper records, storing patient histories, test results, medications, and care plans in a single, accessible format (NHS England, 2019). A real-life example is the Global Digital Exemplar (GDE) programme, which has implemented EPRs across multiple NHS trusts to ensure records follow patients between hospital, community, and social care services (NHS England, 2020).</w:t>
      </w:r>
    </w:p>
    <w:p w14:paraId="62331AA7" w14:textId="77777777" w:rsidR="006D59D1" w:rsidRPr="006D59D1" w:rsidRDefault="006D59D1" w:rsidP="006D59D1">
      <w:pPr>
        <w:spacing w:line="360" w:lineRule="auto"/>
        <w:rPr>
          <w:rFonts w:ascii="Arial" w:hAnsi="Arial" w:cs="Arial"/>
        </w:rPr>
      </w:pPr>
      <w:r w:rsidRPr="006D59D1">
        <w:rPr>
          <w:rFonts w:ascii="Arial" w:hAnsi="Arial" w:cs="Arial"/>
          <w:b/>
          <w:bCs/>
        </w:rPr>
        <w:t>Benefit:</w:t>
      </w:r>
      <w:r w:rsidRPr="006D59D1">
        <w:rPr>
          <w:rFonts w:ascii="Arial" w:hAnsi="Arial" w:cs="Arial"/>
        </w:rPr>
        <w:t xml:space="preserve"> EPRs improve continuity of care, reduce duplication, and save staff time, supporting the NHS Long Term Plan’s goal of integrated, digital care (NHS England, 2019).</w:t>
      </w:r>
    </w:p>
    <w:p w14:paraId="5D925C8C" w14:textId="77777777" w:rsidR="006D59D1" w:rsidRPr="006D59D1" w:rsidRDefault="006D59D1" w:rsidP="006D59D1">
      <w:pPr>
        <w:spacing w:line="360" w:lineRule="auto"/>
        <w:rPr>
          <w:rFonts w:ascii="Arial" w:hAnsi="Arial" w:cs="Arial"/>
        </w:rPr>
      </w:pPr>
      <w:r w:rsidRPr="006D59D1">
        <w:rPr>
          <w:rFonts w:ascii="Arial" w:hAnsi="Arial" w:cs="Arial"/>
          <w:b/>
          <w:bCs/>
        </w:rPr>
        <w:t>Challenge:</w:t>
      </w:r>
      <w:r w:rsidRPr="006D59D1">
        <w:rPr>
          <w:rFonts w:ascii="Arial" w:hAnsi="Arial" w:cs="Arial"/>
        </w:rPr>
        <w:t xml:space="preserve"> Despite widespread adoption, many trusts use EPRs only for basic record-keeping, limiting the potential benefits of full interoperability and advanced features (Digital Health, 2025).</w:t>
      </w:r>
    </w:p>
    <w:p w14:paraId="52F54591" w14:textId="77777777" w:rsidR="006D59D1" w:rsidRDefault="006D59D1" w:rsidP="006D59D1">
      <w:pPr>
        <w:spacing w:line="360" w:lineRule="auto"/>
        <w:rPr>
          <w:rFonts w:ascii="Arial" w:hAnsi="Arial" w:cs="Arial"/>
        </w:rPr>
      </w:pPr>
      <w:r w:rsidRPr="006D59D1">
        <w:rPr>
          <w:rFonts w:ascii="Arial" w:hAnsi="Arial" w:cs="Arial"/>
        </w:rPr>
        <w:lastRenderedPageBreak/>
        <w:t>EPRs illustrate the digital transformation framework, providing a technological foundation that enables workflow improvements, better communication, and safer, more efficient care.</w:t>
      </w:r>
    </w:p>
    <w:p w14:paraId="0E4229E5" w14:textId="77777777" w:rsidR="00FC0DE0" w:rsidRDefault="00FC0DE0" w:rsidP="006D59D1">
      <w:pPr>
        <w:spacing w:line="360" w:lineRule="auto"/>
        <w:rPr>
          <w:rFonts w:ascii="Arial" w:hAnsi="Arial" w:cs="Arial"/>
        </w:rPr>
      </w:pPr>
    </w:p>
    <w:p w14:paraId="51CFE3EB" w14:textId="77777777" w:rsidR="00521E0C" w:rsidRPr="00521E0C" w:rsidRDefault="00521E0C" w:rsidP="00521E0C">
      <w:pPr>
        <w:spacing w:line="360" w:lineRule="auto"/>
        <w:rPr>
          <w:rFonts w:ascii="Arial" w:hAnsi="Arial" w:cs="Arial"/>
          <w:b/>
          <w:bCs/>
        </w:rPr>
      </w:pPr>
      <w:r w:rsidRPr="00521E0C">
        <w:rPr>
          <w:rFonts w:ascii="Arial" w:hAnsi="Arial" w:cs="Arial"/>
          <w:b/>
          <w:bCs/>
        </w:rPr>
        <w:t>Question 2: Virtual Reality (VR) in Stroke Rehabilitation</w:t>
      </w:r>
    </w:p>
    <w:p w14:paraId="2F67A116" w14:textId="77777777" w:rsidR="00521E0C" w:rsidRPr="00521E0C" w:rsidRDefault="00521E0C" w:rsidP="00521E0C">
      <w:pPr>
        <w:spacing w:line="360" w:lineRule="auto"/>
        <w:rPr>
          <w:rFonts w:ascii="Arial" w:hAnsi="Arial" w:cs="Arial"/>
        </w:rPr>
      </w:pPr>
      <w:r w:rsidRPr="00521E0C">
        <w:rPr>
          <w:rFonts w:ascii="Arial" w:hAnsi="Arial" w:cs="Arial"/>
        </w:rPr>
        <w:t>Virtual Reality (VR) rehabilitation tools guide stroke survivors through exercises using immersive or guided digital therapy. The Hillingdon Hospitals NHS Foundation Trust, in collaboration with Brunel University, piloted a VR stroke rehab platform allowing remote physiotherapy (Digital Health, 2025).</w:t>
      </w:r>
    </w:p>
    <w:p w14:paraId="359BA65B" w14:textId="77777777" w:rsidR="00521E0C" w:rsidRPr="00521E0C" w:rsidRDefault="00521E0C" w:rsidP="00521E0C">
      <w:pPr>
        <w:spacing w:line="360" w:lineRule="auto"/>
        <w:rPr>
          <w:rFonts w:ascii="Arial" w:hAnsi="Arial" w:cs="Arial"/>
        </w:rPr>
      </w:pPr>
      <w:r w:rsidRPr="00521E0C">
        <w:rPr>
          <w:rFonts w:ascii="Arial" w:hAnsi="Arial" w:cs="Arial"/>
          <w:b/>
          <w:bCs/>
        </w:rPr>
        <w:t>Benefit:</w:t>
      </w:r>
      <w:r w:rsidRPr="00521E0C">
        <w:rPr>
          <w:rFonts w:ascii="Arial" w:hAnsi="Arial" w:cs="Arial"/>
        </w:rPr>
        <w:t xml:space="preserve"> Patients can access therapy from home, improving adherence and recovery while reducing hospital pressure. Staff can monitor progress remotely, optimising resource use. This represents value creation by improving outcomes for patients and efficiency for the system.</w:t>
      </w:r>
    </w:p>
    <w:p w14:paraId="2F49B0F9" w14:textId="77777777" w:rsidR="00521E0C" w:rsidRPr="00521E0C" w:rsidRDefault="00521E0C" w:rsidP="00521E0C">
      <w:pPr>
        <w:spacing w:line="360" w:lineRule="auto"/>
        <w:rPr>
          <w:rFonts w:ascii="Arial" w:hAnsi="Arial" w:cs="Arial"/>
        </w:rPr>
      </w:pPr>
      <w:r w:rsidRPr="00521E0C">
        <w:rPr>
          <w:rFonts w:ascii="Arial" w:hAnsi="Arial" w:cs="Arial"/>
          <w:b/>
          <w:bCs/>
        </w:rPr>
        <w:t>Challenge:</w:t>
      </w:r>
      <w:r w:rsidRPr="00521E0C">
        <w:rPr>
          <w:rFonts w:ascii="Arial" w:hAnsi="Arial" w:cs="Arial"/>
        </w:rPr>
        <w:t xml:space="preserve"> Access and digital literacy are barriers; some patients may be excluded without training or support.</w:t>
      </w:r>
    </w:p>
    <w:p w14:paraId="391717F9" w14:textId="77777777" w:rsidR="00521E0C" w:rsidRDefault="00521E0C" w:rsidP="00521E0C">
      <w:pPr>
        <w:spacing w:line="360" w:lineRule="auto"/>
        <w:rPr>
          <w:rFonts w:ascii="Arial" w:hAnsi="Arial" w:cs="Arial"/>
        </w:rPr>
      </w:pPr>
      <w:r w:rsidRPr="00521E0C">
        <w:rPr>
          <w:rFonts w:ascii="Arial" w:hAnsi="Arial" w:cs="Arial"/>
        </w:rPr>
        <w:t>The innovation aligns with digital transformation frameworks that encourage creative, technology-driven approaches to deliver care differently and more flexibly (NHS England, 2019).</w:t>
      </w:r>
    </w:p>
    <w:p w14:paraId="68104CD9" w14:textId="77777777" w:rsidR="007A2C71" w:rsidRDefault="007A2C71" w:rsidP="00521E0C">
      <w:pPr>
        <w:spacing w:line="360" w:lineRule="auto"/>
        <w:rPr>
          <w:rFonts w:ascii="Arial" w:hAnsi="Arial" w:cs="Arial"/>
        </w:rPr>
      </w:pPr>
    </w:p>
    <w:p w14:paraId="5B90D5BE" w14:textId="77777777" w:rsidR="007A2C71" w:rsidRPr="007A2C71" w:rsidRDefault="007A2C71" w:rsidP="007A2C71">
      <w:pPr>
        <w:spacing w:line="360" w:lineRule="auto"/>
        <w:rPr>
          <w:rFonts w:ascii="Arial" w:hAnsi="Arial" w:cs="Arial"/>
          <w:b/>
          <w:bCs/>
        </w:rPr>
      </w:pPr>
      <w:r w:rsidRPr="007A2C71">
        <w:rPr>
          <w:rFonts w:ascii="Arial" w:hAnsi="Arial" w:cs="Arial"/>
          <w:b/>
          <w:bCs/>
        </w:rPr>
        <w:t>Question 3: Challenges in EPR Implementation</w:t>
      </w:r>
    </w:p>
    <w:p w14:paraId="5E64C70B" w14:textId="77777777" w:rsidR="007A2C71" w:rsidRPr="007A2C71" w:rsidRDefault="007A2C71" w:rsidP="007A2C71">
      <w:pPr>
        <w:spacing w:line="360" w:lineRule="auto"/>
        <w:rPr>
          <w:rFonts w:ascii="Arial" w:hAnsi="Arial" w:cs="Arial"/>
        </w:rPr>
      </w:pPr>
      <w:r w:rsidRPr="007A2C71">
        <w:rPr>
          <w:rFonts w:ascii="Arial" w:hAnsi="Arial" w:cs="Arial"/>
        </w:rPr>
        <w:t>While EPRs promise improved care, many staff find them difficult to use effectively. A Health Foundation report found that most trusts use EPRs only for basic record-keeping; interoperability and advanced functionality remain underutilised (Health Foundation, 2023).</w:t>
      </w:r>
    </w:p>
    <w:p w14:paraId="5B34D5D9" w14:textId="77777777" w:rsidR="007A2C71" w:rsidRPr="007A2C71" w:rsidRDefault="007A2C71" w:rsidP="007A2C71">
      <w:pPr>
        <w:spacing w:line="360" w:lineRule="auto"/>
        <w:rPr>
          <w:rFonts w:ascii="Arial" w:hAnsi="Arial" w:cs="Arial"/>
        </w:rPr>
      </w:pPr>
      <w:r w:rsidRPr="007A2C71">
        <w:rPr>
          <w:rFonts w:ascii="Arial" w:hAnsi="Arial" w:cs="Arial"/>
          <w:b/>
          <w:bCs/>
        </w:rPr>
        <w:t>Causes:</w:t>
      </w:r>
      <w:r w:rsidRPr="007A2C71">
        <w:rPr>
          <w:rFonts w:ascii="Arial" w:hAnsi="Arial" w:cs="Arial"/>
        </w:rPr>
        <w:t xml:space="preserve"> Fragmented funding, inconsistent training, system incompatibilities, and resistance to change limit EPR benefits.</w:t>
      </w:r>
    </w:p>
    <w:p w14:paraId="14FCD268" w14:textId="77777777" w:rsidR="007A2C71" w:rsidRPr="007A2C71" w:rsidRDefault="007A2C71" w:rsidP="007A2C71">
      <w:pPr>
        <w:spacing w:line="360" w:lineRule="auto"/>
        <w:rPr>
          <w:rFonts w:ascii="Arial" w:hAnsi="Arial" w:cs="Arial"/>
        </w:rPr>
      </w:pPr>
      <w:r w:rsidRPr="007A2C71">
        <w:rPr>
          <w:rFonts w:ascii="Arial" w:hAnsi="Arial" w:cs="Arial"/>
          <w:b/>
          <w:bCs/>
        </w:rPr>
        <w:t>Impact:</w:t>
      </w:r>
      <w:r w:rsidRPr="007A2C71">
        <w:rPr>
          <w:rFonts w:ascii="Arial" w:hAnsi="Arial" w:cs="Arial"/>
        </w:rPr>
        <w:t xml:space="preserve"> Inefficient workflows persist, information gaps increase, and potential safety and quality improvements may not materialise.</w:t>
      </w:r>
    </w:p>
    <w:p w14:paraId="42209AD3" w14:textId="77777777" w:rsidR="007A2C71" w:rsidRPr="007A2C71" w:rsidRDefault="007A2C71" w:rsidP="007A2C71">
      <w:pPr>
        <w:spacing w:line="360" w:lineRule="auto"/>
        <w:rPr>
          <w:rFonts w:ascii="Arial" w:hAnsi="Arial" w:cs="Arial"/>
        </w:rPr>
      </w:pPr>
      <w:r w:rsidRPr="007A2C71">
        <w:rPr>
          <w:rFonts w:ascii="Arial" w:hAnsi="Arial" w:cs="Arial"/>
        </w:rPr>
        <w:lastRenderedPageBreak/>
        <w:t>Digital transformation models, including the NHS Long Term Plan, highlight that successful adoption requires not just technology, but also training, leadership, and organisational change management (NHS England, 2019).</w:t>
      </w:r>
    </w:p>
    <w:p w14:paraId="2A744804" w14:textId="77777777" w:rsidR="007A2C71" w:rsidRPr="00521E0C" w:rsidRDefault="007A2C71" w:rsidP="00521E0C">
      <w:pPr>
        <w:spacing w:line="360" w:lineRule="auto"/>
        <w:rPr>
          <w:rFonts w:ascii="Arial" w:hAnsi="Arial" w:cs="Arial"/>
        </w:rPr>
      </w:pPr>
    </w:p>
    <w:p w14:paraId="0CF74EC0" w14:textId="6DE9C1C1" w:rsidR="00871C29" w:rsidRPr="00F807A7" w:rsidRDefault="00F807A7" w:rsidP="008375B5">
      <w:pPr>
        <w:spacing w:line="360" w:lineRule="auto"/>
        <w:rPr>
          <w:rFonts w:ascii="Times New Roman" w:hAnsi="Times New Roman"/>
          <w:b/>
          <w:bCs/>
          <w:sz w:val="28"/>
          <w:szCs w:val="28"/>
        </w:rPr>
      </w:pPr>
      <w:r w:rsidRPr="00F807A7">
        <w:rPr>
          <w:rFonts w:ascii="Times New Roman" w:hAnsi="Times New Roman"/>
          <w:b/>
          <w:bCs/>
          <w:sz w:val="28"/>
          <w:szCs w:val="28"/>
        </w:rPr>
        <w:t>Task 7 - Understanding the NHS Leadership Framework</w:t>
      </w:r>
    </w:p>
    <w:p w14:paraId="0FF70A79" w14:textId="77777777" w:rsidR="00DA3CC3" w:rsidRDefault="00DA3CC3" w:rsidP="00961F4F">
      <w:pPr>
        <w:spacing w:line="360" w:lineRule="auto"/>
        <w:rPr>
          <w:rFonts w:ascii="Arial" w:hAnsi="Arial" w:cs="Arial"/>
          <w:b/>
          <w:bCs/>
        </w:rPr>
      </w:pPr>
    </w:p>
    <w:p w14:paraId="0F09F2E6" w14:textId="3BBAFFE0" w:rsidR="00961F4F" w:rsidRPr="00961F4F" w:rsidRDefault="00961F4F" w:rsidP="00961F4F">
      <w:pPr>
        <w:spacing w:line="360" w:lineRule="auto"/>
        <w:rPr>
          <w:rFonts w:ascii="Arial" w:hAnsi="Arial" w:cs="Arial"/>
          <w:b/>
          <w:bCs/>
        </w:rPr>
      </w:pPr>
      <w:r w:rsidRPr="00961F4F">
        <w:rPr>
          <w:rFonts w:ascii="Arial" w:hAnsi="Arial" w:cs="Arial"/>
          <w:b/>
          <w:bCs/>
        </w:rPr>
        <w:t>Part 1: Overview of the NHS Leadership Framework (150 words)</w:t>
      </w:r>
    </w:p>
    <w:p w14:paraId="0BB8127D" w14:textId="77777777" w:rsidR="00961F4F" w:rsidRPr="00961F4F" w:rsidRDefault="00961F4F" w:rsidP="00961F4F">
      <w:pPr>
        <w:spacing w:line="360" w:lineRule="auto"/>
        <w:rPr>
          <w:rFonts w:ascii="Arial" w:hAnsi="Arial" w:cs="Arial"/>
        </w:rPr>
      </w:pPr>
      <w:r w:rsidRPr="00961F4F">
        <w:rPr>
          <w:rFonts w:ascii="Arial" w:hAnsi="Arial" w:cs="Arial"/>
        </w:rPr>
        <w:t>The NHS Leadership Framework is a structured guide outlining the skills, behaviours, and values required for effective leadership across all levels of the NHS (NHS Leadership Academy, 2013). Its purpose is to support staff to develop leadership capability, improve organisational performance, and ensure high-quality, patient-centred care. The framework emphasises that leadership is not limited to senior roles; every staff member can demonstrate leadership in their area of practice.</w:t>
      </w:r>
    </w:p>
    <w:p w14:paraId="2FA9E9FA" w14:textId="77777777" w:rsidR="00961F4F" w:rsidRPr="00961F4F" w:rsidRDefault="00961F4F" w:rsidP="00961F4F">
      <w:pPr>
        <w:spacing w:line="360" w:lineRule="auto"/>
        <w:rPr>
          <w:rFonts w:ascii="Arial" w:hAnsi="Arial" w:cs="Arial"/>
        </w:rPr>
      </w:pPr>
      <w:r w:rsidRPr="00961F4F">
        <w:rPr>
          <w:rFonts w:ascii="Arial" w:hAnsi="Arial" w:cs="Arial"/>
        </w:rPr>
        <w:t>Key components include evaluating information, developing capability, engaging the team, improving services, and demonstrating personal qualities (NHS Leadership Academy, 2013). These behaviours encourage evidence-based decision-making, continuous learning, and collaboration, which are essential for a complex health system. By embedding these competencies, the framework fosters a culture of accountability, innovation, and high-quality care, enabling leaders to respond effectively to challenges and drive improvements that benefit patients and staff alike.</w:t>
      </w:r>
    </w:p>
    <w:p w14:paraId="6C12A7F4" w14:textId="564CAC7C" w:rsidR="006B7CEE" w:rsidRPr="006B7CEE" w:rsidRDefault="006B7CEE" w:rsidP="006B7CEE">
      <w:pPr>
        <w:spacing w:line="360" w:lineRule="auto"/>
        <w:rPr>
          <w:rFonts w:ascii="Arial" w:hAnsi="Arial" w:cs="Arial"/>
          <w:b/>
          <w:bCs/>
        </w:rPr>
      </w:pPr>
      <w:r w:rsidRPr="006B7CEE">
        <w:rPr>
          <w:rFonts w:ascii="Arial" w:hAnsi="Arial" w:cs="Arial"/>
          <w:b/>
          <w:bCs/>
        </w:rPr>
        <w:t>Part 2: Using ‘Developing Capability’ to Encourage Innovation</w:t>
      </w:r>
    </w:p>
    <w:p w14:paraId="22C22990" w14:textId="77777777" w:rsidR="006B7CEE" w:rsidRPr="006B7CEE" w:rsidRDefault="006B7CEE" w:rsidP="006B7CEE">
      <w:pPr>
        <w:spacing w:line="360" w:lineRule="auto"/>
        <w:rPr>
          <w:rFonts w:ascii="Arial" w:hAnsi="Arial" w:cs="Arial"/>
        </w:rPr>
      </w:pPr>
      <w:r w:rsidRPr="006B7CEE">
        <w:rPr>
          <w:rFonts w:ascii="Arial" w:hAnsi="Arial" w:cs="Arial"/>
        </w:rPr>
        <w:t xml:space="preserve">The behaviour “developing capability” involves mentoring, coaching, and supporting staff to enhance their skills and confidence (NHS Leadership Academy, 2013). A leader applying this behaviour might encourage staff to propose new ideas for care delivery, such as digital tools for remote monitoring. By offering guidance, training, and feedback, the leader nurtures creativity while improving teamwork. For example, a ward manager mentoring junior nurses in innovative patient engagement strategies can lead to more efficient workflows and improved patient satisfaction. This approach aligns with transformational leadership theory, which emphasises inspiring and </w:t>
      </w:r>
      <w:r w:rsidRPr="006B7CEE">
        <w:rPr>
          <w:rFonts w:ascii="Arial" w:hAnsi="Arial" w:cs="Arial"/>
        </w:rPr>
        <w:lastRenderedPageBreak/>
        <w:t>empowering staff to achieve higher performance and drive meaningful change (Bass and Riggio, 2006).</w:t>
      </w:r>
    </w:p>
    <w:p w14:paraId="14AE0374" w14:textId="24A501EB" w:rsidR="00F807A7" w:rsidRPr="00961F4F" w:rsidRDefault="006B7CEE" w:rsidP="008375B5">
      <w:pPr>
        <w:spacing w:line="360" w:lineRule="auto"/>
        <w:rPr>
          <w:rFonts w:ascii="Arial" w:hAnsi="Arial" w:cs="Arial"/>
        </w:rPr>
      </w:pPr>
      <w:r>
        <w:rPr>
          <w:rFonts w:ascii="Arial" w:hAnsi="Arial" w:cs="Arial"/>
        </w:rPr>
        <w:t xml:space="preserve"> </w:t>
      </w:r>
    </w:p>
    <w:p w14:paraId="602F623D" w14:textId="7A239D50" w:rsidR="00F807A7" w:rsidRPr="00F807A7" w:rsidRDefault="00F807A7" w:rsidP="008375B5">
      <w:pPr>
        <w:spacing w:line="360" w:lineRule="auto"/>
        <w:rPr>
          <w:rFonts w:ascii="Times New Roman" w:hAnsi="Times New Roman"/>
          <w:b/>
          <w:bCs/>
          <w:sz w:val="28"/>
          <w:szCs w:val="28"/>
        </w:rPr>
      </w:pPr>
      <w:r w:rsidRPr="00F807A7">
        <w:rPr>
          <w:rFonts w:ascii="Times New Roman" w:hAnsi="Times New Roman"/>
          <w:b/>
          <w:bCs/>
          <w:sz w:val="28"/>
          <w:szCs w:val="28"/>
        </w:rPr>
        <w:t>Task 8 - Self-Reflection Journal Entry</w:t>
      </w:r>
    </w:p>
    <w:p w14:paraId="1341A351" w14:textId="77777777" w:rsidR="00761CAD" w:rsidRPr="00761CAD" w:rsidRDefault="00761CAD" w:rsidP="00761CAD">
      <w:pPr>
        <w:spacing w:line="360" w:lineRule="auto"/>
        <w:rPr>
          <w:rFonts w:ascii="Arial" w:hAnsi="Arial" w:cs="Arial"/>
        </w:rPr>
      </w:pPr>
      <w:r w:rsidRPr="00761CAD">
        <w:rPr>
          <w:rFonts w:ascii="Arial" w:hAnsi="Arial" w:cs="Arial"/>
        </w:rPr>
        <w:t>During this module, I gained a deeper understanding of creativity, innovation, and value creation in health and social care. Using Gibbs’ Reflective Cycle (1988), I reflected on Task 6, exploring digital innovations like virtual wards and VR stroke rehabilitation. This task changed my perspective by showing that innovation is not just about technology but about improving patient outcomes, staff workflows, and system efficiency.</w:t>
      </w:r>
    </w:p>
    <w:p w14:paraId="582316F8" w14:textId="77777777" w:rsidR="00761CAD" w:rsidRPr="00761CAD" w:rsidRDefault="00761CAD" w:rsidP="00761CAD">
      <w:pPr>
        <w:spacing w:line="360" w:lineRule="auto"/>
        <w:rPr>
          <w:rFonts w:ascii="Arial" w:hAnsi="Arial" w:cs="Arial"/>
        </w:rPr>
      </w:pPr>
      <w:r w:rsidRPr="00761CAD">
        <w:rPr>
          <w:rFonts w:ascii="Arial" w:hAnsi="Arial" w:cs="Arial"/>
        </w:rPr>
        <w:t>I realised that creativity is most effective when combined with structured planning and evaluation, linking directly to value creation: innovations must produce measurable benefits for service users and staff. In my future professional role, I plan to encourage colleagues to propose new ideas, evaluate their impact, and implement practical solutions, whether through digital tools or process improvements.</w:t>
      </w:r>
    </w:p>
    <w:p w14:paraId="55350FF2" w14:textId="77777777" w:rsidR="00761CAD" w:rsidRPr="00761CAD" w:rsidRDefault="00761CAD" w:rsidP="00761CAD">
      <w:pPr>
        <w:spacing w:line="360" w:lineRule="auto"/>
        <w:rPr>
          <w:rFonts w:ascii="Arial" w:hAnsi="Arial" w:cs="Arial"/>
        </w:rPr>
      </w:pPr>
      <w:r w:rsidRPr="00761CAD">
        <w:rPr>
          <w:rFonts w:ascii="Arial" w:hAnsi="Arial" w:cs="Arial"/>
        </w:rPr>
        <w:t>The key concept I will carry into my career is that innovation requires both imaginative thinking and structured action, ensuring that improvements are meaningful, ethical, and sustainable in real care settings (Tidd and Bessant, 2020).</w:t>
      </w:r>
    </w:p>
    <w:p w14:paraId="5668715C" w14:textId="77777777" w:rsidR="008375B5" w:rsidRPr="00427065" w:rsidRDefault="008375B5" w:rsidP="008375B5">
      <w:pPr>
        <w:spacing w:line="360" w:lineRule="auto"/>
        <w:rPr>
          <w:rFonts w:ascii="Times New Roman" w:hAnsi="Times New Roman"/>
          <w:color w:val="A5C9EB"/>
        </w:rPr>
      </w:pPr>
    </w:p>
    <w:p w14:paraId="7FD1A851" w14:textId="77777777" w:rsidR="008375B5" w:rsidRPr="00F807A7" w:rsidRDefault="008375B5" w:rsidP="008375B5">
      <w:pPr>
        <w:spacing w:line="360" w:lineRule="auto"/>
        <w:rPr>
          <w:rFonts w:ascii="Times New Roman" w:hAnsi="Times New Roman"/>
        </w:rPr>
      </w:pPr>
    </w:p>
    <w:p w14:paraId="293319B9" w14:textId="77777777" w:rsidR="008375B5" w:rsidRPr="00F807A7" w:rsidRDefault="008375B5" w:rsidP="008375B5">
      <w:pPr>
        <w:spacing w:line="360" w:lineRule="auto"/>
        <w:rPr>
          <w:rFonts w:ascii="Times New Roman" w:hAnsi="Times New Roman"/>
        </w:rPr>
      </w:pPr>
    </w:p>
    <w:p w14:paraId="5D77874C" w14:textId="77777777" w:rsidR="00477F3E" w:rsidRDefault="00477F3E" w:rsidP="008375B5">
      <w:pPr>
        <w:spacing w:line="360" w:lineRule="auto"/>
        <w:rPr>
          <w:rFonts w:ascii="Times New Roman" w:hAnsi="Times New Roman"/>
          <w:b/>
          <w:bCs/>
          <w:sz w:val="28"/>
          <w:szCs w:val="28"/>
        </w:rPr>
      </w:pPr>
    </w:p>
    <w:p w14:paraId="690AB817" w14:textId="77777777" w:rsidR="00477F3E" w:rsidRDefault="00477F3E" w:rsidP="008375B5">
      <w:pPr>
        <w:spacing w:line="360" w:lineRule="auto"/>
        <w:rPr>
          <w:rFonts w:ascii="Times New Roman" w:hAnsi="Times New Roman"/>
          <w:b/>
          <w:bCs/>
          <w:sz w:val="28"/>
          <w:szCs w:val="28"/>
        </w:rPr>
      </w:pPr>
    </w:p>
    <w:p w14:paraId="08848C0F" w14:textId="77777777" w:rsidR="00DB5A0D" w:rsidRDefault="00DB5A0D" w:rsidP="008375B5">
      <w:pPr>
        <w:spacing w:line="360" w:lineRule="auto"/>
        <w:rPr>
          <w:rFonts w:ascii="Times New Roman" w:hAnsi="Times New Roman"/>
          <w:b/>
          <w:bCs/>
          <w:sz w:val="28"/>
          <w:szCs w:val="28"/>
        </w:rPr>
      </w:pPr>
    </w:p>
    <w:p w14:paraId="251B013D" w14:textId="77777777" w:rsidR="00DB5A0D" w:rsidRDefault="00DB5A0D" w:rsidP="008375B5">
      <w:pPr>
        <w:spacing w:line="360" w:lineRule="auto"/>
        <w:rPr>
          <w:rFonts w:ascii="Times New Roman" w:hAnsi="Times New Roman"/>
          <w:b/>
          <w:bCs/>
          <w:sz w:val="28"/>
          <w:szCs w:val="28"/>
        </w:rPr>
      </w:pPr>
    </w:p>
    <w:p w14:paraId="05A66C93" w14:textId="77777777" w:rsidR="00DB5A0D" w:rsidRDefault="00DB5A0D" w:rsidP="008375B5">
      <w:pPr>
        <w:spacing w:line="360" w:lineRule="auto"/>
        <w:rPr>
          <w:rFonts w:ascii="Times New Roman" w:hAnsi="Times New Roman"/>
          <w:b/>
          <w:bCs/>
          <w:sz w:val="28"/>
          <w:szCs w:val="28"/>
        </w:rPr>
      </w:pPr>
    </w:p>
    <w:p w14:paraId="286E9012" w14:textId="180B541C" w:rsidR="008375B5" w:rsidRDefault="008375B5" w:rsidP="008375B5">
      <w:pPr>
        <w:spacing w:line="360" w:lineRule="auto"/>
        <w:rPr>
          <w:rFonts w:ascii="Times New Roman" w:hAnsi="Times New Roman"/>
          <w:b/>
          <w:bCs/>
          <w:sz w:val="28"/>
          <w:szCs w:val="28"/>
        </w:rPr>
      </w:pPr>
      <w:r w:rsidRPr="00F807A7">
        <w:rPr>
          <w:rFonts w:ascii="Times New Roman" w:hAnsi="Times New Roman"/>
          <w:b/>
          <w:bCs/>
          <w:sz w:val="28"/>
          <w:szCs w:val="28"/>
        </w:rPr>
        <w:lastRenderedPageBreak/>
        <w:t>References</w:t>
      </w:r>
    </w:p>
    <w:p w14:paraId="5F0A541F"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Adams, R. (2019) </w:t>
      </w:r>
      <w:r w:rsidRPr="00DB5A0D">
        <w:rPr>
          <w:rFonts w:ascii="Times New Roman" w:hAnsi="Times New Roman"/>
          <w:i/>
          <w:iCs/>
          <w:sz w:val="28"/>
          <w:szCs w:val="28"/>
        </w:rPr>
        <w:t>Creative Practice in Social Work</w:t>
      </w:r>
      <w:r w:rsidRPr="00DB5A0D">
        <w:rPr>
          <w:rFonts w:ascii="Times New Roman" w:hAnsi="Times New Roman"/>
          <w:sz w:val="28"/>
          <w:szCs w:val="28"/>
        </w:rPr>
        <w:t>. London: Palgrave.</w:t>
      </w:r>
    </w:p>
    <w:p w14:paraId="2A4A1636"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Bass, B.M. and Riggio, R.E. (2006) </w:t>
      </w:r>
      <w:r w:rsidRPr="00DB5A0D">
        <w:rPr>
          <w:rFonts w:ascii="Times New Roman" w:hAnsi="Times New Roman"/>
          <w:i/>
          <w:iCs/>
          <w:sz w:val="28"/>
          <w:szCs w:val="28"/>
        </w:rPr>
        <w:t>Transformational Leadership</w:t>
      </w:r>
      <w:r w:rsidRPr="00DB5A0D">
        <w:rPr>
          <w:rFonts w:ascii="Times New Roman" w:hAnsi="Times New Roman"/>
          <w:sz w:val="28"/>
          <w:szCs w:val="28"/>
        </w:rPr>
        <w:t xml:space="preserve">. 2nd </w:t>
      </w:r>
      <w:proofErr w:type="spellStart"/>
      <w:r w:rsidRPr="00DB5A0D">
        <w:rPr>
          <w:rFonts w:ascii="Times New Roman" w:hAnsi="Times New Roman"/>
          <w:sz w:val="28"/>
          <w:szCs w:val="28"/>
        </w:rPr>
        <w:t>edn</w:t>
      </w:r>
      <w:proofErr w:type="spellEnd"/>
      <w:r w:rsidRPr="00DB5A0D">
        <w:rPr>
          <w:rFonts w:ascii="Times New Roman" w:hAnsi="Times New Roman"/>
          <w:sz w:val="28"/>
          <w:szCs w:val="28"/>
        </w:rPr>
        <w:t>. Mahwah, NJ: Lawrence Erlbaum Associates.</w:t>
      </w:r>
    </w:p>
    <w:p w14:paraId="7742CD23"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Burnes, B. (2017) </w:t>
      </w:r>
      <w:r w:rsidRPr="00DB5A0D">
        <w:rPr>
          <w:rFonts w:ascii="Times New Roman" w:hAnsi="Times New Roman"/>
          <w:i/>
          <w:iCs/>
          <w:sz w:val="28"/>
          <w:szCs w:val="28"/>
        </w:rPr>
        <w:t>Managing Change</w:t>
      </w:r>
      <w:r w:rsidRPr="00DB5A0D">
        <w:rPr>
          <w:rFonts w:ascii="Times New Roman" w:hAnsi="Times New Roman"/>
          <w:sz w:val="28"/>
          <w:szCs w:val="28"/>
        </w:rPr>
        <w:t xml:space="preserve">. 7th </w:t>
      </w:r>
      <w:proofErr w:type="spellStart"/>
      <w:r w:rsidRPr="00DB5A0D">
        <w:rPr>
          <w:rFonts w:ascii="Times New Roman" w:hAnsi="Times New Roman"/>
          <w:sz w:val="28"/>
          <w:szCs w:val="28"/>
        </w:rPr>
        <w:t>edn</w:t>
      </w:r>
      <w:proofErr w:type="spellEnd"/>
      <w:r w:rsidRPr="00DB5A0D">
        <w:rPr>
          <w:rFonts w:ascii="Times New Roman" w:hAnsi="Times New Roman"/>
          <w:sz w:val="28"/>
          <w:szCs w:val="28"/>
        </w:rPr>
        <w:t>. London: Pearson.</w:t>
      </w:r>
    </w:p>
    <w:p w14:paraId="58C4A868" w14:textId="77777777" w:rsidR="00DB5A0D" w:rsidRPr="00DB5A0D" w:rsidRDefault="00DB5A0D" w:rsidP="00DB5A0D">
      <w:pPr>
        <w:spacing w:line="360" w:lineRule="auto"/>
        <w:rPr>
          <w:rFonts w:ascii="Times New Roman" w:hAnsi="Times New Roman"/>
          <w:sz w:val="28"/>
          <w:szCs w:val="28"/>
        </w:rPr>
      </w:pPr>
      <w:proofErr w:type="spellStart"/>
      <w:r w:rsidRPr="00DB5A0D">
        <w:rPr>
          <w:rFonts w:ascii="Times New Roman" w:hAnsi="Times New Roman"/>
          <w:sz w:val="28"/>
          <w:szCs w:val="28"/>
        </w:rPr>
        <w:t>Checkland</w:t>
      </w:r>
      <w:proofErr w:type="spellEnd"/>
      <w:r w:rsidRPr="00DB5A0D">
        <w:rPr>
          <w:rFonts w:ascii="Times New Roman" w:hAnsi="Times New Roman"/>
          <w:sz w:val="28"/>
          <w:szCs w:val="28"/>
        </w:rPr>
        <w:t xml:space="preserve">, P. (2011) </w:t>
      </w:r>
      <w:r w:rsidRPr="00DB5A0D">
        <w:rPr>
          <w:rFonts w:ascii="Times New Roman" w:hAnsi="Times New Roman"/>
          <w:i/>
          <w:iCs/>
          <w:sz w:val="28"/>
          <w:szCs w:val="28"/>
        </w:rPr>
        <w:t>Systems Thinking, Systems Practice</w:t>
      </w:r>
      <w:r w:rsidRPr="00DB5A0D">
        <w:rPr>
          <w:rFonts w:ascii="Times New Roman" w:hAnsi="Times New Roman"/>
          <w:sz w:val="28"/>
          <w:szCs w:val="28"/>
        </w:rPr>
        <w:t>. Chichester: Wiley.</w:t>
      </w:r>
    </w:p>
    <w:p w14:paraId="0B7D7ED1"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Cropley, A. (2006) ‘In praise of convergent thinking’, </w:t>
      </w:r>
      <w:r w:rsidRPr="00DB5A0D">
        <w:rPr>
          <w:rFonts w:ascii="Times New Roman" w:hAnsi="Times New Roman"/>
          <w:i/>
          <w:iCs/>
          <w:sz w:val="28"/>
          <w:szCs w:val="28"/>
        </w:rPr>
        <w:t>Creativity Research Journal</w:t>
      </w:r>
      <w:r w:rsidRPr="00DB5A0D">
        <w:rPr>
          <w:rFonts w:ascii="Times New Roman" w:hAnsi="Times New Roman"/>
          <w:sz w:val="28"/>
          <w:szCs w:val="28"/>
        </w:rPr>
        <w:t>, 18(3), pp. 391–404.</w:t>
      </w:r>
    </w:p>
    <w:p w14:paraId="6876D40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CQC (2023) </w:t>
      </w:r>
      <w:r w:rsidRPr="00DB5A0D">
        <w:rPr>
          <w:rFonts w:ascii="Times New Roman" w:hAnsi="Times New Roman"/>
          <w:i/>
          <w:iCs/>
          <w:sz w:val="28"/>
          <w:szCs w:val="28"/>
        </w:rPr>
        <w:t>Safety through Learning: Safer Care for All</w:t>
      </w:r>
      <w:r w:rsidRPr="00DB5A0D">
        <w:rPr>
          <w:rFonts w:ascii="Times New Roman" w:hAnsi="Times New Roman"/>
          <w:sz w:val="28"/>
          <w:szCs w:val="28"/>
        </w:rPr>
        <w:t>. London: Care Quality Commission.</w:t>
      </w:r>
    </w:p>
    <w:p w14:paraId="31B091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Digital Health (2025) </w:t>
      </w:r>
      <w:r w:rsidRPr="00DB5A0D">
        <w:rPr>
          <w:rFonts w:ascii="Times New Roman" w:hAnsi="Times New Roman"/>
          <w:i/>
          <w:iCs/>
          <w:sz w:val="28"/>
          <w:szCs w:val="28"/>
        </w:rPr>
        <w:t>NHS must move EPR use beyond digitising paper, warns report</w:t>
      </w:r>
      <w:r w:rsidRPr="00DB5A0D">
        <w:rPr>
          <w:rFonts w:ascii="Times New Roman" w:hAnsi="Times New Roman"/>
          <w:sz w:val="28"/>
          <w:szCs w:val="28"/>
        </w:rPr>
        <w:t>. London: Digital Health.</w:t>
      </w:r>
    </w:p>
    <w:p w14:paraId="5DBFDD2B"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Digital Health (2025) </w:t>
      </w:r>
      <w:r w:rsidRPr="00DB5A0D">
        <w:rPr>
          <w:rFonts w:ascii="Times New Roman" w:hAnsi="Times New Roman"/>
          <w:i/>
          <w:iCs/>
          <w:sz w:val="28"/>
          <w:szCs w:val="28"/>
        </w:rPr>
        <w:t>VR stroke rehabilitation platform awarded NHS England funding</w:t>
      </w:r>
      <w:r w:rsidRPr="00DB5A0D">
        <w:rPr>
          <w:rFonts w:ascii="Times New Roman" w:hAnsi="Times New Roman"/>
          <w:sz w:val="28"/>
          <w:szCs w:val="28"/>
        </w:rPr>
        <w:t>. London: Digital Health.</w:t>
      </w:r>
    </w:p>
    <w:p w14:paraId="2494B3EF"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Gibbs, G. (1988) </w:t>
      </w:r>
      <w:r w:rsidRPr="00DB5A0D">
        <w:rPr>
          <w:rFonts w:ascii="Times New Roman" w:hAnsi="Times New Roman"/>
          <w:i/>
          <w:iCs/>
          <w:sz w:val="28"/>
          <w:szCs w:val="28"/>
        </w:rPr>
        <w:t>Learning by Doing</w:t>
      </w:r>
      <w:r w:rsidRPr="00DB5A0D">
        <w:rPr>
          <w:rFonts w:ascii="Times New Roman" w:hAnsi="Times New Roman"/>
          <w:sz w:val="28"/>
          <w:szCs w:val="28"/>
        </w:rPr>
        <w:t>. Oxford: Oxford Polytechnic.</w:t>
      </w:r>
    </w:p>
    <w:p w14:paraId="77C78E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Health Foundation (2023) </w:t>
      </w:r>
      <w:r w:rsidRPr="00DB5A0D">
        <w:rPr>
          <w:rFonts w:ascii="Times New Roman" w:hAnsi="Times New Roman"/>
          <w:i/>
          <w:iCs/>
          <w:sz w:val="28"/>
          <w:szCs w:val="28"/>
        </w:rPr>
        <w:t>Electronic Patient Records: Barriers and Opportunities in NHS Trusts</w:t>
      </w:r>
      <w:r w:rsidRPr="00DB5A0D">
        <w:rPr>
          <w:rFonts w:ascii="Times New Roman" w:hAnsi="Times New Roman"/>
          <w:sz w:val="28"/>
          <w:szCs w:val="28"/>
        </w:rPr>
        <w:t>. London: Health Foundation.</w:t>
      </w:r>
    </w:p>
    <w:p w14:paraId="3DA7F59A"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Human Resources for Health (2020) ‘Burnout in nursing: a theoretical review’, </w:t>
      </w:r>
      <w:r w:rsidRPr="00DB5A0D">
        <w:rPr>
          <w:rFonts w:ascii="Times New Roman" w:hAnsi="Times New Roman"/>
          <w:i/>
          <w:iCs/>
          <w:sz w:val="28"/>
          <w:szCs w:val="28"/>
        </w:rPr>
        <w:t>Human Resources for Health</w:t>
      </w:r>
      <w:r w:rsidRPr="00DB5A0D">
        <w:rPr>
          <w:rFonts w:ascii="Times New Roman" w:hAnsi="Times New Roman"/>
          <w:sz w:val="28"/>
          <w:szCs w:val="28"/>
        </w:rPr>
        <w:t>, 18, p. 82.</w:t>
      </w:r>
    </w:p>
    <w:p w14:paraId="6F85E72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Journal of Occupational Medicine and Toxicology (2022) ‘Trends in burnout and psychological distress in hospital staff over 12 months of the COVID-19 pandemic: a prospective longitudinal survey’, </w:t>
      </w:r>
      <w:r w:rsidRPr="00DB5A0D">
        <w:rPr>
          <w:rFonts w:ascii="Times New Roman" w:hAnsi="Times New Roman"/>
          <w:i/>
          <w:iCs/>
          <w:sz w:val="28"/>
          <w:szCs w:val="28"/>
        </w:rPr>
        <w:t>Journal of Occupational Medicine and Toxicology</w:t>
      </w:r>
      <w:r w:rsidRPr="00DB5A0D">
        <w:rPr>
          <w:rFonts w:ascii="Times New Roman" w:hAnsi="Times New Roman"/>
          <w:sz w:val="28"/>
          <w:szCs w:val="28"/>
        </w:rPr>
        <w:t>, 17, p. 11.</w:t>
      </w:r>
    </w:p>
    <w:p w14:paraId="7F0133E1"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lastRenderedPageBreak/>
        <w:t xml:space="preserve">Marmot, M. (2020) </w:t>
      </w:r>
      <w:r w:rsidRPr="00DB5A0D">
        <w:rPr>
          <w:rFonts w:ascii="Times New Roman" w:hAnsi="Times New Roman"/>
          <w:i/>
          <w:iCs/>
          <w:sz w:val="28"/>
          <w:szCs w:val="28"/>
        </w:rPr>
        <w:t>Health Equity in England: The Marmot Review 10 Years On</w:t>
      </w:r>
      <w:r w:rsidRPr="00DB5A0D">
        <w:rPr>
          <w:rFonts w:ascii="Times New Roman" w:hAnsi="Times New Roman"/>
          <w:sz w:val="28"/>
          <w:szCs w:val="28"/>
        </w:rPr>
        <w:t>. London: Institute of Health Equity.</w:t>
      </w:r>
    </w:p>
    <w:p w14:paraId="6C303CD7"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(2019) </w:t>
      </w:r>
      <w:r w:rsidRPr="00DB5A0D">
        <w:rPr>
          <w:rFonts w:ascii="Times New Roman" w:hAnsi="Times New Roman"/>
          <w:i/>
          <w:iCs/>
          <w:sz w:val="28"/>
          <w:szCs w:val="28"/>
        </w:rPr>
        <w:t>The NHS Long Term Plan</w:t>
      </w:r>
      <w:r w:rsidRPr="00DB5A0D">
        <w:rPr>
          <w:rFonts w:ascii="Times New Roman" w:hAnsi="Times New Roman"/>
          <w:sz w:val="28"/>
          <w:szCs w:val="28"/>
        </w:rPr>
        <w:t>. London: NHS England.</w:t>
      </w:r>
    </w:p>
    <w:p w14:paraId="119AF8EC"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(2020) </w:t>
      </w:r>
      <w:r w:rsidRPr="00DB5A0D">
        <w:rPr>
          <w:rFonts w:ascii="Times New Roman" w:hAnsi="Times New Roman"/>
          <w:i/>
          <w:iCs/>
          <w:sz w:val="28"/>
          <w:szCs w:val="28"/>
        </w:rPr>
        <w:t>Global Digital Exemplar Programme</w:t>
      </w:r>
      <w:r w:rsidRPr="00DB5A0D">
        <w:rPr>
          <w:rFonts w:ascii="Times New Roman" w:hAnsi="Times New Roman"/>
          <w:sz w:val="28"/>
          <w:szCs w:val="28"/>
        </w:rPr>
        <w:t>. London: NHS England.</w:t>
      </w:r>
    </w:p>
    <w:p w14:paraId="014C301C"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(2022) </w:t>
      </w:r>
      <w:r w:rsidRPr="00DB5A0D">
        <w:rPr>
          <w:rFonts w:ascii="Times New Roman" w:hAnsi="Times New Roman"/>
          <w:i/>
          <w:iCs/>
          <w:sz w:val="28"/>
          <w:szCs w:val="28"/>
        </w:rPr>
        <w:t>Improving Patient Safety Through Better Communication</w:t>
      </w:r>
      <w:r w:rsidRPr="00DB5A0D">
        <w:rPr>
          <w:rFonts w:ascii="Times New Roman" w:hAnsi="Times New Roman"/>
          <w:sz w:val="28"/>
          <w:szCs w:val="28"/>
        </w:rPr>
        <w:t>. London: NHS England.</w:t>
      </w:r>
    </w:p>
    <w:p w14:paraId="62DE426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(2022) </w:t>
      </w:r>
      <w:r w:rsidRPr="00DB5A0D">
        <w:rPr>
          <w:rFonts w:ascii="Times New Roman" w:hAnsi="Times New Roman"/>
          <w:i/>
          <w:iCs/>
          <w:sz w:val="28"/>
          <w:szCs w:val="28"/>
        </w:rPr>
        <w:t>Virtual Wards: Supporting Patients at Home</w:t>
      </w:r>
      <w:r w:rsidRPr="00DB5A0D">
        <w:rPr>
          <w:rFonts w:ascii="Times New Roman" w:hAnsi="Times New Roman"/>
          <w:sz w:val="28"/>
          <w:szCs w:val="28"/>
        </w:rPr>
        <w:t>. London: NHS England.</w:t>
      </w:r>
    </w:p>
    <w:p w14:paraId="03A5D4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(2023) </w:t>
      </w:r>
      <w:r w:rsidRPr="00DB5A0D">
        <w:rPr>
          <w:rFonts w:ascii="Times New Roman" w:hAnsi="Times New Roman"/>
          <w:i/>
          <w:iCs/>
          <w:sz w:val="28"/>
          <w:szCs w:val="28"/>
        </w:rPr>
        <w:t>Innovation in the NHS</w:t>
      </w:r>
      <w:r w:rsidRPr="00DB5A0D">
        <w:rPr>
          <w:rFonts w:ascii="Times New Roman" w:hAnsi="Times New Roman"/>
          <w:sz w:val="28"/>
          <w:szCs w:val="28"/>
        </w:rPr>
        <w:t>. London: NHS England.</w:t>
      </w:r>
    </w:p>
    <w:p w14:paraId="0BCB17C7"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Leadership Academy (2013) </w:t>
      </w:r>
      <w:r w:rsidRPr="00DB5A0D">
        <w:rPr>
          <w:rFonts w:ascii="Times New Roman" w:hAnsi="Times New Roman"/>
          <w:i/>
          <w:iCs/>
          <w:sz w:val="28"/>
          <w:szCs w:val="28"/>
        </w:rPr>
        <w:t>The NHS Leadership Framework</w:t>
      </w:r>
      <w:r w:rsidRPr="00DB5A0D">
        <w:rPr>
          <w:rFonts w:ascii="Times New Roman" w:hAnsi="Times New Roman"/>
          <w:sz w:val="28"/>
          <w:szCs w:val="28"/>
        </w:rPr>
        <w:t>. Coventry: NHS Leadership Academy.</w:t>
      </w:r>
    </w:p>
    <w:p w14:paraId="095BDFF3"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Porter, M.E. (2010) ‘What is value in health care?’, </w:t>
      </w:r>
      <w:r w:rsidRPr="00DB5A0D">
        <w:rPr>
          <w:rFonts w:ascii="Times New Roman" w:hAnsi="Times New Roman"/>
          <w:i/>
          <w:iCs/>
          <w:sz w:val="28"/>
          <w:szCs w:val="28"/>
        </w:rPr>
        <w:t>New England Journal of Medicine</w:t>
      </w:r>
      <w:r w:rsidRPr="00DB5A0D">
        <w:rPr>
          <w:rFonts w:ascii="Times New Roman" w:hAnsi="Times New Roman"/>
          <w:sz w:val="28"/>
          <w:szCs w:val="28"/>
        </w:rPr>
        <w:t>, 363(26), pp. 2477–2481.</w:t>
      </w:r>
    </w:p>
    <w:p w14:paraId="24AB18AA"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Tidd, J. and Bessant, J. (2020) </w:t>
      </w:r>
      <w:r w:rsidRPr="00DB5A0D">
        <w:rPr>
          <w:rFonts w:ascii="Times New Roman" w:hAnsi="Times New Roman"/>
          <w:i/>
          <w:iCs/>
          <w:sz w:val="28"/>
          <w:szCs w:val="28"/>
        </w:rPr>
        <w:t>Managing Innovation: Integrating Technological, Market and Orga</w:t>
      </w:r>
    </w:p>
    <w:p w14:paraId="52DDEBC0" w14:textId="77777777" w:rsidR="00DB5A0D" w:rsidRPr="00DB5A0D" w:rsidRDefault="00DB5A0D" w:rsidP="00DB5A0D">
      <w:pPr>
        <w:spacing w:line="360" w:lineRule="auto"/>
        <w:rPr>
          <w:rFonts w:ascii="Times New Roman" w:hAnsi="Times New Roman"/>
          <w:vanish/>
          <w:sz w:val="28"/>
          <w:szCs w:val="28"/>
        </w:rPr>
      </w:pPr>
      <w:r w:rsidRPr="00DB5A0D">
        <w:rPr>
          <w:rFonts w:ascii="Times New Roman" w:hAnsi="Times New Roman"/>
          <w:vanish/>
          <w:sz w:val="28"/>
          <w:szCs w:val="28"/>
        </w:rPr>
        <w:t>Top of Form</w:t>
      </w:r>
    </w:p>
    <w:p w14:paraId="26AA1538" w14:textId="77777777" w:rsidR="00DB5A0D" w:rsidRPr="00DB5A0D" w:rsidRDefault="00DB5A0D" w:rsidP="00DB5A0D">
      <w:pPr>
        <w:spacing w:line="360" w:lineRule="auto"/>
        <w:rPr>
          <w:rFonts w:ascii="Times New Roman" w:hAnsi="Times New Roman"/>
          <w:sz w:val="28"/>
          <w:szCs w:val="28"/>
        </w:rPr>
      </w:pPr>
    </w:p>
    <w:p w14:paraId="65FCD178" w14:textId="77777777" w:rsidR="00DB5A0D" w:rsidRPr="00DB5A0D" w:rsidRDefault="00DB5A0D" w:rsidP="00DB5A0D">
      <w:pPr>
        <w:spacing w:line="360" w:lineRule="auto"/>
        <w:rPr>
          <w:rFonts w:ascii="Times New Roman" w:hAnsi="Times New Roman"/>
          <w:vanish/>
          <w:sz w:val="28"/>
          <w:szCs w:val="28"/>
        </w:rPr>
      </w:pPr>
      <w:r w:rsidRPr="00DB5A0D">
        <w:rPr>
          <w:rFonts w:ascii="Times New Roman" w:hAnsi="Times New Roman"/>
          <w:vanish/>
          <w:sz w:val="28"/>
          <w:szCs w:val="28"/>
        </w:rPr>
        <w:t>Bottom of Form</w:t>
      </w:r>
    </w:p>
    <w:p w14:paraId="7768E3BF" w14:textId="77777777" w:rsidR="008D7601" w:rsidRPr="00F807A7" w:rsidRDefault="008D7601" w:rsidP="008375B5">
      <w:pPr>
        <w:spacing w:line="360" w:lineRule="auto"/>
        <w:rPr>
          <w:rFonts w:ascii="Times New Roman" w:hAnsi="Times New Roman"/>
          <w:sz w:val="28"/>
          <w:szCs w:val="28"/>
        </w:rPr>
      </w:pPr>
    </w:p>
    <w:sectPr w:rsidR="008D7601" w:rsidRPr="00F807A7" w:rsidSect="008375B5">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C3048" w14:textId="77777777" w:rsidR="002031C4" w:rsidRDefault="002031C4" w:rsidP="008375B5">
      <w:pPr>
        <w:spacing w:after="0" w:line="240" w:lineRule="auto"/>
      </w:pPr>
      <w:r>
        <w:separator/>
      </w:r>
    </w:p>
  </w:endnote>
  <w:endnote w:type="continuationSeparator" w:id="0">
    <w:p w14:paraId="0DE66879" w14:textId="77777777" w:rsidR="002031C4" w:rsidRDefault="002031C4"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A0574"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A4FECB0"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EA69B" w14:textId="77777777" w:rsidR="002031C4" w:rsidRDefault="002031C4" w:rsidP="008375B5">
      <w:pPr>
        <w:spacing w:after="0" w:line="240" w:lineRule="auto"/>
      </w:pPr>
      <w:r>
        <w:separator/>
      </w:r>
    </w:p>
  </w:footnote>
  <w:footnote w:type="continuationSeparator" w:id="0">
    <w:p w14:paraId="4E60F724" w14:textId="77777777" w:rsidR="002031C4" w:rsidRDefault="002031C4"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030346">
    <w:abstractNumId w:val="2"/>
  </w:num>
  <w:num w:numId="2" w16cid:durableId="807551051">
    <w:abstractNumId w:val="3"/>
  </w:num>
  <w:num w:numId="3" w16cid:durableId="1265188981">
    <w:abstractNumId w:val="4"/>
  </w:num>
  <w:num w:numId="4" w16cid:durableId="126241801">
    <w:abstractNumId w:val="0"/>
  </w:num>
  <w:num w:numId="5" w16cid:durableId="1235504023">
    <w:abstractNumId w:val="1"/>
  </w:num>
  <w:num w:numId="6" w16cid:durableId="335769104">
    <w:abstractNumId w:val="5"/>
  </w:num>
  <w:num w:numId="7" w16cid:durableId="818229492">
    <w:abstractNumId w:val="6"/>
  </w:num>
  <w:num w:numId="8" w16cid:durableId="1029842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B32D5"/>
    <w:rsid w:val="000D1E5B"/>
    <w:rsid w:val="000E35AA"/>
    <w:rsid w:val="00104408"/>
    <w:rsid w:val="001131B2"/>
    <w:rsid w:val="00125285"/>
    <w:rsid w:val="001F155C"/>
    <w:rsid w:val="002031C4"/>
    <w:rsid w:val="00255D51"/>
    <w:rsid w:val="00343113"/>
    <w:rsid w:val="00393D4C"/>
    <w:rsid w:val="003A7F5D"/>
    <w:rsid w:val="003C7FC4"/>
    <w:rsid w:val="003F4E07"/>
    <w:rsid w:val="00427065"/>
    <w:rsid w:val="00441FC0"/>
    <w:rsid w:val="00461856"/>
    <w:rsid w:val="00477F3E"/>
    <w:rsid w:val="00500642"/>
    <w:rsid w:val="00521E0C"/>
    <w:rsid w:val="0058254B"/>
    <w:rsid w:val="005863AF"/>
    <w:rsid w:val="005C6AA3"/>
    <w:rsid w:val="00630BD4"/>
    <w:rsid w:val="006B7CEE"/>
    <w:rsid w:val="006D59D1"/>
    <w:rsid w:val="00761CAD"/>
    <w:rsid w:val="007872ED"/>
    <w:rsid w:val="007A2C71"/>
    <w:rsid w:val="00823EC3"/>
    <w:rsid w:val="008265EC"/>
    <w:rsid w:val="008375B5"/>
    <w:rsid w:val="00852C96"/>
    <w:rsid w:val="00871C29"/>
    <w:rsid w:val="008B0CA5"/>
    <w:rsid w:val="008D7601"/>
    <w:rsid w:val="008E31E6"/>
    <w:rsid w:val="008F1C3F"/>
    <w:rsid w:val="008F2FF9"/>
    <w:rsid w:val="009310C5"/>
    <w:rsid w:val="009334D8"/>
    <w:rsid w:val="00961F4F"/>
    <w:rsid w:val="009648F6"/>
    <w:rsid w:val="00970224"/>
    <w:rsid w:val="00977CD9"/>
    <w:rsid w:val="00987802"/>
    <w:rsid w:val="009C525D"/>
    <w:rsid w:val="009E4193"/>
    <w:rsid w:val="00A74858"/>
    <w:rsid w:val="00A75F5E"/>
    <w:rsid w:val="00A875D4"/>
    <w:rsid w:val="00A9474F"/>
    <w:rsid w:val="00AC2DCE"/>
    <w:rsid w:val="00AC3FDE"/>
    <w:rsid w:val="00AE670D"/>
    <w:rsid w:val="00B275B8"/>
    <w:rsid w:val="00B7123B"/>
    <w:rsid w:val="00B7516B"/>
    <w:rsid w:val="00C316FD"/>
    <w:rsid w:val="00C80D0F"/>
    <w:rsid w:val="00CC492F"/>
    <w:rsid w:val="00CF5920"/>
    <w:rsid w:val="00D40915"/>
    <w:rsid w:val="00D63D96"/>
    <w:rsid w:val="00D74363"/>
    <w:rsid w:val="00DA3CC3"/>
    <w:rsid w:val="00DB5A0D"/>
    <w:rsid w:val="00DC27AD"/>
    <w:rsid w:val="00DD5D8B"/>
    <w:rsid w:val="00EF269B"/>
    <w:rsid w:val="00F44369"/>
    <w:rsid w:val="00F62CE0"/>
    <w:rsid w:val="00F807A7"/>
    <w:rsid w:val="00F85FE9"/>
    <w:rsid w:val="00FC0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FD4CA7"/>
  <w15:chartTrackingRefBased/>
  <w15:docId w15:val="{382F8460-BE7D-4545-B53B-30DB95C66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500642"/>
    <w:rPr>
      <w:color w:val="467886"/>
      <w:u w:val="single"/>
    </w:rPr>
  </w:style>
  <w:style w:type="character" w:styleId="UnresolvedMention">
    <w:name w:val="Unresolved Mention"/>
    <w:uiPriority w:val="99"/>
    <w:semiHidden/>
    <w:unhideWhenUsed/>
    <w:rsid w:val="00500642"/>
    <w:rPr>
      <w:color w:val="605E5C"/>
      <w:shd w:val="clear" w:color="auto" w:fill="E1DFDD"/>
    </w:rPr>
  </w:style>
  <w:style w:type="character" w:styleId="FollowedHyperlink">
    <w:name w:val="FollowedHyperlink"/>
    <w:uiPriority w:val="99"/>
    <w:semiHidden/>
    <w:unhideWhenUsed/>
    <w:rsid w:val="001131B2"/>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file:///C:\Users\biancasanfilippo\Library\Group%20Containers\UBF8T346G9.ms\WebArchiveCopyPasteTempFiles\com.microsoft.Word\UWTSD-Logo.jp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4A267AAF-CBA9-4BB1-B025-5A0F583F70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BE01A5-9172-4FF2-9F4B-C9B08A82A72E}">
  <ds:schemaRefs>
    <ds:schemaRef ds:uri="http://schemas.microsoft.com/sharepoint/v3/contenttype/forms"/>
  </ds:schemaRefs>
</ds:datastoreItem>
</file>

<file path=customXml/itemProps3.xml><?xml version="1.0" encoding="utf-8"?>
<ds:datastoreItem xmlns:ds="http://schemas.openxmlformats.org/officeDocument/2006/customXml" ds:itemID="{0A6D5710-3746-4E23-A280-6D9B338DF531}">
  <ds:schemaRefs>
    <ds:schemaRef ds:uri="http://schemas.microsoft.com/office/2006/metadata/properties"/>
    <ds:schemaRef ds:uri="http://schemas.microsoft.com/office/infopath/2007/PartnerControls"/>
    <ds:schemaRef ds:uri="9c9529bf-c7ef-4b08-96bb-bac4f53910d7"/>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2562</Words>
  <Characters>14605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Paulina Magdalena Slowik (2332439)</cp:lastModifiedBy>
  <cp:revision>57</cp:revision>
  <dcterms:created xsi:type="dcterms:W3CDTF">2025-12-03T13:19:00Z</dcterms:created>
  <dcterms:modified xsi:type="dcterms:W3CDTF">2025-12-03T14:44:00Z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