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CD1BB" w14:textId="08E95AD4" w:rsidR="00521965" w:rsidRDefault="00521965" w:rsidP="00521965">
      <w:pPr>
        <w:spacing w:after="0" w:line="240" w:lineRule="auto"/>
        <w:jc w:val="center"/>
        <w:rPr>
          <w:rFonts w:ascii="Tahoma" w:eastAsia="Times New Roman" w:hAnsi="Tahoma" w:cs="Tahoma"/>
          <w:b/>
          <w:bCs/>
          <w:color w:val="4472C4" w:themeColor="accent1"/>
          <w:kern w:val="0"/>
          <w:sz w:val="96"/>
          <w:szCs w:val="96"/>
          <w:lang w:eastAsia="en-GB"/>
          <w14:ligatures w14:val="none"/>
        </w:rPr>
      </w:pPr>
      <w:r w:rsidRPr="008B6CAE">
        <w:rPr>
          <w:rFonts w:ascii="Tahoma" w:eastAsia="Times New Roman" w:hAnsi="Tahoma" w:cs="Tahoma"/>
          <w:b/>
          <w:bCs/>
          <w:color w:val="4472C4" w:themeColor="accent1"/>
          <w:kern w:val="0"/>
          <w:sz w:val="96"/>
          <w:szCs w:val="96"/>
          <w:lang w:eastAsia="en-GB"/>
          <w14:ligatures w14:val="none"/>
        </w:rPr>
        <w:t>International Financial Management</w:t>
      </w:r>
    </w:p>
    <w:p w14:paraId="0C868BDF" w14:textId="77777777" w:rsidR="008B6CAE" w:rsidRPr="008B6CAE" w:rsidRDefault="008B6CAE" w:rsidP="00521965">
      <w:pPr>
        <w:spacing w:after="0" w:line="240" w:lineRule="auto"/>
        <w:jc w:val="center"/>
        <w:rPr>
          <w:rFonts w:ascii="Tahoma" w:eastAsia="Times New Roman" w:hAnsi="Tahoma" w:cs="Tahoma"/>
          <w:b/>
          <w:bCs/>
          <w:color w:val="4472C4" w:themeColor="accent1"/>
          <w:kern w:val="0"/>
          <w:sz w:val="96"/>
          <w:szCs w:val="96"/>
          <w:lang w:eastAsia="en-GB"/>
          <w14:ligatures w14:val="none"/>
        </w:rPr>
      </w:pPr>
    </w:p>
    <w:p w14:paraId="1E64C390" w14:textId="5D31ADBF" w:rsidR="00521965" w:rsidRPr="008B6CAE" w:rsidRDefault="00521965" w:rsidP="008B6CAE">
      <w:pPr>
        <w:spacing w:after="0" w:line="240" w:lineRule="auto"/>
        <w:jc w:val="center"/>
        <w:rPr>
          <w:rFonts w:ascii="Tahoma" w:eastAsia="Times New Roman" w:hAnsi="Tahoma" w:cs="Tahoma"/>
          <w:b/>
          <w:bCs/>
          <w:color w:val="4472C4" w:themeColor="accent1"/>
          <w:kern w:val="0"/>
          <w:sz w:val="40"/>
          <w:szCs w:val="40"/>
          <w:lang w:eastAsia="en-GB"/>
          <w14:ligatures w14:val="none"/>
        </w:rPr>
      </w:pPr>
      <w:r w:rsidRPr="008B6CAE">
        <w:rPr>
          <w:rFonts w:ascii="Tahoma" w:eastAsia="Times New Roman" w:hAnsi="Tahoma" w:cs="Tahoma"/>
          <w:b/>
          <w:bCs/>
          <w:color w:val="4472C4" w:themeColor="accent1"/>
          <w:kern w:val="0"/>
          <w:sz w:val="40"/>
          <w:szCs w:val="40"/>
          <w:lang w:eastAsia="en-GB"/>
          <w14:ligatures w14:val="none"/>
        </w:rPr>
        <w:t>LCBB6002</w:t>
      </w:r>
    </w:p>
    <w:p w14:paraId="4F836121" w14:textId="77777777" w:rsidR="00521965" w:rsidRDefault="00521965" w:rsidP="00521965">
      <w:pPr>
        <w:spacing w:after="0" w:line="240" w:lineRule="auto"/>
        <w:jc w:val="center"/>
        <w:rPr>
          <w:rFonts w:ascii="Tahoma" w:eastAsia="Times New Roman" w:hAnsi="Tahoma" w:cs="Tahoma"/>
          <w:b/>
          <w:bCs/>
          <w:color w:val="000000"/>
          <w:kern w:val="0"/>
          <w:lang w:eastAsia="en-GB"/>
          <w14:ligatures w14:val="none"/>
        </w:rPr>
      </w:pPr>
    </w:p>
    <w:p w14:paraId="3EAB24C1" w14:textId="77777777" w:rsidR="008B6CAE" w:rsidRDefault="008B6CAE" w:rsidP="00521965">
      <w:pPr>
        <w:spacing w:after="0" w:line="240" w:lineRule="auto"/>
        <w:jc w:val="center"/>
        <w:rPr>
          <w:rFonts w:ascii="Tahoma" w:eastAsia="Times New Roman" w:hAnsi="Tahoma" w:cs="Tahoma"/>
          <w:b/>
          <w:bCs/>
          <w:color w:val="000000"/>
          <w:kern w:val="0"/>
          <w:lang w:eastAsia="en-GB"/>
          <w14:ligatures w14:val="none"/>
        </w:rPr>
      </w:pPr>
    </w:p>
    <w:p w14:paraId="1849E366" w14:textId="77777777" w:rsidR="008B6CAE" w:rsidRDefault="008B6CAE" w:rsidP="00521965">
      <w:pPr>
        <w:spacing w:after="0" w:line="240" w:lineRule="auto"/>
        <w:jc w:val="center"/>
        <w:rPr>
          <w:rFonts w:ascii="Tahoma" w:eastAsia="Times New Roman" w:hAnsi="Tahoma" w:cs="Tahoma"/>
          <w:b/>
          <w:bCs/>
          <w:color w:val="000000"/>
          <w:kern w:val="0"/>
          <w:lang w:eastAsia="en-GB"/>
          <w14:ligatures w14:val="none"/>
        </w:rPr>
      </w:pPr>
    </w:p>
    <w:p w14:paraId="19DD5C98" w14:textId="77777777" w:rsidR="008B6CAE" w:rsidRDefault="008B6CAE" w:rsidP="00521965">
      <w:pPr>
        <w:spacing w:after="0" w:line="240" w:lineRule="auto"/>
        <w:jc w:val="center"/>
        <w:rPr>
          <w:rFonts w:ascii="Tahoma" w:eastAsia="Times New Roman" w:hAnsi="Tahoma" w:cs="Tahoma"/>
          <w:b/>
          <w:bCs/>
          <w:color w:val="000000"/>
          <w:kern w:val="0"/>
          <w:lang w:eastAsia="en-GB"/>
          <w14:ligatures w14:val="none"/>
        </w:rPr>
      </w:pPr>
    </w:p>
    <w:p w14:paraId="251FA209" w14:textId="77777777" w:rsidR="008B6CAE" w:rsidRDefault="008B6CAE" w:rsidP="008B6CAE">
      <w:pPr>
        <w:jc w:val="center"/>
        <w:rPr>
          <w:rFonts w:cstheme="minorHAnsi"/>
          <w:i/>
          <w:color w:val="4472C4" w:themeColor="accent1"/>
          <w:sz w:val="40"/>
          <w:szCs w:val="40"/>
          <w:shd w:val="clear" w:color="auto" w:fill="FFFFFF"/>
        </w:rPr>
      </w:pPr>
      <w:r w:rsidRPr="008B6CAE">
        <w:rPr>
          <w:rFonts w:cstheme="minorHAnsi"/>
          <w:i/>
          <w:color w:val="4472C4" w:themeColor="accent1"/>
          <w:sz w:val="40"/>
          <w:szCs w:val="40"/>
          <w:shd w:val="clear" w:color="auto" w:fill="FFFFFF"/>
        </w:rPr>
        <w:t>Currency Risk Management Strategies of Multinational Corporations</w:t>
      </w:r>
    </w:p>
    <w:p w14:paraId="648CB6CC" w14:textId="77777777" w:rsidR="008B6CAE" w:rsidRPr="008B6CAE" w:rsidRDefault="008B6CAE" w:rsidP="008B6CAE">
      <w:pPr>
        <w:jc w:val="center"/>
        <w:rPr>
          <w:rFonts w:cstheme="minorHAnsi"/>
          <w:i/>
          <w:color w:val="4472C4" w:themeColor="accent1"/>
          <w:sz w:val="40"/>
          <w:szCs w:val="40"/>
          <w:shd w:val="clear" w:color="auto" w:fill="FFFFFF"/>
        </w:rPr>
      </w:pPr>
    </w:p>
    <w:p w14:paraId="1DBA2B7D" w14:textId="77777777" w:rsidR="008B6CAE" w:rsidRPr="008B6CAE" w:rsidRDefault="008B6CAE" w:rsidP="00521965">
      <w:pPr>
        <w:spacing w:after="0" w:line="240" w:lineRule="auto"/>
        <w:jc w:val="center"/>
        <w:rPr>
          <w:rFonts w:ascii="Tahoma" w:eastAsia="Times New Roman" w:hAnsi="Tahoma" w:cs="Tahoma"/>
          <w:b/>
          <w:bCs/>
          <w:color w:val="000000"/>
          <w:kern w:val="0"/>
          <w:lang w:eastAsia="en-GB"/>
          <w14:ligatures w14:val="none"/>
        </w:rPr>
      </w:pPr>
    </w:p>
    <w:p w14:paraId="7D514F84" w14:textId="77777777" w:rsidR="00521965" w:rsidRDefault="00521965" w:rsidP="00521965">
      <w:pPr>
        <w:spacing w:after="0" w:line="240" w:lineRule="auto"/>
        <w:jc w:val="center"/>
        <w:rPr>
          <w:rFonts w:ascii="Tahoma" w:eastAsia="Times New Roman" w:hAnsi="Tahoma" w:cs="Tahoma"/>
          <w:b/>
          <w:bCs/>
          <w:color w:val="000000"/>
          <w:kern w:val="0"/>
          <w:sz w:val="96"/>
          <w:szCs w:val="96"/>
          <w:lang w:eastAsia="en-GB"/>
          <w14:ligatures w14:val="none"/>
        </w:rPr>
      </w:pPr>
    </w:p>
    <w:p w14:paraId="2D88654D" w14:textId="77777777" w:rsidR="00521965" w:rsidRDefault="00521965" w:rsidP="00521965">
      <w:pPr>
        <w:spacing w:after="0" w:line="240" w:lineRule="auto"/>
        <w:jc w:val="center"/>
        <w:rPr>
          <w:rFonts w:ascii="Tahoma" w:eastAsia="Times New Roman" w:hAnsi="Tahoma" w:cs="Tahoma"/>
          <w:b/>
          <w:bCs/>
          <w:color w:val="000000"/>
          <w:kern w:val="0"/>
          <w:sz w:val="96"/>
          <w:szCs w:val="96"/>
          <w:lang w:eastAsia="en-GB"/>
          <w14:ligatures w14:val="none"/>
        </w:rPr>
      </w:pPr>
    </w:p>
    <w:p w14:paraId="61A8F1C1" w14:textId="455036D5" w:rsidR="00521965" w:rsidRPr="008B6CAE" w:rsidRDefault="00521965" w:rsidP="00521965">
      <w:pPr>
        <w:spacing w:after="0" w:line="240" w:lineRule="auto"/>
        <w:rPr>
          <w:rFonts w:ascii="Tahoma" w:eastAsia="Times New Roman" w:hAnsi="Tahoma" w:cs="Tahoma"/>
          <w:b/>
          <w:bCs/>
          <w:color w:val="4472C4" w:themeColor="accent1"/>
          <w:kern w:val="0"/>
          <w:sz w:val="24"/>
          <w:szCs w:val="24"/>
          <w:lang w:eastAsia="en-GB"/>
          <w14:ligatures w14:val="none"/>
        </w:rPr>
      </w:pPr>
      <w:r w:rsidRPr="008B6CAE">
        <w:rPr>
          <w:rFonts w:ascii="Tahoma" w:eastAsia="Times New Roman" w:hAnsi="Tahoma" w:cs="Tahoma"/>
          <w:b/>
          <w:bCs/>
          <w:color w:val="4472C4" w:themeColor="accent1"/>
          <w:kern w:val="0"/>
          <w:sz w:val="24"/>
          <w:szCs w:val="24"/>
          <w:lang w:eastAsia="en-GB"/>
          <w14:ligatures w14:val="none"/>
        </w:rPr>
        <w:t>Student name: Gabriela Koleva</w:t>
      </w:r>
    </w:p>
    <w:p w14:paraId="0ECDDD3E" w14:textId="6BC3F2D1" w:rsidR="00521965" w:rsidRPr="008B6CAE" w:rsidRDefault="00521965" w:rsidP="00521965">
      <w:pPr>
        <w:spacing w:after="0" w:line="240" w:lineRule="auto"/>
        <w:rPr>
          <w:rFonts w:ascii="Tahoma" w:eastAsia="Times New Roman" w:hAnsi="Tahoma" w:cs="Tahoma"/>
          <w:b/>
          <w:bCs/>
          <w:color w:val="4472C4" w:themeColor="accent1"/>
          <w:kern w:val="0"/>
          <w:sz w:val="24"/>
          <w:szCs w:val="24"/>
          <w:lang w:eastAsia="en-GB"/>
          <w14:ligatures w14:val="none"/>
        </w:rPr>
      </w:pPr>
      <w:r w:rsidRPr="008B6CAE">
        <w:rPr>
          <w:rFonts w:ascii="Tahoma" w:eastAsia="Times New Roman" w:hAnsi="Tahoma" w:cs="Tahoma"/>
          <w:b/>
          <w:bCs/>
          <w:color w:val="4472C4" w:themeColor="accent1"/>
          <w:kern w:val="0"/>
          <w:sz w:val="24"/>
          <w:szCs w:val="24"/>
          <w:lang w:eastAsia="en-GB"/>
          <w14:ligatures w14:val="none"/>
        </w:rPr>
        <w:t>ID number: 2115686</w:t>
      </w:r>
    </w:p>
    <w:p w14:paraId="5DF531A8" w14:textId="181B613E" w:rsidR="00521965" w:rsidRPr="008B6CAE" w:rsidRDefault="00521965" w:rsidP="00521965">
      <w:pPr>
        <w:spacing w:after="0" w:line="240" w:lineRule="auto"/>
        <w:rPr>
          <w:rFonts w:ascii="Tahoma" w:eastAsia="Times New Roman" w:hAnsi="Tahoma" w:cs="Tahoma"/>
          <w:b/>
          <w:bCs/>
          <w:color w:val="4472C4" w:themeColor="accent1"/>
          <w:kern w:val="0"/>
          <w:sz w:val="24"/>
          <w:szCs w:val="24"/>
          <w:lang w:eastAsia="en-GB"/>
          <w14:ligatures w14:val="none"/>
        </w:rPr>
      </w:pPr>
      <w:r w:rsidRPr="008B6CAE">
        <w:rPr>
          <w:rFonts w:ascii="Tahoma" w:eastAsia="Times New Roman" w:hAnsi="Tahoma" w:cs="Tahoma"/>
          <w:b/>
          <w:bCs/>
          <w:color w:val="4472C4" w:themeColor="accent1"/>
          <w:kern w:val="0"/>
          <w:sz w:val="24"/>
          <w:szCs w:val="24"/>
          <w:lang w:eastAsia="en-GB"/>
          <w14:ligatures w14:val="none"/>
        </w:rPr>
        <w:t>Teacher name:</w:t>
      </w:r>
      <w:r w:rsidR="00030A64" w:rsidRPr="008B6CAE">
        <w:rPr>
          <w:rFonts w:ascii="Tahoma" w:eastAsia="Times New Roman" w:hAnsi="Tahoma" w:cs="Tahoma"/>
          <w:b/>
          <w:bCs/>
          <w:color w:val="4472C4" w:themeColor="accent1"/>
          <w:kern w:val="0"/>
          <w:sz w:val="24"/>
          <w:szCs w:val="24"/>
          <w:lang w:eastAsia="en-GB"/>
          <w14:ligatures w14:val="none"/>
        </w:rPr>
        <w:t xml:space="preserve"> Ms Zainab Atta </w:t>
      </w:r>
    </w:p>
    <w:p w14:paraId="5EB8BF53" w14:textId="77777777" w:rsidR="00521965" w:rsidRPr="008B6CAE" w:rsidRDefault="00521965" w:rsidP="00521965">
      <w:pPr>
        <w:spacing w:after="0" w:line="240" w:lineRule="auto"/>
        <w:rPr>
          <w:rFonts w:ascii="Tahoma" w:eastAsia="Times New Roman" w:hAnsi="Tahoma" w:cs="Tahoma"/>
          <w:b/>
          <w:bCs/>
          <w:color w:val="4472C4" w:themeColor="accent1"/>
          <w:kern w:val="0"/>
          <w:sz w:val="24"/>
          <w:szCs w:val="24"/>
          <w:lang w:eastAsia="en-GB"/>
          <w14:ligatures w14:val="none"/>
        </w:rPr>
      </w:pPr>
    </w:p>
    <w:p w14:paraId="27C94593" w14:textId="77777777" w:rsid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71516686" w14:textId="77777777" w:rsid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097C1433" w14:textId="77777777" w:rsid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6E54D3AE" w14:textId="77777777" w:rsid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72700707" w14:textId="77777777" w:rsid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4C1B3858" w14:textId="77777777" w:rsid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73CAA711" w14:textId="77777777" w:rsid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5B39E0B7" w14:textId="77777777" w:rsid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71116560" w14:textId="77777777" w:rsid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7E07F3C5" w14:textId="77777777" w:rsid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691F11F7" w14:textId="77777777" w:rsid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0BF96977" w14:textId="77777777" w:rsid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5BB9C217" w14:textId="77777777" w:rsid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461592E6" w14:textId="22B4755B" w:rsidR="00521965" w:rsidRDefault="004C33E5" w:rsidP="0086365B">
      <w:pPr>
        <w:spacing w:after="0" w:line="240" w:lineRule="auto"/>
        <w:jc w:val="center"/>
        <w:rPr>
          <w:rFonts w:ascii="Tahoma" w:eastAsia="Times New Roman" w:hAnsi="Tahoma" w:cs="Tahoma"/>
          <w:b/>
          <w:bCs/>
          <w:color w:val="000000"/>
          <w:kern w:val="0"/>
          <w:sz w:val="56"/>
          <w:szCs w:val="56"/>
          <w:lang w:eastAsia="en-GB"/>
          <w14:ligatures w14:val="none"/>
        </w:rPr>
      </w:pPr>
      <w:r w:rsidRPr="0086365B">
        <w:rPr>
          <w:rFonts w:ascii="Tahoma" w:eastAsia="Times New Roman" w:hAnsi="Tahoma" w:cs="Tahoma"/>
          <w:b/>
          <w:bCs/>
          <w:color w:val="000000"/>
          <w:kern w:val="0"/>
          <w:sz w:val="56"/>
          <w:szCs w:val="56"/>
          <w:lang w:eastAsia="en-GB"/>
          <w14:ligatures w14:val="none"/>
        </w:rPr>
        <w:t>Table of content:</w:t>
      </w:r>
    </w:p>
    <w:p w14:paraId="62C8CF5A" w14:textId="77777777" w:rsidR="0086365B" w:rsidRDefault="0086365B" w:rsidP="0086365B">
      <w:pPr>
        <w:spacing w:after="0" w:line="240" w:lineRule="auto"/>
        <w:jc w:val="center"/>
        <w:rPr>
          <w:rFonts w:ascii="Tahoma" w:eastAsia="Times New Roman" w:hAnsi="Tahoma" w:cs="Tahoma"/>
          <w:b/>
          <w:bCs/>
          <w:color w:val="000000"/>
          <w:kern w:val="0"/>
          <w:sz w:val="56"/>
          <w:szCs w:val="56"/>
          <w:lang w:eastAsia="en-GB"/>
          <w14:ligatures w14:val="none"/>
        </w:rPr>
      </w:pPr>
    </w:p>
    <w:p w14:paraId="21E5110D" w14:textId="77777777" w:rsidR="0086365B" w:rsidRDefault="0086365B" w:rsidP="0086365B">
      <w:pPr>
        <w:spacing w:after="0" w:line="240" w:lineRule="auto"/>
        <w:jc w:val="center"/>
        <w:rPr>
          <w:rFonts w:ascii="Tahoma" w:eastAsia="Times New Roman" w:hAnsi="Tahoma" w:cs="Tahoma"/>
          <w:b/>
          <w:bCs/>
          <w:color w:val="000000"/>
          <w:kern w:val="0"/>
          <w:sz w:val="56"/>
          <w:szCs w:val="56"/>
          <w:lang w:eastAsia="en-GB"/>
          <w14:ligatures w14:val="none"/>
        </w:rPr>
      </w:pPr>
    </w:p>
    <w:p w14:paraId="2AC0AF0A" w14:textId="77777777" w:rsidR="00945E9A" w:rsidRPr="0086365B" w:rsidRDefault="00945E9A" w:rsidP="0086365B">
      <w:pPr>
        <w:spacing w:after="0" w:line="240" w:lineRule="auto"/>
        <w:jc w:val="center"/>
        <w:rPr>
          <w:rFonts w:ascii="Tahoma" w:eastAsia="Times New Roman" w:hAnsi="Tahoma" w:cs="Tahoma"/>
          <w:b/>
          <w:bCs/>
          <w:color w:val="000000"/>
          <w:kern w:val="0"/>
          <w:sz w:val="56"/>
          <w:szCs w:val="56"/>
          <w:lang w:eastAsia="en-GB"/>
          <w14:ligatures w14:val="none"/>
        </w:rPr>
      </w:pPr>
    </w:p>
    <w:p w14:paraId="3556D666" w14:textId="77777777" w:rsidR="008B6CAE" w:rsidRDefault="008B6CAE" w:rsidP="00521965">
      <w:pPr>
        <w:spacing w:after="0" w:line="240" w:lineRule="auto"/>
        <w:rPr>
          <w:rFonts w:ascii="Tahoma" w:eastAsia="Times New Roman" w:hAnsi="Tahoma" w:cs="Tahoma"/>
          <w:b/>
          <w:bCs/>
          <w:color w:val="000000"/>
          <w:kern w:val="0"/>
          <w:sz w:val="28"/>
          <w:szCs w:val="28"/>
          <w:lang w:eastAsia="en-GB"/>
          <w14:ligatures w14:val="none"/>
        </w:rPr>
      </w:pPr>
    </w:p>
    <w:p w14:paraId="1EE23202" w14:textId="5D93782E" w:rsidR="004C33E5" w:rsidRDefault="004C33E5" w:rsidP="00521965">
      <w:pPr>
        <w:spacing w:after="0" w:line="240" w:lineRule="auto"/>
        <w:rPr>
          <w:rFonts w:ascii="Tahoma" w:eastAsia="Times New Roman" w:hAnsi="Tahoma" w:cs="Tahoma"/>
          <w:b/>
          <w:bCs/>
          <w:color w:val="000000"/>
          <w:kern w:val="0"/>
          <w:sz w:val="28"/>
          <w:szCs w:val="28"/>
          <w:lang w:eastAsia="en-GB"/>
          <w14:ligatures w14:val="none"/>
        </w:rPr>
      </w:pPr>
      <w:r>
        <w:rPr>
          <w:rFonts w:ascii="Tahoma" w:eastAsia="Times New Roman" w:hAnsi="Tahoma" w:cs="Tahoma"/>
          <w:b/>
          <w:bCs/>
          <w:color w:val="000000"/>
          <w:kern w:val="0"/>
          <w:sz w:val="28"/>
          <w:szCs w:val="28"/>
          <w:lang w:eastAsia="en-GB"/>
          <w14:ligatures w14:val="none"/>
        </w:rPr>
        <w:t>Introduction</w:t>
      </w:r>
      <w:r w:rsidR="00945E9A">
        <w:rPr>
          <w:rFonts w:ascii="Tahoma" w:eastAsia="Times New Roman" w:hAnsi="Tahoma" w:cs="Tahoma"/>
          <w:b/>
          <w:bCs/>
          <w:color w:val="000000"/>
          <w:kern w:val="0"/>
          <w:sz w:val="28"/>
          <w:szCs w:val="28"/>
          <w:lang w:eastAsia="en-GB"/>
          <w14:ligatures w14:val="none"/>
        </w:rPr>
        <w:t>……………………………………………………………3</w:t>
      </w:r>
    </w:p>
    <w:p w14:paraId="0712EA73" w14:textId="77777777" w:rsidR="0086365B" w:rsidRDefault="0086365B" w:rsidP="00521965">
      <w:pPr>
        <w:spacing w:after="0" w:line="240" w:lineRule="auto"/>
        <w:rPr>
          <w:rFonts w:ascii="Tahoma" w:eastAsia="Times New Roman" w:hAnsi="Tahoma" w:cs="Tahoma"/>
          <w:b/>
          <w:bCs/>
          <w:color w:val="000000"/>
          <w:kern w:val="0"/>
          <w:sz w:val="28"/>
          <w:szCs w:val="28"/>
          <w:lang w:eastAsia="en-GB"/>
          <w14:ligatures w14:val="none"/>
        </w:rPr>
      </w:pPr>
    </w:p>
    <w:p w14:paraId="74E1D157" w14:textId="189DA271" w:rsidR="003702A4" w:rsidRDefault="003702A4" w:rsidP="00521965">
      <w:pPr>
        <w:spacing w:after="0" w:line="240" w:lineRule="auto"/>
        <w:rPr>
          <w:rFonts w:ascii="Tahoma" w:eastAsia="Times New Roman" w:hAnsi="Tahoma" w:cs="Tahoma"/>
          <w:b/>
          <w:bCs/>
          <w:color w:val="000000"/>
          <w:kern w:val="0"/>
          <w:sz w:val="28"/>
          <w:szCs w:val="28"/>
          <w:lang w:eastAsia="en-GB"/>
          <w14:ligatures w14:val="none"/>
        </w:rPr>
      </w:pPr>
      <w:r>
        <w:rPr>
          <w:rFonts w:ascii="Tahoma" w:eastAsia="Times New Roman" w:hAnsi="Tahoma" w:cs="Tahoma"/>
          <w:b/>
          <w:bCs/>
          <w:color w:val="000000"/>
          <w:kern w:val="0"/>
          <w:sz w:val="28"/>
          <w:szCs w:val="28"/>
          <w:lang w:eastAsia="en-GB"/>
          <w14:ligatures w14:val="none"/>
        </w:rPr>
        <w:t>Multinational corporations</w:t>
      </w:r>
      <w:r w:rsidR="00945E9A">
        <w:rPr>
          <w:rFonts w:ascii="Tahoma" w:eastAsia="Times New Roman" w:hAnsi="Tahoma" w:cs="Tahoma"/>
          <w:b/>
          <w:bCs/>
          <w:color w:val="000000"/>
          <w:kern w:val="0"/>
          <w:sz w:val="28"/>
          <w:szCs w:val="28"/>
          <w:lang w:eastAsia="en-GB"/>
          <w14:ligatures w14:val="none"/>
        </w:rPr>
        <w:t>…………………………………………3</w:t>
      </w:r>
    </w:p>
    <w:p w14:paraId="036D80DF" w14:textId="77777777" w:rsidR="0086365B" w:rsidRDefault="0086365B" w:rsidP="00521965">
      <w:pPr>
        <w:spacing w:after="0" w:line="240" w:lineRule="auto"/>
        <w:rPr>
          <w:rFonts w:ascii="Tahoma" w:eastAsia="Times New Roman" w:hAnsi="Tahoma" w:cs="Tahoma"/>
          <w:b/>
          <w:bCs/>
          <w:color w:val="000000"/>
          <w:kern w:val="0"/>
          <w:sz w:val="28"/>
          <w:szCs w:val="28"/>
          <w:lang w:eastAsia="en-GB"/>
          <w14:ligatures w14:val="none"/>
        </w:rPr>
      </w:pPr>
    </w:p>
    <w:p w14:paraId="6C639157" w14:textId="23B7CFC4" w:rsidR="008B6CAE" w:rsidRDefault="008B6CAE" w:rsidP="00521965">
      <w:pPr>
        <w:spacing w:after="0" w:line="240" w:lineRule="auto"/>
        <w:rPr>
          <w:rFonts w:ascii="Tahoma" w:eastAsia="Times New Roman" w:hAnsi="Tahoma" w:cs="Tahoma"/>
          <w:b/>
          <w:bCs/>
          <w:color w:val="000000"/>
          <w:kern w:val="0"/>
          <w:sz w:val="28"/>
          <w:szCs w:val="28"/>
          <w:lang w:eastAsia="en-GB"/>
          <w14:ligatures w14:val="none"/>
        </w:rPr>
      </w:pPr>
      <w:r>
        <w:rPr>
          <w:rFonts w:ascii="Tahoma" w:eastAsia="Times New Roman" w:hAnsi="Tahoma" w:cs="Tahoma"/>
          <w:b/>
          <w:bCs/>
          <w:color w:val="000000"/>
          <w:kern w:val="0"/>
          <w:sz w:val="28"/>
          <w:szCs w:val="28"/>
          <w:lang w:eastAsia="en-GB"/>
          <w14:ligatures w14:val="none"/>
        </w:rPr>
        <w:t>Foreign Exchange risks</w:t>
      </w:r>
      <w:r w:rsidR="00945E9A">
        <w:rPr>
          <w:rFonts w:ascii="Tahoma" w:eastAsia="Times New Roman" w:hAnsi="Tahoma" w:cs="Tahoma"/>
          <w:b/>
          <w:bCs/>
          <w:color w:val="000000"/>
          <w:kern w:val="0"/>
          <w:sz w:val="28"/>
          <w:szCs w:val="28"/>
          <w:lang w:eastAsia="en-GB"/>
          <w14:ligatures w14:val="none"/>
        </w:rPr>
        <w:t>……………………………………………..4</w:t>
      </w:r>
    </w:p>
    <w:p w14:paraId="5D0FE499" w14:textId="77777777" w:rsidR="0086365B" w:rsidRDefault="0086365B" w:rsidP="00521965">
      <w:pPr>
        <w:spacing w:after="0" w:line="240" w:lineRule="auto"/>
        <w:rPr>
          <w:rFonts w:ascii="Tahoma" w:eastAsia="Times New Roman" w:hAnsi="Tahoma" w:cs="Tahoma"/>
          <w:b/>
          <w:bCs/>
          <w:color w:val="000000"/>
          <w:kern w:val="0"/>
          <w:sz w:val="28"/>
          <w:szCs w:val="28"/>
          <w:lang w:eastAsia="en-GB"/>
          <w14:ligatures w14:val="none"/>
        </w:rPr>
      </w:pPr>
    </w:p>
    <w:p w14:paraId="46B9B8B8" w14:textId="4656DFFD" w:rsidR="008B6CAE" w:rsidRDefault="0086365B" w:rsidP="00521965">
      <w:pPr>
        <w:spacing w:after="0" w:line="240" w:lineRule="auto"/>
        <w:rPr>
          <w:rFonts w:ascii="Tahoma" w:eastAsia="Times New Roman" w:hAnsi="Tahoma" w:cs="Tahoma"/>
          <w:b/>
          <w:bCs/>
          <w:color w:val="000000"/>
          <w:kern w:val="0"/>
          <w:sz w:val="28"/>
          <w:szCs w:val="28"/>
          <w:lang w:eastAsia="en-GB"/>
          <w14:ligatures w14:val="none"/>
        </w:rPr>
      </w:pPr>
      <w:r>
        <w:rPr>
          <w:rFonts w:ascii="Tahoma" w:eastAsia="Times New Roman" w:hAnsi="Tahoma" w:cs="Tahoma"/>
          <w:b/>
          <w:bCs/>
          <w:color w:val="000000"/>
          <w:kern w:val="0"/>
          <w:sz w:val="28"/>
          <w:szCs w:val="28"/>
          <w:lang w:eastAsia="en-GB"/>
          <w14:ligatures w14:val="none"/>
        </w:rPr>
        <w:t>Conclusion</w:t>
      </w:r>
      <w:r w:rsidR="00945E9A">
        <w:rPr>
          <w:rFonts w:ascii="Tahoma" w:eastAsia="Times New Roman" w:hAnsi="Tahoma" w:cs="Tahoma"/>
          <w:b/>
          <w:bCs/>
          <w:color w:val="000000"/>
          <w:kern w:val="0"/>
          <w:sz w:val="28"/>
          <w:szCs w:val="28"/>
          <w:lang w:eastAsia="en-GB"/>
          <w14:ligatures w14:val="none"/>
        </w:rPr>
        <w:t>……………………………………………………………..5</w:t>
      </w:r>
    </w:p>
    <w:p w14:paraId="1B328C28" w14:textId="77777777" w:rsidR="000A165C" w:rsidRDefault="000A165C" w:rsidP="00521965">
      <w:pPr>
        <w:spacing w:after="0" w:line="240" w:lineRule="auto"/>
        <w:rPr>
          <w:rFonts w:ascii="Tahoma" w:eastAsia="Times New Roman" w:hAnsi="Tahoma" w:cs="Tahoma"/>
          <w:b/>
          <w:bCs/>
          <w:color w:val="000000"/>
          <w:kern w:val="0"/>
          <w:sz w:val="28"/>
          <w:szCs w:val="28"/>
          <w:lang w:eastAsia="en-GB"/>
          <w14:ligatures w14:val="none"/>
        </w:rPr>
      </w:pPr>
    </w:p>
    <w:p w14:paraId="5766B35D" w14:textId="729C5139" w:rsidR="000A165C" w:rsidRDefault="000A165C" w:rsidP="00521965">
      <w:pPr>
        <w:spacing w:after="0" w:line="240" w:lineRule="auto"/>
        <w:rPr>
          <w:rFonts w:ascii="Tahoma" w:eastAsia="Times New Roman" w:hAnsi="Tahoma" w:cs="Tahoma"/>
          <w:b/>
          <w:bCs/>
          <w:color w:val="000000"/>
          <w:kern w:val="0"/>
          <w:sz w:val="28"/>
          <w:szCs w:val="28"/>
          <w:lang w:eastAsia="en-GB"/>
          <w14:ligatures w14:val="none"/>
        </w:rPr>
      </w:pPr>
      <w:r>
        <w:rPr>
          <w:rFonts w:ascii="Tahoma" w:eastAsia="Times New Roman" w:hAnsi="Tahoma" w:cs="Tahoma"/>
          <w:b/>
          <w:bCs/>
          <w:color w:val="000000"/>
          <w:kern w:val="0"/>
          <w:sz w:val="28"/>
          <w:szCs w:val="28"/>
          <w:lang w:eastAsia="en-GB"/>
          <w14:ligatures w14:val="none"/>
        </w:rPr>
        <w:t>References</w:t>
      </w:r>
      <w:r w:rsidR="00945E9A">
        <w:rPr>
          <w:rFonts w:ascii="Tahoma" w:eastAsia="Times New Roman" w:hAnsi="Tahoma" w:cs="Tahoma"/>
          <w:b/>
          <w:bCs/>
          <w:color w:val="000000"/>
          <w:kern w:val="0"/>
          <w:sz w:val="28"/>
          <w:szCs w:val="28"/>
          <w:lang w:eastAsia="en-GB"/>
          <w14:ligatures w14:val="none"/>
        </w:rPr>
        <w:t>……………………………………………………………..6</w:t>
      </w:r>
    </w:p>
    <w:p w14:paraId="0AD9852B" w14:textId="77777777" w:rsidR="0086365B" w:rsidRPr="004C33E5" w:rsidRDefault="0086365B" w:rsidP="00521965">
      <w:pPr>
        <w:spacing w:after="0" w:line="240" w:lineRule="auto"/>
        <w:rPr>
          <w:rFonts w:ascii="Tahoma" w:eastAsia="Times New Roman" w:hAnsi="Tahoma" w:cs="Tahoma"/>
          <w:b/>
          <w:bCs/>
          <w:color w:val="000000"/>
          <w:kern w:val="0"/>
          <w:sz w:val="28"/>
          <w:szCs w:val="28"/>
          <w:lang w:eastAsia="en-GB"/>
          <w14:ligatures w14:val="none"/>
        </w:rPr>
      </w:pPr>
    </w:p>
    <w:p w14:paraId="178EB689"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098F407C"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203493D8"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71B3CFC8"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508954E1"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308733A3"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743A4B90"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562E7EE8"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0E8C3197"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3044CFF3"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6DD7A35D"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00B159F5"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311096E3"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1C03FE89"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5B7B9E10"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2DB31E59"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56AD9119"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47212BA8"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0997B793"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2F7143A1"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4FA9F974"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454A1B8D"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41D64FDC"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1FF67AD6"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39228F01"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6BFED505"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4FF73030"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0318BDE0"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0B381655"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5E6A0642" w14:textId="77777777" w:rsidR="004C33E5" w:rsidRDefault="004C33E5" w:rsidP="00521965">
      <w:pPr>
        <w:spacing w:after="0" w:line="240" w:lineRule="auto"/>
        <w:rPr>
          <w:rFonts w:ascii="Tahoma" w:eastAsia="Times New Roman" w:hAnsi="Tahoma" w:cs="Tahoma"/>
          <w:color w:val="000000"/>
          <w:kern w:val="0"/>
          <w:sz w:val="21"/>
          <w:szCs w:val="21"/>
          <w:lang w:eastAsia="en-GB"/>
          <w14:ligatures w14:val="none"/>
        </w:rPr>
      </w:pPr>
    </w:p>
    <w:p w14:paraId="73651896" w14:textId="77777777" w:rsidR="00590556" w:rsidRPr="00590556" w:rsidRDefault="00590556" w:rsidP="00521965">
      <w:pPr>
        <w:spacing w:after="0" w:line="240" w:lineRule="auto"/>
        <w:rPr>
          <w:rFonts w:ascii="Tahoma" w:eastAsia="Times New Roman" w:hAnsi="Tahoma" w:cs="Tahoma"/>
          <w:b/>
          <w:bCs/>
          <w:color w:val="000000"/>
          <w:kern w:val="0"/>
          <w:sz w:val="21"/>
          <w:szCs w:val="21"/>
          <w:lang w:eastAsia="en-GB"/>
          <w14:ligatures w14:val="none"/>
        </w:rPr>
      </w:pPr>
      <w:r w:rsidRPr="00590556">
        <w:rPr>
          <w:rFonts w:ascii="Tahoma" w:eastAsia="Times New Roman" w:hAnsi="Tahoma" w:cs="Tahoma"/>
          <w:b/>
          <w:bCs/>
          <w:color w:val="000000"/>
          <w:kern w:val="0"/>
          <w:sz w:val="21"/>
          <w:szCs w:val="21"/>
          <w:lang w:eastAsia="en-GB"/>
          <w14:ligatures w14:val="none"/>
        </w:rPr>
        <w:t>Introduction:</w:t>
      </w:r>
    </w:p>
    <w:p w14:paraId="5FFF6B41" w14:textId="23D774F8" w:rsidR="00590556" w:rsidRDefault="00590556" w:rsidP="00521965">
      <w:pPr>
        <w:spacing w:after="0" w:line="240" w:lineRule="auto"/>
        <w:rPr>
          <w:rFonts w:ascii="Tahoma" w:eastAsia="Times New Roman" w:hAnsi="Tahoma" w:cs="Tahoma"/>
          <w:color w:val="000000"/>
          <w:kern w:val="0"/>
          <w:sz w:val="21"/>
          <w:szCs w:val="21"/>
          <w:lang w:eastAsia="en-GB"/>
          <w14:ligatures w14:val="none"/>
        </w:rPr>
      </w:pPr>
      <w:r w:rsidRPr="00590556">
        <w:rPr>
          <w:rFonts w:ascii="Tahoma" w:eastAsia="Times New Roman" w:hAnsi="Tahoma" w:cs="Tahoma"/>
          <w:color w:val="000000"/>
          <w:kern w:val="0"/>
          <w:sz w:val="21"/>
          <w:szCs w:val="21"/>
          <w:lang w:eastAsia="en-GB"/>
          <w14:ligatures w14:val="none"/>
        </w:rPr>
        <w:t xml:space="preserve">Multinational corporations are companies that operate in multiple countries and have a presence in more than one national market. These corporations play a significant role in the global economy, engaging in a wide range of business activities across borders. Here are key characteristics and aspects related to multinational </w:t>
      </w:r>
      <w:r w:rsidR="00945E9A" w:rsidRPr="00590556">
        <w:rPr>
          <w:rFonts w:ascii="Tahoma" w:eastAsia="Times New Roman" w:hAnsi="Tahoma" w:cs="Tahoma"/>
          <w:color w:val="000000"/>
          <w:kern w:val="0"/>
          <w:sz w:val="21"/>
          <w:szCs w:val="21"/>
          <w:lang w:eastAsia="en-GB"/>
          <w14:ligatures w14:val="none"/>
        </w:rPr>
        <w:t>corporations. They</w:t>
      </w:r>
      <w:r w:rsidRPr="00590556">
        <w:rPr>
          <w:rFonts w:ascii="Tahoma" w:eastAsia="Times New Roman" w:hAnsi="Tahoma" w:cs="Tahoma"/>
          <w:color w:val="000000"/>
          <w:kern w:val="0"/>
          <w:sz w:val="21"/>
          <w:szCs w:val="21"/>
          <w:lang w:eastAsia="en-GB"/>
          <w14:ligatures w14:val="none"/>
        </w:rPr>
        <w:t xml:space="preserve"> engage in diverse business operations, including manufacturing, sales, marketing, research and development, and service provision across different countries. MNCs make significant investments in foreign countries, establishing operations, acquiring companies, or forming partnerships to expand their global footprint.</w:t>
      </w:r>
    </w:p>
    <w:p w14:paraId="4F10CFA6" w14:textId="77777777" w:rsidR="00590556" w:rsidRDefault="00590556" w:rsidP="00521965">
      <w:pPr>
        <w:spacing w:after="0" w:line="240" w:lineRule="auto"/>
        <w:rPr>
          <w:rFonts w:ascii="Tahoma" w:eastAsia="Times New Roman" w:hAnsi="Tahoma" w:cs="Tahoma"/>
          <w:color w:val="000000"/>
          <w:kern w:val="0"/>
          <w:sz w:val="21"/>
          <w:szCs w:val="21"/>
          <w:lang w:eastAsia="en-GB"/>
          <w14:ligatures w14:val="none"/>
        </w:rPr>
      </w:pPr>
    </w:p>
    <w:p w14:paraId="7F48D788" w14:textId="77777777" w:rsidR="00590556" w:rsidRDefault="00590556" w:rsidP="00521965">
      <w:pPr>
        <w:spacing w:after="0" w:line="240" w:lineRule="auto"/>
        <w:rPr>
          <w:rFonts w:ascii="Tahoma" w:eastAsia="Times New Roman" w:hAnsi="Tahoma" w:cs="Tahoma"/>
          <w:color w:val="000000"/>
          <w:kern w:val="0"/>
          <w:sz w:val="21"/>
          <w:szCs w:val="21"/>
          <w:lang w:eastAsia="en-GB"/>
          <w14:ligatures w14:val="none"/>
        </w:rPr>
      </w:pPr>
    </w:p>
    <w:p w14:paraId="0B90533F" w14:textId="3FF2EFA4" w:rsidR="00590556" w:rsidRPr="00247572" w:rsidRDefault="00247572" w:rsidP="00521965">
      <w:pPr>
        <w:spacing w:after="0" w:line="240" w:lineRule="auto"/>
        <w:rPr>
          <w:rFonts w:ascii="Tahoma" w:eastAsia="Times New Roman" w:hAnsi="Tahoma" w:cs="Tahoma"/>
          <w:b/>
          <w:bCs/>
          <w:color w:val="000000"/>
          <w:kern w:val="0"/>
          <w:sz w:val="21"/>
          <w:szCs w:val="21"/>
          <w:lang w:eastAsia="en-GB"/>
          <w14:ligatures w14:val="none"/>
        </w:rPr>
      </w:pPr>
      <w:r>
        <w:rPr>
          <w:rFonts w:ascii="Tahoma" w:eastAsia="Times New Roman" w:hAnsi="Tahoma" w:cs="Tahoma"/>
          <w:b/>
          <w:bCs/>
          <w:color w:val="000000"/>
          <w:kern w:val="0"/>
          <w:sz w:val="21"/>
          <w:szCs w:val="21"/>
          <w:lang w:eastAsia="en-GB"/>
          <w14:ligatures w14:val="none"/>
        </w:rPr>
        <w:t>Multinational corporations:</w:t>
      </w:r>
    </w:p>
    <w:p w14:paraId="52390428" w14:textId="7176BE0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Multinational corporations face a range of foreign exchange risks due to their diverse international operations across various countries and currencies. To manage these risks, they often adopt a combination of strategies tailored to their specific exposures and risk tolerance. Let's evaluate some of the different strategies that multinational corporations commonly use to manage their exposure to foreign exchange risks:</w:t>
      </w:r>
    </w:p>
    <w:p w14:paraId="70616325"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632582DE"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1. Natural Hedging:</w:t>
      </w:r>
    </w:p>
    <w:p w14:paraId="38FA8F37" w14:textId="7C05D209" w:rsidR="00A3287C" w:rsidRDefault="00A3287C" w:rsidP="00521965">
      <w:pPr>
        <w:spacing w:after="0" w:line="240" w:lineRule="auto"/>
        <w:rPr>
          <w:rFonts w:ascii="Tahoma" w:eastAsia="Times New Roman" w:hAnsi="Tahoma" w:cs="Tahoma"/>
          <w:color w:val="000000"/>
          <w:kern w:val="0"/>
          <w:sz w:val="21"/>
          <w:szCs w:val="21"/>
          <w:lang w:eastAsia="en-GB"/>
          <w14:ligatures w14:val="none"/>
        </w:rPr>
      </w:pPr>
      <w:r>
        <w:rPr>
          <w:rFonts w:ascii="Tahoma" w:eastAsia="Times New Roman" w:hAnsi="Tahoma" w:cs="Tahoma"/>
          <w:color w:val="000000"/>
          <w:kern w:val="0"/>
          <w:sz w:val="21"/>
          <w:szCs w:val="21"/>
          <w:lang w:eastAsia="en-GB"/>
          <w14:ligatures w14:val="none"/>
        </w:rPr>
        <w:t xml:space="preserve"> </w:t>
      </w:r>
      <w:r w:rsidRPr="00A3287C">
        <w:rPr>
          <w:rFonts w:ascii="Tahoma" w:eastAsia="Times New Roman" w:hAnsi="Tahoma" w:cs="Tahoma"/>
          <w:color w:val="000000"/>
          <w:kern w:val="0"/>
          <w:sz w:val="21"/>
          <w:szCs w:val="21"/>
          <w:lang w:eastAsia="en-GB"/>
          <w14:ligatures w14:val="none"/>
        </w:rPr>
        <w:t>By matching their foreign exchange income with their expenses in the same currency, multinational firms can use natural hedging. The total profitability of the business is less affected by changes in currency rates thanks to this strategy. A corporation would naturally hedge some of its foreign exchange risk if, for instance, it incurs expenses and makes revenues in euros.</w:t>
      </w:r>
    </w:p>
    <w:p w14:paraId="646A7536" w14:textId="7F55074B" w:rsidR="00521965" w:rsidRPr="00521965" w:rsidRDefault="00A3287C" w:rsidP="00521965">
      <w:pPr>
        <w:spacing w:after="0" w:line="240" w:lineRule="auto"/>
        <w:rPr>
          <w:rFonts w:ascii="Tahoma" w:eastAsia="Times New Roman" w:hAnsi="Tahoma" w:cs="Tahoma"/>
          <w:color w:val="000000"/>
          <w:kern w:val="0"/>
          <w:sz w:val="21"/>
          <w:szCs w:val="21"/>
          <w:lang w:eastAsia="en-GB"/>
          <w14:ligatures w14:val="none"/>
        </w:rPr>
      </w:pPr>
      <w:r>
        <w:rPr>
          <w:rFonts w:ascii="Tahoma" w:eastAsia="Times New Roman" w:hAnsi="Tahoma" w:cs="Tahoma"/>
          <w:color w:val="000000"/>
          <w:kern w:val="0"/>
          <w:sz w:val="21"/>
          <w:szCs w:val="21"/>
          <w:lang w:eastAsia="en-GB"/>
          <w14:ligatures w14:val="none"/>
        </w:rPr>
        <w:t xml:space="preserve"> </w:t>
      </w:r>
      <w:r w:rsidR="00521965" w:rsidRPr="00521965">
        <w:rPr>
          <w:rFonts w:ascii="Tahoma" w:eastAsia="Times New Roman" w:hAnsi="Tahoma" w:cs="Tahoma"/>
          <w:color w:val="000000"/>
          <w:kern w:val="0"/>
          <w:sz w:val="21"/>
          <w:szCs w:val="21"/>
          <w:lang w:eastAsia="en-GB"/>
          <w14:ligatures w14:val="none"/>
        </w:rPr>
        <w:t>Natural hedging is a prudent strategy for managing foreign exchange risk, as it leverages the company's existing operational structure to mitigate exposure. However, natural hedges may not always be available for all currency pairs, and they may not fully eliminate foreign exchange risk.</w:t>
      </w:r>
    </w:p>
    <w:p w14:paraId="631F80EA"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4AA18B37"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2. Forward Contracts:</w:t>
      </w:r>
    </w:p>
    <w:p w14:paraId="70EF2EF6" w14:textId="77777777" w:rsidR="00A3287C"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   </w:t>
      </w:r>
      <w:r w:rsidR="00A3287C" w:rsidRPr="00A3287C">
        <w:rPr>
          <w:rFonts w:ascii="Tahoma" w:eastAsia="Times New Roman" w:hAnsi="Tahoma" w:cs="Tahoma"/>
          <w:color w:val="000000"/>
          <w:kern w:val="0"/>
          <w:sz w:val="21"/>
          <w:szCs w:val="21"/>
          <w:lang w:eastAsia="en-GB"/>
          <w14:ligatures w14:val="none"/>
        </w:rPr>
        <w:t>Forward contracts are a common tool used by multinational companies to reduce their exposure to foreign exchange risk. By locking in a particular exchange rate for upcoming transactions, these contracts help firms lessen the impact of currency volatility on their cash flows and financial commitments.</w:t>
      </w:r>
    </w:p>
    <w:p w14:paraId="3470316F" w14:textId="22E98975" w:rsidR="00521965" w:rsidRPr="00521965" w:rsidRDefault="00A3287C" w:rsidP="00521965">
      <w:pPr>
        <w:spacing w:after="0" w:line="240" w:lineRule="auto"/>
        <w:rPr>
          <w:rFonts w:ascii="Tahoma" w:eastAsia="Times New Roman" w:hAnsi="Tahoma" w:cs="Tahoma"/>
          <w:color w:val="000000"/>
          <w:kern w:val="0"/>
          <w:sz w:val="21"/>
          <w:szCs w:val="21"/>
          <w:lang w:eastAsia="en-GB"/>
          <w14:ligatures w14:val="none"/>
        </w:rPr>
      </w:pPr>
      <w:r>
        <w:rPr>
          <w:rFonts w:ascii="Tahoma" w:eastAsia="Times New Roman" w:hAnsi="Tahoma" w:cs="Tahoma"/>
          <w:color w:val="000000"/>
          <w:kern w:val="0"/>
          <w:sz w:val="21"/>
          <w:szCs w:val="21"/>
          <w:lang w:eastAsia="en-GB"/>
          <w14:ligatures w14:val="none"/>
        </w:rPr>
        <w:t xml:space="preserve"> </w:t>
      </w:r>
      <w:r w:rsidR="00521965" w:rsidRPr="00521965">
        <w:rPr>
          <w:rFonts w:ascii="Tahoma" w:eastAsia="Times New Roman" w:hAnsi="Tahoma" w:cs="Tahoma"/>
          <w:color w:val="000000"/>
          <w:kern w:val="0"/>
          <w:sz w:val="21"/>
          <w:szCs w:val="21"/>
          <w:lang w:eastAsia="en-GB"/>
          <w14:ligatures w14:val="none"/>
        </w:rPr>
        <w:t xml:space="preserve"> Forward contracts provide a straightforward and effective way to manage foreign exchange risk by fixing exchange rates for future transactions. However, they may involve costs, and if the exchange rate moves </w:t>
      </w:r>
      <w:r w:rsidR="00247572" w:rsidRPr="00521965">
        <w:rPr>
          <w:rFonts w:ascii="Tahoma" w:eastAsia="Times New Roman" w:hAnsi="Tahoma" w:cs="Tahoma"/>
          <w:color w:val="000000"/>
          <w:kern w:val="0"/>
          <w:sz w:val="21"/>
          <w:szCs w:val="21"/>
          <w:lang w:eastAsia="en-GB"/>
          <w14:ligatures w14:val="none"/>
        </w:rPr>
        <w:t>favourably</w:t>
      </w:r>
      <w:r w:rsidR="00521965" w:rsidRPr="00521965">
        <w:rPr>
          <w:rFonts w:ascii="Tahoma" w:eastAsia="Times New Roman" w:hAnsi="Tahoma" w:cs="Tahoma"/>
          <w:color w:val="000000"/>
          <w:kern w:val="0"/>
          <w:sz w:val="21"/>
          <w:szCs w:val="21"/>
          <w:lang w:eastAsia="en-GB"/>
          <w14:ligatures w14:val="none"/>
        </w:rPr>
        <w:t>, the company may miss out on potential gains.</w:t>
      </w:r>
    </w:p>
    <w:p w14:paraId="4F254843"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6452237B"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3. Options:</w:t>
      </w:r>
    </w:p>
    <w:p w14:paraId="71ED24B4" w14:textId="18F0EABB" w:rsidR="00A3287C" w:rsidRDefault="00A3287C" w:rsidP="00521965">
      <w:pPr>
        <w:spacing w:after="0" w:line="240" w:lineRule="auto"/>
        <w:rPr>
          <w:rFonts w:ascii="Tahoma" w:eastAsia="Times New Roman" w:hAnsi="Tahoma" w:cs="Tahoma"/>
          <w:color w:val="000000"/>
          <w:kern w:val="0"/>
          <w:sz w:val="21"/>
          <w:szCs w:val="21"/>
          <w:lang w:eastAsia="en-GB"/>
          <w14:ligatures w14:val="none"/>
        </w:rPr>
      </w:pPr>
      <w:r w:rsidRPr="00A3287C">
        <w:rPr>
          <w:rFonts w:ascii="Tahoma" w:eastAsia="Times New Roman" w:hAnsi="Tahoma" w:cs="Tahoma"/>
          <w:color w:val="000000"/>
          <w:kern w:val="0"/>
          <w:sz w:val="21"/>
          <w:szCs w:val="21"/>
          <w:lang w:eastAsia="en-GB"/>
          <w14:ligatures w14:val="none"/>
        </w:rPr>
        <w:t xml:space="preserve">The buyer of currency options has the option—but not the obligation—to purchase or sell a predetermined amount of currency within a given time frame at a predetermined price. Global firms can employ options to hedge against adverse fluctuations in exchange rates while maintaining the opportunity to profit from </w:t>
      </w:r>
      <w:r w:rsidRPr="00A3287C">
        <w:rPr>
          <w:rFonts w:ascii="Tahoma" w:eastAsia="Times New Roman" w:hAnsi="Tahoma" w:cs="Tahoma"/>
          <w:color w:val="000000"/>
          <w:kern w:val="0"/>
          <w:sz w:val="21"/>
          <w:szCs w:val="21"/>
          <w:lang w:eastAsia="en-GB"/>
          <w14:ligatures w14:val="none"/>
        </w:rPr>
        <w:t>favourable</w:t>
      </w:r>
      <w:r w:rsidRPr="00A3287C">
        <w:rPr>
          <w:rFonts w:ascii="Tahoma" w:eastAsia="Times New Roman" w:hAnsi="Tahoma" w:cs="Tahoma"/>
          <w:color w:val="000000"/>
          <w:kern w:val="0"/>
          <w:sz w:val="21"/>
          <w:szCs w:val="21"/>
          <w:lang w:eastAsia="en-GB"/>
          <w14:ligatures w14:val="none"/>
        </w:rPr>
        <w:t xml:space="preserve"> ones.</w:t>
      </w:r>
    </w:p>
    <w:p w14:paraId="18EAD790" w14:textId="6D69C8E5" w:rsidR="00521965" w:rsidRDefault="00A3287C" w:rsidP="00521965">
      <w:pPr>
        <w:spacing w:after="0" w:line="240" w:lineRule="auto"/>
        <w:rPr>
          <w:rFonts w:ascii="Tahoma" w:eastAsia="Times New Roman" w:hAnsi="Tahoma" w:cs="Tahoma"/>
          <w:color w:val="000000"/>
          <w:kern w:val="0"/>
          <w:sz w:val="21"/>
          <w:szCs w:val="21"/>
          <w:lang w:eastAsia="en-GB"/>
          <w14:ligatures w14:val="none"/>
        </w:rPr>
      </w:pPr>
      <w:r>
        <w:rPr>
          <w:rFonts w:ascii="Tahoma" w:eastAsia="Times New Roman" w:hAnsi="Tahoma" w:cs="Tahoma"/>
          <w:color w:val="000000"/>
          <w:kern w:val="0"/>
          <w:sz w:val="21"/>
          <w:szCs w:val="21"/>
          <w:lang w:eastAsia="en-GB"/>
          <w14:ligatures w14:val="none"/>
        </w:rPr>
        <w:t xml:space="preserve"> </w:t>
      </w:r>
      <w:r w:rsidR="00521965" w:rsidRPr="00521965">
        <w:rPr>
          <w:rFonts w:ascii="Tahoma" w:eastAsia="Times New Roman" w:hAnsi="Tahoma" w:cs="Tahoma"/>
          <w:color w:val="000000"/>
          <w:kern w:val="0"/>
          <w:sz w:val="21"/>
          <w:szCs w:val="21"/>
          <w:lang w:eastAsia="en-GB"/>
          <w14:ligatures w14:val="none"/>
        </w:rPr>
        <w:t>Options offer flexibility and can be tailored to specific risk management needs. However, they involve premiums and may not be suitable for all exposures, especially for companies with predictable cash flow requirements.</w:t>
      </w:r>
    </w:p>
    <w:p w14:paraId="2457AA27" w14:textId="77777777" w:rsidR="00945E9A" w:rsidRDefault="00945E9A" w:rsidP="00521965">
      <w:pPr>
        <w:spacing w:after="0" w:line="240" w:lineRule="auto"/>
        <w:rPr>
          <w:rFonts w:ascii="Tahoma" w:eastAsia="Times New Roman" w:hAnsi="Tahoma" w:cs="Tahoma"/>
          <w:color w:val="000000"/>
          <w:kern w:val="0"/>
          <w:sz w:val="21"/>
          <w:szCs w:val="21"/>
          <w:lang w:eastAsia="en-GB"/>
          <w14:ligatures w14:val="none"/>
        </w:rPr>
      </w:pPr>
    </w:p>
    <w:p w14:paraId="4AF9CC2C" w14:textId="77777777" w:rsidR="00945E9A" w:rsidRDefault="00945E9A" w:rsidP="00521965">
      <w:pPr>
        <w:spacing w:after="0" w:line="240" w:lineRule="auto"/>
        <w:rPr>
          <w:rFonts w:ascii="Tahoma" w:eastAsia="Times New Roman" w:hAnsi="Tahoma" w:cs="Tahoma"/>
          <w:color w:val="000000"/>
          <w:kern w:val="0"/>
          <w:sz w:val="21"/>
          <w:szCs w:val="21"/>
          <w:lang w:eastAsia="en-GB"/>
          <w14:ligatures w14:val="none"/>
        </w:rPr>
      </w:pPr>
    </w:p>
    <w:p w14:paraId="4FF0DE25" w14:textId="77777777" w:rsidR="00945E9A" w:rsidRDefault="00945E9A" w:rsidP="00521965">
      <w:pPr>
        <w:spacing w:after="0" w:line="240" w:lineRule="auto"/>
        <w:rPr>
          <w:rFonts w:ascii="Tahoma" w:eastAsia="Times New Roman" w:hAnsi="Tahoma" w:cs="Tahoma"/>
          <w:color w:val="000000"/>
          <w:kern w:val="0"/>
          <w:sz w:val="21"/>
          <w:szCs w:val="21"/>
          <w:lang w:eastAsia="en-GB"/>
          <w14:ligatures w14:val="none"/>
        </w:rPr>
      </w:pPr>
    </w:p>
    <w:p w14:paraId="38C7E7D2" w14:textId="77777777" w:rsidR="00A3287C" w:rsidRPr="00521965" w:rsidRDefault="00A3287C" w:rsidP="00521965">
      <w:pPr>
        <w:spacing w:after="0" w:line="240" w:lineRule="auto"/>
        <w:rPr>
          <w:rFonts w:ascii="Tahoma" w:eastAsia="Times New Roman" w:hAnsi="Tahoma" w:cs="Tahoma"/>
          <w:color w:val="000000"/>
          <w:kern w:val="0"/>
          <w:sz w:val="21"/>
          <w:szCs w:val="21"/>
          <w:lang w:eastAsia="en-GB"/>
          <w14:ligatures w14:val="none"/>
        </w:rPr>
      </w:pPr>
    </w:p>
    <w:p w14:paraId="045C6604"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67C24B7E"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lastRenderedPageBreak/>
        <w:t>4. Netting:</w:t>
      </w:r>
    </w:p>
    <w:p w14:paraId="23D708C7" w14:textId="0829D5E9"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   </w:t>
      </w:r>
      <w:r w:rsidR="00EF0555" w:rsidRPr="00EF0555">
        <w:rPr>
          <w:rFonts w:ascii="Tahoma" w:eastAsia="Times New Roman" w:hAnsi="Tahoma" w:cs="Tahoma"/>
          <w:color w:val="000000"/>
          <w:kern w:val="0"/>
          <w:sz w:val="21"/>
          <w:szCs w:val="21"/>
          <w:lang w:eastAsia="en-GB"/>
          <w14:ligatures w14:val="none"/>
        </w:rPr>
        <w:t>Netting allows multinational companies to balance payables and receivables denominated in the same currency while they engage in several foreign transactions. The corporation can lessen its exposure to variations in exchange rates by grouping these transactions together.</w:t>
      </w:r>
    </w:p>
    <w:p w14:paraId="26C4687B" w14:textId="693F4FC1"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 xml:space="preserve"> Netting allows companies to simplify their foreign exchange risk management by reducing the number of individual transactions subject to exchange rate risk. However, it may not fully eliminate exposure to currency fluctuations in cases where the transactions are not perfectly offsetting.</w:t>
      </w:r>
    </w:p>
    <w:p w14:paraId="57E8FEFD"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208B149E"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5. Currency Swaps:</w:t>
      </w:r>
    </w:p>
    <w:p w14:paraId="12A2A9AC" w14:textId="1A4A3843"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   </w:t>
      </w:r>
      <w:r w:rsidR="00EF0555" w:rsidRPr="00EF0555">
        <w:rPr>
          <w:rFonts w:ascii="Tahoma" w:eastAsia="Times New Roman" w:hAnsi="Tahoma" w:cs="Tahoma"/>
          <w:color w:val="000000"/>
          <w:kern w:val="0"/>
          <w:sz w:val="21"/>
          <w:szCs w:val="21"/>
          <w:lang w:eastAsia="en-GB"/>
          <w14:ligatures w14:val="none"/>
        </w:rPr>
        <w:t>The process of exchanging principle and interest payments made in one currency for another involves currency swaps. Currency swaps are a useful tool for multinational firms to manage the foreign exchange risk attached to their debt or investment holdings.</w:t>
      </w:r>
    </w:p>
    <w:p w14:paraId="7FFBD9BF" w14:textId="5527CE43"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Currency swaps provide a way to align the currency composition of assets and liabilities with the company's risk management objectives. However, they may involve complexity and counterparty risks.</w:t>
      </w:r>
    </w:p>
    <w:p w14:paraId="7BDD80F3"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7BA8E12F"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6. Centralized Treasury Management:</w:t>
      </w:r>
    </w:p>
    <w:p w14:paraId="18D3D278"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   Some multinational corporations centralize their treasury management functions to gain better visibility and control over their foreign exchange exposures. By consolidating foreign exchange activities at the corporate level, they can more effectively manage currency risk across the organization.</w:t>
      </w:r>
    </w:p>
    <w:p w14:paraId="145D58A0" w14:textId="70D9F53A"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Centralized treasury management can enhance risk monitoring and coordination but may face challenges in understanding and addressing specific operational currency risks at the subsidiary level.</w:t>
      </w:r>
    </w:p>
    <w:p w14:paraId="5C1DA274"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77EE1C0C"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7. Hedging Commitments:</w:t>
      </w:r>
    </w:p>
    <w:p w14:paraId="04B6E562"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   Multinational corporations may make public statements or disclosures regarding their foreign exchange hedging commitments to provide transparency to investors and stakeholders about the company's risk management practices.</w:t>
      </w:r>
    </w:p>
    <w:p w14:paraId="1C0901CD" w14:textId="5C1A1410"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Communicating hedging commitments can enhance transparency and trust with stakeholders, but it requires careful consideration of the potential impact on the company's market perception and flexibility.</w:t>
      </w:r>
    </w:p>
    <w:p w14:paraId="2096CC8C"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5431DDBE"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8. Use of Financial Derivatives:</w:t>
      </w:r>
    </w:p>
    <w:p w14:paraId="1814956C"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   Multinational corporations often utilize financial derivatives such as futures contracts, options, and swaps to manage their exposure to foreign exchange risks. These instruments provide flexibility in tailoring risk management strategies to specific exposures.</w:t>
      </w:r>
    </w:p>
    <w:p w14:paraId="045083CD" w14:textId="7C125616"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Financial derivatives offer a range of risk management tools, but they require expertise in their use and management, and may involve liquidity and counterparty risks.</w:t>
      </w:r>
    </w:p>
    <w:p w14:paraId="1FDCFD7B"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7BF51F63" w14:textId="3018A206"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By combining these strategies, multinational corporations can develop a comprehensive approach to managing their exposure to foreign exchange risks. However, it is essential for companies to consider the costs, benefits, and potential limitations of each strategy in the context of their specific business operations and risk management objectives. Additionally, regular monitoring and review of foreign exchange risk management strategies are crucial to ensure their effectiveness in a dynamic global market environment.</w:t>
      </w:r>
    </w:p>
    <w:p w14:paraId="4A6C4444" w14:textId="77777777" w:rsidR="006020B1" w:rsidRDefault="006020B1" w:rsidP="00521965">
      <w:pPr>
        <w:tabs>
          <w:tab w:val="left" w:pos="6825"/>
        </w:tabs>
      </w:pPr>
    </w:p>
    <w:p w14:paraId="68ACADEB" w14:textId="5FF4648A" w:rsidR="00AD1B9C" w:rsidRDefault="006020B1" w:rsidP="00521965">
      <w:pPr>
        <w:tabs>
          <w:tab w:val="left" w:pos="6825"/>
        </w:tabs>
      </w:pPr>
      <w:r>
        <w:rPr>
          <w:b/>
          <w:bCs/>
        </w:rPr>
        <w:t>Foreign exchange risk:</w:t>
      </w:r>
      <w:r w:rsidR="00521965">
        <w:tab/>
      </w:r>
    </w:p>
    <w:p w14:paraId="080DD5F9" w14:textId="77777777" w:rsidR="00EF0555" w:rsidRPr="00EF0555" w:rsidRDefault="00EF0555" w:rsidP="00EF0555">
      <w:pPr>
        <w:spacing w:after="0" w:line="240" w:lineRule="auto"/>
        <w:rPr>
          <w:rFonts w:ascii="Tahoma" w:eastAsia="Times New Roman" w:hAnsi="Tahoma" w:cs="Tahoma"/>
          <w:color w:val="000000"/>
          <w:kern w:val="0"/>
          <w:sz w:val="21"/>
          <w:szCs w:val="21"/>
          <w:lang w:eastAsia="en-GB"/>
          <w14:ligatures w14:val="none"/>
        </w:rPr>
      </w:pPr>
      <w:r w:rsidRPr="00EF0555">
        <w:rPr>
          <w:rFonts w:ascii="Tahoma" w:eastAsia="Times New Roman" w:hAnsi="Tahoma" w:cs="Tahoma"/>
          <w:color w:val="000000"/>
          <w:kern w:val="0"/>
          <w:sz w:val="21"/>
          <w:szCs w:val="21"/>
          <w:lang w:eastAsia="en-GB"/>
          <w14:ligatures w14:val="none"/>
        </w:rPr>
        <w:t>Currency risk, or foreign exchange risk, is the term used to describe the possibility of suffering a financial loss as a result of changes in the exchange rates between various currencies. It is an important factor to take into account for people, companies, and investors who travel, trade, or invest internationally. Foreign exchange risk comes in a few forms:</w:t>
      </w:r>
    </w:p>
    <w:p w14:paraId="15D654D3" w14:textId="77777777" w:rsidR="00EF0555" w:rsidRPr="00EF0555" w:rsidRDefault="00EF0555" w:rsidP="00EF0555">
      <w:pPr>
        <w:spacing w:after="0" w:line="240" w:lineRule="auto"/>
        <w:rPr>
          <w:rFonts w:ascii="Tahoma" w:eastAsia="Times New Roman" w:hAnsi="Tahoma" w:cs="Tahoma"/>
          <w:color w:val="000000"/>
          <w:kern w:val="0"/>
          <w:sz w:val="21"/>
          <w:szCs w:val="21"/>
          <w:lang w:eastAsia="en-GB"/>
          <w14:ligatures w14:val="none"/>
        </w:rPr>
      </w:pPr>
    </w:p>
    <w:p w14:paraId="49356500" w14:textId="5A80F24D" w:rsidR="00521965" w:rsidRDefault="00EF0555" w:rsidP="00EF0555">
      <w:pPr>
        <w:spacing w:after="0" w:line="240" w:lineRule="auto"/>
        <w:rPr>
          <w:rFonts w:ascii="Tahoma" w:eastAsia="Times New Roman" w:hAnsi="Tahoma" w:cs="Tahoma"/>
          <w:color w:val="000000"/>
          <w:kern w:val="0"/>
          <w:sz w:val="21"/>
          <w:szCs w:val="21"/>
          <w:lang w:eastAsia="en-GB"/>
          <w14:ligatures w14:val="none"/>
        </w:rPr>
      </w:pPr>
      <w:r w:rsidRPr="00EF0555">
        <w:rPr>
          <w:rFonts w:ascii="Tahoma" w:eastAsia="Times New Roman" w:hAnsi="Tahoma" w:cs="Tahoma"/>
          <w:color w:val="000000"/>
          <w:kern w:val="0"/>
          <w:sz w:val="21"/>
          <w:szCs w:val="21"/>
          <w:lang w:eastAsia="en-GB"/>
          <w14:ligatures w14:val="none"/>
        </w:rPr>
        <w:t>Transactional risk: When a business has outstanding debts in foreign currencies, it is exposed to this kind of risk. Changes in exchange rates may have an impact on the company's liabilities, and if the value of the home currency declines relative to the foreign currency, there may be financial losses.</w:t>
      </w:r>
    </w:p>
    <w:p w14:paraId="621D90AC" w14:textId="77777777" w:rsidR="00EF0555" w:rsidRPr="00521965" w:rsidRDefault="00EF0555" w:rsidP="00EF0555">
      <w:pPr>
        <w:spacing w:after="0" w:line="240" w:lineRule="auto"/>
        <w:rPr>
          <w:rFonts w:ascii="Tahoma" w:eastAsia="Times New Roman" w:hAnsi="Tahoma" w:cs="Tahoma"/>
          <w:color w:val="000000"/>
          <w:kern w:val="0"/>
          <w:sz w:val="21"/>
          <w:szCs w:val="21"/>
          <w:lang w:eastAsia="en-GB"/>
          <w14:ligatures w14:val="none"/>
        </w:rPr>
      </w:pPr>
    </w:p>
    <w:p w14:paraId="3196173F" w14:textId="77777777" w:rsidR="00EF0555" w:rsidRPr="00EF0555" w:rsidRDefault="00EF0555" w:rsidP="00EF0555">
      <w:pPr>
        <w:spacing w:after="0" w:line="240" w:lineRule="auto"/>
        <w:rPr>
          <w:rFonts w:ascii="Tahoma" w:eastAsia="Times New Roman" w:hAnsi="Tahoma" w:cs="Tahoma"/>
          <w:color w:val="000000"/>
          <w:kern w:val="0"/>
          <w:sz w:val="21"/>
          <w:szCs w:val="21"/>
          <w:lang w:eastAsia="en-GB"/>
          <w14:ligatures w14:val="none"/>
        </w:rPr>
      </w:pPr>
      <w:r w:rsidRPr="00EF0555">
        <w:rPr>
          <w:rFonts w:ascii="Tahoma" w:eastAsia="Times New Roman" w:hAnsi="Tahoma" w:cs="Tahoma"/>
          <w:color w:val="000000"/>
          <w:kern w:val="0"/>
          <w:sz w:val="21"/>
          <w:szCs w:val="21"/>
          <w:lang w:eastAsia="en-GB"/>
          <w14:ligatures w14:val="none"/>
        </w:rPr>
        <w:t>Multinational companies that have operations or subsidiaries abroad frequently face the danger of translation. These businesses must convert the financial outcomes of their overseas operations from the local currency to the reporting currency when combining their financial statements. Changes in exchange rates may have an effect on the company's reported financial results and overall financial situation.</w:t>
      </w:r>
    </w:p>
    <w:p w14:paraId="660694A4" w14:textId="77777777" w:rsidR="00EF0555" w:rsidRPr="00EF0555" w:rsidRDefault="00EF0555" w:rsidP="00EF0555">
      <w:pPr>
        <w:spacing w:after="0" w:line="240" w:lineRule="auto"/>
        <w:rPr>
          <w:rFonts w:ascii="Tahoma" w:eastAsia="Times New Roman" w:hAnsi="Tahoma" w:cs="Tahoma"/>
          <w:color w:val="000000"/>
          <w:kern w:val="0"/>
          <w:sz w:val="21"/>
          <w:szCs w:val="21"/>
          <w:lang w:eastAsia="en-GB"/>
          <w14:ligatures w14:val="none"/>
        </w:rPr>
      </w:pPr>
    </w:p>
    <w:p w14:paraId="79CAEAA0" w14:textId="25813FBB" w:rsidR="00521965" w:rsidRDefault="00EF0555" w:rsidP="00EF0555">
      <w:pPr>
        <w:spacing w:after="0" w:line="240" w:lineRule="auto"/>
        <w:rPr>
          <w:rFonts w:ascii="Tahoma" w:eastAsia="Times New Roman" w:hAnsi="Tahoma" w:cs="Tahoma"/>
          <w:color w:val="000000"/>
          <w:kern w:val="0"/>
          <w:sz w:val="21"/>
          <w:szCs w:val="21"/>
          <w:lang w:eastAsia="en-GB"/>
          <w14:ligatures w14:val="none"/>
        </w:rPr>
      </w:pPr>
      <w:r w:rsidRPr="00EF0555">
        <w:rPr>
          <w:rFonts w:ascii="Tahoma" w:eastAsia="Times New Roman" w:hAnsi="Tahoma" w:cs="Tahoma"/>
          <w:color w:val="000000"/>
          <w:kern w:val="0"/>
          <w:sz w:val="21"/>
          <w:szCs w:val="21"/>
          <w:lang w:eastAsia="en-GB"/>
          <w14:ligatures w14:val="none"/>
        </w:rPr>
        <w:t>Economic risk: Currency fluctuations' effects on a company's future cash flows, revenues, and expenses result in economic exposure. The competitiveness of a company's goods or services in global marketplaces can be impacted by fluctuations in exchange rates, which may have an impact on demand and profitability.</w:t>
      </w:r>
    </w:p>
    <w:p w14:paraId="661E5A00" w14:textId="77777777" w:rsidR="00EF0555" w:rsidRPr="00521965" w:rsidRDefault="00EF0555" w:rsidP="00EF0555">
      <w:pPr>
        <w:spacing w:after="0" w:line="240" w:lineRule="auto"/>
        <w:rPr>
          <w:rFonts w:ascii="Tahoma" w:eastAsia="Times New Roman" w:hAnsi="Tahoma" w:cs="Tahoma"/>
          <w:color w:val="000000"/>
          <w:kern w:val="0"/>
          <w:sz w:val="21"/>
          <w:szCs w:val="21"/>
          <w:lang w:eastAsia="en-GB"/>
          <w14:ligatures w14:val="none"/>
        </w:rPr>
      </w:pPr>
    </w:p>
    <w:p w14:paraId="7897FCEC"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Investing and holding foreign assets or liabilities also exposes individuals and businesses to foreign exchange risk. For example, an investor holding foreign stocks or bonds will be exposed to exchange rate fluctuations, which can impact the returns on their investments.</w:t>
      </w:r>
    </w:p>
    <w:p w14:paraId="79CEF339"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1355DDE7"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Understanding and managing foreign exchange risk is crucial for individuals and businesses engaged in international activities. Here are several strategies to help manage foreign exchange risk:</w:t>
      </w:r>
    </w:p>
    <w:p w14:paraId="602E94B3"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228EC1FF" w14:textId="77777777" w:rsidR="00AA24FA" w:rsidRPr="00AA24FA" w:rsidRDefault="00AA24FA" w:rsidP="00AA24FA">
      <w:pPr>
        <w:spacing w:after="0" w:line="240" w:lineRule="auto"/>
        <w:rPr>
          <w:rFonts w:ascii="Tahoma" w:eastAsia="Times New Roman" w:hAnsi="Tahoma" w:cs="Tahoma"/>
          <w:color w:val="000000"/>
          <w:kern w:val="0"/>
          <w:sz w:val="21"/>
          <w:szCs w:val="21"/>
          <w:lang w:eastAsia="en-GB"/>
          <w14:ligatures w14:val="none"/>
        </w:rPr>
      </w:pPr>
      <w:r w:rsidRPr="00AA24FA">
        <w:rPr>
          <w:rFonts w:ascii="Tahoma" w:eastAsia="Times New Roman" w:hAnsi="Tahoma" w:cs="Tahoma"/>
          <w:color w:val="000000"/>
          <w:kern w:val="0"/>
          <w:sz w:val="21"/>
          <w:szCs w:val="21"/>
          <w:lang w:eastAsia="en-GB"/>
          <w14:ligatures w14:val="none"/>
        </w:rPr>
        <w:t xml:space="preserve">1. Forward contracts: These are deals to purchase or sell a certain quantity of money at a predefined exchange rate at a later time. Businesses and individuals can reduce the risk of </w:t>
      </w:r>
      <w:proofErr w:type="spellStart"/>
      <w:r w:rsidRPr="00AA24FA">
        <w:rPr>
          <w:rFonts w:ascii="Tahoma" w:eastAsia="Times New Roman" w:hAnsi="Tahoma" w:cs="Tahoma"/>
          <w:color w:val="000000"/>
          <w:kern w:val="0"/>
          <w:sz w:val="21"/>
          <w:szCs w:val="21"/>
          <w:lang w:eastAsia="en-GB"/>
          <w14:ligatures w14:val="none"/>
        </w:rPr>
        <w:t>unfavorable</w:t>
      </w:r>
      <w:proofErr w:type="spellEnd"/>
      <w:r w:rsidRPr="00AA24FA">
        <w:rPr>
          <w:rFonts w:ascii="Tahoma" w:eastAsia="Times New Roman" w:hAnsi="Tahoma" w:cs="Tahoma"/>
          <w:color w:val="000000"/>
          <w:kern w:val="0"/>
          <w:sz w:val="21"/>
          <w:szCs w:val="21"/>
          <w:lang w:eastAsia="en-GB"/>
          <w14:ligatures w14:val="none"/>
        </w:rPr>
        <w:t xml:space="preserve"> currency changes by locking in exchange rates with the aid of forward contracts.</w:t>
      </w:r>
    </w:p>
    <w:p w14:paraId="59B51652" w14:textId="77777777" w:rsidR="00AA24FA" w:rsidRPr="00AA24FA" w:rsidRDefault="00AA24FA" w:rsidP="00AA24FA">
      <w:pPr>
        <w:spacing w:after="0" w:line="240" w:lineRule="auto"/>
        <w:rPr>
          <w:rFonts w:ascii="Tahoma" w:eastAsia="Times New Roman" w:hAnsi="Tahoma" w:cs="Tahoma"/>
          <w:color w:val="000000"/>
          <w:kern w:val="0"/>
          <w:sz w:val="21"/>
          <w:szCs w:val="21"/>
          <w:lang w:eastAsia="en-GB"/>
          <w14:ligatures w14:val="none"/>
        </w:rPr>
      </w:pPr>
    </w:p>
    <w:p w14:paraId="65E1EDFB" w14:textId="13263AF5" w:rsidR="00521965" w:rsidRDefault="00AA24FA" w:rsidP="00AA24FA">
      <w:pPr>
        <w:spacing w:after="0" w:line="240" w:lineRule="auto"/>
        <w:rPr>
          <w:rFonts w:ascii="Tahoma" w:eastAsia="Times New Roman" w:hAnsi="Tahoma" w:cs="Tahoma"/>
          <w:color w:val="000000"/>
          <w:kern w:val="0"/>
          <w:sz w:val="21"/>
          <w:szCs w:val="21"/>
          <w:lang w:eastAsia="en-GB"/>
          <w14:ligatures w14:val="none"/>
        </w:rPr>
      </w:pPr>
      <w:r w:rsidRPr="00AA24FA">
        <w:rPr>
          <w:rFonts w:ascii="Tahoma" w:eastAsia="Times New Roman" w:hAnsi="Tahoma" w:cs="Tahoma"/>
          <w:color w:val="000000"/>
          <w:kern w:val="0"/>
          <w:sz w:val="21"/>
          <w:szCs w:val="21"/>
          <w:lang w:eastAsia="en-GB"/>
          <w14:ligatures w14:val="none"/>
        </w:rPr>
        <w:t>2. Futures contracts: Like forward contracts, futures contracts entail the commitment to purchase or sell a certain quantity of currency at a predetermined price at a later time. They can act as a hedge against changes in exchange rates and are traded on regulated exchanges.</w:t>
      </w:r>
    </w:p>
    <w:p w14:paraId="5AAFA054" w14:textId="77777777" w:rsidR="00AA24FA" w:rsidRPr="00521965" w:rsidRDefault="00AA24FA" w:rsidP="00AA24FA">
      <w:pPr>
        <w:spacing w:after="0" w:line="240" w:lineRule="auto"/>
        <w:rPr>
          <w:rFonts w:ascii="Tahoma" w:eastAsia="Times New Roman" w:hAnsi="Tahoma" w:cs="Tahoma"/>
          <w:color w:val="000000"/>
          <w:kern w:val="0"/>
          <w:sz w:val="21"/>
          <w:szCs w:val="21"/>
          <w:lang w:eastAsia="en-GB"/>
          <w14:ligatures w14:val="none"/>
        </w:rPr>
      </w:pPr>
    </w:p>
    <w:p w14:paraId="6CED37BE" w14:textId="77777777" w:rsidR="00AA24FA" w:rsidRPr="00AA24FA" w:rsidRDefault="00AA24FA" w:rsidP="00AA24FA">
      <w:pPr>
        <w:spacing w:after="0" w:line="240" w:lineRule="auto"/>
        <w:rPr>
          <w:rFonts w:ascii="Tahoma" w:eastAsia="Times New Roman" w:hAnsi="Tahoma" w:cs="Tahoma"/>
          <w:color w:val="000000"/>
          <w:kern w:val="0"/>
          <w:sz w:val="21"/>
          <w:szCs w:val="21"/>
          <w:lang w:eastAsia="en-GB"/>
          <w14:ligatures w14:val="none"/>
        </w:rPr>
      </w:pPr>
      <w:r w:rsidRPr="00AA24FA">
        <w:rPr>
          <w:rFonts w:ascii="Tahoma" w:eastAsia="Times New Roman" w:hAnsi="Tahoma" w:cs="Tahoma"/>
          <w:color w:val="000000"/>
          <w:kern w:val="0"/>
          <w:sz w:val="21"/>
          <w:szCs w:val="21"/>
          <w:lang w:eastAsia="en-GB"/>
          <w14:ligatures w14:val="none"/>
        </w:rPr>
        <w:t>3. Options: The buyer of currency options has the opportunity, but not the duty, to purchase or sell a given quantity of currency within a given time frame at a predetermined price. Options provide flexibility and the chance to profit from positive changes in exchange rates while guarding against negative ones.</w:t>
      </w:r>
    </w:p>
    <w:p w14:paraId="63806430" w14:textId="77777777" w:rsidR="00AA24FA" w:rsidRPr="00AA24FA" w:rsidRDefault="00AA24FA" w:rsidP="00AA24FA">
      <w:pPr>
        <w:spacing w:after="0" w:line="240" w:lineRule="auto"/>
        <w:rPr>
          <w:rFonts w:ascii="Tahoma" w:eastAsia="Times New Roman" w:hAnsi="Tahoma" w:cs="Tahoma"/>
          <w:color w:val="000000"/>
          <w:kern w:val="0"/>
          <w:sz w:val="21"/>
          <w:szCs w:val="21"/>
          <w:lang w:eastAsia="en-GB"/>
          <w14:ligatures w14:val="none"/>
        </w:rPr>
      </w:pPr>
    </w:p>
    <w:p w14:paraId="52C62F3B" w14:textId="77777777" w:rsidR="00AA24FA" w:rsidRDefault="00AA24FA" w:rsidP="00AA24FA">
      <w:pPr>
        <w:spacing w:after="0" w:line="240" w:lineRule="auto"/>
        <w:rPr>
          <w:rFonts w:ascii="Tahoma" w:eastAsia="Times New Roman" w:hAnsi="Tahoma" w:cs="Tahoma"/>
          <w:color w:val="000000"/>
          <w:kern w:val="0"/>
          <w:sz w:val="21"/>
          <w:szCs w:val="21"/>
          <w:lang w:eastAsia="en-GB"/>
          <w14:ligatures w14:val="none"/>
        </w:rPr>
      </w:pPr>
      <w:r w:rsidRPr="00AA24FA">
        <w:rPr>
          <w:rFonts w:ascii="Tahoma" w:eastAsia="Times New Roman" w:hAnsi="Tahoma" w:cs="Tahoma"/>
          <w:color w:val="000000"/>
          <w:kern w:val="0"/>
          <w:sz w:val="21"/>
          <w:szCs w:val="21"/>
          <w:lang w:eastAsia="en-GB"/>
          <w14:ligatures w14:val="none"/>
        </w:rPr>
        <w:t>4. Currency swaps: In a currency swap, principle and interest payments are converted from one currency to another. This can be applied to debt or investment situations to mitigate foreign exchange risk.</w:t>
      </w:r>
    </w:p>
    <w:p w14:paraId="0B35EFF7" w14:textId="77777777" w:rsidR="00AA24FA" w:rsidRDefault="00AA24FA" w:rsidP="00AA24FA">
      <w:pPr>
        <w:spacing w:after="0" w:line="240" w:lineRule="auto"/>
        <w:rPr>
          <w:rFonts w:ascii="Tahoma" w:eastAsia="Times New Roman" w:hAnsi="Tahoma" w:cs="Tahoma"/>
          <w:color w:val="000000"/>
          <w:kern w:val="0"/>
          <w:sz w:val="21"/>
          <w:szCs w:val="21"/>
          <w:lang w:eastAsia="en-GB"/>
          <w14:ligatures w14:val="none"/>
        </w:rPr>
      </w:pPr>
    </w:p>
    <w:p w14:paraId="2671F138" w14:textId="77777777" w:rsidR="00AA24FA" w:rsidRPr="00AA24FA" w:rsidRDefault="00AA24FA" w:rsidP="00AA24FA">
      <w:pPr>
        <w:spacing w:after="0" w:line="240" w:lineRule="auto"/>
        <w:rPr>
          <w:rFonts w:ascii="Tahoma" w:eastAsia="Times New Roman" w:hAnsi="Tahoma" w:cs="Tahoma"/>
          <w:color w:val="000000"/>
          <w:kern w:val="0"/>
          <w:sz w:val="21"/>
          <w:szCs w:val="21"/>
          <w:lang w:eastAsia="en-GB"/>
          <w14:ligatures w14:val="none"/>
        </w:rPr>
      </w:pPr>
      <w:r w:rsidRPr="00AA24FA">
        <w:rPr>
          <w:rFonts w:ascii="Tahoma" w:eastAsia="Times New Roman" w:hAnsi="Tahoma" w:cs="Tahoma"/>
          <w:color w:val="000000"/>
          <w:kern w:val="0"/>
          <w:sz w:val="21"/>
          <w:szCs w:val="21"/>
          <w:lang w:eastAsia="en-GB"/>
          <w14:ligatures w14:val="none"/>
        </w:rPr>
        <w:t>5. Netting: To lessen exposure to swings in exchange rates, netting is a technique used by businesses with numerous overseas transactions. It entails offsetting payables and receivables denominated in the same currency.</w:t>
      </w:r>
    </w:p>
    <w:p w14:paraId="7C3FB274" w14:textId="77777777" w:rsidR="00AA24FA" w:rsidRPr="00AA24FA" w:rsidRDefault="00AA24FA" w:rsidP="00AA24FA">
      <w:pPr>
        <w:spacing w:after="0" w:line="240" w:lineRule="auto"/>
        <w:rPr>
          <w:rFonts w:ascii="Tahoma" w:eastAsia="Times New Roman" w:hAnsi="Tahoma" w:cs="Tahoma"/>
          <w:color w:val="000000"/>
          <w:kern w:val="0"/>
          <w:sz w:val="21"/>
          <w:szCs w:val="21"/>
          <w:lang w:eastAsia="en-GB"/>
          <w14:ligatures w14:val="none"/>
        </w:rPr>
      </w:pPr>
    </w:p>
    <w:p w14:paraId="7FE26E0E" w14:textId="32AE066D" w:rsidR="00521965" w:rsidRDefault="00AA24FA" w:rsidP="00AA24FA">
      <w:pPr>
        <w:spacing w:after="0" w:line="240" w:lineRule="auto"/>
        <w:rPr>
          <w:rFonts w:ascii="Tahoma" w:eastAsia="Times New Roman" w:hAnsi="Tahoma" w:cs="Tahoma"/>
          <w:color w:val="000000"/>
          <w:kern w:val="0"/>
          <w:sz w:val="21"/>
          <w:szCs w:val="21"/>
          <w:lang w:eastAsia="en-GB"/>
          <w14:ligatures w14:val="none"/>
        </w:rPr>
      </w:pPr>
      <w:r w:rsidRPr="00AA24FA">
        <w:rPr>
          <w:rFonts w:ascii="Tahoma" w:eastAsia="Times New Roman" w:hAnsi="Tahoma" w:cs="Tahoma"/>
          <w:color w:val="000000"/>
          <w:kern w:val="0"/>
          <w:sz w:val="21"/>
          <w:szCs w:val="21"/>
          <w:lang w:eastAsia="en-GB"/>
          <w14:ligatures w14:val="none"/>
        </w:rPr>
        <w:t>6. Natural hedging: To lessen the effect of fluctuations in exchange rates on their profitability, businesses might employ natural hedging by matching their foreign currency income with expenses in the same currency.</w:t>
      </w:r>
    </w:p>
    <w:p w14:paraId="0586889C" w14:textId="77777777" w:rsidR="00AA24FA" w:rsidRPr="00521965" w:rsidRDefault="00AA24FA" w:rsidP="00AA24FA">
      <w:pPr>
        <w:spacing w:after="0" w:line="240" w:lineRule="auto"/>
        <w:rPr>
          <w:rFonts w:ascii="Tahoma" w:eastAsia="Times New Roman" w:hAnsi="Tahoma" w:cs="Tahoma"/>
          <w:color w:val="000000"/>
          <w:kern w:val="0"/>
          <w:sz w:val="21"/>
          <w:szCs w:val="21"/>
          <w:lang w:eastAsia="en-GB"/>
          <w14:ligatures w14:val="none"/>
        </w:rPr>
      </w:pPr>
    </w:p>
    <w:p w14:paraId="2CA4FBCF"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7. Diversification: Diversifying revenue streams and investments across different currencies and geographic regions can help spread foreign exchange risk.</w:t>
      </w:r>
    </w:p>
    <w:p w14:paraId="505CFD41"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1A6C8447"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lastRenderedPageBreak/>
        <w:t>8. Risk management policies: Developing and implementing robust risk management policies that outline how foreign exchange risk will be identified, measured, and managed can help businesses mitigate the impact of currency fluctuations.</w:t>
      </w:r>
    </w:p>
    <w:p w14:paraId="501B4D37"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426E2460"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9. Fundamental analysis: For investors, understanding the fundamental drivers of exchange rate movements, such as interest rate differentials, inflation rates, and economic indicators, can provide insights into potential currency movements and help make informed investment decisions.</w:t>
      </w:r>
    </w:p>
    <w:p w14:paraId="16765836"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5522C138"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10. Use of technology and financial instruments: Leveraging technology and financial instruments to monitor and manage foreign exchange risk can help individuals and businesses stay informed and respond to changes in exchange rate conditions more effectively.</w:t>
      </w:r>
    </w:p>
    <w:p w14:paraId="315B64A0"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p>
    <w:p w14:paraId="1A301B74" w14:textId="77777777" w:rsidR="00521965" w:rsidRPr="00521965" w:rsidRDefault="00521965" w:rsidP="00521965">
      <w:pPr>
        <w:spacing w:after="0" w:line="240" w:lineRule="auto"/>
        <w:rPr>
          <w:rFonts w:ascii="Tahoma" w:eastAsia="Times New Roman" w:hAnsi="Tahoma" w:cs="Tahoma"/>
          <w:color w:val="000000"/>
          <w:kern w:val="0"/>
          <w:sz w:val="21"/>
          <w:szCs w:val="21"/>
          <w:lang w:eastAsia="en-GB"/>
          <w14:ligatures w14:val="none"/>
        </w:rPr>
      </w:pPr>
      <w:r w:rsidRPr="00521965">
        <w:rPr>
          <w:rFonts w:ascii="Tahoma" w:eastAsia="Times New Roman" w:hAnsi="Tahoma" w:cs="Tahoma"/>
          <w:color w:val="000000"/>
          <w:kern w:val="0"/>
          <w:sz w:val="21"/>
          <w:szCs w:val="21"/>
          <w:lang w:eastAsia="en-GB"/>
          <w14:ligatures w14:val="none"/>
        </w:rPr>
        <w:t>By incorporating these strategies and maintaining a thorough understanding of foreign exchange risk, individuals and businesses can effectively manage their exposure to currency fluctuations and protect their financial interests in the global marketplace.</w:t>
      </w:r>
    </w:p>
    <w:p w14:paraId="75DA7F82" w14:textId="77777777" w:rsidR="00521965" w:rsidRDefault="00521965" w:rsidP="00521965">
      <w:pPr>
        <w:tabs>
          <w:tab w:val="left" w:pos="6825"/>
        </w:tabs>
      </w:pPr>
    </w:p>
    <w:p w14:paraId="5A4D38AF" w14:textId="71E4F98E" w:rsidR="00945E9A" w:rsidRDefault="00945E9A" w:rsidP="00521965">
      <w:pPr>
        <w:tabs>
          <w:tab w:val="left" w:pos="6825"/>
        </w:tabs>
        <w:rPr>
          <w:b/>
          <w:bCs/>
        </w:rPr>
      </w:pPr>
      <w:r>
        <w:rPr>
          <w:b/>
          <w:bCs/>
        </w:rPr>
        <w:t>Conclusion:</w:t>
      </w:r>
    </w:p>
    <w:p w14:paraId="6ED66FDE" w14:textId="77777777" w:rsidR="00945E9A" w:rsidRDefault="00945E9A" w:rsidP="00945E9A">
      <w:pPr>
        <w:rPr>
          <w:rFonts w:ascii="Tahoma" w:hAnsi="Tahoma" w:cs="Tahoma"/>
        </w:rPr>
      </w:pPr>
      <w:r w:rsidRPr="00945E9A">
        <w:rPr>
          <w:rFonts w:ascii="Tahoma" w:hAnsi="Tahoma" w:cs="Tahoma"/>
        </w:rPr>
        <w:t>Multinational companies play a vital role in the global economy, contributing to economic growth, job creation, and technology transfer across borders. Their ability to operate in multiple countries provides diversification benefits and access to varied markets. However, challenges such as cultural differences, regulatory complexities, and geopolitical risks can impact their operations.</w:t>
      </w:r>
    </w:p>
    <w:p w14:paraId="0152438C" w14:textId="6821AC28" w:rsidR="00521965" w:rsidRDefault="00945E9A" w:rsidP="00945E9A">
      <w:pPr>
        <w:rPr>
          <w:rFonts w:ascii="Tahoma" w:hAnsi="Tahoma" w:cs="Tahoma"/>
        </w:rPr>
      </w:pPr>
      <w:r w:rsidRPr="00945E9A">
        <w:rPr>
          <w:rFonts w:ascii="Tahoma" w:hAnsi="Tahoma" w:cs="Tahoma"/>
        </w:rPr>
        <w:t>In conclusion, the evaluation of multinational companies should consider both their positive economic impact and the challenges they face. Striking a balance between global expansion and effective local adaptation is crucial for sustained success in today's interconnected business environment.</w:t>
      </w:r>
    </w:p>
    <w:p w14:paraId="7D39BC69" w14:textId="77777777" w:rsidR="00945E9A" w:rsidRDefault="00945E9A" w:rsidP="00945E9A">
      <w:pPr>
        <w:rPr>
          <w:rFonts w:ascii="Tahoma" w:hAnsi="Tahoma" w:cs="Tahoma"/>
        </w:rPr>
      </w:pPr>
    </w:p>
    <w:p w14:paraId="6B7C9391" w14:textId="77777777" w:rsidR="00945E9A" w:rsidRDefault="00945E9A" w:rsidP="00945E9A">
      <w:pPr>
        <w:rPr>
          <w:rFonts w:ascii="Tahoma" w:hAnsi="Tahoma" w:cs="Tahoma"/>
        </w:rPr>
      </w:pPr>
    </w:p>
    <w:p w14:paraId="2609C5BB" w14:textId="77777777" w:rsidR="00945E9A" w:rsidRDefault="00945E9A" w:rsidP="00945E9A">
      <w:pPr>
        <w:rPr>
          <w:rFonts w:ascii="Tahoma" w:hAnsi="Tahoma" w:cs="Tahoma"/>
        </w:rPr>
      </w:pPr>
    </w:p>
    <w:p w14:paraId="14DBFFEA" w14:textId="77777777" w:rsidR="00945E9A" w:rsidRDefault="00945E9A" w:rsidP="00945E9A">
      <w:pPr>
        <w:rPr>
          <w:rFonts w:ascii="Tahoma" w:hAnsi="Tahoma" w:cs="Tahoma"/>
        </w:rPr>
      </w:pPr>
    </w:p>
    <w:p w14:paraId="1E454098" w14:textId="77777777" w:rsidR="00945E9A" w:rsidRDefault="00945E9A" w:rsidP="00945E9A">
      <w:pPr>
        <w:rPr>
          <w:rFonts w:ascii="Tahoma" w:hAnsi="Tahoma" w:cs="Tahoma"/>
        </w:rPr>
      </w:pPr>
    </w:p>
    <w:p w14:paraId="61BD19B4" w14:textId="77777777" w:rsidR="00945E9A" w:rsidRDefault="00945E9A" w:rsidP="00945E9A">
      <w:pPr>
        <w:rPr>
          <w:rFonts w:ascii="Tahoma" w:hAnsi="Tahoma" w:cs="Tahoma"/>
        </w:rPr>
      </w:pPr>
    </w:p>
    <w:p w14:paraId="62E3C48F" w14:textId="77777777" w:rsidR="00945E9A" w:rsidRDefault="00945E9A" w:rsidP="00945E9A">
      <w:pPr>
        <w:rPr>
          <w:rFonts w:ascii="Tahoma" w:hAnsi="Tahoma" w:cs="Tahoma"/>
        </w:rPr>
      </w:pPr>
    </w:p>
    <w:p w14:paraId="18F6406C" w14:textId="77777777" w:rsidR="00945E9A" w:rsidRDefault="00945E9A" w:rsidP="00945E9A">
      <w:pPr>
        <w:rPr>
          <w:rFonts w:ascii="Tahoma" w:hAnsi="Tahoma" w:cs="Tahoma"/>
        </w:rPr>
      </w:pPr>
    </w:p>
    <w:p w14:paraId="68FAA18C" w14:textId="77777777" w:rsidR="00945E9A" w:rsidRDefault="00945E9A" w:rsidP="00945E9A">
      <w:pPr>
        <w:rPr>
          <w:rFonts w:ascii="Tahoma" w:hAnsi="Tahoma" w:cs="Tahoma"/>
        </w:rPr>
      </w:pPr>
    </w:p>
    <w:p w14:paraId="15D8F4CA" w14:textId="77777777" w:rsidR="00945E9A" w:rsidRDefault="00945E9A" w:rsidP="00945E9A">
      <w:pPr>
        <w:rPr>
          <w:rFonts w:ascii="Tahoma" w:hAnsi="Tahoma" w:cs="Tahoma"/>
        </w:rPr>
      </w:pPr>
    </w:p>
    <w:p w14:paraId="3C5A1B78" w14:textId="77777777" w:rsidR="00945E9A" w:rsidRDefault="00945E9A" w:rsidP="00945E9A">
      <w:pPr>
        <w:rPr>
          <w:rFonts w:ascii="Tahoma" w:hAnsi="Tahoma" w:cs="Tahoma"/>
        </w:rPr>
      </w:pPr>
    </w:p>
    <w:p w14:paraId="184674DC" w14:textId="77777777" w:rsidR="00945E9A" w:rsidRDefault="00945E9A" w:rsidP="00945E9A">
      <w:pPr>
        <w:rPr>
          <w:rFonts w:ascii="Tahoma" w:hAnsi="Tahoma" w:cs="Tahoma"/>
        </w:rPr>
      </w:pPr>
    </w:p>
    <w:p w14:paraId="618E87C7" w14:textId="77777777" w:rsidR="00945E9A" w:rsidRDefault="00945E9A" w:rsidP="00945E9A">
      <w:pPr>
        <w:rPr>
          <w:rFonts w:ascii="Tahoma" w:hAnsi="Tahoma" w:cs="Tahoma"/>
        </w:rPr>
      </w:pPr>
    </w:p>
    <w:p w14:paraId="5AF261EB" w14:textId="77777777" w:rsidR="00945E9A" w:rsidRDefault="00945E9A" w:rsidP="00945E9A">
      <w:pPr>
        <w:rPr>
          <w:rFonts w:ascii="Tahoma" w:hAnsi="Tahoma" w:cs="Tahoma"/>
        </w:rPr>
      </w:pPr>
    </w:p>
    <w:p w14:paraId="3C93BD3C" w14:textId="07230DD0" w:rsidR="00945E9A" w:rsidRDefault="00945E9A" w:rsidP="00945E9A">
      <w:pPr>
        <w:rPr>
          <w:rFonts w:ascii="Tahoma" w:hAnsi="Tahoma" w:cs="Tahoma"/>
          <w:b/>
          <w:bCs/>
        </w:rPr>
      </w:pPr>
      <w:r>
        <w:rPr>
          <w:rFonts w:ascii="Tahoma" w:hAnsi="Tahoma" w:cs="Tahoma"/>
          <w:b/>
          <w:bCs/>
        </w:rPr>
        <w:lastRenderedPageBreak/>
        <w:t>References:</w:t>
      </w:r>
    </w:p>
    <w:p w14:paraId="2CF6F522" w14:textId="77777777" w:rsidR="00945E9A" w:rsidRDefault="00945E9A" w:rsidP="00945E9A">
      <w:pPr>
        <w:rPr>
          <w:rFonts w:ascii="Tahoma" w:hAnsi="Tahoma" w:cs="Tahoma"/>
          <w:b/>
          <w:bCs/>
        </w:rPr>
      </w:pPr>
    </w:p>
    <w:p w14:paraId="0BF1FE88" w14:textId="2C2CF906" w:rsidR="00945E9A" w:rsidRDefault="00945E9A" w:rsidP="00814193">
      <w:pPr>
        <w:pStyle w:val="NormalWeb"/>
        <w:numPr>
          <w:ilvl w:val="0"/>
          <w:numId w:val="1"/>
        </w:numPr>
        <w:spacing w:before="0" w:beforeAutospacing="0" w:after="0" w:afterAutospacing="0" w:line="480" w:lineRule="auto"/>
      </w:pPr>
      <w:r>
        <w:t xml:space="preserve">Kogut, B. and Zander, U. (1993) 'Knowledge of the firm and the evolutionary theory of the multinational corporation,' </w:t>
      </w:r>
      <w:r>
        <w:rPr>
          <w:i/>
          <w:iCs/>
        </w:rPr>
        <w:t>Journal of International Business Studies</w:t>
      </w:r>
      <w:r>
        <w:t xml:space="preserve">, </w:t>
      </w:r>
    </w:p>
    <w:p w14:paraId="1F894257" w14:textId="77777777" w:rsidR="00945E9A" w:rsidRDefault="00945E9A" w:rsidP="00945E9A">
      <w:pPr>
        <w:pStyle w:val="NormalWeb"/>
        <w:spacing w:before="0" w:beforeAutospacing="0" w:after="0" w:afterAutospacing="0" w:line="480" w:lineRule="auto"/>
        <w:ind w:left="720" w:hanging="720"/>
      </w:pPr>
    </w:p>
    <w:p w14:paraId="66CA284A" w14:textId="2EE3CCEA" w:rsidR="00945E9A" w:rsidRDefault="00945E9A" w:rsidP="00814193">
      <w:pPr>
        <w:pStyle w:val="NormalWeb"/>
        <w:numPr>
          <w:ilvl w:val="0"/>
          <w:numId w:val="1"/>
        </w:numPr>
        <w:spacing w:before="0" w:beforeAutospacing="0" w:after="0" w:afterAutospacing="0" w:line="480" w:lineRule="auto"/>
      </w:pPr>
      <w:r>
        <w:t xml:space="preserve">Brennan, M.J. and Xia, Y. (2006) 'International capital markets and foreign exchange risk,' </w:t>
      </w:r>
      <w:r>
        <w:rPr>
          <w:i/>
          <w:iCs/>
        </w:rPr>
        <w:t>The Review of Financial Studies</w:t>
      </w:r>
      <w:r>
        <w:t xml:space="preserve">, </w:t>
      </w:r>
    </w:p>
    <w:p w14:paraId="465ED754" w14:textId="77777777" w:rsidR="00945E9A" w:rsidRPr="002A5232" w:rsidRDefault="00945E9A" w:rsidP="00945E9A">
      <w:pPr>
        <w:pStyle w:val="NormalWeb"/>
        <w:spacing w:before="0" w:beforeAutospacing="0" w:after="0" w:afterAutospacing="0" w:line="480" w:lineRule="auto"/>
        <w:ind w:left="720" w:hanging="720"/>
      </w:pPr>
    </w:p>
    <w:p w14:paraId="09129305" w14:textId="77777777" w:rsidR="002A5232" w:rsidRPr="00814193" w:rsidRDefault="002A5232" w:rsidP="00814193">
      <w:pPr>
        <w:pStyle w:val="ListParagraph"/>
        <w:numPr>
          <w:ilvl w:val="0"/>
          <w:numId w:val="1"/>
        </w:numPr>
        <w:rPr>
          <w:rFonts w:ascii="Times New Roman" w:hAnsi="Times New Roman" w:cs="Times New Roman"/>
          <w:sz w:val="24"/>
          <w:szCs w:val="24"/>
        </w:rPr>
      </w:pPr>
      <w:r w:rsidRPr="00814193">
        <w:rPr>
          <w:rFonts w:ascii="Times New Roman" w:hAnsi="Times New Roman" w:cs="Times New Roman"/>
          <w:sz w:val="24"/>
          <w:szCs w:val="24"/>
        </w:rPr>
        <w:t xml:space="preserve">Bodnar, G.M., </w:t>
      </w:r>
      <w:proofErr w:type="spellStart"/>
      <w:r w:rsidRPr="00814193">
        <w:rPr>
          <w:rFonts w:ascii="Times New Roman" w:hAnsi="Times New Roman" w:cs="Times New Roman"/>
          <w:sz w:val="24"/>
          <w:szCs w:val="24"/>
        </w:rPr>
        <w:t>Hayt</w:t>
      </w:r>
      <w:proofErr w:type="spellEnd"/>
      <w:r w:rsidRPr="00814193">
        <w:rPr>
          <w:rFonts w:ascii="Times New Roman" w:hAnsi="Times New Roman" w:cs="Times New Roman"/>
          <w:sz w:val="24"/>
          <w:szCs w:val="24"/>
        </w:rPr>
        <w:t>, G.S. and Marston, R.C., 2022. Wharton on Managing Foreign Exchange Risk. John Wiley &amp; Sons.</w:t>
      </w:r>
    </w:p>
    <w:p w14:paraId="202F41AD" w14:textId="77777777" w:rsidR="00945E9A" w:rsidRDefault="00945E9A" w:rsidP="00945E9A">
      <w:pPr>
        <w:pStyle w:val="NormalWeb"/>
        <w:spacing w:before="0" w:beforeAutospacing="0" w:after="0" w:afterAutospacing="0" w:line="480" w:lineRule="auto"/>
        <w:ind w:left="720" w:hanging="720"/>
      </w:pPr>
    </w:p>
    <w:p w14:paraId="1CA2C952" w14:textId="287168FE" w:rsidR="00814193" w:rsidRDefault="00814193" w:rsidP="00814193">
      <w:pPr>
        <w:pStyle w:val="NormalWeb"/>
        <w:numPr>
          <w:ilvl w:val="0"/>
          <w:numId w:val="1"/>
        </w:numPr>
        <w:spacing w:before="0" w:beforeAutospacing="0" w:after="0" w:afterAutospacing="0" w:line="480" w:lineRule="auto"/>
      </w:pPr>
      <w:r>
        <w:t xml:space="preserve">Lum, Y.C. and Islam, S.M.N. (2020) </w:t>
      </w:r>
      <w:r>
        <w:rPr>
          <w:i/>
          <w:iCs/>
        </w:rPr>
        <w:t>Management of foreign exchange risk: Evidence from Developing Economies</w:t>
      </w:r>
      <w:r>
        <w:t>. Routledge.</w:t>
      </w:r>
    </w:p>
    <w:p w14:paraId="6CCD5E53" w14:textId="77777777" w:rsidR="00814193" w:rsidRDefault="00814193" w:rsidP="00814193">
      <w:pPr>
        <w:pStyle w:val="ListParagraph"/>
      </w:pPr>
    </w:p>
    <w:p w14:paraId="486E8FE7" w14:textId="77777777" w:rsidR="00814193" w:rsidRDefault="00814193" w:rsidP="00814193">
      <w:pPr>
        <w:pStyle w:val="NormalWeb"/>
        <w:numPr>
          <w:ilvl w:val="0"/>
          <w:numId w:val="1"/>
        </w:numPr>
        <w:spacing w:before="0" w:beforeAutospacing="0" w:after="0" w:afterAutospacing="0" w:line="480" w:lineRule="auto"/>
      </w:pPr>
      <w:proofErr w:type="spellStart"/>
      <w:r>
        <w:t>Negandhi</w:t>
      </w:r>
      <w:proofErr w:type="spellEnd"/>
      <w:r>
        <w:t xml:space="preserve">, A.R. (2013) </w:t>
      </w:r>
      <w:r>
        <w:rPr>
          <w:i/>
          <w:iCs/>
        </w:rPr>
        <w:t>Functioning of the multinational corporation: A Global Comparative Study</w:t>
      </w:r>
      <w:r>
        <w:t>. Elsevier.</w:t>
      </w:r>
    </w:p>
    <w:p w14:paraId="5EE75C50" w14:textId="1AC8B911" w:rsidR="00814193" w:rsidRPr="00814193" w:rsidRDefault="00814193" w:rsidP="00814193">
      <w:pPr>
        <w:pStyle w:val="NormalWeb"/>
        <w:numPr>
          <w:ilvl w:val="0"/>
          <w:numId w:val="1"/>
        </w:numPr>
        <w:spacing w:before="0" w:beforeAutospacing="0" w:after="0" w:afterAutospacing="0" w:line="480" w:lineRule="auto"/>
      </w:pPr>
      <w:r w:rsidRPr="00814193">
        <w:rPr>
          <w:color w:val="05103E"/>
        </w:rPr>
        <w:t>Lall, S. (1983) </w:t>
      </w:r>
      <w:r w:rsidRPr="00814193">
        <w:rPr>
          <w:i/>
          <w:iCs/>
          <w:color w:val="05103E"/>
          <w:bdr w:val="single" w:sz="2" w:space="0" w:color="ECEDEE" w:frame="1"/>
        </w:rPr>
        <w:t>The multinational corporation: Nine Essays</w:t>
      </w:r>
      <w:r w:rsidRPr="00814193">
        <w:rPr>
          <w:color w:val="05103E"/>
        </w:rPr>
        <w:t>. Springer.</w:t>
      </w:r>
    </w:p>
    <w:p w14:paraId="29B9E52B" w14:textId="77777777" w:rsidR="00521965" w:rsidRDefault="00521965"/>
    <w:sectPr w:rsidR="005219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6904F0"/>
    <w:multiLevelType w:val="hybridMultilevel"/>
    <w:tmpl w:val="BAD86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0622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965"/>
    <w:rsid w:val="00030A64"/>
    <w:rsid w:val="000A165C"/>
    <w:rsid w:val="00182358"/>
    <w:rsid w:val="00247572"/>
    <w:rsid w:val="002A5232"/>
    <w:rsid w:val="003702A4"/>
    <w:rsid w:val="0043742F"/>
    <w:rsid w:val="004C33E5"/>
    <w:rsid w:val="00521965"/>
    <w:rsid w:val="00590556"/>
    <w:rsid w:val="006020B1"/>
    <w:rsid w:val="00814193"/>
    <w:rsid w:val="0086365B"/>
    <w:rsid w:val="008B6CAE"/>
    <w:rsid w:val="0090609A"/>
    <w:rsid w:val="00945E9A"/>
    <w:rsid w:val="00A3287C"/>
    <w:rsid w:val="00AA24FA"/>
    <w:rsid w:val="00AD1B9C"/>
    <w:rsid w:val="00EF0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BEC4C"/>
  <w15:chartTrackingRefBased/>
  <w15:docId w15:val="{5D6CA687-8454-4005-A0F8-1472093DB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20B1"/>
    <w:pPr>
      <w:ind w:left="720"/>
      <w:contextualSpacing/>
    </w:pPr>
  </w:style>
  <w:style w:type="paragraph" w:styleId="NormalWeb">
    <w:name w:val="Normal (Web)"/>
    <w:basedOn w:val="Normal"/>
    <w:uiPriority w:val="99"/>
    <w:semiHidden/>
    <w:unhideWhenUsed/>
    <w:rsid w:val="00945E9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151145">
      <w:bodyDiv w:val="1"/>
      <w:marLeft w:val="0"/>
      <w:marRight w:val="0"/>
      <w:marTop w:val="0"/>
      <w:marBottom w:val="0"/>
      <w:divBdr>
        <w:top w:val="none" w:sz="0" w:space="0" w:color="auto"/>
        <w:left w:val="none" w:sz="0" w:space="0" w:color="auto"/>
        <w:bottom w:val="none" w:sz="0" w:space="0" w:color="auto"/>
        <w:right w:val="none" w:sz="0" w:space="0" w:color="auto"/>
      </w:divBdr>
      <w:divsChild>
        <w:div w:id="395671284">
          <w:marLeft w:val="-720"/>
          <w:marRight w:val="0"/>
          <w:marTop w:val="0"/>
          <w:marBottom w:val="0"/>
          <w:divBdr>
            <w:top w:val="none" w:sz="0" w:space="0" w:color="auto"/>
            <w:left w:val="none" w:sz="0" w:space="0" w:color="auto"/>
            <w:bottom w:val="none" w:sz="0" w:space="0" w:color="auto"/>
            <w:right w:val="none" w:sz="0" w:space="0" w:color="auto"/>
          </w:divBdr>
        </w:div>
      </w:divsChild>
    </w:div>
    <w:div w:id="1141311105">
      <w:bodyDiv w:val="1"/>
      <w:marLeft w:val="0"/>
      <w:marRight w:val="0"/>
      <w:marTop w:val="0"/>
      <w:marBottom w:val="0"/>
      <w:divBdr>
        <w:top w:val="none" w:sz="0" w:space="0" w:color="auto"/>
        <w:left w:val="none" w:sz="0" w:space="0" w:color="auto"/>
        <w:bottom w:val="none" w:sz="0" w:space="0" w:color="auto"/>
        <w:right w:val="none" w:sz="0" w:space="0" w:color="auto"/>
      </w:divBdr>
      <w:divsChild>
        <w:div w:id="164327294">
          <w:marLeft w:val="0"/>
          <w:marRight w:val="0"/>
          <w:marTop w:val="0"/>
          <w:marBottom w:val="0"/>
          <w:divBdr>
            <w:top w:val="none" w:sz="0" w:space="0" w:color="auto"/>
            <w:left w:val="none" w:sz="0" w:space="0" w:color="auto"/>
            <w:bottom w:val="none" w:sz="0" w:space="0" w:color="auto"/>
            <w:right w:val="none" w:sz="0" w:space="0" w:color="auto"/>
          </w:divBdr>
        </w:div>
        <w:div w:id="1279409334">
          <w:marLeft w:val="0"/>
          <w:marRight w:val="0"/>
          <w:marTop w:val="0"/>
          <w:marBottom w:val="0"/>
          <w:divBdr>
            <w:top w:val="none" w:sz="0" w:space="0" w:color="auto"/>
            <w:left w:val="none" w:sz="0" w:space="0" w:color="auto"/>
            <w:bottom w:val="none" w:sz="0" w:space="0" w:color="auto"/>
            <w:right w:val="none" w:sz="0" w:space="0" w:color="auto"/>
          </w:divBdr>
        </w:div>
        <w:div w:id="633023602">
          <w:marLeft w:val="0"/>
          <w:marRight w:val="0"/>
          <w:marTop w:val="0"/>
          <w:marBottom w:val="0"/>
          <w:divBdr>
            <w:top w:val="none" w:sz="0" w:space="0" w:color="auto"/>
            <w:left w:val="none" w:sz="0" w:space="0" w:color="auto"/>
            <w:bottom w:val="none" w:sz="0" w:space="0" w:color="auto"/>
            <w:right w:val="none" w:sz="0" w:space="0" w:color="auto"/>
          </w:divBdr>
        </w:div>
        <w:div w:id="966352736">
          <w:marLeft w:val="0"/>
          <w:marRight w:val="0"/>
          <w:marTop w:val="0"/>
          <w:marBottom w:val="0"/>
          <w:divBdr>
            <w:top w:val="none" w:sz="0" w:space="0" w:color="auto"/>
            <w:left w:val="none" w:sz="0" w:space="0" w:color="auto"/>
            <w:bottom w:val="none" w:sz="0" w:space="0" w:color="auto"/>
            <w:right w:val="none" w:sz="0" w:space="0" w:color="auto"/>
          </w:divBdr>
        </w:div>
        <w:div w:id="448937557">
          <w:marLeft w:val="0"/>
          <w:marRight w:val="0"/>
          <w:marTop w:val="0"/>
          <w:marBottom w:val="0"/>
          <w:divBdr>
            <w:top w:val="none" w:sz="0" w:space="0" w:color="auto"/>
            <w:left w:val="none" w:sz="0" w:space="0" w:color="auto"/>
            <w:bottom w:val="none" w:sz="0" w:space="0" w:color="auto"/>
            <w:right w:val="none" w:sz="0" w:space="0" w:color="auto"/>
          </w:divBdr>
        </w:div>
        <w:div w:id="1797792148">
          <w:marLeft w:val="0"/>
          <w:marRight w:val="0"/>
          <w:marTop w:val="0"/>
          <w:marBottom w:val="0"/>
          <w:divBdr>
            <w:top w:val="none" w:sz="0" w:space="0" w:color="auto"/>
            <w:left w:val="none" w:sz="0" w:space="0" w:color="auto"/>
            <w:bottom w:val="none" w:sz="0" w:space="0" w:color="auto"/>
            <w:right w:val="none" w:sz="0" w:space="0" w:color="auto"/>
          </w:divBdr>
        </w:div>
        <w:div w:id="800155071">
          <w:marLeft w:val="0"/>
          <w:marRight w:val="0"/>
          <w:marTop w:val="0"/>
          <w:marBottom w:val="0"/>
          <w:divBdr>
            <w:top w:val="none" w:sz="0" w:space="0" w:color="auto"/>
            <w:left w:val="none" w:sz="0" w:space="0" w:color="auto"/>
            <w:bottom w:val="none" w:sz="0" w:space="0" w:color="auto"/>
            <w:right w:val="none" w:sz="0" w:space="0" w:color="auto"/>
          </w:divBdr>
        </w:div>
        <w:div w:id="1756129506">
          <w:marLeft w:val="0"/>
          <w:marRight w:val="0"/>
          <w:marTop w:val="0"/>
          <w:marBottom w:val="0"/>
          <w:divBdr>
            <w:top w:val="none" w:sz="0" w:space="0" w:color="auto"/>
            <w:left w:val="none" w:sz="0" w:space="0" w:color="auto"/>
            <w:bottom w:val="none" w:sz="0" w:space="0" w:color="auto"/>
            <w:right w:val="none" w:sz="0" w:space="0" w:color="auto"/>
          </w:divBdr>
        </w:div>
        <w:div w:id="1104303714">
          <w:marLeft w:val="0"/>
          <w:marRight w:val="0"/>
          <w:marTop w:val="0"/>
          <w:marBottom w:val="0"/>
          <w:divBdr>
            <w:top w:val="none" w:sz="0" w:space="0" w:color="auto"/>
            <w:left w:val="none" w:sz="0" w:space="0" w:color="auto"/>
            <w:bottom w:val="none" w:sz="0" w:space="0" w:color="auto"/>
            <w:right w:val="none" w:sz="0" w:space="0" w:color="auto"/>
          </w:divBdr>
        </w:div>
        <w:div w:id="2135632119">
          <w:marLeft w:val="0"/>
          <w:marRight w:val="0"/>
          <w:marTop w:val="0"/>
          <w:marBottom w:val="0"/>
          <w:divBdr>
            <w:top w:val="none" w:sz="0" w:space="0" w:color="auto"/>
            <w:left w:val="none" w:sz="0" w:space="0" w:color="auto"/>
            <w:bottom w:val="none" w:sz="0" w:space="0" w:color="auto"/>
            <w:right w:val="none" w:sz="0" w:space="0" w:color="auto"/>
          </w:divBdr>
        </w:div>
        <w:div w:id="517428559">
          <w:marLeft w:val="0"/>
          <w:marRight w:val="0"/>
          <w:marTop w:val="0"/>
          <w:marBottom w:val="0"/>
          <w:divBdr>
            <w:top w:val="none" w:sz="0" w:space="0" w:color="auto"/>
            <w:left w:val="none" w:sz="0" w:space="0" w:color="auto"/>
            <w:bottom w:val="none" w:sz="0" w:space="0" w:color="auto"/>
            <w:right w:val="none" w:sz="0" w:space="0" w:color="auto"/>
          </w:divBdr>
        </w:div>
        <w:div w:id="1256206028">
          <w:marLeft w:val="0"/>
          <w:marRight w:val="0"/>
          <w:marTop w:val="0"/>
          <w:marBottom w:val="0"/>
          <w:divBdr>
            <w:top w:val="none" w:sz="0" w:space="0" w:color="auto"/>
            <w:left w:val="none" w:sz="0" w:space="0" w:color="auto"/>
            <w:bottom w:val="none" w:sz="0" w:space="0" w:color="auto"/>
            <w:right w:val="none" w:sz="0" w:space="0" w:color="auto"/>
          </w:divBdr>
        </w:div>
        <w:div w:id="1671981798">
          <w:marLeft w:val="0"/>
          <w:marRight w:val="0"/>
          <w:marTop w:val="0"/>
          <w:marBottom w:val="0"/>
          <w:divBdr>
            <w:top w:val="none" w:sz="0" w:space="0" w:color="auto"/>
            <w:left w:val="none" w:sz="0" w:space="0" w:color="auto"/>
            <w:bottom w:val="none" w:sz="0" w:space="0" w:color="auto"/>
            <w:right w:val="none" w:sz="0" w:space="0" w:color="auto"/>
          </w:divBdr>
        </w:div>
        <w:div w:id="628901641">
          <w:marLeft w:val="0"/>
          <w:marRight w:val="0"/>
          <w:marTop w:val="0"/>
          <w:marBottom w:val="0"/>
          <w:divBdr>
            <w:top w:val="none" w:sz="0" w:space="0" w:color="auto"/>
            <w:left w:val="none" w:sz="0" w:space="0" w:color="auto"/>
            <w:bottom w:val="none" w:sz="0" w:space="0" w:color="auto"/>
            <w:right w:val="none" w:sz="0" w:space="0" w:color="auto"/>
          </w:divBdr>
        </w:div>
        <w:div w:id="824586796">
          <w:marLeft w:val="0"/>
          <w:marRight w:val="0"/>
          <w:marTop w:val="0"/>
          <w:marBottom w:val="0"/>
          <w:divBdr>
            <w:top w:val="none" w:sz="0" w:space="0" w:color="auto"/>
            <w:left w:val="none" w:sz="0" w:space="0" w:color="auto"/>
            <w:bottom w:val="none" w:sz="0" w:space="0" w:color="auto"/>
            <w:right w:val="none" w:sz="0" w:space="0" w:color="auto"/>
          </w:divBdr>
        </w:div>
        <w:div w:id="1756979201">
          <w:marLeft w:val="0"/>
          <w:marRight w:val="0"/>
          <w:marTop w:val="0"/>
          <w:marBottom w:val="0"/>
          <w:divBdr>
            <w:top w:val="none" w:sz="0" w:space="0" w:color="auto"/>
            <w:left w:val="none" w:sz="0" w:space="0" w:color="auto"/>
            <w:bottom w:val="none" w:sz="0" w:space="0" w:color="auto"/>
            <w:right w:val="none" w:sz="0" w:space="0" w:color="auto"/>
          </w:divBdr>
        </w:div>
        <w:div w:id="568267423">
          <w:marLeft w:val="0"/>
          <w:marRight w:val="0"/>
          <w:marTop w:val="0"/>
          <w:marBottom w:val="0"/>
          <w:divBdr>
            <w:top w:val="none" w:sz="0" w:space="0" w:color="auto"/>
            <w:left w:val="none" w:sz="0" w:space="0" w:color="auto"/>
            <w:bottom w:val="none" w:sz="0" w:space="0" w:color="auto"/>
            <w:right w:val="none" w:sz="0" w:space="0" w:color="auto"/>
          </w:divBdr>
        </w:div>
        <w:div w:id="1606233637">
          <w:marLeft w:val="0"/>
          <w:marRight w:val="0"/>
          <w:marTop w:val="0"/>
          <w:marBottom w:val="0"/>
          <w:divBdr>
            <w:top w:val="none" w:sz="0" w:space="0" w:color="auto"/>
            <w:left w:val="none" w:sz="0" w:space="0" w:color="auto"/>
            <w:bottom w:val="none" w:sz="0" w:space="0" w:color="auto"/>
            <w:right w:val="none" w:sz="0" w:space="0" w:color="auto"/>
          </w:divBdr>
        </w:div>
        <w:div w:id="1640451262">
          <w:marLeft w:val="0"/>
          <w:marRight w:val="0"/>
          <w:marTop w:val="0"/>
          <w:marBottom w:val="0"/>
          <w:divBdr>
            <w:top w:val="none" w:sz="0" w:space="0" w:color="auto"/>
            <w:left w:val="none" w:sz="0" w:space="0" w:color="auto"/>
            <w:bottom w:val="none" w:sz="0" w:space="0" w:color="auto"/>
            <w:right w:val="none" w:sz="0" w:space="0" w:color="auto"/>
          </w:divBdr>
        </w:div>
        <w:div w:id="593249413">
          <w:marLeft w:val="0"/>
          <w:marRight w:val="0"/>
          <w:marTop w:val="0"/>
          <w:marBottom w:val="0"/>
          <w:divBdr>
            <w:top w:val="none" w:sz="0" w:space="0" w:color="auto"/>
            <w:left w:val="none" w:sz="0" w:space="0" w:color="auto"/>
            <w:bottom w:val="none" w:sz="0" w:space="0" w:color="auto"/>
            <w:right w:val="none" w:sz="0" w:space="0" w:color="auto"/>
          </w:divBdr>
        </w:div>
        <w:div w:id="1355107498">
          <w:marLeft w:val="0"/>
          <w:marRight w:val="0"/>
          <w:marTop w:val="0"/>
          <w:marBottom w:val="0"/>
          <w:divBdr>
            <w:top w:val="none" w:sz="0" w:space="0" w:color="auto"/>
            <w:left w:val="none" w:sz="0" w:space="0" w:color="auto"/>
            <w:bottom w:val="none" w:sz="0" w:space="0" w:color="auto"/>
            <w:right w:val="none" w:sz="0" w:space="0" w:color="auto"/>
          </w:divBdr>
        </w:div>
        <w:div w:id="630480663">
          <w:marLeft w:val="0"/>
          <w:marRight w:val="0"/>
          <w:marTop w:val="0"/>
          <w:marBottom w:val="0"/>
          <w:divBdr>
            <w:top w:val="none" w:sz="0" w:space="0" w:color="auto"/>
            <w:left w:val="none" w:sz="0" w:space="0" w:color="auto"/>
            <w:bottom w:val="none" w:sz="0" w:space="0" w:color="auto"/>
            <w:right w:val="none" w:sz="0" w:space="0" w:color="auto"/>
          </w:divBdr>
        </w:div>
        <w:div w:id="466630714">
          <w:marLeft w:val="0"/>
          <w:marRight w:val="0"/>
          <w:marTop w:val="0"/>
          <w:marBottom w:val="0"/>
          <w:divBdr>
            <w:top w:val="none" w:sz="0" w:space="0" w:color="auto"/>
            <w:left w:val="none" w:sz="0" w:space="0" w:color="auto"/>
            <w:bottom w:val="none" w:sz="0" w:space="0" w:color="auto"/>
            <w:right w:val="none" w:sz="0" w:space="0" w:color="auto"/>
          </w:divBdr>
        </w:div>
        <w:div w:id="621613817">
          <w:marLeft w:val="0"/>
          <w:marRight w:val="0"/>
          <w:marTop w:val="0"/>
          <w:marBottom w:val="0"/>
          <w:divBdr>
            <w:top w:val="none" w:sz="0" w:space="0" w:color="auto"/>
            <w:left w:val="none" w:sz="0" w:space="0" w:color="auto"/>
            <w:bottom w:val="none" w:sz="0" w:space="0" w:color="auto"/>
            <w:right w:val="none" w:sz="0" w:space="0" w:color="auto"/>
          </w:divBdr>
        </w:div>
        <w:div w:id="1676836229">
          <w:marLeft w:val="0"/>
          <w:marRight w:val="0"/>
          <w:marTop w:val="0"/>
          <w:marBottom w:val="0"/>
          <w:divBdr>
            <w:top w:val="none" w:sz="0" w:space="0" w:color="auto"/>
            <w:left w:val="none" w:sz="0" w:space="0" w:color="auto"/>
            <w:bottom w:val="none" w:sz="0" w:space="0" w:color="auto"/>
            <w:right w:val="none" w:sz="0" w:space="0" w:color="auto"/>
          </w:divBdr>
        </w:div>
        <w:div w:id="2100978428">
          <w:marLeft w:val="0"/>
          <w:marRight w:val="0"/>
          <w:marTop w:val="0"/>
          <w:marBottom w:val="0"/>
          <w:divBdr>
            <w:top w:val="none" w:sz="0" w:space="0" w:color="auto"/>
            <w:left w:val="none" w:sz="0" w:space="0" w:color="auto"/>
            <w:bottom w:val="none" w:sz="0" w:space="0" w:color="auto"/>
            <w:right w:val="none" w:sz="0" w:space="0" w:color="auto"/>
          </w:divBdr>
        </w:div>
        <w:div w:id="138353209">
          <w:marLeft w:val="0"/>
          <w:marRight w:val="0"/>
          <w:marTop w:val="0"/>
          <w:marBottom w:val="0"/>
          <w:divBdr>
            <w:top w:val="none" w:sz="0" w:space="0" w:color="auto"/>
            <w:left w:val="none" w:sz="0" w:space="0" w:color="auto"/>
            <w:bottom w:val="none" w:sz="0" w:space="0" w:color="auto"/>
            <w:right w:val="none" w:sz="0" w:space="0" w:color="auto"/>
          </w:divBdr>
        </w:div>
        <w:div w:id="432752776">
          <w:marLeft w:val="0"/>
          <w:marRight w:val="0"/>
          <w:marTop w:val="0"/>
          <w:marBottom w:val="0"/>
          <w:divBdr>
            <w:top w:val="none" w:sz="0" w:space="0" w:color="auto"/>
            <w:left w:val="none" w:sz="0" w:space="0" w:color="auto"/>
            <w:bottom w:val="none" w:sz="0" w:space="0" w:color="auto"/>
            <w:right w:val="none" w:sz="0" w:space="0" w:color="auto"/>
          </w:divBdr>
        </w:div>
        <w:div w:id="358513454">
          <w:marLeft w:val="0"/>
          <w:marRight w:val="0"/>
          <w:marTop w:val="0"/>
          <w:marBottom w:val="0"/>
          <w:divBdr>
            <w:top w:val="none" w:sz="0" w:space="0" w:color="auto"/>
            <w:left w:val="none" w:sz="0" w:space="0" w:color="auto"/>
            <w:bottom w:val="none" w:sz="0" w:space="0" w:color="auto"/>
            <w:right w:val="none" w:sz="0" w:space="0" w:color="auto"/>
          </w:divBdr>
        </w:div>
        <w:div w:id="970481982">
          <w:marLeft w:val="0"/>
          <w:marRight w:val="0"/>
          <w:marTop w:val="0"/>
          <w:marBottom w:val="0"/>
          <w:divBdr>
            <w:top w:val="none" w:sz="0" w:space="0" w:color="auto"/>
            <w:left w:val="none" w:sz="0" w:space="0" w:color="auto"/>
            <w:bottom w:val="none" w:sz="0" w:space="0" w:color="auto"/>
            <w:right w:val="none" w:sz="0" w:space="0" w:color="auto"/>
          </w:divBdr>
        </w:div>
        <w:div w:id="858278281">
          <w:marLeft w:val="0"/>
          <w:marRight w:val="0"/>
          <w:marTop w:val="0"/>
          <w:marBottom w:val="0"/>
          <w:divBdr>
            <w:top w:val="none" w:sz="0" w:space="0" w:color="auto"/>
            <w:left w:val="none" w:sz="0" w:space="0" w:color="auto"/>
            <w:bottom w:val="none" w:sz="0" w:space="0" w:color="auto"/>
            <w:right w:val="none" w:sz="0" w:space="0" w:color="auto"/>
          </w:divBdr>
        </w:div>
        <w:div w:id="536312320">
          <w:marLeft w:val="0"/>
          <w:marRight w:val="0"/>
          <w:marTop w:val="0"/>
          <w:marBottom w:val="0"/>
          <w:divBdr>
            <w:top w:val="none" w:sz="0" w:space="0" w:color="auto"/>
            <w:left w:val="none" w:sz="0" w:space="0" w:color="auto"/>
            <w:bottom w:val="none" w:sz="0" w:space="0" w:color="auto"/>
            <w:right w:val="none" w:sz="0" w:space="0" w:color="auto"/>
          </w:divBdr>
        </w:div>
        <w:div w:id="1909874497">
          <w:marLeft w:val="0"/>
          <w:marRight w:val="0"/>
          <w:marTop w:val="0"/>
          <w:marBottom w:val="0"/>
          <w:divBdr>
            <w:top w:val="none" w:sz="0" w:space="0" w:color="auto"/>
            <w:left w:val="none" w:sz="0" w:space="0" w:color="auto"/>
            <w:bottom w:val="none" w:sz="0" w:space="0" w:color="auto"/>
            <w:right w:val="none" w:sz="0" w:space="0" w:color="auto"/>
          </w:divBdr>
        </w:div>
        <w:div w:id="1510944423">
          <w:marLeft w:val="0"/>
          <w:marRight w:val="0"/>
          <w:marTop w:val="0"/>
          <w:marBottom w:val="0"/>
          <w:divBdr>
            <w:top w:val="none" w:sz="0" w:space="0" w:color="auto"/>
            <w:left w:val="none" w:sz="0" w:space="0" w:color="auto"/>
            <w:bottom w:val="none" w:sz="0" w:space="0" w:color="auto"/>
            <w:right w:val="none" w:sz="0" w:space="0" w:color="auto"/>
          </w:divBdr>
        </w:div>
        <w:div w:id="1124421696">
          <w:marLeft w:val="0"/>
          <w:marRight w:val="0"/>
          <w:marTop w:val="0"/>
          <w:marBottom w:val="0"/>
          <w:divBdr>
            <w:top w:val="none" w:sz="0" w:space="0" w:color="auto"/>
            <w:left w:val="none" w:sz="0" w:space="0" w:color="auto"/>
            <w:bottom w:val="none" w:sz="0" w:space="0" w:color="auto"/>
            <w:right w:val="none" w:sz="0" w:space="0" w:color="auto"/>
          </w:divBdr>
        </w:div>
      </w:divsChild>
    </w:div>
    <w:div w:id="1177690394">
      <w:bodyDiv w:val="1"/>
      <w:marLeft w:val="0"/>
      <w:marRight w:val="0"/>
      <w:marTop w:val="0"/>
      <w:marBottom w:val="0"/>
      <w:divBdr>
        <w:top w:val="none" w:sz="0" w:space="0" w:color="auto"/>
        <w:left w:val="none" w:sz="0" w:space="0" w:color="auto"/>
        <w:bottom w:val="none" w:sz="0" w:space="0" w:color="auto"/>
        <w:right w:val="none" w:sz="0" w:space="0" w:color="auto"/>
      </w:divBdr>
      <w:divsChild>
        <w:div w:id="167454148">
          <w:marLeft w:val="0"/>
          <w:marRight w:val="0"/>
          <w:marTop w:val="0"/>
          <w:marBottom w:val="0"/>
          <w:divBdr>
            <w:top w:val="none" w:sz="0" w:space="0" w:color="auto"/>
            <w:left w:val="none" w:sz="0" w:space="0" w:color="auto"/>
            <w:bottom w:val="none" w:sz="0" w:space="0" w:color="auto"/>
            <w:right w:val="none" w:sz="0" w:space="0" w:color="auto"/>
          </w:divBdr>
        </w:div>
        <w:div w:id="1479572195">
          <w:marLeft w:val="0"/>
          <w:marRight w:val="0"/>
          <w:marTop w:val="0"/>
          <w:marBottom w:val="0"/>
          <w:divBdr>
            <w:top w:val="none" w:sz="0" w:space="0" w:color="auto"/>
            <w:left w:val="none" w:sz="0" w:space="0" w:color="auto"/>
            <w:bottom w:val="none" w:sz="0" w:space="0" w:color="auto"/>
            <w:right w:val="none" w:sz="0" w:space="0" w:color="auto"/>
          </w:divBdr>
        </w:div>
        <w:div w:id="238714452">
          <w:marLeft w:val="0"/>
          <w:marRight w:val="0"/>
          <w:marTop w:val="0"/>
          <w:marBottom w:val="0"/>
          <w:divBdr>
            <w:top w:val="none" w:sz="0" w:space="0" w:color="auto"/>
            <w:left w:val="none" w:sz="0" w:space="0" w:color="auto"/>
            <w:bottom w:val="none" w:sz="0" w:space="0" w:color="auto"/>
            <w:right w:val="none" w:sz="0" w:space="0" w:color="auto"/>
          </w:divBdr>
        </w:div>
        <w:div w:id="2024281561">
          <w:marLeft w:val="0"/>
          <w:marRight w:val="0"/>
          <w:marTop w:val="0"/>
          <w:marBottom w:val="0"/>
          <w:divBdr>
            <w:top w:val="none" w:sz="0" w:space="0" w:color="auto"/>
            <w:left w:val="none" w:sz="0" w:space="0" w:color="auto"/>
            <w:bottom w:val="none" w:sz="0" w:space="0" w:color="auto"/>
            <w:right w:val="none" w:sz="0" w:space="0" w:color="auto"/>
          </w:divBdr>
        </w:div>
        <w:div w:id="777216449">
          <w:marLeft w:val="0"/>
          <w:marRight w:val="0"/>
          <w:marTop w:val="0"/>
          <w:marBottom w:val="0"/>
          <w:divBdr>
            <w:top w:val="none" w:sz="0" w:space="0" w:color="auto"/>
            <w:left w:val="none" w:sz="0" w:space="0" w:color="auto"/>
            <w:bottom w:val="none" w:sz="0" w:space="0" w:color="auto"/>
            <w:right w:val="none" w:sz="0" w:space="0" w:color="auto"/>
          </w:divBdr>
        </w:div>
        <w:div w:id="1048382807">
          <w:marLeft w:val="0"/>
          <w:marRight w:val="0"/>
          <w:marTop w:val="0"/>
          <w:marBottom w:val="0"/>
          <w:divBdr>
            <w:top w:val="none" w:sz="0" w:space="0" w:color="auto"/>
            <w:left w:val="none" w:sz="0" w:space="0" w:color="auto"/>
            <w:bottom w:val="none" w:sz="0" w:space="0" w:color="auto"/>
            <w:right w:val="none" w:sz="0" w:space="0" w:color="auto"/>
          </w:divBdr>
        </w:div>
        <w:div w:id="1272008429">
          <w:marLeft w:val="0"/>
          <w:marRight w:val="0"/>
          <w:marTop w:val="0"/>
          <w:marBottom w:val="0"/>
          <w:divBdr>
            <w:top w:val="none" w:sz="0" w:space="0" w:color="auto"/>
            <w:left w:val="none" w:sz="0" w:space="0" w:color="auto"/>
            <w:bottom w:val="none" w:sz="0" w:space="0" w:color="auto"/>
            <w:right w:val="none" w:sz="0" w:space="0" w:color="auto"/>
          </w:divBdr>
        </w:div>
        <w:div w:id="1747264000">
          <w:marLeft w:val="0"/>
          <w:marRight w:val="0"/>
          <w:marTop w:val="0"/>
          <w:marBottom w:val="0"/>
          <w:divBdr>
            <w:top w:val="none" w:sz="0" w:space="0" w:color="auto"/>
            <w:left w:val="none" w:sz="0" w:space="0" w:color="auto"/>
            <w:bottom w:val="none" w:sz="0" w:space="0" w:color="auto"/>
            <w:right w:val="none" w:sz="0" w:space="0" w:color="auto"/>
          </w:divBdr>
        </w:div>
        <w:div w:id="1889026263">
          <w:marLeft w:val="0"/>
          <w:marRight w:val="0"/>
          <w:marTop w:val="0"/>
          <w:marBottom w:val="0"/>
          <w:divBdr>
            <w:top w:val="none" w:sz="0" w:space="0" w:color="auto"/>
            <w:left w:val="none" w:sz="0" w:space="0" w:color="auto"/>
            <w:bottom w:val="none" w:sz="0" w:space="0" w:color="auto"/>
            <w:right w:val="none" w:sz="0" w:space="0" w:color="auto"/>
          </w:divBdr>
        </w:div>
        <w:div w:id="564801364">
          <w:marLeft w:val="0"/>
          <w:marRight w:val="0"/>
          <w:marTop w:val="0"/>
          <w:marBottom w:val="0"/>
          <w:divBdr>
            <w:top w:val="none" w:sz="0" w:space="0" w:color="auto"/>
            <w:left w:val="none" w:sz="0" w:space="0" w:color="auto"/>
            <w:bottom w:val="none" w:sz="0" w:space="0" w:color="auto"/>
            <w:right w:val="none" w:sz="0" w:space="0" w:color="auto"/>
          </w:divBdr>
        </w:div>
        <w:div w:id="1110512419">
          <w:marLeft w:val="0"/>
          <w:marRight w:val="0"/>
          <w:marTop w:val="0"/>
          <w:marBottom w:val="0"/>
          <w:divBdr>
            <w:top w:val="none" w:sz="0" w:space="0" w:color="auto"/>
            <w:left w:val="none" w:sz="0" w:space="0" w:color="auto"/>
            <w:bottom w:val="none" w:sz="0" w:space="0" w:color="auto"/>
            <w:right w:val="none" w:sz="0" w:space="0" w:color="auto"/>
          </w:divBdr>
        </w:div>
        <w:div w:id="1115834139">
          <w:marLeft w:val="0"/>
          <w:marRight w:val="0"/>
          <w:marTop w:val="0"/>
          <w:marBottom w:val="0"/>
          <w:divBdr>
            <w:top w:val="none" w:sz="0" w:space="0" w:color="auto"/>
            <w:left w:val="none" w:sz="0" w:space="0" w:color="auto"/>
            <w:bottom w:val="none" w:sz="0" w:space="0" w:color="auto"/>
            <w:right w:val="none" w:sz="0" w:space="0" w:color="auto"/>
          </w:divBdr>
        </w:div>
        <w:div w:id="1815096291">
          <w:marLeft w:val="0"/>
          <w:marRight w:val="0"/>
          <w:marTop w:val="0"/>
          <w:marBottom w:val="0"/>
          <w:divBdr>
            <w:top w:val="none" w:sz="0" w:space="0" w:color="auto"/>
            <w:left w:val="none" w:sz="0" w:space="0" w:color="auto"/>
            <w:bottom w:val="none" w:sz="0" w:space="0" w:color="auto"/>
            <w:right w:val="none" w:sz="0" w:space="0" w:color="auto"/>
          </w:divBdr>
        </w:div>
        <w:div w:id="672681981">
          <w:marLeft w:val="0"/>
          <w:marRight w:val="0"/>
          <w:marTop w:val="0"/>
          <w:marBottom w:val="0"/>
          <w:divBdr>
            <w:top w:val="none" w:sz="0" w:space="0" w:color="auto"/>
            <w:left w:val="none" w:sz="0" w:space="0" w:color="auto"/>
            <w:bottom w:val="none" w:sz="0" w:space="0" w:color="auto"/>
            <w:right w:val="none" w:sz="0" w:space="0" w:color="auto"/>
          </w:divBdr>
        </w:div>
        <w:div w:id="885021949">
          <w:marLeft w:val="0"/>
          <w:marRight w:val="0"/>
          <w:marTop w:val="0"/>
          <w:marBottom w:val="0"/>
          <w:divBdr>
            <w:top w:val="none" w:sz="0" w:space="0" w:color="auto"/>
            <w:left w:val="none" w:sz="0" w:space="0" w:color="auto"/>
            <w:bottom w:val="none" w:sz="0" w:space="0" w:color="auto"/>
            <w:right w:val="none" w:sz="0" w:space="0" w:color="auto"/>
          </w:divBdr>
        </w:div>
        <w:div w:id="1922641442">
          <w:marLeft w:val="0"/>
          <w:marRight w:val="0"/>
          <w:marTop w:val="0"/>
          <w:marBottom w:val="0"/>
          <w:divBdr>
            <w:top w:val="none" w:sz="0" w:space="0" w:color="auto"/>
            <w:left w:val="none" w:sz="0" w:space="0" w:color="auto"/>
            <w:bottom w:val="none" w:sz="0" w:space="0" w:color="auto"/>
            <w:right w:val="none" w:sz="0" w:space="0" w:color="auto"/>
          </w:divBdr>
        </w:div>
        <w:div w:id="1925256672">
          <w:marLeft w:val="0"/>
          <w:marRight w:val="0"/>
          <w:marTop w:val="0"/>
          <w:marBottom w:val="0"/>
          <w:divBdr>
            <w:top w:val="none" w:sz="0" w:space="0" w:color="auto"/>
            <w:left w:val="none" w:sz="0" w:space="0" w:color="auto"/>
            <w:bottom w:val="none" w:sz="0" w:space="0" w:color="auto"/>
            <w:right w:val="none" w:sz="0" w:space="0" w:color="auto"/>
          </w:divBdr>
        </w:div>
        <w:div w:id="1252860373">
          <w:marLeft w:val="0"/>
          <w:marRight w:val="0"/>
          <w:marTop w:val="0"/>
          <w:marBottom w:val="0"/>
          <w:divBdr>
            <w:top w:val="none" w:sz="0" w:space="0" w:color="auto"/>
            <w:left w:val="none" w:sz="0" w:space="0" w:color="auto"/>
            <w:bottom w:val="none" w:sz="0" w:space="0" w:color="auto"/>
            <w:right w:val="none" w:sz="0" w:space="0" w:color="auto"/>
          </w:divBdr>
        </w:div>
        <w:div w:id="2010019685">
          <w:marLeft w:val="0"/>
          <w:marRight w:val="0"/>
          <w:marTop w:val="0"/>
          <w:marBottom w:val="0"/>
          <w:divBdr>
            <w:top w:val="none" w:sz="0" w:space="0" w:color="auto"/>
            <w:left w:val="none" w:sz="0" w:space="0" w:color="auto"/>
            <w:bottom w:val="none" w:sz="0" w:space="0" w:color="auto"/>
            <w:right w:val="none" w:sz="0" w:space="0" w:color="auto"/>
          </w:divBdr>
        </w:div>
        <w:div w:id="156657547">
          <w:marLeft w:val="0"/>
          <w:marRight w:val="0"/>
          <w:marTop w:val="0"/>
          <w:marBottom w:val="0"/>
          <w:divBdr>
            <w:top w:val="none" w:sz="0" w:space="0" w:color="auto"/>
            <w:left w:val="none" w:sz="0" w:space="0" w:color="auto"/>
            <w:bottom w:val="none" w:sz="0" w:space="0" w:color="auto"/>
            <w:right w:val="none" w:sz="0" w:space="0" w:color="auto"/>
          </w:divBdr>
        </w:div>
        <w:div w:id="1489589945">
          <w:marLeft w:val="0"/>
          <w:marRight w:val="0"/>
          <w:marTop w:val="0"/>
          <w:marBottom w:val="0"/>
          <w:divBdr>
            <w:top w:val="none" w:sz="0" w:space="0" w:color="auto"/>
            <w:left w:val="none" w:sz="0" w:space="0" w:color="auto"/>
            <w:bottom w:val="none" w:sz="0" w:space="0" w:color="auto"/>
            <w:right w:val="none" w:sz="0" w:space="0" w:color="auto"/>
          </w:divBdr>
        </w:div>
        <w:div w:id="636227269">
          <w:marLeft w:val="0"/>
          <w:marRight w:val="0"/>
          <w:marTop w:val="0"/>
          <w:marBottom w:val="0"/>
          <w:divBdr>
            <w:top w:val="none" w:sz="0" w:space="0" w:color="auto"/>
            <w:left w:val="none" w:sz="0" w:space="0" w:color="auto"/>
            <w:bottom w:val="none" w:sz="0" w:space="0" w:color="auto"/>
            <w:right w:val="none" w:sz="0" w:space="0" w:color="auto"/>
          </w:divBdr>
        </w:div>
        <w:div w:id="378013497">
          <w:marLeft w:val="0"/>
          <w:marRight w:val="0"/>
          <w:marTop w:val="0"/>
          <w:marBottom w:val="0"/>
          <w:divBdr>
            <w:top w:val="none" w:sz="0" w:space="0" w:color="auto"/>
            <w:left w:val="none" w:sz="0" w:space="0" w:color="auto"/>
            <w:bottom w:val="none" w:sz="0" w:space="0" w:color="auto"/>
            <w:right w:val="none" w:sz="0" w:space="0" w:color="auto"/>
          </w:divBdr>
        </w:div>
        <w:div w:id="810946073">
          <w:marLeft w:val="0"/>
          <w:marRight w:val="0"/>
          <w:marTop w:val="0"/>
          <w:marBottom w:val="0"/>
          <w:divBdr>
            <w:top w:val="none" w:sz="0" w:space="0" w:color="auto"/>
            <w:left w:val="none" w:sz="0" w:space="0" w:color="auto"/>
            <w:bottom w:val="none" w:sz="0" w:space="0" w:color="auto"/>
            <w:right w:val="none" w:sz="0" w:space="0" w:color="auto"/>
          </w:divBdr>
        </w:div>
        <w:div w:id="1858345788">
          <w:marLeft w:val="0"/>
          <w:marRight w:val="0"/>
          <w:marTop w:val="0"/>
          <w:marBottom w:val="0"/>
          <w:divBdr>
            <w:top w:val="none" w:sz="0" w:space="0" w:color="auto"/>
            <w:left w:val="none" w:sz="0" w:space="0" w:color="auto"/>
            <w:bottom w:val="none" w:sz="0" w:space="0" w:color="auto"/>
            <w:right w:val="none" w:sz="0" w:space="0" w:color="auto"/>
          </w:divBdr>
        </w:div>
        <w:div w:id="1679498644">
          <w:marLeft w:val="0"/>
          <w:marRight w:val="0"/>
          <w:marTop w:val="0"/>
          <w:marBottom w:val="0"/>
          <w:divBdr>
            <w:top w:val="none" w:sz="0" w:space="0" w:color="auto"/>
            <w:left w:val="none" w:sz="0" w:space="0" w:color="auto"/>
            <w:bottom w:val="none" w:sz="0" w:space="0" w:color="auto"/>
            <w:right w:val="none" w:sz="0" w:space="0" w:color="auto"/>
          </w:divBdr>
        </w:div>
        <w:div w:id="924992305">
          <w:marLeft w:val="0"/>
          <w:marRight w:val="0"/>
          <w:marTop w:val="0"/>
          <w:marBottom w:val="0"/>
          <w:divBdr>
            <w:top w:val="none" w:sz="0" w:space="0" w:color="auto"/>
            <w:left w:val="none" w:sz="0" w:space="0" w:color="auto"/>
            <w:bottom w:val="none" w:sz="0" w:space="0" w:color="auto"/>
            <w:right w:val="none" w:sz="0" w:space="0" w:color="auto"/>
          </w:divBdr>
        </w:div>
        <w:div w:id="1529563686">
          <w:marLeft w:val="0"/>
          <w:marRight w:val="0"/>
          <w:marTop w:val="0"/>
          <w:marBottom w:val="0"/>
          <w:divBdr>
            <w:top w:val="none" w:sz="0" w:space="0" w:color="auto"/>
            <w:left w:val="none" w:sz="0" w:space="0" w:color="auto"/>
            <w:bottom w:val="none" w:sz="0" w:space="0" w:color="auto"/>
            <w:right w:val="none" w:sz="0" w:space="0" w:color="auto"/>
          </w:divBdr>
        </w:div>
        <w:div w:id="1065759531">
          <w:marLeft w:val="0"/>
          <w:marRight w:val="0"/>
          <w:marTop w:val="0"/>
          <w:marBottom w:val="0"/>
          <w:divBdr>
            <w:top w:val="none" w:sz="0" w:space="0" w:color="auto"/>
            <w:left w:val="none" w:sz="0" w:space="0" w:color="auto"/>
            <w:bottom w:val="none" w:sz="0" w:space="0" w:color="auto"/>
            <w:right w:val="none" w:sz="0" w:space="0" w:color="auto"/>
          </w:divBdr>
        </w:div>
        <w:div w:id="543297804">
          <w:marLeft w:val="0"/>
          <w:marRight w:val="0"/>
          <w:marTop w:val="0"/>
          <w:marBottom w:val="0"/>
          <w:divBdr>
            <w:top w:val="none" w:sz="0" w:space="0" w:color="auto"/>
            <w:left w:val="none" w:sz="0" w:space="0" w:color="auto"/>
            <w:bottom w:val="none" w:sz="0" w:space="0" w:color="auto"/>
            <w:right w:val="none" w:sz="0" w:space="0" w:color="auto"/>
          </w:divBdr>
        </w:div>
        <w:div w:id="2005086314">
          <w:marLeft w:val="0"/>
          <w:marRight w:val="0"/>
          <w:marTop w:val="0"/>
          <w:marBottom w:val="0"/>
          <w:divBdr>
            <w:top w:val="none" w:sz="0" w:space="0" w:color="auto"/>
            <w:left w:val="none" w:sz="0" w:space="0" w:color="auto"/>
            <w:bottom w:val="none" w:sz="0" w:space="0" w:color="auto"/>
            <w:right w:val="none" w:sz="0" w:space="0" w:color="auto"/>
          </w:divBdr>
        </w:div>
        <w:div w:id="1498227119">
          <w:marLeft w:val="0"/>
          <w:marRight w:val="0"/>
          <w:marTop w:val="0"/>
          <w:marBottom w:val="0"/>
          <w:divBdr>
            <w:top w:val="none" w:sz="0" w:space="0" w:color="auto"/>
            <w:left w:val="none" w:sz="0" w:space="0" w:color="auto"/>
            <w:bottom w:val="none" w:sz="0" w:space="0" w:color="auto"/>
            <w:right w:val="none" w:sz="0" w:space="0" w:color="auto"/>
          </w:divBdr>
        </w:div>
        <w:div w:id="1266578616">
          <w:marLeft w:val="0"/>
          <w:marRight w:val="0"/>
          <w:marTop w:val="0"/>
          <w:marBottom w:val="0"/>
          <w:divBdr>
            <w:top w:val="none" w:sz="0" w:space="0" w:color="auto"/>
            <w:left w:val="none" w:sz="0" w:space="0" w:color="auto"/>
            <w:bottom w:val="none" w:sz="0" w:space="0" w:color="auto"/>
            <w:right w:val="none" w:sz="0" w:space="0" w:color="auto"/>
          </w:divBdr>
        </w:div>
        <w:div w:id="1770127479">
          <w:marLeft w:val="0"/>
          <w:marRight w:val="0"/>
          <w:marTop w:val="0"/>
          <w:marBottom w:val="0"/>
          <w:divBdr>
            <w:top w:val="none" w:sz="0" w:space="0" w:color="auto"/>
            <w:left w:val="none" w:sz="0" w:space="0" w:color="auto"/>
            <w:bottom w:val="none" w:sz="0" w:space="0" w:color="auto"/>
            <w:right w:val="none" w:sz="0" w:space="0" w:color="auto"/>
          </w:divBdr>
        </w:div>
        <w:div w:id="1471048557">
          <w:marLeft w:val="0"/>
          <w:marRight w:val="0"/>
          <w:marTop w:val="0"/>
          <w:marBottom w:val="0"/>
          <w:divBdr>
            <w:top w:val="none" w:sz="0" w:space="0" w:color="auto"/>
            <w:left w:val="none" w:sz="0" w:space="0" w:color="auto"/>
            <w:bottom w:val="none" w:sz="0" w:space="0" w:color="auto"/>
            <w:right w:val="none" w:sz="0" w:space="0" w:color="auto"/>
          </w:divBdr>
        </w:div>
        <w:div w:id="1348673650">
          <w:marLeft w:val="0"/>
          <w:marRight w:val="0"/>
          <w:marTop w:val="0"/>
          <w:marBottom w:val="0"/>
          <w:divBdr>
            <w:top w:val="none" w:sz="0" w:space="0" w:color="auto"/>
            <w:left w:val="none" w:sz="0" w:space="0" w:color="auto"/>
            <w:bottom w:val="none" w:sz="0" w:space="0" w:color="auto"/>
            <w:right w:val="none" w:sz="0" w:space="0" w:color="auto"/>
          </w:divBdr>
        </w:div>
        <w:div w:id="1501777643">
          <w:marLeft w:val="0"/>
          <w:marRight w:val="0"/>
          <w:marTop w:val="0"/>
          <w:marBottom w:val="0"/>
          <w:divBdr>
            <w:top w:val="none" w:sz="0" w:space="0" w:color="auto"/>
            <w:left w:val="none" w:sz="0" w:space="0" w:color="auto"/>
            <w:bottom w:val="none" w:sz="0" w:space="0" w:color="auto"/>
            <w:right w:val="none" w:sz="0" w:space="0" w:color="auto"/>
          </w:divBdr>
        </w:div>
        <w:div w:id="566036102">
          <w:marLeft w:val="0"/>
          <w:marRight w:val="0"/>
          <w:marTop w:val="0"/>
          <w:marBottom w:val="0"/>
          <w:divBdr>
            <w:top w:val="none" w:sz="0" w:space="0" w:color="auto"/>
            <w:left w:val="none" w:sz="0" w:space="0" w:color="auto"/>
            <w:bottom w:val="none" w:sz="0" w:space="0" w:color="auto"/>
            <w:right w:val="none" w:sz="0" w:space="0" w:color="auto"/>
          </w:divBdr>
        </w:div>
        <w:div w:id="1356617461">
          <w:marLeft w:val="0"/>
          <w:marRight w:val="0"/>
          <w:marTop w:val="0"/>
          <w:marBottom w:val="0"/>
          <w:divBdr>
            <w:top w:val="none" w:sz="0" w:space="0" w:color="auto"/>
            <w:left w:val="none" w:sz="0" w:space="0" w:color="auto"/>
            <w:bottom w:val="none" w:sz="0" w:space="0" w:color="auto"/>
            <w:right w:val="none" w:sz="0" w:space="0" w:color="auto"/>
          </w:divBdr>
        </w:div>
        <w:div w:id="464736747">
          <w:marLeft w:val="0"/>
          <w:marRight w:val="0"/>
          <w:marTop w:val="0"/>
          <w:marBottom w:val="0"/>
          <w:divBdr>
            <w:top w:val="none" w:sz="0" w:space="0" w:color="auto"/>
            <w:left w:val="none" w:sz="0" w:space="0" w:color="auto"/>
            <w:bottom w:val="none" w:sz="0" w:space="0" w:color="auto"/>
            <w:right w:val="none" w:sz="0" w:space="0" w:color="auto"/>
          </w:divBdr>
        </w:div>
        <w:div w:id="1133672732">
          <w:marLeft w:val="0"/>
          <w:marRight w:val="0"/>
          <w:marTop w:val="0"/>
          <w:marBottom w:val="0"/>
          <w:divBdr>
            <w:top w:val="none" w:sz="0" w:space="0" w:color="auto"/>
            <w:left w:val="none" w:sz="0" w:space="0" w:color="auto"/>
            <w:bottom w:val="none" w:sz="0" w:space="0" w:color="auto"/>
            <w:right w:val="none" w:sz="0" w:space="0" w:color="auto"/>
          </w:divBdr>
        </w:div>
        <w:div w:id="1284926564">
          <w:marLeft w:val="0"/>
          <w:marRight w:val="0"/>
          <w:marTop w:val="0"/>
          <w:marBottom w:val="0"/>
          <w:divBdr>
            <w:top w:val="none" w:sz="0" w:space="0" w:color="auto"/>
            <w:left w:val="none" w:sz="0" w:space="0" w:color="auto"/>
            <w:bottom w:val="none" w:sz="0" w:space="0" w:color="auto"/>
            <w:right w:val="none" w:sz="0" w:space="0" w:color="auto"/>
          </w:divBdr>
        </w:div>
        <w:div w:id="1415055012">
          <w:marLeft w:val="0"/>
          <w:marRight w:val="0"/>
          <w:marTop w:val="0"/>
          <w:marBottom w:val="0"/>
          <w:divBdr>
            <w:top w:val="none" w:sz="0" w:space="0" w:color="auto"/>
            <w:left w:val="none" w:sz="0" w:space="0" w:color="auto"/>
            <w:bottom w:val="none" w:sz="0" w:space="0" w:color="auto"/>
            <w:right w:val="none" w:sz="0" w:space="0" w:color="auto"/>
          </w:divBdr>
        </w:div>
      </w:divsChild>
    </w:div>
    <w:div w:id="1835610587">
      <w:bodyDiv w:val="1"/>
      <w:marLeft w:val="0"/>
      <w:marRight w:val="0"/>
      <w:marTop w:val="0"/>
      <w:marBottom w:val="0"/>
      <w:divBdr>
        <w:top w:val="none" w:sz="0" w:space="0" w:color="auto"/>
        <w:left w:val="none" w:sz="0" w:space="0" w:color="auto"/>
        <w:bottom w:val="none" w:sz="0" w:space="0" w:color="auto"/>
        <w:right w:val="none" w:sz="0" w:space="0" w:color="auto"/>
      </w:divBdr>
      <w:divsChild>
        <w:div w:id="940381025">
          <w:marLeft w:val="-720"/>
          <w:marRight w:val="0"/>
          <w:marTop w:val="0"/>
          <w:marBottom w:val="0"/>
          <w:divBdr>
            <w:top w:val="none" w:sz="0" w:space="0" w:color="auto"/>
            <w:left w:val="none" w:sz="0" w:space="0" w:color="auto"/>
            <w:bottom w:val="none" w:sz="0" w:space="0" w:color="auto"/>
            <w:right w:val="none" w:sz="0" w:space="0" w:color="auto"/>
          </w:divBdr>
        </w:div>
      </w:divsChild>
    </w:div>
    <w:div w:id="1991860200">
      <w:bodyDiv w:val="1"/>
      <w:marLeft w:val="0"/>
      <w:marRight w:val="0"/>
      <w:marTop w:val="0"/>
      <w:marBottom w:val="0"/>
      <w:divBdr>
        <w:top w:val="none" w:sz="0" w:space="0" w:color="auto"/>
        <w:left w:val="none" w:sz="0" w:space="0" w:color="auto"/>
        <w:bottom w:val="none" w:sz="0" w:space="0" w:color="auto"/>
        <w:right w:val="none" w:sz="0" w:space="0" w:color="auto"/>
      </w:divBdr>
      <w:divsChild>
        <w:div w:id="32734246">
          <w:marLeft w:val="-720"/>
          <w:marRight w:val="0"/>
          <w:marTop w:val="0"/>
          <w:marBottom w:val="0"/>
          <w:divBdr>
            <w:top w:val="none" w:sz="0" w:space="0" w:color="auto"/>
            <w:left w:val="none" w:sz="0" w:space="0" w:color="auto"/>
            <w:bottom w:val="none" w:sz="0" w:space="0" w:color="auto"/>
            <w:right w:val="none" w:sz="0" w:space="0" w:color="auto"/>
          </w:divBdr>
        </w:div>
      </w:divsChild>
    </w:div>
    <w:div w:id="2017153723">
      <w:bodyDiv w:val="1"/>
      <w:marLeft w:val="0"/>
      <w:marRight w:val="0"/>
      <w:marTop w:val="0"/>
      <w:marBottom w:val="0"/>
      <w:divBdr>
        <w:top w:val="none" w:sz="0" w:space="0" w:color="auto"/>
        <w:left w:val="none" w:sz="0" w:space="0" w:color="auto"/>
        <w:bottom w:val="none" w:sz="0" w:space="0" w:color="auto"/>
        <w:right w:val="none" w:sz="0" w:space="0" w:color="auto"/>
      </w:divBdr>
      <w:divsChild>
        <w:div w:id="87015145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1864</Words>
  <Characters>10630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Koleva</dc:creator>
  <cp:keywords/>
  <dc:description/>
  <cp:lastModifiedBy>Gabriela Koleva</cp:lastModifiedBy>
  <cp:revision>4</cp:revision>
  <dcterms:created xsi:type="dcterms:W3CDTF">2023-12-21T20:19:00Z</dcterms:created>
  <dcterms:modified xsi:type="dcterms:W3CDTF">2023-12-31T12:43:00Z</dcterms:modified>
</cp:coreProperties>
</file>