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B9660B0" w14:textId="45A2404E" w:rsidR="00E844E6" w:rsidRDefault="00B2204C" w:rsidP="00E844E6">
      <w:pPr>
        <w:spacing w:line="276" w:lineRule="auto"/>
        <w:jc w:val="center"/>
        <w:rPr>
          <w:b/>
          <w:bCs/>
          <w:sz w:val="40"/>
          <w:szCs w:val="36"/>
        </w:rPr>
      </w:pPr>
      <w:r>
        <w:rPr>
          <w:b/>
          <w:bCs/>
          <w:noProof/>
          <w:sz w:val="40"/>
          <w:szCs w:val="36"/>
        </w:rPr>
        <mc:AlternateContent>
          <mc:Choice Requires="wps">
            <w:drawing>
              <wp:anchor distT="0" distB="0" distL="114300" distR="114300" simplePos="0" relativeHeight="251659264" behindDoc="0" locked="0" layoutInCell="1" allowOverlap="1" wp14:anchorId="7C89BE55" wp14:editId="1EA5E75B">
                <wp:simplePos x="0" y="0"/>
                <wp:positionH relativeFrom="column">
                  <wp:posOffset>-696286</wp:posOffset>
                </wp:positionH>
                <wp:positionV relativeFrom="paragraph">
                  <wp:posOffset>-40628</wp:posOffset>
                </wp:positionV>
                <wp:extent cx="7222501" cy="1501629"/>
                <wp:effectExtent l="0" t="0" r="16510" b="10160"/>
                <wp:wrapNone/>
                <wp:docPr id="4" name="Text Box 4"/>
                <wp:cNvGraphicFramePr/>
                <a:graphic xmlns:a="http://schemas.openxmlformats.org/drawingml/2006/main">
                  <a:graphicData uri="http://schemas.microsoft.com/office/word/2010/wordprocessingShape">
                    <wps:wsp>
                      <wps:cNvSpPr txBox="1"/>
                      <wps:spPr>
                        <a:xfrm>
                          <a:off x="0" y="0"/>
                          <a:ext cx="7222501" cy="1501629"/>
                        </a:xfrm>
                        <a:prstGeom prst="rect">
                          <a:avLst/>
                        </a:prstGeom>
                        <a:solidFill>
                          <a:schemeClr val="lt1"/>
                        </a:solidFill>
                        <a:ln w="6350">
                          <a:solidFill>
                            <a:prstClr val="black"/>
                          </a:solidFill>
                        </a:ln>
                      </wps:spPr>
                      <wps:txbx>
                        <w:txbxContent>
                          <w:p w14:paraId="3A058C23" w14:textId="5DA95A2F" w:rsidR="00B2204C" w:rsidRDefault="00B2204C" w:rsidP="00B2204C">
                            <w:pPr>
                              <w:jc w:val="center"/>
                              <w:rPr>
                                <w:rFonts w:ascii="Arial" w:hAnsi="Arial"/>
                                <w:color w:val="548DD4" w:themeColor="text2" w:themeTint="99"/>
                                <w:sz w:val="48"/>
                                <w:szCs w:val="48"/>
                              </w:rPr>
                            </w:pPr>
                            <w:r w:rsidRPr="00B2204C">
                              <w:rPr>
                                <w:rFonts w:ascii="Arial" w:hAnsi="Arial"/>
                                <w:color w:val="548DD4" w:themeColor="text2" w:themeTint="99"/>
                                <w:sz w:val="48"/>
                                <w:szCs w:val="48"/>
                              </w:rPr>
                              <w:t>Assignment 1- Incidence of disease in community   Task 2: Suppo</w:t>
                            </w:r>
                            <w:r>
                              <w:rPr>
                                <w:rFonts w:ascii="Arial" w:hAnsi="Arial"/>
                                <w:color w:val="548DD4" w:themeColor="text2" w:themeTint="99"/>
                                <w:sz w:val="48"/>
                                <w:szCs w:val="48"/>
                              </w:rPr>
                              <w:t>r</w:t>
                            </w:r>
                            <w:r w:rsidRPr="00B2204C">
                              <w:rPr>
                                <w:rFonts w:ascii="Arial" w:hAnsi="Arial"/>
                                <w:color w:val="548DD4" w:themeColor="text2" w:themeTint="99"/>
                                <w:sz w:val="48"/>
                                <w:szCs w:val="48"/>
                              </w:rPr>
                              <w:t>ting paper.</w:t>
                            </w:r>
                          </w:p>
                          <w:p w14:paraId="7F303275" w14:textId="77777777" w:rsidR="00B2204C" w:rsidRPr="00B2204C" w:rsidRDefault="00B2204C" w:rsidP="00B2204C">
                            <w:pPr>
                              <w:jc w:val="center"/>
                              <w:rPr>
                                <w:rFonts w:ascii="Arial" w:hAnsi="Arial"/>
                                <w:color w:val="548DD4" w:themeColor="text2" w:themeTint="99"/>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89BE55" id="_x0000_t202" coordsize="21600,21600" o:spt="202" path="m,l,21600r21600,l21600,xe">
                <v:stroke joinstyle="miter"/>
                <v:path gradientshapeok="t" o:connecttype="rect"/>
              </v:shapetype>
              <v:shape id="Text Box 4" o:spid="_x0000_s1026" type="#_x0000_t202" style="position:absolute;left:0;text-align:left;margin-left:-54.85pt;margin-top:-3.2pt;width:568.7pt;height:11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" fillcolor="white [3201]" strokeweight=".5pt">
                <v:textbox>
                  <w:txbxContent>
                    <w:p w14:paraId="3A058C23" w14:textId="5DA95A2F" w:rsidR="00B2204C" w:rsidRDefault="00B2204C" w:rsidP="00B2204C">
                      <w:pPr>
                        <w:jc w:val="center"/>
                        <w:rPr>
                          <w:rFonts w:ascii="Arial" w:hAnsi="Arial"/>
                          <w:color w:val="548DD4" w:themeColor="text2" w:themeTint="99"/>
                          <w:sz w:val="48"/>
                          <w:szCs w:val="48"/>
                        </w:rPr>
                      </w:pPr>
                      <w:r w:rsidRPr="00B2204C">
                        <w:rPr>
                          <w:rFonts w:ascii="Arial" w:hAnsi="Arial"/>
                          <w:color w:val="548DD4" w:themeColor="text2" w:themeTint="99"/>
                          <w:sz w:val="48"/>
                          <w:szCs w:val="48"/>
                        </w:rPr>
                        <w:t>Assignment 1- Incidence of disease in community   Task 2: Suppo</w:t>
                      </w:r>
                      <w:r>
                        <w:rPr>
                          <w:rFonts w:ascii="Arial" w:hAnsi="Arial"/>
                          <w:color w:val="548DD4" w:themeColor="text2" w:themeTint="99"/>
                          <w:sz w:val="48"/>
                          <w:szCs w:val="48"/>
                        </w:rPr>
                        <w:t>r</w:t>
                      </w:r>
                      <w:r w:rsidRPr="00B2204C">
                        <w:rPr>
                          <w:rFonts w:ascii="Arial" w:hAnsi="Arial"/>
                          <w:color w:val="548DD4" w:themeColor="text2" w:themeTint="99"/>
                          <w:sz w:val="48"/>
                          <w:szCs w:val="48"/>
                        </w:rPr>
                        <w:t>ting paper.</w:t>
                      </w:r>
                    </w:p>
                    <w:p w14:paraId="7F303275" w14:textId="77777777" w:rsidR="00B2204C" w:rsidRPr="00B2204C" w:rsidRDefault="00B2204C" w:rsidP="00B2204C">
                      <w:pPr>
                        <w:jc w:val="center"/>
                        <w:rPr>
                          <w:rFonts w:ascii="Arial" w:hAnsi="Arial"/>
                          <w:color w:val="548DD4" w:themeColor="text2" w:themeTint="99"/>
                          <w:sz w:val="48"/>
                          <w:szCs w:val="48"/>
                        </w:rPr>
                      </w:pPr>
                    </w:p>
                  </w:txbxContent>
                </v:textbox>
              </v:shape>
            </w:pict>
          </mc:Fallback>
        </mc:AlternateContent>
      </w:r>
    </w:p>
    <w:p w14:paraId="6E8E9707" w14:textId="77777777" w:rsidR="00E844E6" w:rsidRDefault="00E844E6" w:rsidP="00E844E6">
      <w:pPr>
        <w:spacing w:line="276" w:lineRule="auto"/>
        <w:jc w:val="center"/>
        <w:rPr>
          <w:b/>
          <w:bCs/>
          <w:sz w:val="40"/>
          <w:szCs w:val="36"/>
        </w:rPr>
      </w:pPr>
    </w:p>
    <w:p w14:paraId="3E5F36F6" w14:textId="77777777" w:rsidR="00E844E6" w:rsidRDefault="00E844E6" w:rsidP="00E844E6">
      <w:pPr>
        <w:spacing w:line="276" w:lineRule="auto"/>
        <w:jc w:val="center"/>
        <w:rPr>
          <w:b/>
          <w:bCs/>
          <w:sz w:val="40"/>
          <w:szCs w:val="36"/>
        </w:rPr>
      </w:pPr>
    </w:p>
    <w:p w14:paraId="6927785B" w14:textId="77777777" w:rsidR="00E844E6" w:rsidRDefault="00E844E6" w:rsidP="00E844E6">
      <w:pPr>
        <w:spacing w:line="276" w:lineRule="auto"/>
        <w:jc w:val="center"/>
        <w:rPr>
          <w:b/>
          <w:bCs/>
          <w:sz w:val="40"/>
          <w:szCs w:val="36"/>
        </w:rPr>
      </w:pPr>
    </w:p>
    <w:p w14:paraId="664BE1C4" w14:textId="77777777" w:rsidR="00E844E6" w:rsidRDefault="00E844E6" w:rsidP="00E844E6">
      <w:pPr>
        <w:jc w:val="center"/>
        <w:rPr>
          <w:b/>
          <w:bCs/>
          <w:sz w:val="40"/>
          <w:szCs w:val="36"/>
        </w:rPr>
      </w:pPr>
    </w:p>
    <w:p w14:paraId="74384DE8" w14:textId="77777777" w:rsidR="00E844E6" w:rsidRDefault="00E844E6" w:rsidP="00E844E6">
      <w:pPr>
        <w:jc w:val="center"/>
        <w:rPr>
          <w:b/>
          <w:bCs/>
          <w:sz w:val="40"/>
          <w:szCs w:val="36"/>
        </w:rPr>
      </w:pPr>
    </w:p>
    <w:p w14:paraId="53FE6E0E" w14:textId="77777777" w:rsidR="00E844E6" w:rsidRDefault="00E844E6" w:rsidP="00E844E6">
      <w:pPr>
        <w:jc w:val="center"/>
        <w:rPr>
          <w:b/>
          <w:bCs/>
          <w:sz w:val="40"/>
          <w:szCs w:val="36"/>
        </w:rPr>
      </w:pPr>
    </w:p>
    <w:p w14:paraId="2A67F8AE" w14:textId="2F11ABF4" w:rsidR="00E844E6" w:rsidRPr="00B2204C" w:rsidRDefault="00E844E6" w:rsidP="00B2204C">
      <w:pPr>
        <w:spacing w:line="360" w:lineRule="auto"/>
        <w:jc w:val="center"/>
        <w:rPr>
          <w:rFonts w:ascii="Arial" w:hAnsi="Arial"/>
          <w:b/>
          <w:bCs/>
          <w:sz w:val="36"/>
          <w:szCs w:val="36"/>
        </w:rPr>
      </w:pPr>
      <w:r w:rsidRPr="00B2204C">
        <w:rPr>
          <w:rFonts w:ascii="Arial" w:hAnsi="Arial"/>
          <w:b/>
          <w:bCs/>
          <w:sz w:val="36"/>
          <w:szCs w:val="36"/>
        </w:rPr>
        <w:t>Introduction to Public Health</w:t>
      </w:r>
    </w:p>
    <w:p w14:paraId="0547E978" w14:textId="2F4AA1AB" w:rsidR="00E844E6" w:rsidRPr="00B2204C" w:rsidRDefault="00E844E6" w:rsidP="00B2204C">
      <w:pPr>
        <w:spacing w:line="360" w:lineRule="auto"/>
        <w:jc w:val="center"/>
        <w:rPr>
          <w:rFonts w:ascii="Arial" w:hAnsi="Arial"/>
          <w:b/>
          <w:bCs/>
          <w:sz w:val="28"/>
          <w:szCs w:val="28"/>
        </w:rPr>
      </w:pPr>
      <w:r w:rsidRPr="00B2204C">
        <w:rPr>
          <w:rFonts w:ascii="Arial" w:hAnsi="Arial"/>
          <w:b/>
          <w:bCs/>
          <w:sz w:val="28"/>
          <w:szCs w:val="28"/>
        </w:rPr>
        <w:t>Student Name:</w:t>
      </w:r>
      <w:r w:rsidR="00B2204C" w:rsidRPr="00B2204C">
        <w:rPr>
          <w:rFonts w:ascii="Arial" w:hAnsi="Arial"/>
          <w:b/>
          <w:bCs/>
          <w:sz w:val="28"/>
          <w:szCs w:val="28"/>
        </w:rPr>
        <w:t xml:space="preserve"> Felicia Roxana Elena Ionica</w:t>
      </w:r>
    </w:p>
    <w:p w14:paraId="5726E88B" w14:textId="7D237CC3" w:rsidR="00965343" w:rsidRPr="00B2204C" w:rsidRDefault="00E844E6" w:rsidP="00B2204C">
      <w:pPr>
        <w:spacing w:line="360" w:lineRule="auto"/>
        <w:jc w:val="center"/>
        <w:rPr>
          <w:rFonts w:ascii="Arial" w:hAnsi="Arial"/>
          <w:b/>
          <w:bCs/>
          <w:sz w:val="28"/>
          <w:szCs w:val="28"/>
        </w:rPr>
      </w:pPr>
      <w:r w:rsidRPr="00B2204C">
        <w:rPr>
          <w:rFonts w:ascii="Arial" w:hAnsi="Arial"/>
          <w:b/>
          <w:bCs/>
          <w:sz w:val="28"/>
          <w:szCs w:val="28"/>
        </w:rPr>
        <w:t>Student ID:</w:t>
      </w:r>
      <w:r w:rsidR="00B2204C" w:rsidRPr="00B2204C">
        <w:rPr>
          <w:rFonts w:ascii="Arial" w:hAnsi="Arial"/>
          <w:b/>
          <w:bCs/>
          <w:sz w:val="28"/>
          <w:szCs w:val="28"/>
        </w:rPr>
        <w:t>2214909</w:t>
      </w:r>
    </w:p>
    <w:p w14:paraId="557644F7" w14:textId="62B86E5A" w:rsidR="00B2204C" w:rsidRPr="00B2204C" w:rsidRDefault="00B2204C" w:rsidP="00B2204C">
      <w:pPr>
        <w:spacing w:line="360" w:lineRule="auto"/>
        <w:jc w:val="center"/>
        <w:rPr>
          <w:rFonts w:ascii="Arial" w:hAnsi="Arial"/>
          <w:b/>
          <w:bCs/>
          <w:sz w:val="28"/>
          <w:szCs w:val="28"/>
        </w:rPr>
      </w:pPr>
      <w:r w:rsidRPr="00B2204C">
        <w:rPr>
          <w:rFonts w:ascii="Arial" w:hAnsi="Arial"/>
          <w:b/>
          <w:bCs/>
          <w:sz w:val="28"/>
          <w:szCs w:val="28"/>
        </w:rPr>
        <w:t xml:space="preserve">Module name: Introduction to Public Health </w:t>
      </w:r>
    </w:p>
    <w:p w14:paraId="586E4DCF" w14:textId="7F195346" w:rsidR="00B2204C" w:rsidRPr="00B2204C" w:rsidRDefault="00B2204C" w:rsidP="00B2204C">
      <w:pPr>
        <w:spacing w:line="360" w:lineRule="auto"/>
        <w:jc w:val="center"/>
        <w:rPr>
          <w:rFonts w:ascii="Arial" w:hAnsi="Arial"/>
          <w:b/>
          <w:bCs/>
          <w:sz w:val="28"/>
          <w:szCs w:val="28"/>
        </w:rPr>
      </w:pPr>
      <w:r w:rsidRPr="00B2204C">
        <w:rPr>
          <w:rFonts w:ascii="Arial" w:hAnsi="Arial"/>
          <w:b/>
          <w:bCs/>
          <w:sz w:val="28"/>
          <w:szCs w:val="28"/>
        </w:rPr>
        <w:t>Module code: LCHS4004</w:t>
      </w:r>
    </w:p>
    <w:p w14:paraId="099C9AAC" w14:textId="0C672CDF" w:rsidR="00B2204C" w:rsidRPr="00B2204C" w:rsidRDefault="00B2204C" w:rsidP="00B2204C">
      <w:pPr>
        <w:spacing w:line="360" w:lineRule="auto"/>
        <w:jc w:val="center"/>
        <w:rPr>
          <w:rFonts w:ascii="Arial" w:hAnsi="Arial"/>
          <w:b/>
          <w:bCs/>
          <w:sz w:val="28"/>
          <w:szCs w:val="28"/>
        </w:rPr>
      </w:pPr>
      <w:r w:rsidRPr="00B2204C">
        <w:rPr>
          <w:rFonts w:ascii="Arial" w:hAnsi="Arial"/>
          <w:b/>
          <w:bCs/>
          <w:sz w:val="28"/>
          <w:szCs w:val="28"/>
        </w:rPr>
        <w:t>Lecture’s name: Laila Surani</w:t>
      </w:r>
    </w:p>
    <w:p w14:paraId="69AD0B75" w14:textId="77777777" w:rsidR="00965343" w:rsidRPr="00B2204C" w:rsidRDefault="00965343" w:rsidP="00B2204C">
      <w:pPr>
        <w:spacing w:line="360" w:lineRule="auto"/>
        <w:jc w:val="left"/>
        <w:rPr>
          <w:rFonts w:ascii="Arial" w:hAnsi="Arial"/>
          <w:b/>
          <w:bCs/>
          <w:sz w:val="22"/>
        </w:rPr>
      </w:pPr>
      <w:r w:rsidRPr="00B2204C">
        <w:rPr>
          <w:rFonts w:ascii="Arial" w:hAnsi="Arial"/>
          <w:b/>
          <w:bCs/>
          <w:sz w:val="22"/>
        </w:rPr>
        <w:br w:type="page"/>
      </w:r>
    </w:p>
    <w:sdt>
      <w:sdtPr>
        <w:rPr>
          <w:rFonts w:ascii="Arial" w:eastAsia="Arial" w:hAnsi="Arial" w:cs="Arial"/>
          <w:color w:val="auto"/>
          <w:sz w:val="22"/>
          <w:szCs w:val="22"/>
          <w:lang w:val=""/>
        </w:rPr>
        <w:id w:val="-1564558034"/>
        <w:docPartObj>
          <w:docPartGallery w:val="Table of Contents"/>
          <w:docPartUnique/>
        </w:docPartObj>
      </w:sdtPr>
      <w:sdtEndPr>
        <w:rPr>
          <w:b/>
          <w:bCs/>
          <w:noProof/>
        </w:rPr>
      </w:sdtEndPr>
      <w:sdtContent>
        <w:p w14:paraId="40568E76" w14:textId="1F030190" w:rsidR="00965343" w:rsidRPr="00B2204C" w:rsidRDefault="00965343" w:rsidP="00B2204C">
          <w:pPr>
            <w:pStyle w:val="TOCHeading"/>
            <w:spacing w:line="360" w:lineRule="auto"/>
            <w:rPr>
              <w:rFonts w:ascii="Arial" w:hAnsi="Arial" w:cs="Arial"/>
              <w:sz w:val="22"/>
              <w:szCs w:val="22"/>
            </w:rPr>
          </w:pPr>
          <w:r w:rsidRPr="00B2204C">
            <w:rPr>
              <w:rFonts w:ascii="Arial" w:hAnsi="Arial" w:cs="Arial"/>
              <w:sz w:val="22"/>
              <w:szCs w:val="22"/>
            </w:rPr>
            <w:t>Table of Cont</w:t>
          </w:r>
          <w:bookmarkStart w:id="0" w:name="_GoBack"/>
          <w:bookmarkEnd w:id="0"/>
          <w:r w:rsidRPr="00B2204C">
            <w:rPr>
              <w:rFonts w:ascii="Arial" w:hAnsi="Arial" w:cs="Arial"/>
              <w:sz w:val="22"/>
              <w:szCs w:val="22"/>
            </w:rPr>
            <w:t>ents</w:t>
          </w:r>
        </w:p>
        <w:p w14:paraId="09E1BFEF" w14:textId="2E592826" w:rsidR="00B2204C" w:rsidRDefault="00965343">
          <w:pPr>
            <w:pStyle w:val="TOC1"/>
            <w:tabs>
              <w:tab w:val="right" w:leader="dot" w:pos="9016"/>
            </w:tabs>
            <w:rPr>
              <w:rFonts w:asciiTheme="minorHAnsi" w:eastAsiaTheme="minorEastAsia" w:hAnsiTheme="minorHAnsi" w:cstheme="minorBidi"/>
              <w:noProof/>
              <w:szCs w:val="24"/>
              <w:lang w:val="ro-RO"/>
            </w:rPr>
          </w:pPr>
          <w:r w:rsidRPr="00B2204C">
            <w:rPr>
              <w:rFonts w:ascii="Arial" w:hAnsi="Arial"/>
              <w:sz w:val="22"/>
            </w:rPr>
            <w:fldChar w:fldCharType="begin"/>
          </w:r>
          <w:r w:rsidRPr="00B2204C">
            <w:rPr>
              <w:rFonts w:ascii="Arial" w:hAnsi="Arial"/>
              <w:sz w:val="22"/>
            </w:rPr>
            <w:instrText xml:space="preserve"> TOC \o "1-3" \h \z \u </w:instrText>
          </w:r>
          <w:r w:rsidRPr="00B2204C">
            <w:rPr>
              <w:rFonts w:ascii="Arial" w:hAnsi="Arial"/>
              <w:sz w:val="22"/>
            </w:rPr>
            <w:fldChar w:fldCharType="separate"/>
          </w:r>
          <w:hyperlink w:anchor="_Toc131594350" w:history="1">
            <w:r w:rsidR="00B2204C" w:rsidRPr="00952224">
              <w:rPr>
                <w:rStyle w:val="Hyperlink"/>
                <w:rFonts w:ascii="Arial" w:hAnsi="Arial"/>
                <w:noProof/>
              </w:rPr>
              <w:t>Introduction</w:t>
            </w:r>
            <w:r w:rsidR="00B2204C">
              <w:rPr>
                <w:noProof/>
                <w:webHidden/>
              </w:rPr>
              <w:tab/>
            </w:r>
            <w:r w:rsidR="00B2204C">
              <w:rPr>
                <w:noProof/>
                <w:webHidden/>
              </w:rPr>
              <w:fldChar w:fldCharType="begin"/>
            </w:r>
            <w:r w:rsidR="00B2204C">
              <w:rPr>
                <w:noProof/>
                <w:webHidden/>
              </w:rPr>
              <w:instrText xml:space="preserve"> PAGEREF _Toc131594350 \h </w:instrText>
            </w:r>
            <w:r w:rsidR="00B2204C">
              <w:rPr>
                <w:noProof/>
                <w:webHidden/>
              </w:rPr>
            </w:r>
            <w:r w:rsidR="00B2204C">
              <w:rPr>
                <w:noProof/>
                <w:webHidden/>
              </w:rPr>
              <w:fldChar w:fldCharType="separate"/>
            </w:r>
            <w:r w:rsidR="00B2204C">
              <w:rPr>
                <w:noProof/>
                <w:webHidden/>
              </w:rPr>
              <w:t>3</w:t>
            </w:r>
            <w:r w:rsidR="00B2204C">
              <w:rPr>
                <w:noProof/>
                <w:webHidden/>
              </w:rPr>
              <w:fldChar w:fldCharType="end"/>
            </w:r>
          </w:hyperlink>
        </w:p>
        <w:p w14:paraId="348CEFEB" w14:textId="01B1BB69" w:rsidR="00B2204C" w:rsidRDefault="00B2204C">
          <w:pPr>
            <w:pStyle w:val="TOC1"/>
            <w:tabs>
              <w:tab w:val="right" w:leader="dot" w:pos="9016"/>
            </w:tabs>
            <w:rPr>
              <w:rFonts w:asciiTheme="minorHAnsi" w:eastAsiaTheme="minorEastAsia" w:hAnsiTheme="minorHAnsi" w:cstheme="minorBidi"/>
              <w:noProof/>
              <w:szCs w:val="24"/>
              <w:lang w:val="ro-RO"/>
            </w:rPr>
          </w:pPr>
          <w:hyperlink w:anchor="_Toc131594351" w:history="1">
            <w:r w:rsidRPr="00952224">
              <w:rPr>
                <w:rStyle w:val="Hyperlink"/>
                <w:rFonts w:ascii="Arial" w:hAnsi="Arial"/>
                <w:noProof/>
              </w:rPr>
              <w:t>Critical evaluation of the strategies used in the UK to measure the incidence of the Polio disease</w:t>
            </w:r>
            <w:r>
              <w:rPr>
                <w:noProof/>
                <w:webHidden/>
              </w:rPr>
              <w:tab/>
            </w:r>
            <w:r>
              <w:rPr>
                <w:noProof/>
                <w:webHidden/>
              </w:rPr>
              <w:fldChar w:fldCharType="begin"/>
            </w:r>
            <w:r>
              <w:rPr>
                <w:noProof/>
                <w:webHidden/>
              </w:rPr>
              <w:instrText xml:space="preserve"> PAGEREF _Toc131594351 \h </w:instrText>
            </w:r>
            <w:r>
              <w:rPr>
                <w:noProof/>
                <w:webHidden/>
              </w:rPr>
            </w:r>
            <w:r>
              <w:rPr>
                <w:noProof/>
                <w:webHidden/>
              </w:rPr>
              <w:fldChar w:fldCharType="separate"/>
            </w:r>
            <w:r>
              <w:rPr>
                <w:noProof/>
                <w:webHidden/>
              </w:rPr>
              <w:t>4</w:t>
            </w:r>
            <w:r>
              <w:rPr>
                <w:noProof/>
                <w:webHidden/>
              </w:rPr>
              <w:fldChar w:fldCharType="end"/>
            </w:r>
          </w:hyperlink>
        </w:p>
        <w:p w14:paraId="1DDCD7C6" w14:textId="03E7E0AE" w:rsidR="00B2204C" w:rsidRDefault="00B2204C">
          <w:pPr>
            <w:pStyle w:val="TOC1"/>
            <w:tabs>
              <w:tab w:val="right" w:leader="dot" w:pos="9016"/>
            </w:tabs>
            <w:rPr>
              <w:rFonts w:asciiTheme="minorHAnsi" w:eastAsiaTheme="minorEastAsia" w:hAnsiTheme="minorHAnsi" w:cstheme="minorBidi"/>
              <w:noProof/>
              <w:szCs w:val="24"/>
              <w:lang w:val="ro-RO"/>
            </w:rPr>
          </w:pPr>
          <w:hyperlink w:anchor="_Toc131594352" w:history="1">
            <w:r w:rsidRPr="00952224">
              <w:rPr>
                <w:rStyle w:val="Hyperlink"/>
                <w:rFonts w:ascii="Arial" w:hAnsi="Arial"/>
                <w:noProof/>
              </w:rPr>
              <w:t>Concise analysis of strategies used within the UK to monitor the rising polio incidence</w:t>
            </w:r>
            <w:r>
              <w:rPr>
                <w:noProof/>
                <w:webHidden/>
              </w:rPr>
              <w:tab/>
            </w:r>
            <w:r>
              <w:rPr>
                <w:noProof/>
                <w:webHidden/>
              </w:rPr>
              <w:fldChar w:fldCharType="begin"/>
            </w:r>
            <w:r>
              <w:rPr>
                <w:noProof/>
                <w:webHidden/>
              </w:rPr>
              <w:instrText xml:space="preserve"> PAGEREF _Toc131594352 \h </w:instrText>
            </w:r>
            <w:r>
              <w:rPr>
                <w:noProof/>
                <w:webHidden/>
              </w:rPr>
            </w:r>
            <w:r>
              <w:rPr>
                <w:noProof/>
                <w:webHidden/>
              </w:rPr>
              <w:fldChar w:fldCharType="separate"/>
            </w:r>
            <w:r>
              <w:rPr>
                <w:noProof/>
                <w:webHidden/>
              </w:rPr>
              <w:t>5</w:t>
            </w:r>
            <w:r>
              <w:rPr>
                <w:noProof/>
                <w:webHidden/>
              </w:rPr>
              <w:fldChar w:fldCharType="end"/>
            </w:r>
          </w:hyperlink>
        </w:p>
        <w:p w14:paraId="3C4E92C2" w14:textId="46596320" w:rsidR="00B2204C" w:rsidRDefault="00B2204C">
          <w:pPr>
            <w:pStyle w:val="TOC1"/>
            <w:tabs>
              <w:tab w:val="right" w:leader="dot" w:pos="9016"/>
            </w:tabs>
            <w:rPr>
              <w:rFonts w:asciiTheme="minorHAnsi" w:eastAsiaTheme="minorEastAsia" w:hAnsiTheme="minorHAnsi" w:cstheme="minorBidi"/>
              <w:noProof/>
              <w:szCs w:val="24"/>
              <w:lang w:val="ro-RO"/>
            </w:rPr>
          </w:pPr>
          <w:hyperlink w:anchor="_Toc131594353" w:history="1">
            <w:r w:rsidRPr="00952224">
              <w:rPr>
                <w:rStyle w:val="Hyperlink"/>
                <w:rFonts w:ascii="Arial" w:hAnsi="Arial"/>
                <w:noProof/>
              </w:rPr>
              <w:t>Evaluating the strategies used in the UK for the adequate controlling of polio disease</w:t>
            </w:r>
            <w:r>
              <w:rPr>
                <w:noProof/>
                <w:webHidden/>
              </w:rPr>
              <w:tab/>
            </w:r>
            <w:r>
              <w:rPr>
                <w:noProof/>
                <w:webHidden/>
              </w:rPr>
              <w:fldChar w:fldCharType="begin"/>
            </w:r>
            <w:r>
              <w:rPr>
                <w:noProof/>
                <w:webHidden/>
              </w:rPr>
              <w:instrText xml:space="preserve"> PAGEREF _Toc131594353 \h </w:instrText>
            </w:r>
            <w:r>
              <w:rPr>
                <w:noProof/>
                <w:webHidden/>
              </w:rPr>
            </w:r>
            <w:r>
              <w:rPr>
                <w:noProof/>
                <w:webHidden/>
              </w:rPr>
              <w:fldChar w:fldCharType="separate"/>
            </w:r>
            <w:r>
              <w:rPr>
                <w:noProof/>
                <w:webHidden/>
              </w:rPr>
              <w:t>5</w:t>
            </w:r>
            <w:r>
              <w:rPr>
                <w:noProof/>
                <w:webHidden/>
              </w:rPr>
              <w:fldChar w:fldCharType="end"/>
            </w:r>
          </w:hyperlink>
        </w:p>
        <w:p w14:paraId="2D60EF6C" w14:textId="1D4EBB75" w:rsidR="00B2204C" w:rsidRDefault="00B2204C">
          <w:pPr>
            <w:pStyle w:val="TOC1"/>
            <w:tabs>
              <w:tab w:val="right" w:leader="dot" w:pos="9016"/>
            </w:tabs>
            <w:rPr>
              <w:rFonts w:asciiTheme="minorHAnsi" w:eastAsiaTheme="minorEastAsia" w:hAnsiTheme="minorHAnsi" w:cstheme="minorBidi"/>
              <w:noProof/>
              <w:szCs w:val="24"/>
              <w:lang w:val="ro-RO"/>
            </w:rPr>
          </w:pPr>
          <w:hyperlink w:anchor="_Toc131594354" w:history="1">
            <w:r w:rsidRPr="00952224">
              <w:rPr>
                <w:rStyle w:val="Hyperlink"/>
                <w:rFonts w:ascii="Arial" w:hAnsi="Arial"/>
                <w:noProof/>
              </w:rPr>
              <w:t>Conclusion</w:t>
            </w:r>
            <w:r>
              <w:rPr>
                <w:noProof/>
                <w:webHidden/>
              </w:rPr>
              <w:tab/>
            </w:r>
            <w:r>
              <w:rPr>
                <w:noProof/>
                <w:webHidden/>
              </w:rPr>
              <w:fldChar w:fldCharType="begin"/>
            </w:r>
            <w:r>
              <w:rPr>
                <w:noProof/>
                <w:webHidden/>
              </w:rPr>
              <w:instrText xml:space="preserve"> PAGEREF _Toc131594354 \h </w:instrText>
            </w:r>
            <w:r>
              <w:rPr>
                <w:noProof/>
                <w:webHidden/>
              </w:rPr>
            </w:r>
            <w:r>
              <w:rPr>
                <w:noProof/>
                <w:webHidden/>
              </w:rPr>
              <w:fldChar w:fldCharType="separate"/>
            </w:r>
            <w:r>
              <w:rPr>
                <w:noProof/>
                <w:webHidden/>
              </w:rPr>
              <w:t>7</w:t>
            </w:r>
            <w:r>
              <w:rPr>
                <w:noProof/>
                <w:webHidden/>
              </w:rPr>
              <w:fldChar w:fldCharType="end"/>
            </w:r>
          </w:hyperlink>
        </w:p>
        <w:p w14:paraId="7ACDDEFE" w14:textId="6FA3F3B7" w:rsidR="00B2204C" w:rsidRDefault="00B2204C">
          <w:pPr>
            <w:pStyle w:val="TOC1"/>
            <w:tabs>
              <w:tab w:val="right" w:leader="dot" w:pos="9016"/>
            </w:tabs>
            <w:rPr>
              <w:rFonts w:asciiTheme="minorHAnsi" w:eastAsiaTheme="minorEastAsia" w:hAnsiTheme="minorHAnsi" w:cstheme="minorBidi"/>
              <w:noProof/>
              <w:szCs w:val="24"/>
              <w:lang w:val="ro-RO"/>
            </w:rPr>
          </w:pPr>
          <w:hyperlink w:anchor="_Toc131594355" w:history="1">
            <w:r w:rsidRPr="00952224">
              <w:rPr>
                <w:rStyle w:val="Hyperlink"/>
                <w:rFonts w:ascii="Arial" w:hAnsi="Arial"/>
                <w:noProof/>
              </w:rPr>
              <w:t>References</w:t>
            </w:r>
            <w:r>
              <w:rPr>
                <w:noProof/>
                <w:webHidden/>
              </w:rPr>
              <w:tab/>
            </w:r>
            <w:r>
              <w:rPr>
                <w:noProof/>
                <w:webHidden/>
              </w:rPr>
              <w:fldChar w:fldCharType="begin"/>
            </w:r>
            <w:r>
              <w:rPr>
                <w:noProof/>
                <w:webHidden/>
              </w:rPr>
              <w:instrText xml:space="preserve"> PAGEREF _Toc131594355 \h </w:instrText>
            </w:r>
            <w:r>
              <w:rPr>
                <w:noProof/>
                <w:webHidden/>
              </w:rPr>
            </w:r>
            <w:r>
              <w:rPr>
                <w:noProof/>
                <w:webHidden/>
              </w:rPr>
              <w:fldChar w:fldCharType="separate"/>
            </w:r>
            <w:r>
              <w:rPr>
                <w:noProof/>
                <w:webHidden/>
              </w:rPr>
              <w:t>8</w:t>
            </w:r>
            <w:r>
              <w:rPr>
                <w:noProof/>
                <w:webHidden/>
              </w:rPr>
              <w:fldChar w:fldCharType="end"/>
            </w:r>
          </w:hyperlink>
        </w:p>
        <w:p w14:paraId="53A40D19" w14:textId="504BE01E" w:rsidR="00965343" w:rsidRPr="00B2204C" w:rsidRDefault="00965343" w:rsidP="00B2204C">
          <w:pPr>
            <w:spacing w:line="360" w:lineRule="auto"/>
            <w:rPr>
              <w:rFonts w:ascii="Arial" w:hAnsi="Arial"/>
              <w:sz w:val="22"/>
            </w:rPr>
          </w:pPr>
          <w:r w:rsidRPr="00B2204C">
            <w:rPr>
              <w:rFonts w:ascii="Arial" w:hAnsi="Arial"/>
              <w:b/>
              <w:bCs/>
              <w:noProof/>
              <w:sz w:val="22"/>
            </w:rPr>
            <w:fldChar w:fldCharType="end"/>
          </w:r>
        </w:p>
      </w:sdtContent>
    </w:sdt>
    <w:p w14:paraId="47174B74" w14:textId="77777777" w:rsidR="00E844E6" w:rsidRPr="00B2204C" w:rsidRDefault="00E844E6" w:rsidP="00B2204C">
      <w:pPr>
        <w:spacing w:line="360" w:lineRule="auto"/>
        <w:rPr>
          <w:rFonts w:ascii="Arial" w:hAnsi="Arial"/>
          <w:b/>
          <w:bCs/>
          <w:sz w:val="22"/>
        </w:rPr>
      </w:pPr>
    </w:p>
    <w:p w14:paraId="5A0277DA" w14:textId="77777777" w:rsidR="00E844E6" w:rsidRPr="00B2204C" w:rsidRDefault="00E844E6" w:rsidP="00B2204C">
      <w:pPr>
        <w:spacing w:line="360" w:lineRule="auto"/>
        <w:jc w:val="center"/>
        <w:rPr>
          <w:rFonts w:ascii="Arial" w:hAnsi="Arial"/>
          <w:b/>
          <w:bCs/>
          <w:sz w:val="22"/>
        </w:rPr>
      </w:pPr>
    </w:p>
    <w:p w14:paraId="7AD4F1F9" w14:textId="77777777" w:rsidR="00E844E6" w:rsidRPr="00B2204C" w:rsidRDefault="00E844E6" w:rsidP="00B2204C">
      <w:pPr>
        <w:spacing w:line="360" w:lineRule="auto"/>
        <w:jc w:val="left"/>
        <w:rPr>
          <w:rFonts w:ascii="Arial" w:hAnsi="Arial"/>
          <w:b/>
          <w:sz w:val="22"/>
        </w:rPr>
      </w:pPr>
      <w:r w:rsidRPr="00B2204C">
        <w:rPr>
          <w:rFonts w:ascii="Arial" w:hAnsi="Arial"/>
          <w:sz w:val="22"/>
        </w:rPr>
        <w:br w:type="page"/>
      </w:r>
    </w:p>
    <w:p w14:paraId="00000002" w14:textId="080072E7" w:rsidR="0087076B" w:rsidRPr="00B2204C" w:rsidRDefault="00DC62E5" w:rsidP="00B2204C">
      <w:pPr>
        <w:pStyle w:val="Heading1"/>
        <w:spacing w:line="360" w:lineRule="auto"/>
        <w:rPr>
          <w:rFonts w:ascii="Arial" w:hAnsi="Arial"/>
          <w:sz w:val="22"/>
          <w:szCs w:val="22"/>
        </w:rPr>
      </w:pPr>
      <w:bookmarkStart w:id="1" w:name="_Toc131594350"/>
      <w:r w:rsidRPr="00B2204C">
        <w:rPr>
          <w:rFonts w:ascii="Arial" w:hAnsi="Arial"/>
          <w:sz w:val="22"/>
          <w:szCs w:val="22"/>
        </w:rPr>
        <w:lastRenderedPageBreak/>
        <w:t>Introduction</w:t>
      </w:r>
      <w:bookmarkEnd w:id="1"/>
    </w:p>
    <w:p w14:paraId="00000003" w14:textId="3D9561C9" w:rsidR="0087076B" w:rsidRPr="00B2204C" w:rsidRDefault="00DC62E5" w:rsidP="00B2204C">
      <w:pPr>
        <w:pStyle w:val="Normal1"/>
        <w:spacing w:line="360" w:lineRule="auto"/>
        <w:jc w:val="both"/>
        <w:rPr>
          <w:rFonts w:eastAsia="Times New Roman"/>
        </w:rPr>
      </w:pPr>
      <w:r w:rsidRPr="00B2204C">
        <w:rPr>
          <w:rFonts w:eastAsia="Times New Roman"/>
        </w:rPr>
        <w:t xml:space="preserve">Polio is a dangerous virus or disease which infects the nerves within the brain and spinal cord which eventually causes paralysis among human </w:t>
      </w:r>
      <w:r w:rsidRPr="00B2204C">
        <w:rPr>
          <w:rFonts w:eastAsia="Times New Roman"/>
        </w:rPr>
        <w:t>beings</w:t>
      </w:r>
      <w:r w:rsidR="0050556E" w:rsidRPr="00B2204C">
        <w:rPr>
          <w:rFonts w:eastAsia="Times New Roman"/>
        </w:rPr>
        <w:t xml:space="preserve"> </w:t>
      </w:r>
      <w:sdt>
        <w:sdtPr>
          <w:rPr>
            <w:rFonts w:eastAsia="Times New Roman"/>
          </w:rPr>
          <w:id w:val="229585902"/>
          <w:citation/>
        </w:sdtPr>
        <w:sdtEndPr/>
        <w:sdtContent>
          <w:r w:rsidR="0050556E" w:rsidRPr="00B2204C">
            <w:rPr>
              <w:rFonts w:eastAsia="Times New Roman"/>
            </w:rPr>
            <w:fldChar w:fldCharType="begin"/>
          </w:r>
          <w:r w:rsidR="0050556E" w:rsidRPr="00B2204C">
            <w:rPr>
              <w:rFonts w:eastAsia="Times New Roman"/>
              <w:lang w:val="en-IN"/>
            </w:rPr>
            <w:instrText xml:space="preserve"> CITATION Kri222 \l 16393 </w:instrText>
          </w:r>
          <w:r w:rsidR="0050556E" w:rsidRPr="00B2204C">
            <w:rPr>
              <w:rFonts w:eastAsia="Times New Roman"/>
            </w:rPr>
            <w:fldChar w:fldCharType="separate"/>
          </w:r>
          <w:r w:rsidR="0050556E" w:rsidRPr="00B2204C">
            <w:rPr>
              <w:rFonts w:eastAsia="Times New Roman"/>
              <w:noProof/>
              <w:lang w:val="en-IN"/>
            </w:rPr>
            <w:t>(Walter, 2022)</w:t>
          </w:r>
          <w:r w:rsidR="0050556E" w:rsidRPr="00B2204C">
            <w:rPr>
              <w:rFonts w:eastAsia="Times New Roman"/>
            </w:rPr>
            <w:fldChar w:fldCharType="end"/>
          </w:r>
        </w:sdtContent>
      </w:sdt>
      <w:r w:rsidRPr="00B2204C">
        <w:rPr>
          <w:rFonts w:eastAsia="Times New Roman"/>
        </w:rPr>
        <w:t>. Recently, in early 2022 UK health officials observed the outbreak of polio, especially in London. Centring on the probability of a Polio outbreak within London, the following report will describe variet</w:t>
      </w:r>
      <w:r w:rsidRPr="00B2204C">
        <w:rPr>
          <w:rFonts w:eastAsia="Times New Roman"/>
        </w:rPr>
        <w:t>ies of methods which are utilised by the UK government and health officials to control this virus. The below context will represent various approaches which are taken by the UK for the adequate measuring and monitoring of this viral disease. Furthermore, n</w:t>
      </w:r>
      <w:r w:rsidRPr="00B2204C">
        <w:rPr>
          <w:rFonts w:eastAsia="Times New Roman"/>
        </w:rPr>
        <w:t>umerous controlling strategies which are employed to restrict the widespread of this virus will be depicted.</w:t>
      </w:r>
    </w:p>
    <w:p w14:paraId="11417491" w14:textId="77777777" w:rsidR="00E844E6" w:rsidRPr="00B2204C" w:rsidRDefault="00E844E6" w:rsidP="00B2204C">
      <w:pPr>
        <w:spacing w:line="360" w:lineRule="auto"/>
        <w:jc w:val="left"/>
        <w:rPr>
          <w:rFonts w:ascii="Arial" w:eastAsia="Times New Roman" w:hAnsi="Arial"/>
          <w:b/>
          <w:sz w:val="22"/>
        </w:rPr>
      </w:pPr>
      <w:r w:rsidRPr="00B2204C">
        <w:rPr>
          <w:rFonts w:ascii="Arial" w:eastAsia="Times New Roman" w:hAnsi="Arial"/>
          <w:b/>
          <w:sz w:val="22"/>
        </w:rPr>
        <w:br w:type="page"/>
      </w:r>
    </w:p>
    <w:p w14:paraId="00000004" w14:textId="137F2F2C" w:rsidR="0087076B" w:rsidRPr="00B2204C" w:rsidRDefault="00DC62E5" w:rsidP="00B2204C">
      <w:pPr>
        <w:pStyle w:val="Heading1"/>
        <w:spacing w:line="360" w:lineRule="auto"/>
        <w:rPr>
          <w:rFonts w:ascii="Arial" w:hAnsi="Arial"/>
          <w:sz w:val="22"/>
          <w:szCs w:val="22"/>
        </w:rPr>
      </w:pPr>
      <w:bookmarkStart w:id="2" w:name="_Toc131594351"/>
      <w:r w:rsidRPr="00B2204C">
        <w:rPr>
          <w:rFonts w:ascii="Arial" w:hAnsi="Arial"/>
          <w:sz w:val="22"/>
          <w:szCs w:val="22"/>
        </w:rPr>
        <w:lastRenderedPageBreak/>
        <w:t>Critical evaluation of the strategies used in the UK to measure the incidence of the Polio disease</w:t>
      </w:r>
      <w:bookmarkEnd w:id="2"/>
      <w:r w:rsidRPr="00B2204C">
        <w:rPr>
          <w:rFonts w:ascii="Arial" w:hAnsi="Arial"/>
          <w:sz w:val="22"/>
          <w:szCs w:val="22"/>
        </w:rPr>
        <w:t xml:space="preserve"> </w:t>
      </w:r>
    </w:p>
    <w:p w14:paraId="00000005" w14:textId="09273FAC" w:rsidR="0087076B" w:rsidRPr="00B2204C" w:rsidRDefault="00DC62E5" w:rsidP="00B2204C">
      <w:pPr>
        <w:pStyle w:val="Normal1"/>
        <w:spacing w:line="360" w:lineRule="auto"/>
        <w:jc w:val="both"/>
        <w:rPr>
          <w:rFonts w:eastAsia="Times New Roman"/>
        </w:rPr>
      </w:pPr>
      <w:r w:rsidRPr="00B2204C">
        <w:rPr>
          <w:rFonts w:eastAsia="Times New Roman"/>
        </w:rPr>
        <w:t>During the early period of 2022, signs of the</w:t>
      </w:r>
      <w:r w:rsidRPr="00B2204C">
        <w:rPr>
          <w:rFonts w:eastAsia="Times New Roman"/>
        </w:rPr>
        <w:t xml:space="preserve"> emergence of polio have been witnessed by health officials as they have identified various versions of the virus within the sewage waters. While studying the viruses, it has been recognised that they can lead to the outbreak of polio within the  UK if not</w:t>
      </w:r>
      <w:r w:rsidRPr="00B2204C">
        <w:rPr>
          <w:rFonts w:eastAsia="Times New Roman"/>
        </w:rPr>
        <w:t xml:space="preserve"> controlled immediately</w:t>
      </w:r>
      <w:r w:rsidR="0050556E" w:rsidRPr="00B2204C">
        <w:rPr>
          <w:rFonts w:eastAsia="Times New Roman"/>
        </w:rPr>
        <w:t xml:space="preserve"> </w:t>
      </w:r>
      <w:sdt>
        <w:sdtPr>
          <w:rPr>
            <w:rFonts w:eastAsia="Times New Roman"/>
          </w:rPr>
          <w:id w:val="-2006815014"/>
          <w:citation/>
        </w:sdtPr>
        <w:sdtEndPr/>
        <w:sdtContent>
          <w:r w:rsidR="0050556E" w:rsidRPr="00B2204C">
            <w:rPr>
              <w:rFonts w:eastAsia="Times New Roman"/>
            </w:rPr>
            <w:fldChar w:fldCharType="begin"/>
          </w:r>
          <w:r w:rsidR="0050556E" w:rsidRPr="00B2204C">
            <w:rPr>
              <w:rFonts w:eastAsia="Times New Roman"/>
              <w:lang w:val="en-IN"/>
            </w:rPr>
            <w:instrText xml:space="preserve"> CITATION Mic221 \l 16393 </w:instrText>
          </w:r>
          <w:r w:rsidR="0050556E" w:rsidRPr="00B2204C">
            <w:rPr>
              <w:rFonts w:eastAsia="Times New Roman"/>
            </w:rPr>
            <w:fldChar w:fldCharType="separate"/>
          </w:r>
          <w:r w:rsidR="0050556E" w:rsidRPr="00B2204C">
            <w:rPr>
              <w:rFonts w:eastAsia="Times New Roman"/>
              <w:noProof/>
              <w:lang w:val="en-IN"/>
            </w:rPr>
            <w:t>(Doucleff, 2022)</w:t>
          </w:r>
          <w:r w:rsidR="0050556E" w:rsidRPr="00B2204C">
            <w:rPr>
              <w:rFonts w:eastAsia="Times New Roman"/>
            </w:rPr>
            <w:fldChar w:fldCharType="end"/>
          </w:r>
        </w:sdtContent>
      </w:sdt>
      <w:r w:rsidRPr="00B2204C">
        <w:rPr>
          <w:rFonts w:eastAsia="Times New Roman"/>
        </w:rPr>
        <w:t>. Therefore, initially, they use some method to effectively measure the incidence of Polio which has been depicted below.</w:t>
      </w:r>
    </w:p>
    <w:p w14:paraId="00000006" w14:textId="452E4203" w:rsidR="0087076B" w:rsidRPr="00B2204C" w:rsidRDefault="00DC62E5" w:rsidP="00B2204C">
      <w:pPr>
        <w:pStyle w:val="Normal1"/>
        <w:spacing w:line="360" w:lineRule="auto"/>
        <w:jc w:val="both"/>
        <w:rPr>
          <w:rFonts w:eastAsia="Times New Roman"/>
        </w:rPr>
      </w:pPr>
      <w:r w:rsidRPr="00B2204C">
        <w:rPr>
          <w:rFonts w:eastAsia="Times New Roman"/>
          <w:b/>
        </w:rPr>
        <w:t>Surveillance:</w:t>
      </w:r>
      <w:r w:rsidRPr="00B2204C">
        <w:rPr>
          <w:rFonts w:eastAsia="Times New Roman"/>
        </w:rPr>
        <w:t xml:space="preserve"> First of all, the UK has developed a robust surve</w:t>
      </w:r>
      <w:r w:rsidRPr="00B2204C">
        <w:rPr>
          <w:rFonts w:eastAsia="Times New Roman"/>
        </w:rPr>
        <w:t>illance system to track the incidence of polio which is occurring in the local community. Through this system, they track all cases of acute flaccid paralysis (AFP) in children under 15 years of age, which is a clinical manifestation of polio. This strateg</w:t>
      </w:r>
      <w:r w:rsidRPr="00B2204C">
        <w:rPr>
          <w:rFonts w:eastAsia="Times New Roman"/>
        </w:rPr>
        <w:t>y enables health officials to early detect and respond to any potential polio outbreak</w:t>
      </w:r>
      <w:r w:rsidR="0050556E" w:rsidRPr="00B2204C">
        <w:rPr>
          <w:rFonts w:eastAsia="Times New Roman"/>
        </w:rPr>
        <w:t xml:space="preserve"> </w:t>
      </w:r>
      <w:sdt>
        <w:sdtPr>
          <w:rPr>
            <w:rFonts w:eastAsia="Times New Roman"/>
          </w:rPr>
          <w:id w:val="-532501636"/>
          <w:citation/>
        </w:sdtPr>
        <w:sdtEndPr/>
        <w:sdtContent>
          <w:r w:rsidR="0050556E" w:rsidRPr="00B2204C">
            <w:rPr>
              <w:rFonts w:eastAsia="Times New Roman"/>
            </w:rPr>
            <w:fldChar w:fldCharType="begin"/>
          </w:r>
          <w:r w:rsidR="0050556E" w:rsidRPr="00B2204C">
            <w:rPr>
              <w:rFonts w:eastAsia="Times New Roman"/>
              <w:lang w:val="en-IN"/>
            </w:rPr>
            <w:instrText xml:space="preserve"> CITATION MSt20 \l 16393 </w:instrText>
          </w:r>
          <w:r w:rsidR="0050556E" w:rsidRPr="00B2204C">
            <w:rPr>
              <w:rFonts w:eastAsia="Times New Roman"/>
            </w:rPr>
            <w:fldChar w:fldCharType="separate"/>
          </w:r>
          <w:r w:rsidR="0050556E" w:rsidRPr="00B2204C">
            <w:rPr>
              <w:rFonts w:eastAsia="Times New Roman"/>
              <w:noProof/>
              <w:lang w:val="en-IN"/>
            </w:rPr>
            <w:t>(Oberste, 2020)</w:t>
          </w:r>
          <w:r w:rsidR="0050556E" w:rsidRPr="00B2204C">
            <w:rPr>
              <w:rFonts w:eastAsia="Times New Roman"/>
            </w:rPr>
            <w:fldChar w:fldCharType="end"/>
          </w:r>
        </w:sdtContent>
      </w:sdt>
      <w:r w:rsidRPr="00B2204C">
        <w:rPr>
          <w:rFonts w:eastAsia="Times New Roman"/>
        </w:rPr>
        <w:t>.</w:t>
      </w:r>
    </w:p>
    <w:p w14:paraId="00000007" w14:textId="1D369732" w:rsidR="0087076B" w:rsidRPr="00B2204C" w:rsidRDefault="00DC62E5" w:rsidP="00B2204C">
      <w:pPr>
        <w:pStyle w:val="Normal1"/>
        <w:spacing w:line="360" w:lineRule="auto"/>
        <w:jc w:val="both"/>
        <w:rPr>
          <w:rFonts w:eastAsia="Times New Roman"/>
        </w:rPr>
      </w:pPr>
      <w:r w:rsidRPr="00B2204C">
        <w:rPr>
          <w:rFonts w:eastAsia="Times New Roman"/>
          <w:b/>
        </w:rPr>
        <w:t>Immunisation:</w:t>
      </w:r>
      <w:r w:rsidRPr="00B2204C">
        <w:rPr>
          <w:rFonts w:eastAsia="Times New Roman"/>
        </w:rPr>
        <w:t xml:space="preserve"> The UK already has a well-established immunisation program that includes routine vaccination of children aga</w:t>
      </w:r>
      <w:r w:rsidRPr="00B2204C">
        <w:rPr>
          <w:rFonts w:eastAsia="Times New Roman"/>
        </w:rPr>
        <w:t>inst polio. This program is genuinely helpful in reducing the incidence of the disease and preventing outbreaks</w:t>
      </w:r>
      <w:r w:rsidR="0050556E" w:rsidRPr="00B2204C">
        <w:rPr>
          <w:rFonts w:eastAsia="Times New Roman"/>
        </w:rPr>
        <w:t xml:space="preserve"> </w:t>
      </w:r>
      <w:sdt>
        <w:sdtPr>
          <w:rPr>
            <w:rFonts w:eastAsia="Times New Roman"/>
          </w:rPr>
          <w:id w:val="412205547"/>
          <w:citation/>
        </w:sdtPr>
        <w:sdtEndPr/>
        <w:sdtContent>
          <w:r w:rsidR="0050556E" w:rsidRPr="00B2204C">
            <w:rPr>
              <w:rFonts w:eastAsia="Times New Roman"/>
            </w:rPr>
            <w:fldChar w:fldCharType="begin"/>
          </w:r>
          <w:r w:rsidR="0050556E" w:rsidRPr="00B2204C">
            <w:rPr>
              <w:rFonts w:eastAsia="Times New Roman"/>
              <w:lang w:val="en-IN"/>
            </w:rPr>
            <w:instrText xml:space="preserve"> CITATION Buk22 \l 16393 </w:instrText>
          </w:r>
          <w:r w:rsidR="0050556E" w:rsidRPr="00B2204C">
            <w:rPr>
              <w:rFonts w:eastAsia="Times New Roman"/>
            </w:rPr>
            <w:fldChar w:fldCharType="separate"/>
          </w:r>
          <w:r w:rsidR="0050556E" w:rsidRPr="00B2204C">
            <w:rPr>
              <w:rFonts w:eastAsia="Times New Roman"/>
              <w:noProof/>
              <w:lang w:val="en-IN"/>
            </w:rPr>
            <w:t>(Balogun, 2022)</w:t>
          </w:r>
          <w:r w:rsidR="0050556E" w:rsidRPr="00B2204C">
            <w:rPr>
              <w:rFonts w:eastAsia="Times New Roman"/>
            </w:rPr>
            <w:fldChar w:fldCharType="end"/>
          </w:r>
        </w:sdtContent>
      </w:sdt>
      <w:r w:rsidRPr="00B2204C">
        <w:rPr>
          <w:rFonts w:eastAsia="Times New Roman"/>
        </w:rPr>
        <w:t>.</w:t>
      </w:r>
    </w:p>
    <w:p w14:paraId="00000008" w14:textId="77777777" w:rsidR="0087076B" w:rsidRPr="00B2204C" w:rsidRDefault="00DC62E5" w:rsidP="00B2204C">
      <w:pPr>
        <w:pStyle w:val="Normal1"/>
        <w:spacing w:line="360" w:lineRule="auto"/>
        <w:jc w:val="both"/>
        <w:rPr>
          <w:rFonts w:eastAsia="Times New Roman"/>
        </w:rPr>
      </w:pPr>
      <w:r w:rsidRPr="00B2204C">
        <w:rPr>
          <w:rFonts w:eastAsia="Times New Roman"/>
          <w:b/>
        </w:rPr>
        <w:t>Laboratory confirmation:</w:t>
      </w:r>
      <w:r w:rsidRPr="00B2204C">
        <w:rPr>
          <w:rFonts w:eastAsia="Times New Roman"/>
        </w:rPr>
        <w:t xml:space="preserve"> All cases of AFP were tested in the laboratory to confirm the presence o</w:t>
      </w:r>
      <w:r w:rsidRPr="00B2204C">
        <w:rPr>
          <w:rFonts w:eastAsia="Times New Roman"/>
        </w:rPr>
        <w:t>f the polio virus. The following test is advantageous to the accurate identification of cases and ensuring that appropriate measures are taken to prevent the spread of the disease.</w:t>
      </w:r>
    </w:p>
    <w:p w14:paraId="00000009" w14:textId="77777777" w:rsidR="0087076B" w:rsidRPr="00B2204C" w:rsidRDefault="00DC62E5" w:rsidP="00B2204C">
      <w:pPr>
        <w:pStyle w:val="Normal1"/>
        <w:spacing w:line="360" w:lineRule="auto"/>
        <w:jc w:val="both"/>
        <w:rPr>
          <w:rFonts w:eastAsia="Times New Roman"/>
        </w:rPr>
      </w:pPr>
      <w:r w:rsidRPr="00B2204C">
        <w:rPr>
          <w:rFonts w:eastAsia="Times New Roman"/>
          <w:b/>
        </w:rPr>
        <w:t>Risk assessment:</w:t>
      </w:r>
      <w:r w:rsidRPr="00B2204C">
        <w:rPr>
          <w:rFonts w:eastAsia="Times New Roman"/>
        </w:rPr>
        <w:t xml:space="preserve"> An ongoing risk assessment conducted by the UK is intended</w:t>
      </w:r>
      <w:r w:rsidRPr="00B2204C">
        <w:rPr>
          <w:rFonts w:eastAsia="Times New Roman"/>
        </w:rPr>
        <w:t xml:space="preserve"> to identify populations that are at higher risk of polio, such as travellers to polio-endemic countries. This approach allows targeted interventions to prevent the introduction of the virus into the UK.</w:t>
      </w:r>
    </w:p>
    <w:p w14:paraId="0000000A" w14:textId="77777777" w:rsidR="0087076B" w:rsidRPr="00B2204C" w:rsidRDefault="00DC62E5" w:rsidP="00B2204C">
      <w:pPr>
        <w:pStyle w:val="Normal1"/>
        <w:spacing w:line="360" w:lineRule="auto"/>
        <w:jc w:val="both"/>
        <w:rPr>
          <w:rFonts w:eastAsia="Times New Roman"/>
        </w:rPr>
      </w:pPr>
      <w:r w:rsidRPr="00B2204C">
        <w:rPr>
          <w:rFonts w:eastAsia="Times New Roman"/>
          <w:b/>
        </w:rPr>
        <w:t>International collaboration:</w:t>
      </w:r>
      <w:r w:rsidRPr="00B2204C">
        <w:rPr>
          <w:rFonts w:eastAsia="Times New Roman"/>
        </w:rPr>
        <w:t xml:space="preserve"> The UK works collaboratively with international organisations such as the World Health Organization (WHO) to ensure a coordinated and effective response to polio. They share information and expertise, as well as support polio eradication efforts in other </w:t>
      </w:r>
      <w:r w:rsidRPr="00B2204C">
        <w:rPr>
          <w:rFonts w:eastAsia="Times New Roman"/>
        </w:rPr>
        <w:t>countries which is beneficial in adequately demonstrating the measures to control polio.</w:t>
      </w:r>
    </w:p>
    <w:p w14:paraId="0012DB46" w14:textId="77777777" w:rsidR="00E844E6" w:rsidRPr="00B2204C" w:rsidRDefault="00E844E6" w:rsidP="00B2204C">
      <w:pPr>
        <w:spacing w:line="360" w:lineRule="auto"/>
        <w:jc w:val="left"/>
        <w:rPr>
          <w:rFonts w:ascii="Arial" w:eastAsia="Times New Roman" w:hAnsi="Arial"/>
          <w:b/>
          <w:sz w:val="22"/>
        </w:rPr>
      </w:pPr>
      <w:r w:rsidRPr="00B2204C">
        <w:rPr>
          <w:rFonts w:ascii="Arial" w:eastAsia="Times New Roman" w:hAnsi="Arial"/>
          <w:b/>
          <w:sz w:val="22"/>
        </w:rPr>
        <w:br w:type="page"/>
      </w:r>
    </w:p>
    <w:p w14:paraId="0000000B" w14:textId="1721A064" w:rsidR="0087076B" w:rsidRPr="00B2204C" w:rsidRDefault="00DC62E5" w:rsidP="00B2204C">
      <w:pPr>
        <w:pStyle w:val="Heading1"/>
        <w:spacing w:line="360" w:lineRule="auto"/>
        <w:rPr>
          <w:rFonts w:ascii="Arial" w:hAnsi="Arial"/>
          <w:sz w:val="22"/>
          <w:szCs w:val="22"/>
        </w:rPr>
      </w:pPr>
      <w:bookmarkStart w:id="3" w:name="_Toc131594352"/>
      <w:r w:rsidRPr="00B2204C">
        <w:rPr>
          <w:rFonts w:ascii="Arial" w:hAnsi="Arial"/>
          <w:sz w:val="22"/>
          <w:szCs w:val="22"/>
        </w:rPr>
        <w:lastRenderedPageBreak/>
        <w:t>Concise analysis of strategies used within the UK to monitor the rising polio incidence</w:t>
      </w:r>
      <w:bookmarkEnd w:id="3"/>
    </w:p>
    <w:p w14:paraId="0000000C" w14:textId="77777777" w:rsidR="0087076B" w:rsidRPr="00B2204C" w:rsidRDefault="00DC62E5" w:rsidP="00B2204C">
      <w:pPr>
        <w:pStyle w:val="Normal1"/>
        <w:spacing w:line="360" w:lineRule="auto"/>
        <w:jc w:val="both"/>
        <w:rPr>
          <w:rFonts w:eastAsia="Times New Roman"/>
        </w:rPr>
      </w:pPr>
      <w:r w:rsidRPr="00B2204C">
        <w:rPr>
          <w:rFonts w:eastAsia="Times New Roman"/>
        </w:rPr>
        <w:t>Addressing the measures for the proper identification of poliovirus, now UK h</w:t>
      </w:r>
      <w:r w:rsidRPr="00B2204C">
        <w:rPr>
          <w:rFonts w:eastAsia="Times New Roman"/>
        </w:rPr>
        <w:t>ealth officials are needed to adequately monitor the incident of polio which can be helpful in controlling. Some of the adequate strategies which have been incorporated or revised by the UK  collaboratively with the NHS for the proper monitoring of polio i</w:t>
      </w:r>
      <w:r w:rsidRPr="00B2204C">
        <w:rPr>
          <w:rFonts w:eastAsia="Times New Roman"/>
        </w:rPr>
        <w:t>ncidents have been illustrated below.</w:t>
      </w:r>
    </w:p>
    <w:p w14:paraId="0000000D" w14:textId="290E74D5" w:rsidR="0087076B" w:rsidRPr="00B2204C" w:rsidRDefault="00DC62E5" w:rsidP="00B2204C">
      <w:pPr>
        <w:pStyle w:val="Normal1"/>
        <w:spacing w:line="360" w:lineRule="auto"/>
        <w:jc w:val="both"/>
        <w:rPr>
          <w:rFonts w:eastAsia="Times New Roman"/>
        </w:rPr>
      </w:pPr>
      <w:r w:rsidRPr="00B2204C">
        <w:rPr>
          <w:rFonts w:eastAsia="Times New Roman"/>
          <w:b/>
        </w:rPr>
        <w:t>Enhanced monitoring of high-risk populations:</w:t>
      </w:r>
      <w:r w:rsidRPr="00B2204C">
        <w:rPr>
          <w:rFonts w:eastAsia="Times New Roman"/>
        </w:rPr>
        <w:t xml:space="preserve"> Among the densely populated areas within the UK the health officials and government collaboratively focused on conducting sewage sample tests. They are especially monitorin</w:t>
      </w:r>
      <w:r w:rsidRPr="00B2204C">
        <w:rPr>
          <w:rFonts w:eastAsia="Times New Roman"/>
        </w:rPr>
        <w:t>g the visitors arriving from countries which are polio-endemic. These measures include monitoring for symptoms of polio via screening and travel advice to ensure they take appropriate actions to prevent the spread of the virus</w:t>
      </w:r>
      <w:r w:rsidR="00E844E6" w:rsidRPr="00B2204C">
        <w:rPr>
          <w:rFonts w:eastAsia="Times New Roman"/>
        </w:rPr>
        <w:t xml:space="preserve"> </w:t>
      </w:r>
      <w:sdt>
        <w:sdtPr>
          <w:rPr>
            <w:rFonts w:eastAsia="Times New Roman"/>
          </w:rPr>
          <w:id w:val="-1426714665"/>
          <w:citation/>
        </w:sdtPr>
        <w:sdtEndPr/>
        <w:sdtContent>
          <w:r w:rsidR="00E844E6" w:rsidRPr="00B2204C">
            <w:rPr>
              <w:rFonts w:eastAsia="Times New Roman"/>
            </w:rPr>
            <w:fldChar w:fldCharType="begin"/>
          </w:r>
          <w:r w:rsidR="00E844E6" w:rsidRPr="00B2204C">
            <w:rPr>
              <w:rFonts w:eastAsia="Times New Roman"/>
              <w:lang w:val="en-IN"/>
            </w:rPr>
            <w:instrText xml:space="preserve"> CITATION Lau211 \l 16393 </w:instrText>
          </w:r>
          <w:r w:rsidR="00E844E6" w:rsidRPr="00B2204C">
            <w:rPr>
              <w:rFonts w:eastAsia="Times New Roman"/>
            </w:rPr>
            <w:fldChar w:fldCharType="separate"/>
          </w:r>
          <w:r w:rsidR="00E844E6" w:rsidRPr="00B2204C">
            <w:rPr>
              <w:rFonts w:eastAsia="Times New Roman"/>
              <w:noProof/>
              <w:lang w:val="en-IN"/>
            </w:rPr>
            <w:t>(Cooper, 2021)</w:t>
          </w:r>
          <w:r w:rsidR="00E844E6" w:rsidRPr="00B2204C">
            <w:rPr>
              <w:rFonts w:eastAsia="Times New Roman"/>
            </w:rPr>
            <w:fldChar w:fldCharType="end"/>
          </w:r>
        </w:sdtContent>
      </w:sdt>
      <w:r w:rsidRPr="00B2204C">
        <w:rPr>
          <w:rFonts w:eastAsia="Times New Roman"/>
        </w:rPr>
        <w:t>.</w:t>
      </w:r>
    </w:p>
    <w:p w14:paraId="0000000E" w14:textId="77777777" w:rsidR="0087076B" w:rsidRPr="00B2204C" w:rsidRDefault="00DC62E5" w:rsidP="00B2204C">
      <w:pPr>
        <w:pStyle w:val="Normal1"/>
        <w:spacing w:line="360" w:lineRule="auto"/>
        <w:jc w:val="both"/>
        <w:rPr>
          <w:rFonts w:eastAsia="Times New Roman"/>
        </w:rPr>
      </w:pPr>
      <w:r w:rsidRPr="00B2204C">
        <w:rPr>
          <w:rFonts w:eastAsia="Times New Roman"/>
          <w:b/>
        </w:rPr>
        <w:t xml:space="preserve">Public education and awareness: </w:t>
      </w:r>
      <w:r w:rsidRPr="00B2204C">
        <w:rPr>
          <w:rFonts w:eastAsia="Times New Roman"/>
        </w:rPr>
        <w:t>The UK government focuses on public education and awareness campaigns to ensure that the public is informed about the importance of vaccination and other preventive measures. Through taking this step the UK</w:t>
      </w:r>
      <w:r w:rsidRPr="00B2204C">
        <w:rPr>
          <w:rFonts w:eastAsia="Times New Roman"/>
        </w:rPr>
        <w:t xml:space="preserve"> health officials are effectively motivating the public to take accurate actions for the prevention of the spread of polio, reducing the risk of a rise in incidence.</w:t>
      </w:r>
    </w:p>
    <w:p w14:paraId="0000000F" w14:textId="49FFD715" w:rsidR="0087076B" w:rsidRPr="00B2204C" w:rsidRDefault="00DC62E5" w:rsidP="00B2204C">
      <w:pPr>
        <w:pStyle w:val="Normal1"/>
        <w:spacing w:line="360" w:lineRule="auto"/>
        <w:jc w:val="both"/>
        <w:rPr>
          <w:rFonts w:eastAsia="Times New Roman"/>
        </w:rPr>
      </w:pPr>
      <w:r w:rsidRPr="00B2204C">
        <w:rPr>
          <w:rFonts w:eastAsia="Times New Roman"/>
          <w:b/>
        </w:rPr>
        <w:t>Response planning</w:t>
      </w:r>
      <w:r w:rsidRPr="00B2204C">
        <w:rPr>
          <w:rFonts w:eastAsia="Times New Roman"/>
        </w:rPr>
        <w:t>: A response plan has been made by UK health officials by collaborating w</w:t>
      </w:r>
      <w:r w:rsidRPr="00B2204C">
        <w:rPr>
          <w:rFonts w:eastAsia="Times New Roman"/>
        </w:rPr>
        <w:t>ith WHO to quickly respond to any rise in polio incidence. Implementation of the response plan consists of a variety of measures like increasing vaccination coverage, adopting infection control measures, and conducting outbreak investigations to get rid of</w:t>
      </w:r>
      <w:r w:rsidRPr="00B2204C">
        <w:rPr>
          <w:rFonts w:eastAsia="Times New Roman"/>
        </w:rPr>
        <w:t xml:space="preserve"> the outbreak source</w:t>
      </w:r>
      <w:r w:rsidR="00E844E6" w:rsidRPr="00B2204C">
        <w:rPr>
          <w:rFonts w:eastAsia="Times New Roman"/>
        </w:rPr>
        <w:t xml:space="preserve"> (Snider et al., 2022)</w:t>
      </w:r>
      <w:r w:rsidRPr="00B2204C">
        <w:rPr>
          <w:rFonts w:eastAsia="Times New Roman"/>
        </w:rPr>
        <w:t>.</w:t>
      </w:r>
    </w:p>
    <w:p w14:paraId="00000010" w14:textId="76A9D352" w:rsidR="0087076B" w:rsidRPr="00B2204C" w:rsidRDefault="00DC62E5" w:rsidP="00B2204C">
      <w:pPr>
        <w:pStyle w:val="Heading1"/>
        <w:spacing w:line="360" w:lineRule="auto"/>
        <w:rPr>
          <w:rFonts w:ascii="Arial" w:hAnsi="Arial"/>
          <w:sz w:val="22"/>
          <w:szCs w:val="22"/>
        </w:rPr>
      </w:pPr>
      <w:bookmarkStart w:id="4" w:name="_Toc131594353"/>
      <w:r w:rsidRPr="00B2204C">
        <w:rPr>
          <w:rFonts w:ascii="Arial" w:hAnsi="Arial"/>
          <w:sz w:val="22"/>
          <w:szCs w:val="22"/>
        </w:rPr>
        <w:t>Evaluating the strategies used in the UK for the adequate controlling of polio disease</w:t>
      </w:r>
      <w:bookmarkEnd w:id="4"/>
    </w:p>
    <w:p w14:paraId="00000011" w14:textId="77777777" w:rsidR="0087076B" w:rsidRPr="00B2204C" w:rsidRDefault="00DC62E5" w:rsidP="00B2204C">
      <w:pPr>
        <w:pStyle w:val="Normal1"/>
        <w:spacing w:line="360" w:lineRule="auto"/>
        <w:jc w:val="both"/>
        <w:rPr>
          <w:rFonts w:eastAsia="Times New Roman"/>
        </w:rPr>
      </w:pPr>
      <w:r w:rsidRPr="00B2204C">
        <w:rPr>
          <w:rFonts w:eastAsia="Times New Roman"/>
        </w:rPr>
        <w:t xml:space="preserve">During 1988,  Global Polio Eradication Initiative (GPI) was already initiated with the support of WHO, UNICEF and the World </w:t>
      </w:r>
      <w:r w:rsidRPr="00B2204C">
        <w:rPr>
          <w:rFonts w:eastAsia="Times New Roman"/>
        </w:rPr>
        <w:t xml:space="preserve">Health Assembly to eradicate the polio virus. Varieties of polio programs have been made by collaborating with various polio partners which are circulated within the UK for the adequate control of this viral disease. Some of the core strategies which have </w:t>
      </w:r>
      <w:r w:rsidRPr="00B2204C">
        <w:rPr>
          <w:rFonts w:eastAsia="Times New Roman"/>
        </w:rPr>
        <w:t>been implicated and adhered to by the UK to control the polio outbreak are highlighted below.</w:t>
      </w:r>
    </w:p>
    <w:p w14:paraId="00000012" w14:textId="5DB1E6E6" w:rsidR="0087076B" w:rsidRPr="00B2204C" w:rsidRDefault="00DC62E5" w:rsidP="00B2204C">
      <w:pPr>
        <w:pStyle w:val="Normal1"/>
        <w:spacing w:line="360" w:lineRule="auto"/>
        <w:jc w:val="both"/>
        <w:rPr>
          <w:rFonts w:eastAsia="Times New Roman"/>
        </w:rPr>
      </w:pPr>
      <w:r w:rsidRPr="00B2204C">
        <w:rPr>
          <w:rFonts w:eastAsia="Times New Roman"/>
          <w:b/>
        </w:rPr>
        <w:t xml:space="preserve">Routine immunisation: </w:t>
      </w:r>
      <w:r w:rsidRPr="00B2204C">
        <w:rPr>
          <w:rFonts w:eastAsia="Times New Roman"/>
        </w:rPr>
        <w:t>Routine immunisation is a critical strategy which has been employed to control polio in the UK. The use of the oral polio vaccine (OPV) in t</w:t>
      </w:r>
      <w:r w:rsidRPr="00B2204C">
        <w:rPr>
          <w:rFonts w:eastAsia="Times New Roman"/>
        </w:rPr>
        <w:t xml:space="preserve">he country's immunisation program has been highly effective in reducing the incidence of the disease to extremely low levels. Through providing immunity to the poliovirus via routine vaccination, individuals are </w:t>
      </w:r>
      <w:r w:rsidRPr="00B2204C">
        <w:rPr>
          <w:rFonts w:eastAsia="Times New Roman"/>
        </w:rPr>
        <w:lastRenderedPageBreak/>
        <w:t>protected against the disease. Although it a</w:t>
      </w:r>
      <w:r w:rsidRPr="00B2204C">
        <w:rPr>
          <w:rFonts w:eastAsia="Times New Roman"/>
        </w:rPr>
        <w:t>ids in preventing the spread of the virus and the occurrence of outbreaks within a demographic area. It is the most initial step taken by the UK to secure the individuals especially, the children</w:t>
      </w:r>
      <w:r w:rsidR="0050556E" w:rsidRPr="00B2204C">
        <w:rPr>
          <w:rFonts w:eastAsia="Times New Roman"/>
        </w:rPr>
        <w:t xml:space="preserve"> </w:t>
      </w:r>
      <w:sdt>
        <w:sdtPr>
          <w:rPr>
            <w:rFonts w:eastAsia="Times New Roman"/>
          </w:rPr>
          <w:id w:val="1717319126"/>
          <w:citation/>
        </w:sdtPr>
        <w:sdtEndPr/>
        <w:sdtContent>
          <w:r w:rsidR="0050556E" w:rsidRPr="00B2204C">
            <w:rPr>
              <w:rFonts w:eastAsia="Times New Roman"/>
            </w:rPr>
            <w:fldChar w:fldCharType="begin"/>
          </w:r>
          <w:r w:rsidR="0050556E" w:rsidRPr="00B2204C">
            <w:rPr>
              <w:rFonts w:eastAsia="Times New Roman"/>
              <w:lang w:val="en-IN"/>
            </w:rPr>
            <w:instrText xml:space="preserve"> CITATION CDC22 \l 16393 </w:instrText>
          </w:r>
          <w:r w:rsidR="0050556E" w:rsidRPr="00B2204C">
            <w:rPr>
              <w:rFonts w:eastAsia="Times New Roman"/>
            </w:rPr>
            <w:fldChar w:fldCharType="separate"/>
          </w:r>
          <w:r w:rsidR="0050556E" w:rsidRPr="00B2204C">
            <w:rPr>
              <w:rFonts w:eastAsia="Times New Roman"/>
              <w:noProof/>
              <w:lang w:val="en-IN"/>
            </w:rPr>
            <w:t>(CDC, 2022)</w:t>
          </w:r>
          <w:r w:rsidR="0050556E" w:rsidRPr="00B2204C">
            <w:rPr>
              <w:rFonts w:eastAsia="Times New Roman"/>
            </w:rPr>
            <w:fldChar w:fldCharType="end"/>
          </w:r>
        </w:sdtContent>
      </w:sdt>
      <w:r w:rsidRPr="00B2204C">
        <w:rPr>
          <w:rFonts w:eastAsia="Times New Roman"/>
        </w:rPr>
        <w:t>.</w:t>
      </w:r>
    </w:p>
    <w:p w14:paraId="00000013" w14:textId="2DC23790" w:rsidR="0087076B" w:rsidRPr="00B2204C" w:rsidRDefault="00DC62E5" w:rsidP="00B2204C">
      <w:pPr>
        <w:pStyle w:val="Normal1"/>
        <w:spacing w:line="360" w:lineRule="auto"/>
        <w:jc w:val="both"/>
        <w:rPr>
          <w:rFonts w:eastAsia="Times New Roman"/>
        </w:rPr>
      </w:pPr>
      <w:r w:rsidRPr="00B2204C">
        <w:rPr>
          <w:rFonts w:eastAsia="Times New Roman"/>
          <w:b/>
        </w:rPr>
        <w:t>Targeted “mop-up”</w:t>
      </w:r>
      <w:r w:rsidRPr="00B2204C">
        <w:rPr>
          <w:rFonts w:eastAsia="Times New Roman"/>
          <w:b/>
        </w:rPr>
        <w:t xml:space="preserve"> campaigns: </w:t>
      </w:r>
      <w:r w:rsidRPr="00B2204C">
        <w:rPr>
          <w:rFonts w:eastAsia="Times New Roman"/>
        </w:rPr>
        <w:t xml:space="preserve"> Another strategic approach utilised to restrict the spread of the polio virus is the commencement of Mop-Up campaigns. The type of campaign is fundamentally conducted in high-risk areas, such as areas with low immunisation rates or where cases</w:t>
      </w:r>
      <w:r w:rsidRPr="00B2204C">
        <w:rPr>
          <w:rFonts w:eastAsia="Times New Roman"/>
        </w:rPr>
        <w:t xml:space="preserve"> of polio have been identified. The spread of the virus is contained by using this campaign and it assists in reducing the probability of polio outbreaks within other regions. This comprehensive approach helps to ensure that all individuals in high-risk ar</w:t>
      </w:r>
      <w:r w:rsidRPr="00B2204C">
        <w:rPr>
          <w:rFonts w:eastAsia="Times New Roman"/>
        </w:rPr>
        <w:t>eas are protected against polio</w:t>
      </w:r>
      <w:r w:rsidR="0050556E" w:rsidRPr="00B2204C">
        <w:rPr>
          <w:rFonts w:eastAsia="Times New Roman"/>
        </w:rPr>
        <w:t xml:space="preserve"> </w:t>
      </w:r>
      <w:sdt>
        <w:sdtPr>
          <w:rPr>
            <w:rFonts w:eastAsia="Times New Roman"/>
          </w:rPr>
          <w:id w:val="790481986"/>
          <w:citation/>
        </w:sdtPr>
        <w:sdtEndPr/>
        <w:sdtContent>
          <w:r w:rsidR="0050556E" w:rsidRPr="00B2204C">
            <w:rPr>
              <w:rFonts w:eastAsia="Times New Roman"/>
            </w:rPr>
            <w:fldChar w:fldCharType="begin"/>
          </w:r>
          <w:r w:rsidR="0050556E" w:rsidRPr="00B2204C">
            <w:rPr>
              <w:rFonts w:eastAsia="Times New Roman"/>
              <w:lang w:val="en-IN"/>
            </w:rPr>
            <w:instrText xml:space="preserve"> CITATION Rya20 \l 16393 </w:instrText>
          </w:r>
          <w:r w:rsidR="0050556E" w:rsidRPr="00B2204C">
            <w:rPr>
              <w:rFonts w:eastAsia="Times New Roman"/>
            </w:rPr>
            <w:fldChar w:fldCharType="separate"/>
          </w:r>
          <w:r w:rsidR="0050556E" w:rsidRPr="00B2204C">
            <w:rPr>
              <w:rFonts w:eastAsia="Times New Roman"/>
              <w:noProof/>
              <w:lang w:val="en-IN"/>
            </w:rPr>
            <w:t>(Scott, 2020)</w:t>
          </w:r>
          <w:r w:rsidR="0050556E" w:rsidRPr="00B2204C">
            <w:rPr>
              <w:rFonts w:eastAsia="Times New Roman"/>
            </w:rPr>
            <w:fldChar w:fldCharType="end"/>
          </w:r>
        </w:sdtContent>
      </w:sdt>
      <w:r w:rsidRPr="00B2204C">
        <w:rPr>
          <w:rFonts w:eastAsia="Times New Roman"/>
        </w:rPr>
        <w:t>.</w:t>
      </w:r>
    </w:p>
    <w:p w14:paraId="68073C9E" w14:textId="77777777" w:rsidR="0050556E" w:rsidRPr="00B2204C" w:rsidRDefault="0050556E" w:rsidP="00B2204C">
      <w:pPr>
        <w:spacing w:line="360" w:lineRule="auto"/>
        <w:jc w:val="left"/>
        <w:rPr>
          <w:rFonts w:ascii="Arial" w:hAnsi="Arial"/>
          <w:b/>
          <w:sz w:val="22"/>
        </w:rPr>
      </w:pPr>
      <w:r w:rsidRPr="00B2204C">
        <w:rPr>
          <w:rFonts w:ascii="Arial" w:hAnsi="Arial"/>
          <w:sz w:val="22"/>
        </w:rPr>
        <w:br w:type="page"/>
      </w:r>
    </w:p>
    <w:p w14:paraId="00000014" w14:textId="0EDA4EA1" w:rsidR="0087076B" w:rsidRPr="00B2204C" w:rsidRDefault="00DC62E5" w:rsidP="00B2204C">
      <w:pPr>
        <w:pStyle w:val="Heading1"/>
        <w:spacing w:line="360" w:lineRule="auto"/>
        <w:rPr>
          <w:rFonts w:ascii="Arial" w:hAnsi="Arial"/>
          <w:sz w:val="22"/>
          <w:szCs w:val="22"/>
        </w:rPr>
      </w:pPr>
      <w:bookmarkStart w:id="5" w:name="_Toc131594354"/>
      <w:r w:rsidRPr="00B2204C">
        <w:rPr>
          <w:rFonts w:ascii="Arial" w:hAnsi="Arial"/>
          <w:sz w:val="22"/>
          <w:szCs w:val="22"/>
        </w:rPr>
        <w:lastRenderedPageBreak/>
        <w:t>Conclusion</w:t>
      </w:r>
      <w:bookmarkEnd w:id="5"/>
    </w:p>
    <w:p w14:paraId="00000015" w14:textId="592AB907" w:rsidR="00E844E6" w:rsidRPr="00B2204C" w:rsidRDefault="00DC62E5" w:rsidP="00B2204C">
      <w:pPr>
        <w:pStyle w:val="Normal1"/>
        <w:spacing w:line="360" w:lineRule="auto"/>
        <w:jc w:val="both"/>
        <w:rPr>
          <w:rFonts w:eastAsia="Times New Roman"/>
        </w:rPr>
      </w:pPr>
      <w:r w:rsidRPr="00B2204C">
        <w:rPr>
          <w:rFonts w:eastAsia="Times New Roman"/>
        </w:rPr>
        <w:t>The identification of poliovirus has extremely disturbed the UK scientist, especially after the recognition of the presence of several viruses in the sewage waters. H</w:t>
      </w:r>
      <w:r w:rsidRPr="00B2204C">
        <w:rPr>
          <w:rFonts w:eastAsia="Times New Roman"/>
        </w:rPr>
        <w:t>owever, the risk among the local people is extremely low but there is a chance of an outbreak by indirect routes. The eradication of the UK polio outbreak was the main topic of this report where numerous ways which have been utilised to limit the spreading</w:t>
      </w:r>
      <w:r w:rsidRPr="00B2204C">
        <w:rPr>
          <w:rFonts w:eastAsia="Times New Roman"/>
        </w:rPr>
        <w:t xml:space="preserve"> of polio have been depicted. A clear depiction of surveillance, immunisation and laboratory confirmation, and response planning which has been used for the measuring and monitoring of polio disease has been represented. Lastly, some controlling ways like </w:t>
      </w:r>
      <w:r w:rsidRPr="00B2204C">
        <w:rPr>
          <w:rFonts w:eastAsia="Times New Roman"/>
        </w:rPr>
        <w:t>routine immunisation and Mop-Up campaigns which have been adopted to control and restrict this disease within the UK has been streamlined.</w:t>
      </w:r>
    </w:p>
    <w:p w14:paraId="57092BA4" w14:textId="77777777" w:rsidR="00E844E6" w:rsidRPr="00B2204C" w:rsidRDefault="00E844E6" w:rsidP="00B2204C">
      <w:pPr>
        <w:spacing w:line="360" w:lineRule="auto"/>
        <w:jc w:val="left"/>
        <w:rPr>
          <w:rFonts w:ascii="Arial" w:eastAsia="Times New Roman" w:hAnsi="Arial"/>
          <w:sz w:val="22"/>
        </w:rPr>
      </w:pPr>
      <w:r w:rsidRPr="00B2204C">
        <w:rPr>
          <w:rFonts w:ascii="Arial" w:eastAsia="Times New Roman" w:hAnsi="Arial"/>
          <w:sz w:val="22"/>
        </w:rPr>
        <w:br w:type="page"/>
      </w:r>
    </w:p>
    <w:p w14:paraId="118FEAAD" w14:textId="1005E378" w:rsidR="0087076B" w:rsidRPr="00B2204C" w:rsidRDefault="00E844E6" w:rsidP="00B2204C">
      <w:pPr>
        <w:pStyle w:val="Heading1"/>
        <w:spacing w:line="360" w:lineRule="auto"/>
        <w:rPr>
          <w:rFonts w:ascii="Arial" w:hAnsi="Arial"/>
          <w:sz w:val="22"/>
          <w:szCs w:val="22"/>
        </w:rPr>
      </w:pPr>
      <w:bookmarkStart w:id="6" w:name="_Toc131594355"/>
      <w:r w:rsidRPr="00B2204C">
        <w:rPr>
          <w:rFonts w:ascii="Arial" w:hAnsi="Arial"/>
          <w:sz w:val="22"/>
          <w:szCs w:val="22"/>
        </w:rPr>
        <w:lastRenderedPageBreak/>
        <w:t>References</w:t>
      </w:r>
      <w:bookmarkEnd w:id="6"/>
    </w:p>
    <w:p w14:paraId="59CD5C6B" w14:textId="10328AEB" w:rsidR="00E844E6" w:rsidRDefault="00E844E6" w:rsidP="00B2204C">
      <w:pPr>
        <w:spacing w:line="360" w:lineRule="auto"/>
        <w:rPr>
          <w:rFonts w:ascii="Arial" w:hAnsi="Arial"/>
          <w:sz w:val="22"/>
        </w:rPr>
      </w:pPr>
      <w:r w:rsidRPr="00B2204C">
        <w:rPr>
          <w:rFonts w:ascii="Arial" w:hAnsi="Arial"/>
          <w:sz w:val="22"/>
        </w:rPr>
        <w:t xml:space="preserve">Balogun, B., (2022). </w:t>
      </w:r>
      <w:r w:rsidRPr="00B2204C">
        <w:rPr>
          <w:rFonts w:ascii="Arial" w:hAnsi="Arial"/>
          <w:i/>
          <w:iCs/>
          <w:sz w:val="22"/>
        </w:rPr>
        <w:t>Detection of poliovirus in London sewage samples.</w:t>
      </w:r>
      <w:r w:rsidRPr="00B2204C">
        <w:rPr>
          <w:rFonts w:ascii="Arial" w:hAnsi="Arial"/>
          <w:sz w:val="22"/>
        </w:rPr>
        <w:t xml:space="preserve"> [Online] Available at: https://commonslibrary.parliament.uk/research-briefings/cbp-9618/ [Accessed 27 March 2023].</w:t>
      </w:r>
    </w:p>
    <w:p w14:paraId="7E08178F" w14:textId="77777777" w:rsidR="00B2204C" w:rsidRPr="00B2204C" w:rsidRDefault="00B2204C" w:rsidP="00B2204C">
      <w:pPr>
        <w:spacing w:line="360" w:lineRule="auto"/>
        <w:rPr>
          <w:rFonts w:ascii="Arial" w:hAnsi="Arial"/>
          <w:sz w:val="22"/>
        </w:rPr>
      </w:pPr>
    </w:p>
    <w:p w14:paraId="365F5CF3" w14:textId="3D28E5B9" w:rsidR="00E844E6" w:rsidRDefault="00E844E6" w:rsidP="00B2204C">
      <w:pPr>
        <w:spacing w:line="360" w:lineRule="auto"/>
        <w:rPr>
          <w:rFonts w:ascii="Arial" w:hAnsi="Arial"/>
          <w:sz w:val="22"/>
        </w:rPr>
      </w:pPr>
      <w:r w:rsidRPr="00B2204C">
        <w:rPr>
          <w:rFonts w:ascii="Arial" w:hAnsi="Arial"/>
          <w:sz w:val="22"/>
        </w:rPr>
        <w:t xml:space="preserve">CDC, (2022). </w:t>
      </w:r>
      <w:r w:rsidRPr="00B2204C">
        <w:rPr>
          <w:rFonts w:ascii="Arial" w:hAnsi="Arial"/>
          <w:i/>
          <w:iCs/>
          <w:sz w:val="22"/>
        </w:rPr>
        <w:t xml:space="preserve">Routine Polio Vaccination. </w:t>
      </w:r>
      <w:r w:rsidRPr="00B2204C">
        <w:rPr>
          <w:rFonts w:ascii="Arial" w:hAnsi="Arial"/>
          <w:sz w:val="22"/>
        </w:rPr>
        <w:t>[Online] Available at: https://www.cdc.gov/vaccines/vpd/polio/hcp/routine-polio-vaccination.html [Accessed 27 March 2023].</w:t>
      </w:r>
    </w:p>
    <w:p w14:paraId="6501C6E4" w14:textId="77777777" w:rsidR="00B2204C" w:rsidRPr="00B2204C" w:rsidRDefault="00B2204C" w:rsidP="00B2204C">
      <w:pPr>
        <w:spacing w:line="360" w:lineRule="auto"/>
        <w:rPr>
          <w:rFonts w:ascii="Arial" w:hAnsi="Arial"/>
          <w:sz w:val="22"/>
        </w:rPr>
      </w:pPr>
    </w:p>
    <w:p w14:paraId="037D9539" w14:textId="10380D1F" w:rsidR="00E844E6" w:rsidRDefault="00E844E6" w:rsidP="00B2204C">
      <w:pPr>
        <w:spacing w:line="360" w:lineRule="auto"/>
        <w:rPr>
          <w:rFonts w:ascii="Arial" w:hAnsi="Arial"/>
          <w:sz w:val="22"/>
        </w:rPr>
      </w:pPr>
      <w:r w:rsidRPr="00B2204C">
        <w:rPr>
          <w:rFonts w:ascii="Arial" w:hAnsi="Arial"/>
          <w:sz w:val="22"/>
        </w:rPr>
        <w:t xml:space="preserve">Cooper, L. V., (2021). </w:t>
      </w:r>
      <w:r w:rsidRPr="00B2204C">
        <w:rPr>
          <w:rFonts w:ascii="Arial" w:hAnsi="Arial"/>
          <w:i/>
          <w:iCs/>
          <w:sz w:val="22"/>
        </w:rPr>
        <w:t>Risk factors for the spread of vaccine-derived type 2 polioviruses after global withdrawal of trivalent oral poliovirus vaccine and the effects of outbreak responses with monovalent vaccine: a retrospective analysis of surveillance data for 51 countries i.</w:t>
      </w:r>
      <w:r w:rsidRPr="00B2204C">
        <w:rPr>
          <w:rFonts w:ascii="Arial" w:hAnsi="Arial"/>
          <w:sz w:val="22"/>
        </w:rPr>
        <w:t xml:space="preserve"> [Online] Available at: https://www.thelancet.com/journals/laninf/article/PIIS1473-3099(21)00453-9/fulltext#%20 [Accessed 27 March 2023].</w:t>
      </w:r>
    </w:p>
    <w:p w14:paraId="515C0E24" w14:textId="77777777" w:rsidR="00B2204C" w:rsidRPr="00B2204C" w:rsidRDefault="00B2204C" w:rsidP="00B2204C">
      <w:pPr>
        <w:spacing w:line="360" w:lineRule="auto"/>
        <w:rPr>
          <w:rFonts w:ascii="Arial" w:hAnsi="Arial"/>
          <w:sz w:val="22"/>
        </w:rPr>
      </w:pPr>
    </w:p>
    <w:p w14:paraId="03D24F01" w14:textId="5397578A" w:rsidR="00E844E6" w:rsidRDefault="00E844E6" w:rsidP="00B2204C">
      <w:pPr>
        <w:spacing w:line="360" w:lineRule="auto"/>
        <w:rPr>
          <w:rFonts w:ascii="Arial" w:hAnsi="Arial"/>
          <w:sz w:val="22"/>
        </w:rPr>
      </w:pPr>
      <w:r w:rsidRPr="00B2204C">
        <w:rPr>
          <w:rFonts w:ascii="Arial" w:hAnsi="Arial"/>
          <w:sz w:val="22"/>
        </w:rPr>
        <w:t xml:space="preserve">Doucleff, M., (2022). </w:t>
      </w:r>
      <w:r w:rsidRPr="00B2204C">
        <w:rPr>
          <w:rFonts w:ascii="Arial" w:hAnsi="Arial"/>
          <w:i/>
          <w:iCs/>
          <w:sz w:val="22"/>
        </w:rPr>
        <w:t>Polio is found in the U.K. for the first time in nearly 40 years. Here's what it means.</w:t>
      </w:r>
      <w:r w:rsidRPr="00B2204C">
        <w:rPr>
          <w:rFonts w:ascii="Arial" w:hAnsi="Arial"/>
          <w:sz w:val="22"/>
        </w:rPr>
        <w:t xml:space="preserve"> [Online] Available at: https://www.npr.org/sections/goatsandsoda/2022/06/22/1106711204/polio-found-in-u-k-for-the-first-time-in-nearly-40-years-heres-what-it-means [Accessed 27 March 2023].</w:t>
      </w:r>
    </w:p>
    <w:p w14:paraId="70062884" w14:textId="77777777" w:rsidR="00B2204C" w:rsidRPr="00B2204C" w:rsidRDefault="00B2204C" w:rsidP="00B2204C">
      <w:pPr>
        <w:spacing w:line="360" w:lineRule="auto"/>
        <w:rPr>
          <w:rFonts w:ascii="Arial" w:hAnsi="Arial"/>
          <w:sz w:val="22"/>
        </w:rPr>
      </w:pPr>
    </w:p>
    <w:p w14:paraId="362D7BAE" w14:textId="374D328F" w:rsidR="00E844E6" w:rsidRDefault="00E844E6" w:rsidP="00B2204C">
      <w:pPr>
        <w:spacing w:line="360" w:lineRule="auto"/>
        <w:rPr>
          <w:rFonts w:ascii="Arial" w:hAnsi="Arial"/>
          <w:sz w:val="22"/>
        </w:rPr>
      </w:pPr>
      <w:r w:rsidRPr="00B2204C">
        <w:rPr>
          <w:rFonts w:ascii="Arial" w:hAnsi="Arial"/>
          <w:sz w:val="22"/>
        </w:rPr>
        <w:t xml:space="preserve">Oberste, M. S., (2020). </w:t>
      </w:r>
      <w:r w:rsidRPr="00B2204C">
        <w:rPr>
          <w:rFonts w:ascii="Arial" w:hAnsi="Arial"/>
          <w:i/>
          <w:iCs/>
          <w:sz w:val="22"/>
        </w:rPr>
        <w:t xml:space="preserve">Manual for the Surveillance of Vaccine-Preventable Diseases. </w:t>
      </w:r>
      <w:r w:rsidRPr="00B2204C">
        <w:rPr>
          <w:rFonts w:ascii="Arial" w:hAnsi="Arial"/>
          <w:sz w:val="22"/>
        </w:rPr>
        <w:t>[Online] Available at: https://www.cdc.gov/vaccines/pubs/surv-manual/chpt12-polio.html [Accessed 27 March 2023].</w:t>
      </w:r>
    </w:p>
    <w:p w14:paraId="2799734A" w14:textId="77777777" w:rsidR="00B2204C" w:rsidRPr="00B2204C" w:rsidRDefault="00B2204C" w:rsidP="00B2204C">
      <w:pPr>
        <w:spacing w:line="360" w:lineRule="auto"/>
        <w:rPr>
          <w:rFonts w:ascii="Arial" w:hAnsi="Arial"/>
          <w:sz w:val="22"/>
        </w:rPr>
      </w:pPr>
    </w:p>
    <w:p w14:paraId="09EEA366" w14:textId="44E8A178" w:rsidR="00E844E6" w:rsidRDefault="00E844E6" w:rsidP="00B2204C">
      <w:pPr>
        <w:spacing w:line="360" w:lineRule="auto"/>
        <w:rPr>
          <w:rFonts w:ascii="Arial" w:hAnsi="Arial"/>
          <w:sz w:val="22"/>
        </w:rPr>
      </w:pPr>
      <w:r w:rsidRPr="00B2204C">
        <w:rPr>
          <w:rFonts w:ascii="Arial" w:hAnsi="Arial"/>
          <w:sz w:val="22"/>
        </w:rPr>
        <w:t xml:space="preserve">Scott, R. P., (2020). </w:t>
      </w:r>
      <w:r w:rsidRPr="00B2204C">
        <w:rPr>
          <w:rFonts w:ascii="Arial" w:hAnsi="Arial"/>
          <w:i/>
          <w:iCs/>
          <w:sz w:val="22"/>
        </w:rPr>
        <w:t>Disease Surveillance Investments and Administration: Limits to Information Value in Pakistan Polio Eradication.</w:t>
      </w:r>
      <w:r w:rsidRPr="00B2204C">
        <w:rPr>
          <w:rFonts w:ascii="Arial" w:hAnsi="Arial"/>
          <w:sz w:val="22"/>
        </w:rPr>
        <w:t xml:space="preserve"> [Online] Available at: https://onlinelibrary.wiley.com/doi/full/10.1111/risa.13580 [Accessed 27 March 2023].</w:t>
      </w:r>
    </w:p>
    <w:p w14:paraId="2B874C4A" w14:textId="77777777" w:rsidR="00B2204C" w:rsidRPr="00B2204C" w:rsidRDefault="00B2204C" w:rsidP="00B2204C">
      <w:pPr>
        <w:spacing w:line="360" w:lineRule="auto"/>
        <w:rPr>
          <w:rFonts w:ascii="Arial" w:hAnsi="Arial"/>
          <w:sz w:val="22"/>
        </w:rPr>
      </w:pPr>
    </w:p>
    <w:p w14:paraId="22FF23B9" w14:textId="0086889B" w:rsidR="00E844E6" w:rsidRDefault="00E844E6" w:rsidP="00B2204C">
      <w:pPr>
        <w:pStyle w:val="Normal1"/>
        <w:spacing w:line="360" w:lineRule="auto"/>
        <w:jc w:val="both"/>
        <w:rPr>
          <w:rFonts w:eastAsia="Times New Roman"/>
        </w:rPr>
      </w:pPr>
      <w:r w:rsidRPr="00B2204C">
        <w:rPr>
          <w:rFonts w:eastAsia="Times New Roman"/>
        </w:rPr>
        <w:t xml:space="preserve">Snider, C.J., Boualam, L., Tallis, G., Takashima, Y., Abeyasinghe, R., Lo, Y.R., Grabovac, V., Avagyan, T., Aslam, S.K., Eltayeb, A.O. and Aung, K.D., (2022). </w:t>
      </w:r>
      <w:r w:rsidRPr="00B2204C">
        <w:rPr>
          <w:rFonts w:eastAsia="Times New Roman"/>
          <w:i/>
        </w:rPr>
        <w:t>Concurrent outbreaks of circulating vaccine-derived poliovirus types 1 and 2 affecting the Republic of the Philippines and Malaysia</w:t>
      </w:r>
      <w:r w:rsidRPr="00B2204C">
        <w:rPr>
          <w:rFonts w:eastAsia="Times New Roman"/>
        </w:rPr>
        <w:t>, 2019–2021. Vaccine.</w:t>
      </w:r>
    </w:p>
    <w:p w14:paraId="44334DFE" w14:textId="77777777" w:rsidR="00B2204C" w:rsidRPr="00B2204C" w:rsidRDefault="00B2204C" w:rsidP="00B2204C">
      <w:pPr>
        <w:pStyle w:val="Normal1"/>
        <w:spacing w:line="360" w:lineRule="auto"/>
        <w:jc w:val="both"/>
        <w:rPr>
          <w:rFonts w:eastAsia="Times New Roman"/>
        </w:rPr>
      </w:pPr>
    </w:p>
    <w:p w14:paraId="310A355E" w14:textId="77777777" w:rsidR="00E844E6" w:rsidRPr="00B2204C" w:rsidRDefault="00E844E6" w:rsidP="00B2204C">
      <w:pPr>
        <w:spacing w:line="360" w:lineRule="auto"/>
        <w:rPr>
          <w:rFonts w:ascii="Arial" w:hAnsi="Arial"/>
          <w:sz w:val="22"/>
        </w:rPr>
      </w:pPr>
      <w:r w:rsidRPr="00B2204C">
        <w:rPr>
          <w:rFonts w:ascii="Arial" w:hAnsi="Arial"/>
          <w:sz w:val="22"/>
        </w:rPr>
        <w:lastRenderedPageBreak/>
        <w:t xml:space="preserve">Walter, K., (2022). </w:t>
      </w:r>
      <w:r w:rsidRPr="00B2204C">
        <w:rPr>
          <w:rFonts w:ascii="Arial" w:hAnsi="Arial"/>
          <w:i/>
          <w:iCs/>
          <w:sz w:val="22"/>
        </w:rPr>
        <w:t>What Is Polio?.</w:t>
      </w:r>
      <w:r w:rsidRPr="00B2204C">
        <w:rPr>
          <w:rFonts w:ascii="Arial" w:hAnsi="Arial"/>
          <w:sz w:val="22"/>
        </w:rPr>
        <w:t xml:space="preserve"> [Online] Available at: https://jamanetwork.com/journals/jama/fullarticle/2796633 [Accessed 27 March 2023].</w:t>
      </w:r>
    </w:p>
    <w:p w14:paraId="230F71A5" w14:textId="77777777" w:rsidR="00E844E6" w:rsidRPr="00B2204C" w:rsidRDefault="00E844E6" w:rsidP="00B2204C">
      <w:pPr>
        <w:spacing w:line="360" w:lineRule="auto"/>
        <w:rPr>
          <w:rFonts w:ascii="Arial" w:hAnsi="Arial"/>
          <w:sz w:val="22"/>
        </w:rPr>
      </w:pPr>
    </w:p>
    <w:p w14:paraId="33D6659B" w14:textId="77777777" w:rsidR="00E844E6" w:rsidRPr="00B2204C" w:rsidRDefault="00E844E6" w:rsidP="00B2204C">
      <w:pPr>
        <w:pStyle w:val="Normal1"/>
        <w:spacing w:line="360" w:lineRule="auto"/>
        <w:jc w:val="both"/>
        <w:rPr>
          <w:rFonts w:eastAsia="Times New Roman"/>
        </w:rPr>
      </w:pPr>
    </w:p>
    <w:sectPr w:rsidR="00E844E6" w:rsidRPr="00B2204C" w:rsidSect="00E844E6">
      <w:headerReference w:type="even" r:id="rId7"/>
      <w:headerReference w:type="default" r:id="rId8"/>
      <w:footerReference w:type="even" r:id="rId9"/>
      <w:footerReference w:type="default" r:id="rId10"/>
      <w:headerReference w:type="first" r:id="rId11"/>
      <w:footerReference w:type="first" r:id="rId12"/>
      <w:pgSz w:w="11906" w:h="16838"/>
      <w:pgMar w:top="2006" w:right="1440" w:bottom="2006"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FF9BBB" w14:textId="77777777" w:rsidR="00DC62E5" w:rsidRDefault="00DC62E5" w:rsidP="00E844E6">
      <w:pPr>
        <w:spacing w:line="240" w:lineRule="auto"/>
      </w:pPr>
      <w:r>
        <w:separator/>
      </w:r>
    </w:p>
  </w:endnote>
  <w:endnote w:type="continuationSeparator" w:id="0">
    <w:p w14:paraId="6C468140" w14:textId="77777777" w:rsidR="00DC62E5" w:rsidRDefault="00DC62E5" w:rsidP="00E844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0E0EF" w14:textId="77777777" w:rsidR="00B2204C" w:rsidRDefault="00B220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1749083"/>
      <w:docPartObj>
        <w:docPartGallery w:val="Page Numbers (Bottom of Page)"/>
        <w:docPartUnique/>
      </w:docPartObj>
    </w:sdtPr>
    <w:sdtEndPr/>
    <w:sdtContent>
      <w:sdt>
        <w:sdtPr>
          <w:id w:val="-1769616900"/>
          <w:docPartObj>
            <w:docPartGallery w:val="Page Numbers (Top of Page)"/>
            <w:docPartUnique/>
          </w:docPartObj>
        </w:sdtPr>
        <w:sdtEndPr/>
        <w:sdtContent>
          <w:p w14:paraId="0497FC00" w14:textId="27164CD4" w:rsidR="00E844E6" w:rsidRDefault="00E844E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37FFC41" w14:textId="77777777" w:rsidR="00E844E6" w:rsidRDefault="00E844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AADA02" w14:textId="77777777" w:rsidR="00B2204C" w:rsidRDefault="00B220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EC2FE4" w14:textId="77777777" w:rsidR="00DC62E5" w:rsidRDefault="00DC62E5" w:rsidP="00E844E6">
      <w:pPr>
        <w:spacing w:line="240" w:lineRule="auto"/>
      </w:pPr>
      <w:r>
        <w:separator/>
      </w:r>
    </w:p>
  </w:footnote>
  <w:footnote w:type="continuationSeparator" w:id="0">
    <w:p w14:paraId="4E4A8010" w14:textId="77777777" w:rsidR="00DC62E5" w:rsidRDefault="00DC62E5" w:rsidP="00E844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BCC47D" w14:textId="77777777" w:rsidR="00B2204C" w:rsidRDefault="00B220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8C3BB" w14:textId="0D22CC9E" w:rsidR="00E844E6" w:rsidRDefault="00E844E6">
    <w:pPr>
      <w:pStyle w:val="Header"/>
    </w:pPr>
    <w:r>
      <w:tab/>
    </w:r>
    <w:r>
      <w:tab/>
    </w:r>
    <w:r w:rsidRPr="00E844E6">
      <w:t>Introduction to Public Health</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4B1C0A" w14:textId="77777777" w:rsidR="00B2204C" w:rsidRDefault="00B220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76B"/>
    <w:rsid w:val="0005323D"/>
    <w:rsid w:val="0050556E"/>
    <w:rsid w:val="0087076B"/>
    <w:rsid w:val="008835EA"/>
    <w:rsid w:val="00965343"/>
    <w:rsid w:val="00B2204C"/>
    <w:rsid w:val="00B31470"/>
    <w:rsid w:val="00DC62E5"/>
    <w:rsid w:val="00E844E6"/>
    <w:rsid w:val="00FB15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DBF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0556E"/>
    <w:pPr>
      <w:spacing w:line="480" w:lineRule="auto"/>
      <w:jc w:val="both"/>
    </w:pPr>
    <w:rPr>
      <w:rFonts w:ascii="Times New Roman" w:hAnsi="Times New Roman"/>
      <w:sz w:val="24"/>
    </w:rPr>
  </w:style>
  <w:style w:type="paragraph" w:styleId="Heading1">
    <w:name w:val="heading 1"/>
    <w:basedOn w:val="Normal1"/>
    <w:next w:val="Normal1"/>
    <w:link w:val="Heading1Char"/>
    <w:autoRedefine/>
    <w:uiPriority w:val="9"/>
    <w:qFormat/>
    <w:rsid w:val="0050556E"/>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E844E6"/>
    <w:rPr>
      <w:rFonts w:ascii="Times New Roman" w:hAnsi="Times New Roman"/>
      <w:b/>
      <w:sz w:val="28"/>
      <w:szCs w:val="40"/>
    </w:rPr>
  </w:style>
  <w:style w:type="paragraph" w:styleId="Bibliography">
    <w:name w:val="Bibliography"/>
    <w:basedOn w:val="Normal"/>
    <w:next w:val="Normal"/>
    <w:uiPriority w:val="37"/>
    <w:unhideWhenUsed/>
    <w:rsid w:val="00E844E6"/>
  </w:style>
  <w:style w:type="character" w:styleId="Hyperlink">
    <w:name w:val="Hyperlink"/>
    <w:basedOn w:val="DefaultParagraphFont"/>
    <w:uiPriority w:val="99"/>
    <w:unhideWhenUsed/>
    <w:rsid w:val="00E844E6"/>
    <w:rPr>
      <w:color w:val="0000FF" w:themeColor="hyperlink"/>
      <w:u w:val="single"/>
    </w:rPr>
  </w:style>
  <w:style w:type="character" w:styleId="UnresolvedMention">
    <w:name w:val="Unresolved Mention"/>
    <w:basedOn w:val="DefaultParagraphFont"/>
    <w:uiPriority w:val="99"/>
    <w:semiHidden/>
    <w:unhideWhenUsed/>
    <w:rsid w:val="00E844E6"/>
    <w:rPr>
      <w:color w:val="605E5C"/>
      <w:shd w:val="clear" w:color="auto" w:fill="E1DFDD"/>
    </w:rPr>
  </w:style>
  <w:style w:type="paragraph" w:styleId="Header">
    <w:name w:val="header"/>
    <w:basedOn w:val="Normal"/>
    <w:link w:val="HeaderChar"/>
    <w:uiPriority w:val="99"/>
    <w:unhideWhenUsed/>
    <w:rsid w:val="00E844E6"/>
    <w:pPr>
      <w:tabs>
        <w:tab w:val="center" w:pos="4513"/>
        <w:tab w:val="right" w:pos="9026"/>
      </w:tabs>
      <w:spacing w:line="240" w:lineRule="auto"/>
    </w:pPr>
  </w:style>
  <w:style w:type="character" w:customStyle="1" w:styleId="HeaderChar">
    <w:name w:val="Header Char"/>
    <w:basedOn w:val="DefaultParagraphFont"/>
    <w:link w:val="Header"/>
    <w:uiPriority w:val="99"/>
    <w:rsid w:val="00E844E6"/>
    <w:rPr>
      <w:rFonts w:ascii="Times New Roman" w:hAnsi="Times New Roman"/>
      <w:sz w:val="24"/>
    </w:rPr>
  </w:style>
  <w:style w:type="paragraph" w:styleId="Footer">
    <w:name w:val="footer"/>
    <w:basedOn w:val="Normal"/>
    <w:link w:val="FooterChar"/>
    <w:uiPriority w:val="99"/>
    <w:unhideWhenUsed/>
    <w:rsid w:val="00E844E6"/>
    <w:pPr>
      <w:tabs>
        <w:tab w:val="center" w:pos="4513"/>
        <w:tab w:val="right" w:pos="9026"/>
      </w:tabs>
      <w:spacing w:line="240" w:lineRule="auto"/>
    </w:pPr>
  </w:style>
  <w:style w:type="character" w:customStyle="1" w:styleId="FooterChar">
    <w:name w:val="Footer Char"/>
    <w:basedOn w:val="DefaultParagraphFont"/>
    <w:link w:val="Footer"/>
    <w:uiPriority w:val="99"/>
    <w:rsid w:val="00E844E6"/>
    <w:rPr>
      <w:rFonts w:ascii="Times New Roman" w:hAnsi="Times New Roman"/>
      <w:sz w:val="24"/>
    </w:rPr>
  </w:style>
  <w:style w:type="paragraph" w:styleId="TOCHeading">
    <w:name w:val="TOC Heading"/>
    <w:basedOn w:val="Heading1"/>
    <w:next w:val="Normal"/>
    <w:uiPriority w:val="39"/>
    <w:unhideWhenUsed/>
    <w:qFormat/>
    <w:rsid w:val="0096534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6534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54124">
      <w:bodyDiv w:val="1"/>
      <w:marLeft w:val="0"/>
      <w:marRight w:val="0"/>
      <w:marTop w:val="0"/>
      <w:marBottom w:val="0"/>
      <w:divBdr>
        <w:top w:val="none" w:sz="0" w:space="0" w:color="auto"/>
        <w:left w:val="none" w:sz="0" w:space="0" w:color="auto"/>
        <w:bottom w:val="none" w:sz="0" w:space="0" w:color="auto"/>
        <w:right w:val="none" w:sz="0" w:space="0" w:color="auto"/>
      </w:divBdr>
    </w:div>
    <w:div w:id="579290514">
      <w:bodyDiv w:val="1"/>
      <w:marLeft w:val="0"/>
      <w:marRight w:val="0"/>
      <w:marTop w:val="0"/>
      <w:marBottom w:val="0"/>
      <w:divBdr>
        <w:top w:val="none" w:sz="0" w:space="0" w:color="auto"/>
        <w:left w:val="none" w:sz="0" w:space="0" w:color="auto"/>
        <w:bottom w:val="none" w:sz="0" w:space="0" w:color="auto"/>
        <w:right w:val="none" w:sz="0" w:space="0" w:color="auto"/>
      </w:divBdr>
    </w:div>
    <w:div w:id="969747456">
      <w:bodyDiv w:val="1"/>
      <w:marLeft w:val="0"/>
      <w:marRight w:val="0"/>
      <w:marTop w:val="0"/>
      <w:marBottom w:val="0"/>
      <w:divBdr>
        <w:top w:val="none" w:sz="0" w:space="0" w:color="auto"/>
        <w:left w:val="none" w:sz="0" w:space="0" w:color="auto"/>
        <w:bottom w:val="none" w:sz="0" w:space="0" w:color="auto"/>
        <w:right w:val="none" w:sz="0" w:space="0" w:color="auto"/>
      </w:divBdr>
    </w:div>
    <w:div w:id="1165780489">
      <w:bodyDiv w:val="1"/>
      <w:marLeft w:val="0"/>
      <w:marRight w:val="0"/>
      <w:marTop w:val="0"/>
      <w:marBottom w:val="0"/>
      <w:divBdr>
        <w:top w:val="none" w:sz="0" w:space="0" w:color="auto"/>
        <w:left w:val="none" w:sz="0" w:space="0" w:color="auto"/>
        <w:bottom w:val="none" w:sz="0" w:space="0" w:color="auto"/>
        <w:right w:val="none" w:sz="0" w:space="0" w:color="auto"/>
      </w:divBdr>
    </w:div>
    <w:div w:id="1411659192">
      <w:bodyDiv w:val="1"/>
      <w:marLeft w:val="0"/>
      <w:marRight w:val="0"/>
      <w:marTop w:val="0"/>
      <w:marBottom w:val="0"/>
      <w:divBdr>
        <w:top w:val="none" w:sz="0" w:space="0" w:color="auto"/>
        <w:left w:val="none" w:sz="0" w:space="0" w:color="auto"/>
        <w:bottom w:val="none" w:sz="0" w:space="0" w:color="auto"/>
        <w:right w:val="none" w:sz="0" w:space="0" w:color="auto"/>
      </w:divBdr>
    </w:div>
    <w:div w:id="1496067313">
      <w:bodyDiv w:val="1"/>
      <w:marLeft w:val="0"/>
      <w:marRight w:val="0"/>
      <w:marTop w:val="0"/>
      <w:marBottom w:val="0"/>
      <w:divBdr>
        <w:top w:val="none" w:sz="0" w:space="0" w:color="auto"/>
        <w:left w:val="none" w:sz="0" w:space="0" w:color="auto"/>
        <w:bottom w:val="none" w:sz="0" w:space="0" w:color="auto"/>
        <w:right w:val="none" w:sz="0" w:space="0" w:color="auto"/>
      </w:divBdr>
    </w:div>
    <w:div w:id="1578397295">
      <w:bodyDiv w:val="1"/>
      <w:marLeft w:val="0"/>
      <w:marRight w:val="0"/>
      <w:marTop w:val="0"/>
      <w:marBottom w:val="0"/>
      <w:divBdr>
        <w:top w:val="none" w:sz="0" w:space="0" w:color="auto"/>
        <w:left w:val="none" w:sz="0" w:space="0" w:color="auto"/>
        <w:bottom w:val="none" w:sz="0" w:space="0" w:color="auto"/>
        <w:right w:val="none" w:sz="0" w:space="0" w:color="auto"/>
      </w:divBdr>
    </w:div>
    <w:div w:id="1622611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Kri222</b:Tag>
    <b:SourceType>InternetSite</b:SourceType>
    <b:Guid>{04FFB9F9-CDB7-4666-A85D-2F5A08663C1C}</b:Guid>
    <b:Author>
      <b:Author>
        <b:NameList>
          <b:Person>
            <b:Last>Walter</b:Last>
            <b:First>Kristin</b:First>
          </b:Person>
        </b:NameList>
      </b:Author>
    </b:Author>
    <b:Title>What Is Polio?</b:Title>
    <b:Year>2022</b:Year>
    <b:YearAccessed>2023</b:YearAccessed>
    <b:MonthAccessed>March</b:MonthAccessed>
    <b:DayAccessed>27</b:DayAccessed>
    <b:URL>https://jamanetwork.com/journals/jama/fullarticle/2796633</b:URL>
    <b:RefOrder>1</b:RefOrder>
  </b:Source>
  <b:Source>
    <b:Tag>Mic221</b:Tag>
    <b:SourceType>InternetSite</b:SourceType>
    <b:Guid>{7740BC10-629D-490B-A693-E72B7EF018BE}</b:Guid>
    <b:Author>
      <b:Author>
        <b:NameList>
          <b:Person>
            <b:Last>Doucleff</b:Last>
            <b:First>Michaeleen</b:First>
          </b:Person>
        </b:NameList>
      </b:Author>
    </b:Author>
    <b:Title>Polio is found in the U.K. for the first time in nearly 40 years. Here's what it means</b:Title>
    <b:Year>2022</b:Year>
    <b:YearAccessed>2023</b:YearAccessed>
    <b:MonthAccessed>March</b:MonthAccessed>
    <b:DayAccessed>27</b:DayAccessed>
    <b:URL>https://www.npr.org/sections/goatsandsoda/2022/06/22/1106711204/polio-found-in-u-k-for-the-first-time-in-nearly-40-years-heres-what-it-means</b:URL>
    <b:RefOrder>2</b:RefOrder>
  </b:Source>
  <b:Source>
    <b:Tag>Buk22</b:Tag>
    <b:SourceType>InternetSite</b:SourceType>
    <b:Guid>{0B854651-A8B8-4B92-981D-FF840DBB040A}</b:Guid>
    <b:Author>
      <b:Author>
        <b:NameList>
          <b:Person>
            <b:Last>Balogun</b:Last>
            <b:First>Bukky</b:First>
          </b:Person>
        </b:NameList>
      </b:Author>
    </b:Author>
    <b:Title>Detection of poliovirus in London sewage samples</b:Title>
    <b:Year>2022</b:Year>
    <b:YearAccessed>2023</b:YearAccessed>
    <b:MonthAccessed>March</b:MonthAccessed>
    <b:DayAccessed>27</b:DayAccessed>
    <b:URL>https://commonslibrary.parliament.uk/research-briefings/cbp-9618/</b:URL>
    <b:RefOrder>4</b:RefOrder>
  </b:Source>
  <b:Source>
    <b:Tag>MSt20</b:Tag>
    <b:SourceType>InternetSite</b:SourceType>
    <b:Guid>{DC727700-A79F-4E18-8745-CDEE57899ECD}</b:Guid>
    <b:Author>
      <b:Author>
        <b:NameList>
          <b:Person>
            <b:Last>Oberste</b:Last>
            <b:First>M.</b:First>
            <b:Middle>Steven</b:Middle>
          </b:Person>
        </b:NameList>
      </b:Author>
    </b:Author>
    <b:Title>Manual for the Surveillance of Vaccine-Preventable Diseases</b:Title>
    <b:Year>2020</b:Year>
    <b:YearAccessed>2023</b:YearAccessed>
    <b:MonthAccessed>March</b:MonthAccessed>
    <b:DayAccessed>27</b:DayAccessed>
    <b:URL>https://www.cdc.gov/vaccines/pubs/surv-manual/chpt12-polio.html</b:URL>
    <b:RefOrder>3</b:RefOrder>
  </b:Source>
  <b:Source>
    <b:Tag>CDC22</b:Tag>
    <b:SourceType>InternetSite</b:SourceType>
    <b:Guid>{7E1B2912-3E58-4E63-8523-3891D947D83A}</b:Guid>
    <b:Author>
      <b:Author>
        <b:Corporate>CDC</b:Corporate>
      </b:Author>
    </b:Author>
    <b:Title>Routine Polio Vaccination</b:Title>
    <b:Year>2022</b:Year>
    <b:YearAccessed>2023</b:YearAccessed>
    <b:MonthAccessed>March</b:MonthAccessed>
    <b:DayAccessed>27</b:DayAccessed>
    <b:URL>https://www.cdc.gov/vaccines/vpd/polio/hcp/routine-polio-vaccination.html</b:URL>
    <b:RefOrder>6</b:RefOrder>
  </b:Source>
  <b:Source>
    <b:Tag>Rya20</b:Tag>
    <b:SourceType>InternetSite</b:SourceType>
    <b:Guid>{7B5A658F-5EA9-48C0-B313-7F8F1319E5B3}</b:Guid>
    <b:Author>
      <b:Author>
        <b:NameList>
          <b:Person>
            <b:Last>Scott</b:Last>
            <b:First>Ryan</b:First>
            <b:Middle>P.</b:Middle>
          </b:Person>
        </b:NameList>
      </b:Author>
    </b:Author>
    <b:Title>Disease Surveillance Investments and Administration: Limits to Information Value in Pakistan Polio Eradication</b:Title>
    <b:Year>2020</b:Year>
    <b:YearAccessed>2023</b:YearAccessed>
    <b:MonthAccessed>March</b:MonthAccessed>
    <b:DayAccessed>27</b:DayAccessed>
    <b:URL>https://onlinelibrary.wiley.com/doi/full/10.1111/risa.13580</b:URL>
    <b:RefOrder>7</b:RefOrder>
  </b:Source>
  <b:Source>
    <b:Tag>Lau211</b:Tag>
    <b:SourceType>InternetSite</b:SourceType>
    <b:Guid>{6BC76A67-A3D3-44FC-9688-D9AE462B710A}</b:Guid>
    <b:Author>
      <b:Author>
        <b:NameList>
          <b:Person>
            <b:Last>Cooper</b:Last>
            <b:First>Laura</b:First>
            <b:Middle>V</b:Middle>
          </b:Person>
        </b:NameList>
      </b:Author>
    </b:Author>
    <b:Title>Risk factors for the spread of vaccine-derived type 2 polioviruses after global withdrawal of trivalent oral poliovirus vaccine and the effects of outbreak responses with monovalent vaccine: a retrospective analysis of surveillance data for 51 countries i</b:Title>
    <b:Year>2021</b:Year>
    <b:YearAccessed>2023</b:YearAccessed>
    <b:MonthAccessed>March</b:MonthAccessed>
    <b:DayAccessed>27</b:DayAccessed>
    <b:URL>https://www.thelancet.com/journals/laninf/article/PIIS1473-3099(21)00453-9/fulltext#%20</b:URL>
    <b:RefOrder>5</b:RefOrder>
  </b:Source>
</b:Sources>
</file>

<file path=customXml/itemProps1.xml><?xml version="1.0" encoding="utf-8"?>
<ds:datastoreItem xmlns:ds="http://schemas.openxmlformats.org/officeDocument/2006/customXml" ds:itemID="{092DBE4D-DEFB-0E47-B6E8-28FE4D633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1548</Words>
  <Characters>8825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2023-04-05T12:46:00Z</dcterms:created>
  <dcterms:modified xsi:type="dcterms:W3CDTF">2023-04-05T12:46:00Z</dcterms:modified>
</cp:coreProperties>
</file>