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52854" w14:textId="5C98F80E" w:rsidR="008119AB" w:rsidRDefault="008119AB" w:rsidP="036DBC5F">
      <w:pPr>
        <w:jc w:val="center"/>
        <w:rPr>
          <w:rFonts w:ascii="Times New Roman" w:eastAsia="Times New Roman" w:hAnsi="Times New Roman" w:cs="Times New Roman"/>
          <w:b/>
          <w:bCs/>
          <w:sz w:val="40"/>
          <w:szCs w:val="40"/>
        </w:rPr>
      </w:pPr>
      <w:r>
        <w:rPr>
          <w:b/>
          <w:bCs/>
          <w:noProof/>
        </w:rPr>
        <w:drawing>
          <wp:inline distT="0" distB="0" distL="0" distR="0" wp14:anchorId="73710D3F" wp14:editId="531613C2">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22CD88CB" w14:textId="77777777" w:rsidR="008119AB" w:rsidRDefault="008119AB" w:rsidP="036DBC5F">
      <w:pPr>
        <w:jc w:val="center"/>
        <w:rPr>
          <w:rFonts w:ascii="Times New Roman" w:eastAsia="Times New Roman" w:hAnsi="Times New Roman" w:cs="Times New Roman"/>
          <w:b/>
          <w:bCs/>
          <w:sz w:val="40"/>
          <w:szCs w:val="40"/>
        </w:rPr>
      </w:pPr>
    </w:p>
    <w:p w14:paraId="2C078E63" w14:textId="22E41385" w:rsidR="007B4FF3" w:rsidRDefault="2C01D9B2" w:rsidP="036DBC5F">
      <w:pPr>
        <w:jc w:val="center"/>
        <w:rPr>
          <w:rFonts w:ascii="Times New Roman" w:eastAsia="Times New Roman" w:hAnsi="Times New Roman" w:cs="Times New Roman"/>
          <w:b/>
          <w:bCs/>
          <w:sz w:val="40"/>
          <w:szCs w:val="40"/>
        </w:rPr>
      </w:pPr>
      <w:r w:rsidRPr="036DBC5F">
        <w:rPr>
          <w:rFonts w:ascii="Times New Roman" w:eastAsia="Times New Roman" w:hAnsi="Times New Roman" w:cs="Times New Roman"/>
          <w:b/>
          <w:bCs/>
          <w:sz w:val="40"/>
          <w:szCs w:val="40"/>
        </w:rPr>
        <w:t>Financial Management for the Hotel Industry (BMIH5007)</w:t>
      </w:r>
    </w:p>
    <w:p w14:paraId="294BF65E" w14:textId="682137DC" w:rsidR="2C01D9B2" w:rsidRDefault="2C01D9B2" w:rsidP="036DBC5F">
      <w:pPr>
        <w:jc w:val="center"/>
        <w:rPr>
          <w:rFonts w:ascii="Times New Roman" w:eastAsia="Times New Roman" w:hAnsi="Times New Roman" w:cs="Times New Roman"/>
          <w:b/>
          <w:bCs/>
          <w:sz w:val="40"/>
          <w:szCs w:val="40"/>
        </w:rPr>
      </w:pPr>
      <w:r w:rsidRPr="036DBC5F">
        <w:rPr>
          <w:rFonts w:ascii="Times New Roman" w:eastAsia="Times New Roman" w:hAnsi="Times New Roman" w:cs="Times New Roman"/>
          <w:b/>
          <w:bCs/>
          <w:sz w:val="40"/>
          <w:szCs w:val="40"/>
        </w:rPr>
        <w:t>Assignment 2: Case Study: The City Hotel</w:t>
      </w:r>
    </w:p>
    <w:p w14:paraId="570EA8CC" w14:textId="10E18C7E" w:rsidR="036DBC5F" w:rsidRDefault="036DBC5F" w:rsidP="036DBC5F">
      <w:pPr>
        <w:jc w:val="center"/>
        <w:rPr>
          <w:rFonts w:ascii="Times New Roman" w:eastAsia="Times New Roman" w:hAnsi="Times New Roman" w:cs="Times New Roman"/>
          <w:b/>
          <w:bCs/>
          <w:sz w:val="32"/>
          <w:szCs w:val="32"/>
        </w:rPr>
      </w:pPr>
    </w:p>
    <w:p w14:paraId="11D81EC2" w14:textId="5B6AAA6D" w:rsidR="036DBC5F" w:rsidRDefault="036DBC5F" w:rsidP="036DBC5F">
      <w:pPr>
        <w:jc w:val="center"/>
        <w:rPr>
          <w:rFonts w:ascii="Times New Roman" w:eastAsia="Times New Roman" w:hAnsi="Times New Roman" w:cs="Times New Roman"/>
          <w:b/>
          <w:bCs/>
          <w:sz w:val="32"/>
          <w:szCs w:val="32"/>
        </w:rPr>
      </w:pPr>
    </w:p>
    <w:p w14:paraId="4533A046" w14:textId="7C7654F9" w:rsidR="036DBC5F" w:rsidRDefault="036DBC5F" w:rsidP="036DBC5F">
      <w:pPr>
        <w:jc w:val="center"/>
        <w:rPr>
          <w:rFonts w:ascii="Times New Roman" w:eastAsia="Times New Roman" w:hAnsi="Times New Roman" w:cs="Times New Roman"/>
          <w:b/>
          <w:bCs/>
          <w:sz w:val="32"/>
          <w:szCs w:val="32"/>
        </w:rPr>
      </w:pPr>
    </w:p>
    <w:p w14:paraId="3E3E6EE2" w14:textId="16C8DA54" w:rsidR="2C01D9B2" w:rsidRDefault="2C01D9B2" w:rsidP="036DBC5F">
      <w:pPr>
        <w:jc w:val="center"/>
        <w:rPr>
          <w:rFonts w:ascii="Times New Roman" w:eastAsia="Times New Roman" w:hAnsi="Times New Roman" w:cs="Times New Roman"/>
          <w:b/>
          <w:bCs/>
          <w:sz w:val="32"/>
          <w:szCs w:val="32"/>
        </w:rPr>
      </w:pPr>
      <w:r w:rsidRPr="036DBC5F">
        <w:rPr>
          <w:rFonts w:ascii="Times New Roman" w:eastAsia="Times New Roman" w:hAnsi="Times New Roman" w:cs="Times New Roman"/>
          <w:b/>
          <w:bCs/>
          <w:sz w:val="32"/>
          <w:szCs w:val="32"/>
        </w:rPr>
        <w:t xml:space="preserve">Student Name: Daniela-Elena Zota </w:t>
      </w:r>
    </w:p>
    <w:p w14:paraId="3243BD27" w14:textId="750AE2DD" w:rsidR="2C01D9B2" w:rsidRDefault="2C01D9B2" w:rsidP="036DBC5F">
      <w:pPr>
        <w:jc w:val="center"/>
        <w:rPr>
          <w:rFonts w:ascii="Times New Roman" w:eastAsia="Times New Roman" w:hAnsi="Times New Roman" w:cs="Times New Roman"/>
          <w:b/>
          <w:bCs/>
          <w:sz w:val="32"/>
          <w:szCs w:val="32"/>
        </w:rPr>
      </w:pPr>
      <w:r w:rsidRPr="036DBC5F">
        <w:rPr>
          <w:rFonts w:ascii="Times New Roman" w:eastAsia="Times New Roman" w:hAnsi="Times New Roman" w:cs="Times New Roman"/>
          <w:b/>
          <w:bCs/>
          <w:sz w:val="32"/>
          <w:szCs w:val="32"/>
        </w:rPr>
        <w:t>Student Number: 2240973</w:t>
      </w:r>
    </w:p>
    <w:p w14:paraId="628483B6" w14:textId="66762724" w:rsidR="366C3DBD" w:rsidRDefault="366C3DBD" w:rsidP="036DBC5F">
      <w:pPr>
        <w:jc w:val="center"/>
        <w:rPr>
          <w:rFonts w:ascii="Times New Roman" w:eastAsia="Times New Roman" w:hAnsi="Times New Roman" w:cs="Times New Roman"/>
          <w:b/>
          <w:bCs/>
          <w:sz w:val="32"/>
          <w:szCs w:val="32"/>
        </w:rPr>
      </w:pPr>
      <w:r w:rsidRPr="036DBC5F">
        <w:rPr>
          <w:rFonts w:ascii="Times New Roman" w:eastAsia="Times New Roman" w:hAnsi="Times New Roman" w:cs="Times New Roman"/>
          <w:b/>
          <w:bCs/>
          <w:sz w:val="32"/>
          <w:szCs w:val="32"/>
        </w:rPr>
        <w:t>Word Count:</w:t>
      </w:r>
      <w:r w:rsidR="00BF28A5">
        <w:rPr>
          <w:rFonts w:ascii="Times New Roman" w:eastAsia="Times New Roman" w:hAnsi="Times New Roman" w:cs="Times New Roman"/>
          <w:b/>
          <w:bCs/>
          <w:sz w:val="32"/>
          <w:szCs w:val="32"/>
        </w:rPr>
        <w:t xml:space="preserve"> 1</w:t>
      </w:r>
      <w:r w:rsidR="00E65804">
        <w:rPr>
          <w:rFonts w:ascii="Times New Roman" w:eastAsia="Times New Roman" w:hAnsi="Times New Roman" w:cs="Times New Roman"/>
          <w:b/>
          <w:bCs/>
          <w:sz w:val="32"/>
          <w:szCs w:val="32"/>
        </w:rPr>
        <w:t>970</w:t>
      </w:r>
    </w:p>
    <w:p w14:paraId="57C316ED" w14:textId="7EA78B0D" w:rsidR="036DBC5F" w:rsidRDefault="036DBC5F">
      <w:r>
        <w:br w:type="page"/>
      </w:r>
    </w:p>
    <w:p w14:paraId="391CB1A8" w14:textId="39724E33" w:rsidR="036DBC5F" w:rsidRDefault="036DBC5F" w:rsidP="036DBC5F">
      <w:pPr>
        <w:jc w:val="center"/>
        <w:rPr>
          <w:rFonts w:ascii="Times New Roman" w:eastAsia="Times New Roman" w:hAnsi="Times New Roman" w:cs="Times New Roman"/>
          <w:b/>
          <w:bCs/>
          <w:sz w:val="32"/>
          <w:szCs w:val="32"/>
        </w:rPr>
      </w:pPr>
    </w:p>
    <w:p w14:paraId="35F908F5" w14:textId="515A0175" w:rsidR="66A51CB8" w:rsidRPr="008119AB" w:rsidRDefault="66A51CB8" w:rsidP="008119AB">
      <w:pPr>
        <w:jc w:val="both"/>
        <w:rPr>
          <w:rFonts w:ascii="Times New Roman" w:eastAsia="Times New Roman" w:hAnsi="Times New Roman" w:cs="Times New Roman"/>
        </w:rPr>
      </w:pPr>
      <w:r w:rsidRPr="036DBC5F">
        <w:rPr>
          <w:rFonts w:ascii="Times New Roman" w:eastAsia="Times New Roman" w:hAnsi="Times New Roman" w:cs="Times New Roman"/>
          <w:b/>
          <w:bCs/>
          <w:sz w:val="32"/>
          <w:szCs w:val="32"/>
        </w:rPr>
        <w:t xml:space="preserve">   </w:t>
      </w:r>
      <w:r w:rsidRPr="008119AB">
        <w:rPr>
          <w:rFonts w:ascii="Times New Roman" w:eastAsia="Times New Roman" w:hAnsi="Times New Roman" w:cs="Times New Roman"/>
        </w:rPr>
        <w:t xml:space="preserve">Introduction  </w:t>
      </w:r>
    </w:p>
    <w:p w14:paraId="6DA7D342" w14:textId="77777777"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Evaluating performance plays a crucial role in the process of making decisions (Gong </w:t>
      </w:r>
      <w:r w:rsidRPr="008119AB">
        <w:rPr>
          <w:rFonts w:ascii="Times New Roman" w:eastAsia="Times New Roman" w:hAnsi="Times New Roman" w:cs="Times New Roman"/>
          <w:i/>
          <w:iCs/>
        </w:rPr>
        <w:t>et al</w:t>
      </w:r>
      <w:r w:rsidRPr="008119AB">
        <w:rPr>
          <w:rFonts w:ascii="Times New Roman" w:eastAsia="Times New Roman" w:hAnsi="Times New Roman" w:cs="Times New Roman"/>
        </w:rPr>
        <w:t xml:space="preserve">., 2016). Financial performance evaluation extends beyond profitability measures to encompass liquidity, solvency, and activity indicators. This comprehensive approach relies on data extracted from financial statements to conduct assessments (Antoun </w:t>
      </w:r>
      <w:r w:rsidRPr="008119AB">
        <w:rPr>
          <w:rFonts w:ascii="Times New Roman" w:eastAsia="Times New Roman" w:hAnsi="Times New Roman" w:cs="Times New Roman"/>
          <w:i/>
          <w:iCs/>
        </w:rPr>
        <w:t>et al</w:t>
      </w:r>
      <w:r w:rsidRPr="008119AB">
        <w:rPr>
          <w:rFonts w:ascii="Times New Roman" w:eastAsia="Times New Roman" w:hAnsi="Times New Roman" w:cs="Times New Roman"/>
        </w:rPr>
        <w:t xml:space="preserve">., 2018). The examination of a hotel’s financial performance over the past three years provides valuable insights into its operational health and sustainability (Hoggett </w:t>
      </w:r>
      <w:r w:rsidRPr="008119AB">
        <w:rPr>
          <w:rFonts w:ascii="Times New Roman" w:eastAsia="Times New Roman" w:hAnsi="Times New Roman" w:cs="Times New Roman"/>
          <w:i/>
          <w:iCs/>
        </w:rPr>
        <w:t>et al.</w:t>
      </w:r>
      <w:r w:rsidRPr="008119AB">
        <w:rPr>
          <w:rFonts w:ascii="Times New Roman" w:eastAsia="Times New Roman" w:hAnsi="Times New Roman" w:cs="Times New Roman"/>
        </w:rPr>
        <w:t xml:space="preserve">, 2020). This financial examination evaluates revenue, cost, and profit patterns from 2021 through 2023 to understand fiscal dynamics and their impact on future planning. The proposed strategy seeks to provide immediate monetary support while also focusing on long-term operational improvements and reputation restoration.   </w:t>
      </w:r>
    </w:p>
    <w:p w14:paraId="430AA96E" w14:textId="77777777"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Discussion        </w:t>
      </w:r>
    </w:p>
    <w:p w14:paraId="66815411" w14:textId="77777777"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I.         Evaluation of Trends and Patterns  </w:t>
      </w:r>
    </w:p>
    <w:p w14:paraId="3D8597AC" w14:textId="77777777"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1.    Revenue Analysis   </w:t>
      </w:r>
    </w:p>
    <w:p w14:paraId="58D42A6F" w14:textId="0C8605E8"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Hoggett et al. (2020) state that a statement of financial performance, alternatively known as an income statement or profit and loss statement, is one of the essential financial statements for evaluating a company's financial well-being. Beginning with revenue, the hotel experienced a slight increase of approximately 1.1% from £5,248,290 in 2021 to £5,307,480 in 2022. Although this marginal growth suggested a stable operational environment in the year following the pandemic, the situation took a dramatic turn in 2023, where revenue plummeted by roughly 56% to £2,325,440. This steep decline raises critical questions regarding operational efficiency, market demand, and competitive positioning in the hospitality sector (Dudu </w:t>
      </w:r>
      <w:r w:rsidRPr="008119AB">
        <w:rPr>
          <w:rFonts w:ascii="Times New Roman" w:eastAsia="Times New Roman" w:hAnsi="Times New Roman" w:cs="Times New Roman"/>
          <w:i/>
          <w:iCs/>
        </w:rPr>
        <w:t>et al.</w:t>
      </w:r>
      <w:r w:rsidRPr="008119AB">
        <w:rPr>
          <w:rFonts w:ascii="Times New Roman" w:eastAsia="Times New Roman" w:hAnsi="Times New Roman" w:cs="Times New Roman"/>
        </w:rPr>
        <w:t>, 2024</w:t>
      </w:r>
      <w:r w:rsidR="008119AB" w:rsidRPr="008119AB">
        <w:rPr>
          <w:rFonts w:ascii="Times New Roman" w:eastAsia="Times New Roman" w:hAnsi="Times New Roman" w:cs="Times New Roman"/>
        </w:rPr>
        <w:t>).</w:t>
      </w:r>
      <w:r w:rsidRPr="008119AB">
        <w:rPr>
          <w:rFonts w:ascii="Times New Roman" w:eastAsia="Times New Roman" w:hAnsi="Times New Roman" w:cs="Times New Roman"/>
        </w:rPr>
        <w:t xml:space="preserve"> Such a substantial drop in revenue indicates either a profound loss of clientele, adverse market conditions, or potentially misguided operational decisions that need immediate attention and rectification (Matviienko, 2019</w:t>
      </w:r>
      <w:r w:rsidR="008119AB" w:rsidRPr="008119AB">
        <w:rPr>
          <w:rFonts w:ascii="Times New Roman" w:eastAsia="Times New Roman" w:hAnsi="Times New Roman" w:cs="Times New Roman"/>
        </w:rPr>
        <w:t>).</w:t>
      </w:r>
      <w:r w:rsidRPr="008119AB">
        <w:rPr>
          <w:rFonts w:ascii="Times New Roman" w:eastAsia="Times New Roman" w:hAnsi="Times New Roman" w:cs="Times New Roman"/>
        </w:rPr>
        <w:t xml:space="preserve">  </w:t>
      </w:r>
    </w:p>
    <w:p w14:paraId="0BA08DC3" w14:textId="77777777"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2.    Expense Review  </w:t>
      </w:r>
    </w:p>
    <w:p w14:paraId="3822339F" w14:textId="0F830804"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In labor-intensive service industries, such as hospitality, a stable Cost of Goods Sold is crucial for maintaining profit margins and ensuring company sustainability despite fluctuations in Gross Sales (Wolf, 2021). The examination of expenses reveals both concerning trends and some positive signs amidst the turmoil.  The hotel’s Cost of Goods Sold (COGS) reflected a consistent downward trend, decreasing from £411,600 in 2021 to £401,510 in 2022, and significantly down to £176,250 in 2023. This reduction aligns with the dramatic decrease in revenue, signifying that the hotel may be scaling back its operations in response to lower sales. COGS remains stable in labor-intensive service industries despite fluctuations in Gross Sales (Wolf, 2021).  Employee costs, however, showed a different pattern. From £1,724,760 in 2021, costs rose to £1,770,700 in 2022. Although a reduction to £1,233,160 occurred in 2023, this decrease did not proportionately match the </w:t>
      </w:r>
      <w:r w:rsidRPr="008119AB">
        <w:rPr>
          <w:rFonts w:ascii="Times New Roman" w:eastAsia="Times New Roman" w:hAnsi="Times New Roman" w:cs="Times New Roman"/>
        </w:rPr>
        <w:lastRenderedPageBreak/>
        <w:t xml:space="preserve">revenue drop, suggesting potential inefficiencies in staffing or an inability to adjust workforce costs in line with revenue declines (Chambers </w:t>
      </w:r>
      <w:r w:rsidRPr="008119AB">
        <w:rPr>
          <w:rFonts w:ascii="Times New Roman" w:eastAsia="Times New Roman" w:hAnsi="Times New Roman" w:cs="Times New Roman"/>
          <w:i/>
          <w:iCs/>
        </w:rPr>
        <w:t>et al.</w:t>
      </w:r>
      <w:r w:rsidRPr="008119AB">
        <w:rPr>
          <w:rFonts w:ascii="Times New Roman" w:eastAsia="Times New Roman" w:hAnsi="Times New Roman" w:cs="Times New Roman"/>
        </w:rPr>
        <w:t>, 2020</w:t>
      </w:r>
      <w:r w:rsidR="008119AB" w:rsidRPr="008119AB">
        <w:rPr>
          <w:rFonts w:ascii="Times New Roman" w:eastAsia="Times New Roman" w:hAnsi="Times New Roman" w:cs="Times New Roman"/>
        </w:rPr>
        <w:t>).</w:t>
      </w:r>
      <w:r w:rsidRPr="008119AB">
        <w:rPr>
          <w:rFonts w:ascii="Times New Roman" w:eastAsia="Times New Roman" w:hAnsi="Times New Roman" w:cs="Times New Roman"/>
        </w:rPr>
        <w:t xml:space="preserve">  External expenses also demonstrated a downward trend, from £1,894,720 in 2021 to £1,675,410 in 2022, continuing to decrease to £1,071,030 in 2023. Acording to (Xue, 2021</w:t>
      </w:r>
      <w:r w:rsidR="008119AB" w:rsidRPr="008119AB">
        <w:rPr>
          <w:rFonts w:ascii="Times New Roman" w:eastAsia="Times New Roman" w:hAnsi="Times New Roman" w:cs="Times New Roman"/>
        </w:rPr>
        <w:t>) this</w:t>
      </w:r>
      <w:r w:rsidRPr="008119AB">
        <w:rPr>
          <w:rFonts w:ascii="Times New Roman" w:eastAsia="Times New Roman" w:hAnsi="Times New Roman" w:cs="Times New Roman"/>
        </w:rPr>
        <w:t xml:space="preserve"> reduction is a positive sign, indicating attempts to control costs during an economically challenging period. Taxation also showed a consistent decline — from £144,070 in 2021 to £133,020 in 2022, and further down to £88,950 in 2023 — likely because of decreasing profitability (Kagan,</w:t>
      </w:r>
      <w:r w:rsidR="008119AB">
        <w:rPr>
          <w:rFonts w:ascii="Times New Roman" w:eastAsia="Times New Roman" w:hAnsi="Times New Roman" w:cs="Times New Roman"/>
        </w:rPr>
        <w:t xml:space="preserve"> </w:t>
      </w:r>
      <w:r w:rsidRPr="008119AB">
        <w:rPr>
          <w:rFonts w:ascii="Times New Roman" w:eastAsia="Times New Roman" w:hAnsi="Times New Roman" w:cs="Times New Roman"/>
        </w:rPr>
        <w:t xml:space="preserve">2024). Meanwhile, depreciation and amortization expenses increased significantly from £409,190 in 2021 to £634,030 in 2022 and further to £661,590 in 2023. This could indicate increased capital expenditures or investments in property and equipment (Barker et al., 2022), reflecting an effort to enhance the hotel's competitive edge, despite ongoing financial challenges (Brinkerink </w:t>
      </w:r>
      <w:r w:rsidRPr="008119AB">
        <w:rPr>
          <w:rFonts w:ascii="Times New Roman" w:eastAsia="Times New Roman" w:hAnsi="Times New Roman" w:cs="Times New Roman"/>
          <w:i/>
          <w:iCs/>
        </w:rPr>
        <w:t>et al</w:t>
      </w:r>
      <w:r w:rsidRPr="008119AB">
        <w:rPr>
          <w:rFonts w:ascii="Times New Roman" w:eastAsia="Times New Roman" w:hAnsi="Times New Roman" w:cs="Times New Roman"/>
        </w:rPr>
        <w:t>., 2019</w:t>
      </w:r>
      <w:r w:rsidR="008119AB" w:rsidRPr="008119AB">
        <w:rPr>
          <w:rFonts w:ascii="Times New Roman" w:eastAsia="Times New Roman" w:hAnsi="Times New Roman" w:cs="Times New Roman"/>
        </w:rPr>
        <w:t>).</w:t>
      </w:r>
    </w:p>
    <w:p w14:paraId="3929D438" w14:textId="77777777" w:rsidR="008119AB"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 xml:space="preserve">3.    Operating Income Trends  </w:t>
      </w:r>
    </w:p>
    <w:p w14:paraId="5C4FA709" w14:textId="0C050F55" w:rsidR="66A51CB8" w:rsidRDefault="66A51CB8" w:rsidP="008119AB">
      <w:pPr>
        <w:jc w:val="both"/>
        <w:rPr>
          <w:rFonts w:ascii="Times New Roman" w:eastAsia="Times New Roman" w:hAnsi="Times New Roman" w:cs="Times New Roman"/>
        </w:rPr>
      </w:pPr>
      <w:r w:rsidRPr="008119AB">
        <w:rPr>
          <w:rFonts w:ascii="Times New Roman" w:eastAsia="Times New Roman" w:hAnsi="Times New Roman" w:cs="Times New Roman"/>
        </w:rPr>
        <w:t>The analysis of operating income generated a grim evaluation of the hotel's performance. In 2021, the hotel enjoyed an operating income of £664,160, which slightly improved to £674,730 in 2022. However, the financial crisis in 2023 saw a shocking reversal, resulting in an operating loss of £1,218,850. This dramatic shift underscores the need for the hotel to reassess its operational strategies, cost structure, and market positioning. Negative cash flow from operations indicates that a company is spending more cash on its core activities than it is generating, potentially requiring asset sales or external financing to sustain operations (Burnley, 2021).</w:t>
      </w:r>
    </w:p>
    <w:p w14:paraId="6A56DF73" w14:textId="77777777" w:rsidR="004614B5" w:rsidRDefault="004614B5" w:rsidP="008119AB">
      <w:pPr>
        <w:jc w:val="both"/>
        <w:rPr>
          <w:rFonts w:ascii="Times New Roman" w:eastAsia="Times New Roman" w:hAnsi="Times New Roman" w:cs="Times New Roman"/>
        </w:rPr>
      </w:pPr>
      <w:r w:rsidRPr="004614B5">
        <w:rPr>
          <w:rFonts w:ascii="Times New Roman" w:eastAsia="Times New Roman" w:hAnsi="Times New Roman" w:cs="Times New Roman"/>
        </w:rPr>
        <w:t xml:space="preserve">II.         Key Reasons Behind Decline in Profitability    </w:t>
      </w:r>
    </w:p>
    <w:p w14:paraId="0990DD27" w14:textId="2A57113F" w:rsidR="00CC5C2B" w:rsidRDefault="004614B5" w:rsidP="008119AB">
      <w:pPr>
        <w:jc w:val="both"/>
        <w:rPr>
          <w:rFonts w:ascii="Times New Roman" w:eastAsia="Times New Roman" w:hAnsi="Times New Roman" w:cs="Times New Roman"/>
        </w:rPr>
      </w:pPr>
      <w:r w:rsidRPr="004614B5">
        <w:rPr>
          <w:rFonts w:ascii="Times New Roman" w:eastAsia="Times New Roman" w:hAnsi="Times New Roman" w:cs="Times New Roman"/>
        </w:rPr>
        <w:t xml:space="preserve">Management accounting boundaries are flexible, as management accountants must collect both financial and non-financial information due to their interrelation with financial outcomes (Atrill &amp; McLaney, 2018). The decline in profitability for City Hotel UK from 2021 to 2023 is starkly evident from their income statements, influenced by a combination of key factors observed in the provided financial data and the broader economic context. Firstly, the hotel experienced a significant revenue decline, largely due to the aftermath of the COVID-19 pandemic (Pavone, Migliaccio and Simonetti, 2021). Despite a slight revenue increase from 2021 to 2022, it plummeted in 2023. This drop is linked to the pandemic's lingering effects, such as changes in travel behavior, ongoing travel restrictions, and decreased tourism and business travel (Goncu &amp; Kamasak, 2024). Additionally, economic uncertainty in the UK, due to Brexit, inflation, supply chain disruptions, and consumer uncertainty, likely reduced discretionary spending on travel and hospitality (Romih, 2021). The significant rise in depreciation and amortization costs in 2022 and 2023 suggests major investments in property, plant, equipment, or intangibles, increasing non-cash expenses and negatively affecting profitability. The City Hotel UK experienced notable changes in employee costs and external expenses from 2021 to 2023, contributing to its overall decline in profitability. Employee costs decreased in 2023, indicating potential staffing challenges like layoffs or hiring difficulties (Chhinzer, 2023), unlike previous years when costs were stable. This implies that while the hotel maintained its workforce during the initial pandemic, it had to make </w:t>
      </w:r>
      <w:r w:rsidRPr="004614B5">
        <w:rPr>
          <w:rFonts w:ascii="Times New Roman" w:eastAsia="Times New Roman" w:hAnsi="Times New Roman" w:cs="Times New Roman"/>
        </w:rPr>
        <w:lastRenderedPageBreak/>
        <w:t>significant cuts in 2023. Despite reductions in both employee costs and external expenses — possibly due to cost-saving measures, lower operating activities, or reduced service demand — the revenue decline surpassed these cost savings, negatively impacting profitability. City Hotel UK's balance sheet insights reveal key trends. Investments in associates dropped by 2023, likely due to divestment or poor performance. An increase in deferred tax assets in 2023 suggests the hotel expects lower future profitability, affecting tax liabilities and earnings (Kagan, 2024). Cash reserves significantly declined from 2021 to 2023, highlighting liquidity issues and reduced cash flow, possibly due to falling revenues and rising costs (Cardella et al., 2014). Return on assets (ROA) is a profitability metric calculated by dividing a company's net income by its average total assets, with a higher ROA indicating more effective use of assets in generating profits. For instance, in 2021, the company had a ROA of 0.373, calculated from a profit of 4,836,690 and average total assets of 1,294,110. In contrast, by 2023, the ROA decreased to 0.137, based on a profit of 2,149,190 and average total assets of 15,653,970, demonstrating a reduction in the company's ability to generate profit from its assets over this period (Burnley, 2021)</w:t>
      </w:r>
      <w:r w:rsidR="00E139CC">
        <w:rPr>
          <w:rFonts w:ascii="Times New Roman" w:eastAsia="Times New Roman" w:hAnsi="Times New Roman" w:cs="Times New Roman"/>
        </w:rPr>
        <w:t>. Also, f</w:t>
      </w:r>
      <w:r w:rsidR="00E139CC" w:rsidRPr="00E139CC">
        <w:rPr>
          <w:rFonts w:ascii="Times New Roman" w:eastAsia="Times New Roman" w:hAnsi="Times New Roman" w:cs="Times New Roman"/>
        </w:rPr>
        <w:t>irms using the ROI approach for measuring managerial performance often see investment center managers initially respond by reducing their investments in operating assets, indicating a lack of consistent sensitivity to controlling such investments</w:t>
      </w:r>
      <w:r w:rsidR="00E139CC">
        <w:rPr>
          <w:rFonts w:ascii="Times New Roman" w:eastAsia="Times New Roman" w:hAnsi="Times New Roman" w:cs="Times New Roman"/>
        </w:rPr>
        <w:t xml:space="preserve"> (</w:t>
      </w:r>
      <w:r w:rsidR="00BF28A5">
        <w:rPr>
          <w:rFonts w:ascii="Times New Roman" w:eastAsia="Times New Roman" w:hAnsi="Times New Roman" w:cs="Times New Roman"/>
        </w:rPr>
        <w:t xml:space="preserve">Seal </w:t>
      </w:r>
      <w:r w:rsidR="00BF28A5">
        <w:rPr>
          <w:rFonts w:ascii="Times New Roman" w:eastAsia="Times New Roman" w:hAnsi="Times New Roman" w:cs="Times New Roman"/>
          <w:i/>
          <w:iCs/>
        </w:rPr>
        <w:t>et al., 2019</w:t>
      </w:r>
      <w:r w:rsidR="00E139CC">
        <w:rPr>
          <w:rFonts w:ascii="Times New Roman" w:eastAsia="Times New Roman" w:hAnsi="Times New Roman" w:cs="Times New Roman"/>
        </w:rPr>
        <w:t>)</w:t>
      </w:r>
      <w:r w:rsidR="00E139CC" w:rsidRPr="00E139CC">
        <w:rPr>
          <w:rFonts w:ascii="Times New Roman" w:eastAsia="Times New Roman" w:hAnsi="Times New Roman" w:cs="Times New Roman"/>
        </w:rPr>
        <w:t>.</w:t>
      </w:r>
      <w:r w:rsidRPr="004614B5">
        <w:rPr>
          <w:rFonts w:ascii="Times New Roman" w:eastAsia="Times New Roman" w:hAnsi="Times New Roman" w:cs="Times New Roman"/>
        </w:rPr>
        <w:t xml:space="preserve"> The energy crisis, intensified by the war in Ukraine, has further escalated operating expenses. Additionally, the Bank of England's measures to combat inflation by raising interest rates have led to higher borrowing costs (The Times, 2024). Consequently, the hotel's financial decline is attributable to a combination of reduced revenue, likely due to post-pandemic effects and economic uncertainty, increased depreciation expenses, higher charges to provisions, and substantial increases in other operating expenses. Applying a pattern suggested by Burnley (2021), the company's declining operational activities, rising investment activities, and volatile financial activities indicate it is struggling. However, it may be sustaining operations by using cash inflows from selling property, plant, and equipment, along with new borrowings.</w:t>
      </w:r>
    </w:p>
    <w:p w14:paraId="3CA0CEC5" w14:textId="77777777" w:rsidR="00FD0407" w:rsidRDefault="00FD0407" w:rsidP="00FD0407">
      <w:pPr>
        <w:jc w:val="both"/>
        <w:rPr>
          <w:rFonts w:ascii="Times New Roman" w:eastAsia="Times New Roman" w:hAnsi="Times New Roman" w:cs="Times New Roman"/>
        </w:rPr>
      </w:pPr>
      <w:r w:rsidRPr="00FD0407">
        <w:rPr>
          <w:rFonts w:ascii="Times New Roman" w:eastAsia="Times New Roman" w:hAnsi="Times New Roman" w:cs="Times New Roman"/>
        </w:rPr>
        <w:t xml:space="preserve">III.         Turnaround Strategy   </w:t>
      </w:r>
    </w:p>
    <w:p w14:paraId="424135A8" w14:textId="507892B3" w:rsidR="00FD0407" w:rsidRPr="00FD0407" w:rsidRDefault="00FD0407" w:rsidP="00FD0407">
      <w:pPr>
        <w:jc w:val="both"/>
        <w:rPr>
          <w:rFonts w:ascii="Times New Roman" w:eastAsia="Times New Roman" w:hAnsi="Times New Roman" w:cs="Times New Roman"/>
        </w:rPr>
      </w:pPr>
      <w:r w:rsidRPr="00FD0407">
        <w:rPr>
          <w:rFonts w:ascii="Times New Roman" w:eastAsia="Times New Roman" w:hAnsi="Times New Roman" w:cs="Times New Roman"/>
        </w:rPr>
        <w:t xml:space="preserve">Hotels, including City Hotel, often encounter financial difficulties due to global disruptions like the COVID-19 pandemic, economic instability, and changing consumer behaviour. City Hotel's financial distress, marked by declining revenue, high operational expenses, and increased liabilities, necessitates a strategic turnaround plan. This plan aims to provide immediate financial relief and sustainable long-term improvements in operations and reputation. Key elements of the financial restructuring involve renegotiating debt terms for lower interest rates or extended repayment periods, utilizing government grants and subsidies for post-pandemic recovery, and selling non-core assets or underperforming investments to generate quick cash inflows. Controlling costs and enhancing efficiency at the City Hotel necessitates a comprehensive operational audit to identify areas for improvement, centralized procurement to reduce supply costs, and optimizing staff based on demand patterns and cross-training for flexibility. Revenue enhancement strategies include dynamic pricing using an advanced revenue management system </w:t>
      </w:r>
      <w:r w:rsidRPr="00FD0407">
        <w:rPr>
          <w:rFonts w:ascii="Times New Roman" w:eastAsia="Times New Roman" w:hAnsi="Times New Roman" w:cs="Times New Roman"/>
        </w:rPr>
        <w:lastRenderedPageBreak/>
        <w:t>and creating promotional packages aligned with market trends to attract a broader customer base. Diversifying revenue streams is crucial, including marketing the hotel for corporate events, weddings, and local gatherings to boost off-peak occupancy and revenue. Investing in wellness services like spas, fitness centers, and recreational activities can attract guests and locals, enhancing revenue diversity. Forming strategic partnerships with local businesses and tourism entities for bundled packages and joint promotions will increase visibility and customer base.</w:t>
      </w:r>
    </w:p>
    <w:p w14:paraId="5AB43357" w14:textId="3628A617" w:rsidR="00FD0407" w:rsidRPr="00FD0407" w:rsidRDefault="00FD0407" w:rsidP="00FD0407">
      <w:pPr>
        <w:jc w:val="both"/>
        <w:rPr>
          <w:rFonts w:ascii="Times New Roman" w:eastAsia="Times New Roman" w:hAnsi="Times New Roman" w:cs="Times New Roman"/>
        </w:rPr>
      </w:pPr>
      <w:r w:rsidRPr="00FD0407">
        <w:rPr>
          <w:rFonts w:ascii="Times New Roman" w:eastAsia="Times New Roman" w:hAnsi="Times New Roman" w:cs="Times New Roman"/>
        </w:rPr>
        <w:t>Market Positioning and Branding at The City Hotel involve updating branding through physical and online enhancements, aligning marketing with target segments, and investing in digital strategies like SEO, social media advertising, email marketing, and influencer partnerships to boost visibility and bookings. For instance, insufficient innovation in new products can result in a decrease in sales revenue (Atrill &amp; McLaney, 2018). Managing online reviews and encouraging positive feedback on platforms like TripAdvisor, Booking.com, and Google can enhance reputation and attract new customers. Marketing to local tourists and business travelers with tailored promotions can increase occupancy rates, while targeting key international markets with customized campaigns can attract more guests. international visitors, supporting overall growth. Operational improvements at The City Hotel include staff training to enhance service quality, boosting customer satisfaction and repeat business. Regular guest feedback collection optimizes the customer experience. Upgrading to modern property management (PMS) and customer relationship management (CRM) systems, along with contactless technologies, improves efficiency and guest satisfaction (Giannoukou, 2024). Sustainability initiatives, such as energy-efficient lighting, water conservation, and waste reduction, attract eco-conscious travelers and reduce costs. Community engagement and reputation management involve participating in community service programs, partnering with local businesses, sourcing local products, and conducting proactive public relations campaigns to highlight improvements, special offerings, and community involvement, fostering transparency, trust, and a positive image. Maintaining open communication with stakeholders, customers, and employees about improvements ensures transparency and builds confidence in the hotel's commitment to betterment. The City Hotel's Strategic Partnerships and Alliances involve key collaborations, such as partnering with tourism boards for broader marketing campaigns, enhancing visibility, and attracting a wider audience. Corporate agreements with local businesses to offer corporate rates and packages for business travelers ensure consistent bookings, fostering reliable occupancy and revenue.</w:t>
      </w:r>
    </w:p>
    <w:p w14:paraId="6D155B79" w14:textId="4E226B1E" w:rsidR="004614B5" w:rsidRDefault="00FD0407" w:rsidP="008119AB">
      <w:pPr>
        <w:jc w:val="both"/>
        <w:rPr>
          <w:rFonts w:ascii="Times New Roman" w:eastAsia="Times New Roman" w:hAnsi="Times New Roman" w:cs="Times New Roman"/>
        </w:rPr>
      </w:pPr>
      <w:r w:rsidRPr="00FD0407">
        <w:rPr>
          <w:rFonts w:ascii="Times New Roman" w:eastAsia="Times New Roman" w:hAnsi="Times New Roman" w:cs="Times New Roman"/>
        </w:rPr>
        <w:t>Given the significant operating loss, the owner should prioritize stabilizing cash flows and reducing debt. Options include engaging with creditors and investors to gain support for restructuring plans. If turnaround efforts fail, the owner should consider a strategic sale of the business or its assets to recover the investment judiciously.</w:t>
      </w:r>
    </w:p>
    <w:p w14:paraId="714BB24A" w14:textId="3964A199" w:rsidR="00D57CC8" w:rsidRDefault="00D57CC8" w:rsidP="008119AB">
      <w:pPr>
        <w:jc w:val="both"/>
        <w:rPr>
          <w:rFonts w:ascii="Times New Roman" w:eastAsia="Times New Roman" w:hAnsi="Times New Roman" w:cs="Times New Roman"/>
        </w:rPr>
      </w:pPr>
      <w:r>
        <w:rPr>
          <w:rFonts w:ascii="Times New Roman" w:eastAsia="Times New Roman" w:hAnsi="Times New Roman" w:cs="Times New Roman"/>
        </w:rPr>
        <w:t>Conclusion</w:t>
      </w:r>
    </w:p>
    <w:p w14:paraId="40FE6F7A" w14:textId="08529FDC" w:rsidR="00D57CC8" w:rsidRDefault="00D57CC8" w:rsidP="008119AB">
      <w:pPr>
        <w:jc w:val="both"/>
        <w:rPr>
          <w:rFonts w:ascii="Times New Roman" w:eastAsia="Times New Roman" w:hAnsi="Times New Roman" w:cs="Times New Roman"/>
        </w:rPr>
      </w:pPr>
      <w:r w:rsidRPr="00D57CC8">
        <w:rPr>
          <w:rFonts w:ascii="Times New Roman" w:eastAsia="Times New Roman" w:hAnsi="Times New Roman" w:cs="Times New Roman"/>
        </w:rPr>
        <w:t xml:space="preserve">In conclusion, City Hotel UK faces substantial financial difficulties stemming from a dramatic revenue decline and various external challenges over the past three years. To navigate these </w:t>
      </w:r>
      <w:r w:rsidRPr="00D57CC8">
        <w:rPr>
          <w:rFonts w:ascii="Times New Roman" w:eastAsia="Times New Roman" w:hAnsi="Times New Roman" w:cs="Times New Roman"/>
        </w:rPr>
        <w:lastRenderedPageBreak/>
        <w:t>obstacles and ensure long-term sustainability in the competitive hospitality sector, the hotel must adopt a multifaceted recovery strategy. This strategy should focus on revenue recovery, workforce optimization, ongoing cost management, and the assessment of capital investments while adapting to evolving market conditions. Additionally, addressing the specific factors contributing to its profitability decline—such as the aftermath of COVID-19, Brexit-related uncertainties, and staffing fluctuations—is essential. Implementing measures like debt restructuring, improved operational efficiency, dynamic pricing, and targeted marketing can stabilize cash flow and enhance financial performance. By prioritizing these strategies alongside technological upgrades and community engagement, City Hotel can work towards reversing its financial trajectory, enhancing customer satisfaction, and positioning itself for future growth and success in a challenging environment.</w:t>
      </w:r>
    </w:p>
    <w:p w14:paraId="57F7D5B2" w14:textId="77777777" w:rsidR="002106EC" w:rsidRDefault="002106EC" w:rsidP="008119AB">
      <w:pPr>
        <w:jc w:val="both"/>
        <w:rPr>
          <w:rFonts w:ascii="Times New Roman" w:eastAsia="Times New Roman" w:hAnsi="Times New Roman" w:cs="Times New Roman"/>
        </w:rPr>
      </w:pPr>
    </w:p>
    <w:p w14:paraId="0F8D357F" w14:textId="77777777" w:rsidR="008119AB" w:rsidRDefault="008119AB" w:rsidP="008119AB">
      <w:pPr>
        <w:jc w:val="both"/>
        <w:rPr>
          <w:rFonts w:ascii="Times New Roman" w:eastAsia="Times New Roman" w:hAnsi="Times New Roman" w:cs="Times New Roman"/>
        </w:rPr>
      </w:pPr>
    </w:p>
    <w:p w14:paraId="061A168B" w14:textId="77777777" w:rsidR="008119AB" w:rsidRDefault="008119AB" w:rsidP="008119AB">
      <w:pPr>
        <w:jc w:val="both"/>
        <w:rPr>
          <w:rFonts w:ascii="Times New Roman" w:eastAsia="Times New Roman" w:hAnsi="Times New Roman" w:cs="Times New Roman"/>
        </w:rPr>
      </w:pPr>
      <w:r>
        <w:rPr>
          <w:rFonts w:ascii="Times New Roman" w:eastAsia="Times New Roman" w:hAnsi="Times New Roman" w:cs="Times New Roman"/>
        </w:rPr>
        <w:br w:type="page"/>
      </w:r>
    </w:p>
    <w:p w14:paraId="2E2790CB" w14:textId="2B701673" w:rsidR="008119AB" w:rsidRDefault="008119AB" w:rsidP="008119AB">
      <w:pPr>
        <w:jc w:val="both"/>
        <w:rPr>
          <w:rFonts w:ascii="Times New Roman" w:eastAsia="Times New Roman" w:hAnsi="Times New Roman" w:cs="Times New Roman"/>
        </w:rPr>
      </w:pPr>
      <w:r>
        <w:rPr>
          <w:rFonts w:ascii="Times New Roman" w:eastAsia="Times New Roman" w:hAnsi="Times New Roman" w:cs="Times New Roman"/>
        </w:rPr>
        <w:lastRenderedPageBreak/>
        <w:t>References</w:t>
      </w:r>
    </w:p>
    <w:p w14:paraId="6C5417A7" w14:textId="16F5F0FF" w:rsidR="00E10E93" w:rsidRDefault="00254848" w:rsidP="00E10E93">
      <w:pPr>
        <w:pStyle w:val="Listparagraf"/>
        <w:numPr>
          <w:ilvl w:val="0"/>
          <w:numId w:val="1"/>
        </w:numPr>
        <w:jc w:val="both"/>
        <w:rPr>
          <w:rFonts w:ascii="Times New Roman" w:eastAsia="Times New Roman" w:hAnsi="Times New Roman" w:cs="Times New Roman"/>
        </w:rPr>
      </w:pPr>
      <w:r w:rsidRPr="00254848">
        <w:rPr>
          <w:rFonts w:ascii="Times New Roman" w:eastAsia="Times New Roman" w:hAnsi="Times New Roman" w:cs="Times New Roman"/>
        </w:rPr>
        <w:t>Atrill, P</w:t>
      </w:r>
      <w:r>
        <w:rPr>
          <w:rFonts w:ascii="Times New Roman" w:eastAsia="Times New Roman" w:hAnsi="Times New Roman" w:cs="Times New Roman"/>
        </w:rPr>
        <w:t xml:space="preserve">. </w:t>
      </w:r>
      <w:r w:rsidR="008911A2">
        <w:rPr>
          <w:rFonts w:ascii="Times New Roman" w:eastAsia="Times New Roman" w:hAnsi="Times New Roman" w:cs="Times New Roman"/>
        </w:rPr>
        <w:t>&amp;</w:t>
      </w:r>
      <w:r w:rsidRPr="00254848">
        <w:rPr>
          <w:rFonts w:ascii="Times New Roman" w:eastAsia="Times New Roman" w:hAnsi="Times New Roman" w:cs="Times New Roman"/>
        </w:rPr>
        <w:t xml:space="preserve"> McLaney, E</w:t>
      </w:r>
      <w:r>
        <w:rPr>
          <w:rFonts w:ascii="Times New Roman" w:eastAsia="Times New Roman" w:hAnsi="Times New Roman" w:cs="Times New Roman"/>
        </w:rPr>
        <w:t>. (</w:t>
      </w:r>
      <w:r w:rsidRPr="00254848">
        <w:rPr>
          <w:rFonts w:ascii="Times New Roman" w:eastAsia="Times New Roman" w:hAnsi="Times New Roman" w:cs="Times New Roman"/>
        </w:rPr>
        <w:t>2018</w:t>
      </w:r>
      <w:r>
        <w:rPr>
          <w:rFonts w:ascii="Times New Roman" w:eastAsia="Times New Roman" w:hAnsi="Times New Roman" w:cs="Times New Roman"/>
        </w:rPr>
        <w:t>)</w:t>
      </w:r>
      <w:r w:rsidRPr="00254848">
        <w:rPr>
          <w:rFonts w:ascii="Times New Roman" w:eastAsia="Times New Roman" w:hAnsi="Times New Roman" w:cs="Times New Roman"/>
        </w:rPr>
        <w:t xml:space="preserve"> </w:t>
      </w:r>
      <w:r w:rsidRPr="00254848">
        <w:rPr>
          <w:rFonts w:ascii="Times New Roman" w:eastAsia="Times New Roman" w:hAnsi="Times New Roman" w:cs="Times New Roman"/>
          <w:i/>
          <w:iCs/>
        </w:rPr>
        <w:t>Management Accounting for Decision Makers</w:t>
      </w:r>
      <w:r>
        <w:rPr>
          <w:rFonts w:ascii="Times New Roman" w:eastAsia="Times New Roman" w:hAnsi="Times New Roman" w:cs="Times New Roman"/>
          <w:i/>
          <w:iCs/>
        </w:rPr>
        <w:t>.</w:t>
      </w:r>
      <w:r w:rsidRPr="00254848">
        <w:rPr>
          <w:rFonts w:ascii="Times New Roman" w:eastAsia="Times New Roman" w:hAnsi="Times New Roman" w:cs="Times New Roman"/>
        </w:rPr>
        <w:t xml:space="preserve"> 9th Edition</w:t>
      </w:r>
      <w:r>
        <w:rPr>
          <w:rFonts w:ascii="Times New Roman" w:eastAsia="Times New Roman" w:hAnsi="Times New Roman" w:cs="Times New Roman"/>
        </w:rPr>
        <w:t>.</w:t>
      </w:r>
      <w:r w:rsidRPr="00254848">
        <w:rPr>
          <w:rFonts w:ascii="Times New Roman" w:eastAsia="Times New Roman" w:hAnsi="Times New Roman" w:cs="Times New Roman"/>
        </w:rPr>
        <w:t xml:space="preserve"> Harlow</w:t>
      </w:r>
      <w:r>
        <w:rPr>
          <w:rFonts w:ascii="Times New Roman" w:eastAsia="Times New Roman" w:hAnsi="Times New Roman" w:cs="Times New Roman"/>
        </w:rPr>
        <w:t>:</w:t>
      </w:r>
      <w:r w:rsidRPr="00254848">
        <w:rPr>
          <w:rFonts w:ascii="Times New Roman" w:eastAsia="Times New Roman" w:hAnsi="Times New Roman" w:cs="Times New Roman"/>
        </w:rPr>
        <w:t xml:space="preserve"> Pearson Education, Limited. </w:t>
      </w:r>
    </w:p>
    <w:p w14:paraId="64CBF4FC" w14:textId="629D8F24" w:rsidR="005836E6" w:rsidRPr="00E10E93" w:rsidRDefault="005836E6"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Barker, R., Lennard, A., Penman, S. </w:t>
      </w:r>
      <w:r w:rsidR="008911A2">
        <w:rPr>
          <w:rFonts w:ascii="Times New Roman" w:eastAsia="Times New Roman" w:hAnsi="Times New Roman" w:cs="Times New Roman"/>
        </w:rPr>
        <w:t xml:space="preserve">&amp; </w:t>
      </w:r>
      <w:r w:rsidRPr="00E10E93">
        <w:rPr>
          <w:rFonts w:ascii="Times New Roman" w:eastAsia="Times New Roman" w:hAnsi="Times New Roman" w:cs="Times New Roman"/>
        </w:rPr>
        <w:t xml:space="preserve">Teixeira, A. (2022) “Accounting for intangible assets: suggested solutions”. </w:t>
      </w:r>
      <w:r w:rsidRPr="00E10E93">
        <w:rPr>
          <w:rFonts w:ascii="Times New Roman" w:eastAsia="Times New Roman" w:hAnsi="Times New Roman" w:cs="Times New Roman"/>
          <w:i/>
          <w:iCs/>
        </w:rPr>
        <w:t>Accounting and Business Research</w:t>
      </w:r>
      <w:r w:rsidRPr="00E10E93">
        <w:rPr>
          <w:rFonts w:ascii="Times New Roman" w:eastAsia="Times New Roman" w:hAnsi="Times New Roman" w:cs="Times New Roman"/>
        </w:rPr>
        <w:t>. 52(6), pp. 601–630. doi: 10.1080/00014788.2021.1938963.</w:t>
      </w:r>
    </w:p>
    <w:p w14:paraId="3B9A8AA0" w14:textId="6902DE60" w:rsidR="00521C24" w:rsidRPr="00E10E93" w:rsidRDefault="00521C24"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Brinkerink, J., Letterie, W., &amp; Chegut, A. (2019) </w:t>
      </w:r>
      <w:r w:rsidR="005836E6" w:rsidRPr="00E10E93">
        <w:rPr>
          <w:rFonts w:ascii="Times New Roman" w:eastAsia="Times New Roman" w:hAnsi="Times New Roman" w:cs="Times New Roman"/>
        </w:rPr>
        <w:t>“</w:t>
      </w:r>
      <w:r w:rsidRPr="00E10E93">
        <w:rPr>
          <w:rFonts w:ascii="Times New Roman" w:eastAsia="Times New Roman" w:hAnsi="Times New Roman" w:cs="Times New Roman"/>
        </w:rPr>
        <w:t>Energy performance and capital expenditures in manufacturing industries</w:t>
      </w:r>
      <w:r w:rsidR="005836E6" w:rsidRPr="00E10E93">
        <w:rPr>
          <w:rFonts w:ascii="Times New Roman" w:eastAsia="Times New Roman" w:hAnsi="Times New Roman" w:cs="Times New Roman"/>
        </w:rPr>
        <w:t>”</w:t>
      </w:r>
      <w:r w:rsidRPr="00E10E93">
        <w:rPr>
          <w:rFonts w:ascii="Times New Roman" w:eastAsia="Times New Roman" w:hAnsi="Times New Roman" w:cs="Times New Roman"/>
        </w:rPr>
        <w:t xml:space="preserve">. </w:t>
      </w:r>
      <w:r w:rsidRPr="00E10E93">
        <w:rPr>
          <w:rFonts w:ascii="Times New Roman" w:eastAsia="Times New Roman" w:hAnsi="Times New Roman" w:cs="Times New Roman"/>
          <w:i/>
          <w:iCs/>
        </w:rPr>
        <w:t>Energy Efficiency</w:t>
      </w:r>
      <w:r w:rsidR="005836E6" w:rsidRPr="00E10E93">
        <w:rPr>
          <w:rFonts w:ascii="Times New Roman" w:eastAsia="Times New Roman" w:hAnsi="Times New Roman" w:cs="Times New Roman"/>
          <w:i/>
          <w:iCs/>
        </w:rPr>
        <w:t>.</w:t>
      </w:r>
      <w:r w:rsidRPr="00E10E93">
        <w:rPr>
          <w:rFonts w:ascii="Times New Roman" w:eastAsia="Times New Roman" w:hAnsi="Times New Roman" w:cs="Times New Roman"/>
        </w:rPr>
        <w:t xml:space="preserve"> 12(8), </w:t>
      </w:r>
      <w:r w:rsidR="00331763" w:rsidRPr="00E10E93">
        <w:rPr>
          <w:rFonts w:ascii="Times New Roman" w:eastAsia="Times New Roman" w:hAnsi="Times New Roman" w:cs="Times New Roman"/>
        </w:rPr>
        <w:t xml:space="preserve">pp. </w:t>
      </w:r>
      <w:r w:rsidRPr="00E10E93">
        <w:rPr>
          <w:rFonts w:ascii="Times New Roman" w:eastAsia="Times New Roman" w:hAnsi="Times New Roman" w:cs="Times New Roman"/>
        </w:rPr>
        <w:t xml:space="preserve">2011–2038. </w:t>
      </w:r>
      <w:hyperlink r:id="rId8" w:history="1">
        <w:r w:rsidR="005836E6" w:rsidRPr="00E10E93">
          <w:rPr>
            <w:rStyle w:val="Hyperlink"/>
            <w:rFonts w:ascii="Times New Roman" w:eastAsia="Times New Roman" w:hAnsi="Times New Roman" w:cs="Times New Roman"/>
          </w:rPr>
          <w:t>https://doi.org/10.1007/s12053-019-09779-x</w:t>
        </w:r>
      </w:hyperlink>
      <w:r w:rsidR="005836E6" w:rsidRPr="00E10E93">
        <w:rPr>
          <w:rFonts w:ascii="Times New Roman" w:eastAsia="Times New Roman" w:hAnsi="Times New Roman" w:cs="Times New Roman"/>
        </w:rPr>
        <w:t xml:space="preserve">. </w:t>
      </w:r>
    </w:p>
    <w:p w14:paraId="2BB7499C" w14:textId="556579F6" w:rsidR="002106EC" w:rsidRDefault="002106EC"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Burnley, C. (2021) </w:t>
      </w:r>
      <w:r w:rsidRPr="00E10E93">
        <w:rPr>
          <w:rFonts w:ascii="Times New Roman" w:eastAsia="Times New Roman" w:hAnsi="Times New Roman" w:cs="Times New Roman"/>
          <w:i/>
          <w:iCs/>
        </w:rPr>
        <w:t>Understanding Financial Accounting</w:t>
      </w:r>
      <w:r w:rsidRPr="00E10E93">
        <w:rPr>
          <w:rFonts w:ascii="Times New Roman" w:eastAsia="Times New Roman" w:hAnsi="Times New Roman" w:cs="Times New Roman"/>
        </w:rPr>
        <w:t xml:space="preserve">. 3rd edn. Wiley. Available at: </w:t>
      </w:r>
      <w:hyperlink r:id="rId9" w:history="1">
        <w:r w:rsidRPr="00E10E93">
          <w:rPr>
            <w:rStyle w:val="Hyperlink"/>
            <w:rFonts w:ascii="Times New Roman" w:eastAsia="Times New Roman" w:hAnsi="Times New Roman" w:cs="Times New Roman"/>
          </w:rPr>
          <w:t>https://www.perlego.com/book/3866437</w:t>
        </w:r>
      </w:hyperlink>
      <w:r w:rsidRPr="00E10E93">
        <w:rPr>
          <w:rFonts w:ascii="Times New Roman" w:eastAsia="Times New Roman" w:hAnsi="Times New Roman" w:cs="Times New Roman"/>
        </w:rPr>
        <w:t xml:space="preserve">  (Accessed: 13 November 2024).</w:t>
      </w:r>
    </w:p>
    <w:p w14:paraId="19779D16" w14:textId="4961FA4A" w:rsidR="008911A2" w:rsidRPr="00E10E93" w:rsidRDefault="008911A2" w:rsidP="00E10E93">
      <w:pPr>
        <w:pStyle w:val="Listparagraf"/>
        <w:numPr>
          <w:ilvl w:val="0"/>
          <w:numId w:val="1"/>
        </w:numPr>
        <w:jc w:val="both"/>
        <w:rPr>
          <w:rFonts w:ascii="Times New Roman" w:eastAsia="Times New Roman" w:hAnsi="Times New Roman" w:cs="Times New Roman"/>
        </w:rPr>
      </w:pPr>
      <w:r w:rsidRPr="008911A2">
        <w:rPr>
          <w:rFonts w:ascii="Times New Roman" w:eastAsia="Times New Roman" w:hAnsi="Times New Roman" w:cs="Times New Roman"/>
        </w:rPr>
        <w:t xml:space="preserve">Cardella, L., Fairhurst, D. J., &amp; Klasa, S. (2014). What Determines the Composition of a Firm’s Total Cash Reserves? SSRN Electronic Journal. </w:t>
      </w:r>
      <w:hyperlink r:id="rId10" w:history="1">
        <w:r w:rsidRPr="000604E2">
          <w:rPr>
            <w:rStyle w:val="Hyperlink"/>
            <w:rFonts w:ascii="Times New Roman" w:eastAsia="Times New Roman" w:hAnsi="Times New Roman" w:cs="Times New Roman"/>
          </w:rPr>
          <w:t>https://doi.org/10.2139/ssrn.2391467</w:t>
        </w:r>
      </w:hyperlink>
      <w:r>
        <w:rPr>
          <w:rFonts w:ascii="Times New Roman" w:eastAsia="Times New Roman" w:hAnsi="Times New Roman" w:cs="Times New Roman"/>
        </w:rPr>
        <w:t xml:space="preserve"> </w:t>
      </w:r>
    </w:p>
    <w:p w14:paraId="32C4E27C" w14:textId="6D3538D8" w:rsidR="00521C24" w:rsidRDefault="00521C24"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Chambers, V., Zheng, K., Johnson, E. N., &amp; Fleischman, G. (2020)</w:t>
      </w:r>
      <w:r w:rsidR="005836E6" w:rsidRPr="00E10E93">
        <w:rPr>
          <w:rFonts w:ascii="Times New Roman" w:eastAsia="Times New Roman" w:hAnsi="Times New Roman" w:cs="Times New Roman"/>
        </w:rPr>
        <w:t xml:space="preserve"> “</w:t>
      </w:r>
      <w:r w:rsidRPr="00E10E93">
        <w:rPr>
          <w:rFonts w:ascii="Times New Roman" w:eastAsia="Times New Roman" w:hAnsi="Times New Roman" w:cs="Times New Roman"/>
        </w:rPr>
        <w:t>Influences of Prior Period Revenue, Perceived Psychological Costs, and Manager Agency on Labor Cost Reduction Decisions Following a Current Period Revenue Decline</w:t>
      </w:r>
      <w:r w:rsidR="005836E6" w:rsidRPr="00E10E93">
        <w:rPr>
          <w:rFonts w:ascii="Times New Roman" w:eastAsia="Times New Roman" w:hAnsi="Times New Roman" w:cs="Times New Roman"/>
        </w:rPr>
        <w:t>”</w:t>
      </w:r>
      <w:r w:rsidRPr="00E10E93">
        <w:rPr>
          <w:rFonts w:ascii="Times New Roman" w:eastAsia="Times New Roman" w:hAnsi="Times New Roman" w:cs="Times New Roman"/>
        </w:rPr>
        <w:t xml:space="preserve">. </w:t>
      </w:r>
      <w:r w:rsidRPr="00E10E93">
        <w:rPr>
          <w:rFonts w:ascii="Times New Roman" w:eastAsia="Times New Roman" w:hAnsi="Times New Roman" w:cs="Times New Roman"/>
          <w:i/>
          <w:iCs/>
        </w:rPr>
        <w:t>SSRN Electronic Journal</w:t>
      </w:r>
      <w:r w:rsidRPr="00E10E93">
        <w:rPr>
          <w:rFonts w:ascii="Times New Roman" w:eastAsia="Times New Roman" w:hAnsi="Times New Roman" w:cs="Times New Roman"/>
        </w:rPr>
        <w:t xml:space="preserve">. </w:t>
      </w:r>
      <w:hyperlink r:id="rId11" w:history="1">
        <w:r w:rsidR="005836E6" w:rsidRPr="00E10E93">
          <w:rPr>
            <w:rStyle w:val="Hyperlink"/>
            <w:rFonts w:ascii="Times New Roman" w:eastAsia="Times New Roman" w:hAnsi="Times New Roman" w:cs="Times New Roman"/>
          </w:rPr>
          <w:t>https://doi.org/10.2139/ssrn.3684896</w:t>
        </w:r>
      </w:hyperlink>
      <w:r w:rsidR="005836E6" w:rsidRPr="00E10E93">
        <w:rPr>
          <w:rFonts w:ascii="Times New Roman" w:eastAsia="Times New Roman" w:hAnsi="Times New Roman" w:cs="Times New Roman"/>
        </w:rPr>
        <w:t xml:space="preserve">. </w:t>
      </w:r>
    </w:p>
    <w:p w14:paraId="4BACBE86" w14:textId="2D6834FF" w:rsidR="004C0D30" w:rsidRPr="004C0D30" w:rsidRDefault="004C0D30" w:rsidP="004C0D30">
      <w:pPr>
        <w:pStyle w:val="Listparagraf"/>
        <w:numPr>
          <w:ilvl w:val="0"/>
          <w:numId w:val="1"/>
        </w:numPr>
        <w:jc w:val="both"/>
        <w:rPr>
          <w:rFonts w:ascii="Times New Roman" w:eastAsia="Times New Roman" w:hAnsi="Times New Roman" w:cs="Times New Roman"/>
        </w:rPr>
      </w:pPr>
      <w:r w:rsidRPr="004C0D30">
        <w:rPr>
          <w:rFonts w:ascii="Times New Roman" w:eastAsia="Times New Roman" w:hAnsi="Times New Roman" w:cs="Times New Roman"/>
        </w:rPr>
        <w:t xml:space="preserve">Chhinzer, N. (2023) </w:t>
      </w:r>
      <w:r>
        <w:rPr>
          <w:rFonts w:ascii="Times New Roman" w:eastAsia="Times New Roman" w:hAnsi="Times New Roman" w:cs="Times New Roman"/>
        </w:rPr>
        <w:t>“</w:t>
      </w:r>
      <w:r w:rsidRPr="004C0D30">
        <w:rPr>
          <w:rFonts w:ascii="Times New Roman" w:eastAsia="Times New Roman" w:hAnsi="Times New Roman" w:cs="Times New Roman"/>
        </w:rPr>
        <w:t>Are layoffs an industry norm? Exploring how industry‐level job decline or growth impacts firm‐level layoff implementation</w:t>
      </w:r>
      <w:r>
        <w:rPr>
          <w:rFonts w:ascii="Times New Roman" w:eastAsia="Times New Roman" w:hAnsi="Times New Roman" w:cs="Times New Roman"/>
        </w:rPr>
        <w:t>”</w:t>
      </w:r>
      <w:r w:rsidRPr="004C0D30">
        <w:rPr>
          <w:rFonts w:ascii="Times New Roman" w:eastAsia="Times New Roman" w:hAnsi="Times New Roman" w:cs="Times New Roman"/>
        </w:rPr>
        <w:t xml:space="preserve">. </w:t>
      </w:r>
      <w:r w:rsidRPr="004C0D30">
        <w:rPr>
          <w:rFonts w:ascii="Times New Roman" w:eastAsia="Times New Roman" w:hAnsi="Times New Roman" w:cs="Times New Roman"/>
          <w:i/>
          <w:iCs/>
        </w:rPr>
        <w:t>Human Resource Management Journal</w:t>
      </w:r>
      <w:r w:rsidRPr="004C0D30">
        <w:rPr>
          <w:rFonts w:ascii="Times New Roman" w:eastAsia="Times New Roman" w:hAnsi="Times New Roman" w:cs="Times New Roman"/>
        </w:rPr>
        <w:t xml:space="preserve">. </w:t>
      </w:r>
      <w:hyperlink r:id="rId12" w:history="1">
        <w:r w:rsidRPr="000604E2">
          <w:rPr>
            <w:rStyle w:val="Hyperlink"/>
            <w:rFonts w:ascii="Times New Roman" w:eastAsia="Times New Roman" w:hAnsi="Times New Roman" w:cs="Times New Roman"/>
          </w:rPr>
          <w:t>https://doi.org/10.1111/1748-8583.12543</w:t>
        </w:r>
      </w:hyperlink>
      <w:r>
        <w:rPr>
          <w:rFonts w:ascii="Times New Roman" w:eastAsia="Times New Roman" w:hAnsi="Times New Roman" w:cs="Times New Roman"/>
        </w:rPr>
        <w:t xml:space="preserve">. </w:t>
      </w:r>
    </w:p>
    <w:p w14:paraId="46317807" w14:textId="79D2DC65" w:rsidR="00521C24" w:rsidRPr="00E10E93" w:rsidRDefault="00521C24"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Dudu, O., Alao, O., &amp; Alonge, E. (2024) </w:t>
      </w:r>
      <w:r w:rsidR="00331763" w:rsidRPr="00E10E93">
        <w:rPr>
          <w:rFonts w:ascii="Times New Roman" w:eastAsia="Times New Roman" w:hAnsi="Times New Roman" w:cs="Times New Roman"/>
        </w:rPr>
        <w:t>“</w:t>
      </w:r>
      <w:r w:rsidRPr="00E10E93">
        <w:rPr>
          <w:rFonts w:ascii="Times New Roman" w:eastAsia="Times New Roman" w:hAnsi="Times New Roman" w:cs="Times New Roman"/>
        </w:rPr>
        <w:t>Developing innovative financial products for sustainable economic growth</w:t>
      </w:r>
      <w:r w:rsidR="00331763" w:rsidRPr="00E10E93">
        <w:rPr>
          <w:rFonts w:ascii="Times New Roman" w:eastAsia="Times New Roman" w:hAnsi="Times New Roman" w:cs="Times New Roman"/>
        </w:rPr>
        <w:t>”</w:t>
      </w:r>
      <w:r w:rsidRPr="00E10E93">
        <w:rPr>
          <w:rFonts w:ascii="Times New Roman" w:eastAsia="Times New Roman" w:hAnsi="Times New Roman" w:cs="Times New Roman"/>
        </w:rPr>
        <w:t xml:space="preserve">. </w:t>
      </w:r>
      <w:r w:rsidRPr="00E10E93">
        <w:rPr>
          <w:rFonts w:ascii="Times New Roman" w:eastAsia="Times New Roman" w:hAnsi="Times New Roman" w:cs="Times New Roman"/>
          <w:i/>
          <w:iCs/>
        </w:rPr>
        <w:t>Finance &amp; Accounting Research Journal</w:t>
      </w:r>
      <w:r w:rsidR="00331763" w:rsidRPr="00E10E93">
        <w:rPr>
          <w:rFonts w:ascii="Times New Roman" w:eastAsia="Times New Roman" w:hAnsi="Times New Roman" w:cs="Times New Roman"/>
        </w:rPr>
        <w:t>.</w:t>
      </w:r>
      <w:r w:rsidRPr="00E10E93">
        <w:rPr>
          <w:rFonts w:ascii="Times New Roman" w:eastAsia="Times New Roman" w:hAnsi="Times New Roman" w:cs="Times New Roman"/>
        </w:rPr>
        <w:t xml:space="preserve"> 6(11), </w:t>
      </w:r>
      <w:r w:rsidR="00331763" w:rsidRPr="00E10E93">
        <w:rPr>
          <w:rFonts w:ascii="Times New Roman" w:eastAsia="Times New Roman" w:hAnsi="Times New Roman" w:cs="Times New Roman"/>
        </w:rPr>
        <w:t xml:space="preserve">pp. </w:t>
      </w:r>
      <w:r w:rsidRPr="00E10E93">
        <w:rPr>
          <w:rFonts w:ascii="Times New Roman" w:eastAsia="Times New Roman" w:hAnsi="Times New Roman" w:cs="Times New Roman"/>
        </w:rPr>
        <w:t xml:space="preserve">2061–2092. </w:t>
      </w:r>
      <w:hyperlink r:id="rId13" w:history="1">
        <w:r w:rsidR="005836E6" w:rsidRPr="00E10E93">
          <w:rPr>
            <w:rStyle w:val="Hyperlink"/>
            <w:rFonts w:ascii="Times New Roman" w:eastAsia="Times New Roman" w:hAnsi="Times New Roman" w:cs="Times New Roman"/>
          </w:rPr>
          <w:t>https://doi.org/10.51594/farj.v6i11.1697</w:t>
        </w:r>
      </w:hyperlink>
      <w:r w:rsidR="005836E6" w:rsidRPr="00E10E93">
        <w:rPr>
          <w:rFonts w:ascii="Times New Roman" w:eastAsia="Times New Roman" w:hAnsi="Times New Roman" w:cs="Times New Roman"/>
        </w:rPr>
        <w:t>.</w:t>
      </w:r>
    </w:p>
    <w:p w14:paraId="6AFBE7D5" w14:textId="44C2320E" w:rsidR="005836E6" w:rsidRDefault="005836E6"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Giannoukou, I. (2024) “Revolutionizing hospitality: strategic integration of innovation management embracing technological innovation for enhanced customer experiences”, </w:t>
      </w:r>
      <w:r w:rsidRPr="00E10E93">
        <w:rPr>
          <w:rFonts w:ascii="Times New Roman" w:eastAsia="Times New Roman" w:hAnsi="Times New Roman" w:cs="Times New Roman"/>
          <w:i/>
          <w:iCs/>
        </w:rPr>
        <w:t>Technium Business and Management</w:t>
      </w:r>
      <w:r w:rsidRPr="00E10E93">
        <w:rPr>
          <w:rFonts w:ascii="Times New Roman" w:eastAsia="Times New Roman" w:hAnsi="Times New Roman" w:cs="Times New Roman"/>
        </w:rPr>
        <w:t>. 7, pp. 24-39. doi: 10.47577/business.v7i.10585.</w:t>
      </w:r>
    </w:p>
    <w:p w14:paraId="5487D324" w14:textId="6712182E" w:rsidR="00BB6522" w:rsidRPr="00E10E93" w:rsidRDefault="00BB6522" w:rsidP="00E10E93">
      <w:pPr>
        <w:pStyle w:val="Listparagraf"/>
        <w:numPr>
          <w:ilvl w:val="0"/>
          <w:numId w:val="1"/>
        </w:numPr>
        <w:jc w:val="both"/>
        <w:rPr>
          <w:rFonts w:ascii="Times New Roman" w:eastAsia="Times New Roman" w:hAnsi="Times New Roman" w:cs="Times New Roman"/>
        </w:rPr>
      </w:pPr>
      <w:r w:rsidRPr="00BB6522">
        <w:rPr>
          <w:rFonts w:ascii="Times New Roman" w:eastAsia="Times New Roman" w:hAnsi="Times New Roman" w:cs="Times New Roman"/>
        </w:rPr>
        <w:t xml:space="preserve">Goncu, H., &amp; Kamasak, R. (2024) </w:t>
      </w:r>
      <w:r>
        <w:rPr>
          <w:rFonts w:ascii="Times New Roman" w:eastAsia="Times New Roman" w:hAnsi="Times New Roman" w:cs="Times New Roman"/>
        </w:rPr>
        <w:t>“</w:t>
      </w:r>
      <w:r w:rsidRPr="00BB6522">
        <w:rPr>
          <w:rFonts w:ascii="Times New Roman" w:eastAsia="Times New Roman" w:hAnsi="Times New Roman" w:cs="Times New Roman"/>
        </w:rPr>
        <w:t>Post-Pandemic Shifts in Travel Habits: New Trends and Strategies</w:t>
      </w:r>
      <w:r>
        <w:rPr>
          <w:rFonts w:ascii="Times New Roman" w:eastAsia="Times New Roman" w:hAnsi="Times New Roman" w:cs="Times New Roman"/>
        </w:rPr>
        <w:t>”</w:t>
      </w:r>
      <w:r w:rsidRPr="00BB6522">
        <w:rPr>
          <w:rFonts w:ascii="Times New Roman" w:eastAsia="Times New Roman" w:hAnsi="Times New Roman" w:cs="Times New Roman"/>
        </w:rPr>
        <w:t xml:space="preserve">. </w:t>
      </w:r>
      <w:r w:rsidRPr="00BB6522">
        <w:rPr>
          <w:rFonts w:ascii="Times New Roman" w:eastAsia="Times New Roman" w:hAnsi="Times New Roman" w:cs="Times New Roman"/>
          <w:i/>
          <w:iCs/>
        </w:rPr>
        <w:t>In Reference Module in Social Sciences</w:t>
      </w:r>
      <w:r w:rsidRPr="00BB6522">
        <w:rPr>
          <w:rFonts w:ascii="Times New Roman" w:eastAsia="Times New Roman" w:hAnsi="Times New Roman" w:cs="Times New Roman"/>
        </w:rPr>
        <w:t xml:space="preserve">. </w:t>
      </w:r>
      <w:r>
        <w:rPr>
          <w:rFonts w:ascii="Times New Roman" w:eastAsia="Times New Roman" w:hAnsi="Times New Roman" w:cs="Times New Roman"/>
        </w:rPr>
        <w:t>E</w:t>
      </w:r>
      <w:r w:rsidRPr="00BB6522">
        <w:rPr>
          <w:rFonts w:ascii="Times New Roman" w:eastAsia="Times New Roman" w:hAnsi="Times New Roman" w:cs="Times New Roman"/>
        </w:rPr>
        <w:t xml:space="preserve">lsevier. </w:t>
      </w:r>
      <w:hyperlink r:id="rId14" w:history="1">
        <w:r w:rsidRPr="000604E2">
          <w:rPr>
            <w:rStyle w:val="Hyperlink"/>
            <w:rFonts w:ascii="Times New Roman" w:eastAsia="Times New Roman" w:hAnsi="Times New Roman" w:cs="Times New Roman"/>
          </w:rPr>
          <w:t>https://doi.org/10.1016/b978-0-443-13701-3.00133-x</w:t>
        </w:r>
      </w:hyperlink>
      <w:r>
        <w:rPr>
          <w:rFonts w:ascii="Times New Roman" w:eastAsia="Times New Roman" w:hAnsi="Times New Roman" w:cs="Times New Roman"/>
        </w:rPr>
        <w:t xml:space="preserve">. </w:t>
      </w:r>
    </w:p>
    <w:p w14:paraId="596A9371" w14:textId="26525032" w:rsidR="002106EC" w:rsidRPr="00E10E93" w:rsidRDefault="002106EC"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Hoggett, J., Medlin, J., Chalmers, K., Beattie, C., Hellmann, A., &amp; Maxfield, J. (2020) </w:t>
      </w:r>
      <w:r w:rsidRPr="00E10E93">
        <w:rPr>
          <w:rFonts w:ascii="Times New Roman" w:eastAsia="Times New Roman" w:hAnsi="Times New Roman" w:cs="Times New Roman"/>
          <w:i/>
          <w:iCs/>
        </w:rPr>
        <w:t>Accounting, 11th Edition.</w:t>
      </w:r>
      <w:r w:rsidRPr="00E10E93">
        <w:rPr>
          <w:rFonts w:ascii="Times New Roman" w:eastAsia="Times New Roman" w:hAnsi="Times New Roman" w:cs="Times New Roman"/>
        </w:rPr>
        <w:t xml:space="preserve"> 11th ed. Wiley. Available at: </w:t>
      </w:r>
      <w:hyperlink r:id="rId15" w:history="1">
        <w:r w:rsidRPr="00E10E93">
          <w:rPr>
            <w:rStyle w:val="Hyperlink"/>
            <w:rFonts w:ascii="Times New Roman" w:eastAsia="Times New Roman" w:hAnsi="Times New Roman" w:cs="Times New Roman"/>
          </w:rPr>
          <w:t>https://www.perlego.com/book/4198744</w:t>
        </w:r>
      </w:hyperlink>
      <w:r w:rsidRPr="00E10E93">
        <w:rPr>
          <w:rFonts w:ascii="Times New Roman" w:eastAsia="Times New Roman" w:hAnsi="Times New Roman" w:cs="Times New Roman"/>
        </w:rPr>
        <w:t xml:space="preserve">  (Accessed: 5 November 2024).</w:t>
      </w:r>
    </w:p>
    <w:p w14:paraId="49E3508F" w14:textId="309658FD" w:rsidR="002106EC" w:rsidRPr="00E10E93" w:rsidRDefault="002106EC"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Kagan, J. (2024) </w:t>
      </w:r>
      <w:r w:rsidRPr="00E10E93">
        <w:rPr>
          <w:rFonts w:ascii="Times New Roman" w:eastAsia="Times New Roman" w:hAnsi="Times New Roman" w:cs="Times New Roman"/>
          <w:i/>
          <w:iCs/>
        </w:rPr>
        <w:t>Deferred Tax Asset: Calculation, Uses, and Examples</w:t>
      </w:r>
      <w:r w:rsidRPr="00E10E93">
        <w:rPr>
          <w:rFonts w:ascii="Times New Roman" w:eastAsia="Times New Roman" w:hAnsi="Times New Roman" w:cs="Times New Roman"/>
        </w:rPr>
        <w:t xml:space="preserve">. Available at: </w:t>
      </w:r>
      <w:hyperlink r:id="rId16" w:history="1">
        <w:r w:rsidRPr="00E10E93">
          <w:rPr>
            <w:rStyle w:val="Hyperlink"/>
            <w:rFonts w:ascii="Times New Roman" w:eastAsia="Times New Roman" w:hAnsi="Times New Roman" w:cs="Times New Roman"/>
          </w:rPr>
          <w:t>https://www.investopedia.com/terms/d/deferredtaxasset.asp</w:t>
        </w:r>
      </w:hyperlink>
      <w:r w:rsidRPr="00E10E93">
        <w:rPr>
          <w:rFonts w:ascii="Times New Roman" w:eastAsia="Times New Roman" w:hAnsi="Times New Roman" w:cs="Times New Roman"/>
        </w:rPr>
        <w:t xml:space="preserve">  (Accessed: 9 November 2024).</w:t>
      </w:r>
    </w:p>
    <w:p w14:paraId="72D67B3B" w14:textId="27385180" w:rsidR="00521C24" w:rsidRPr="00E10E93" w:rsidRDefault="00521C24"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Matviienko, M. (2019) </w:t>
      </w:r>
      <w:r w:rsidR="00331763" w:rsidRPr="00E10E93">
        <w:rPr>
          <w:rFonts w:ascii="Times New Roman" w:eastAsia="Times New Roman" w:hAnsi="Times New Roman" w:cs="Times New Roman"/>
        </w:rPr>
        <w:t xml:space="preserve">“The Financial Aspect Of Revenue Management At The Hospitality Business”. </w:t>
      </w:r>
      <w:r w:rsidRPr="00E10E93">
        <w:rPr>
          <w:rFonts w:ascii="Times New Roman" w:eastAsia="Times New Roman" w:hAnsi="Times New Roman" w:cs="Times New Roman"/>
          <w:i/>
          <w:iCs/>
        </w:rPr>
        <w:t>Development of Management and Entrepreneurship Methods on Transport (ONMU)</w:t>
      </w:r>
      <w:r w:rsidRPr="00E10E93">
        <w:rPr>
          <w:rFonts w:ascii="Times New Roman" w:eastAsia="Times New Roman" w:hAnsi="Times New Roman" w:cs="Times New Roman"/>
        </w:rPr>
        <w:t xml:space="preserve">, </w:t>
      </w:r>
      <w:r w:rsidR="00331763" w:rsidRPr="00E10E93">
        <w:rPr>
          <w:rFonts w:ascii="Times New Roman" w:eastAsia="Times New Roman" w:hAnsi="Times New Roman" w:cs="Times New Roman"/>
        </w:rPr>
        <w:t xml:space="preserve">pp. </w:t>
      </w:r>
      <w:r w:rsidRPr="00E10E93">
        <w:rPr>
          <w:rFonts w:ascii="Times New Roman" w:eastAsia="Times New Roman" w:hAnsi="Times New Roman" w:cs="Times New Roman"/>
        </w:rPr>
        <w:t xml:space="preserve">119–130. </w:t>
      </w:r>
      <w:hyperlink r:id="rId17" w:history="1">
        <w:r w:rsidR="005836E6" w:rsidRPr="00E10E93">
          <w:rPr>
            <w:rStyle w:val="Hyperlink"/>
            <w:rFonts w:ascii="Times New Roman" w:eastAsia="Times New Roman" w:hAnsi="Times New Roman" w:cs="Times New Roman"/>
          </w:rPr>
          <w:t>https://doi.org/10.31375/2226-1915-2019-4-119-130</w:t>
        </w:r>
      </w:hyperlink>
      <w:r w:rsidR="005836E6" w:rsidRPr="00E10E93">
        <w:rPr>
          <w:rFonts w:ascii="Times New Roman" w:eastAsia="Times New Roman" w:hAnsi="Times New Roman" w:cs="Times New Roman"/>
        </w:rPr>
        <w:t>.</w:t>
      </w:r>
    </w:p>
    <w:p w14:paraId="6047B1E7" w14:textId="5F291924" w:rsidR="005836E6" w:rsidRPr="00E10E93" w:rsidRDefault="005836E6"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lastRenderedPageBreak/>
        <w:t xml:space="preserve">Milašinović, M., Mitrović, A., &amp; Milojević, S. (2020) “Financial performance measuring of a hotel company - case study”. In </w:t>
      </w:r>
      <w:r w:rsidRPr="00E10E93">
        <w:rPr>
          <w:rFonts w:ascii="Times New Roman" w:eastAsia="Times New Roman" w:hAnsi="Times New Roman" w:cs="Times New Roman"/>
          <w:i/>
          <w:iCs/>
        </w:rPr>
        <w:t>Proceedings of the Third International Scientific Conference: Challenges of Tourism and Business Logistics in the 21st Century (ISCTBL 2020)</w:t>
      </w:r>
      <w:r w:rsidRPr="00E10E93">
        <w:rPr>
          <w:rFonts w:ascii="Times New Roman" w:eastAsia="Times New Roman" w:hAnsi="Times New Roman" w:cs="Times New Roman"/>
        </w:rPr>
        <w:t>, September 13, 2020, Republic of North Macedonia. Shtip: Faculty of Tourism and Business Logistics.</w:t>
      </w:r>
    </w:p>
    <w:p w14:paraId="005D2458" w14:textId="61BE0442" w:rsidR="002106EC" w:rsidRDefault="002106EC"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Pavone, P., Migliaccio, G. and Simonetti, B. (2021) “Investigating financial statements in hospitality: a quantitative approach”. </w:t>
      </w:r>
      <w:r w:rsidRPr="00E10E93">
        <w:rPr>
          <w:rFonts w:ascii="Times New Roman" w:eastAsia="Times New Roman" w:hAnsi="Times New Roman" w:cs="Times New Roman"/>
          <w:i/>
          <w:iCs/>
        </w:rPr>
        <w:t>Quality &amp; Quantity</w:t>
      </w:r>
      <w:r w:rsidRPr="00E10E93">
        <w:rPr>
          <w:rFonts w:ascii="Times New Roman" w:eastAsia="Times New Roman" w:hAnsi="Times New Roman" w:cs="Times New Roman"/>
        </w:rPr>
        <w:t>. 57(1), pp. 383–407. doi: 10.1007/s11135-020-01086-3.</w:t>
      </w:r>
    </w:p>
    <w:p w14:paraId="79723F37" w14:textId="46F4ECF4" w:rsidR="00C8227E" w:rsidRPr="00E10E93" w:rsidRDefault="00C8227E" w:rsidP="00E10E93">
      <w:pPr>
        <w:pStyle w:val="Listparagraf"/>
        <w:numPr>
          <w:ilvl w:val="0"/>
          <w:numId w:val="1"/>
        </w:numPr>
        <w:jc w:val="both"/>
        <w:rPr>
          <w:rFonts w:ascii="Times New Roman" w:eastAsia="Times New Roman" w:hAnsi="Times New Roman" w:cs="Times New Roman"/>
        </w:rPr>
      </w:pPr>
      <w:r w:rsidRPr="00C8227E">
        <w:rPr>
          <w:rFonts w:ascii="Times New Roman" w:eastAsia="Times New Roman" w:hAnsi="Times New Roman" w:cs="Times New Roman"/>
        </w:rPr>
        <w:t xml:space="preserve">Romih, D. (2021) </w:t>
      </w:r>
      <w:r>
        <w:rPr>
          <w:rFonts w:ascii="Times New Roman" w:eastAsia="Times New Roman" w:hAnsi="Times New Roman" w:cs="Times New Roman"/>
        </w:rPr>
        <w:t>“</w:t>
      </w:r>
      <w:r w:rsidRPr="00C8227E">
        <w:rPr>
          <w:rFonts w:ascii="Times New Roman" w:eastAsia="Times New Roman" w:hAnsi="Times New Roman" w:cs="Times New Roman"/>
        </w:rPr>
        <w:t>The Impact of Economic Policy Uncertainty and Financial Stress in the United Kingdom on Bilateral Exports of Goods: Pre-Brexit Evidence</w:t>
      </w:r>
      <w:r w:rsidR="00A17699">
        <w:rPr>
          <w:rFonts w:ascii="Times New Roman" w:eastAsia="Times New Roman" w:hAnsi="Times New Roman" w:cs="Times New Roman"/>
        </w:rPr>
        <w:t xml:space="preserve">”. </w:t>
      </w:r>
      <w:r w:rsidR="00A17699" w:rsidRPr="00A17699">
        <w:rPr>
          <w:rFonts w:ascii="Times New Roman" w:eastAsia="Times New Roman" w:hAnsi="Times New Roman" w:cs="Times New Roman"/>
          <w:i/>
          <w:iCs/>
        </w:rPr>
        <w:t>Contemporary Issues In International Economics</w:t>
      </w:r>
      <w:r w:rsidR="00A17699">
        <w:rPr>
          <w:rFonts w:ascii="Times New Roman" w:eastAsia="Times New Roman" w:hAnsi="Times New Roman" w:cs="Times New Roman"/>
          <w:i/>
          <w:iCs/>
        </w:rPr>
        <w:t>.</w:t>
      </w:r>
      <w:r w:rsidRPr="00C8227E">
        <w:rPr>
          <w:rFonts w:ascii="Times New Roman" w:eastAsia="Times New Roman" w:hAnsi="Times New Roman" w:cs="Times New Roman"/>
        </w:rPr>
        <w:t xml:space="preserve"> pp. 27–49. </w:t>
      </w:r>
      <w:hyperlink r:id="rId18" w:history="1">
        <w:r w:rsidRPr="000604E2">
          <w:rPr>
            <w:rStyle w:val="Hyperlink"/>
            <w:rFonts w:ascii="Times New Roman" w:eastAsia="Times New Roman" w:hAnsi="Times New Roman" w:cs="Times New Roman"/>
          </w:rPr>
          <w:t>https://doi.org/10.4335/2021.9.2</w:t>
        </w:r>
      </w:hyperlink>
      <w:r>
        <w:rPr>
          <w:rFonts w:ascii="Times New Roman" w:eastAsia="Times New Roman" w:hAnsi="Times New Roman" w:cs="Times New Roman"/>
        </w:rPr>
        <w:t xml:space="preserve">.  </w:t>
      </w:r>
    </w:p>
    <w:p w14:paraId="0CC68324" w14:textId="1047FAE5" w:rsidR="00446F13" w:rsidRDefault="00B9062D"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Sardob, F., Serrasqueiro, Z., &amp; Alves, H. (2018) “On the relationship between intellectual capital and financial performance: A panel data analysis on SME hotels”. </w:t>
      </w:r>
      <w:r w:rsidRPr="00E10E93">
        <w:rPr>
          <w:rFonts w:ascii="Times New Roman" w:eastAsia="Times New Roman" w:hAnsi="Times New Roman" w:cs="Times New Roman"/>
          <w:i/>
          <w:iCs/>
        </w:rPr>
        <w:t>International Journal of Hospitality Management</w:t>
      </w:r>
      <w:r w:rsidR="00331763" w:rsidRPr="00E10E93">
        <w:rPr>
          <w:rFonts w:ascii="Times New Roman" w:eastAsia="Times New Roman" w:hAnsi="Times New Roman" w:cs="Times New Roman"/>
        </w:rPr>
        <w:t>.</w:t>
      </w:r>
      <w:r w:rsidRPr="00E10E93">
        <w:rPr>
          <w:rFonts w:ascii="Times New Roman" w:eastAsia="Times New Roman" w:hAnsi="Times New Roman" w:cs="Times New Roman"/>
        </w:rPr>
        <w:t xml:space="preserve"> 75</w:t>
      </w:r>
      <w:r w:rsidR="00331763" w:rsidRPr="00E10E93">
        <w:rPr>
          <w:rFonts w:ascii="Times New Roman" w:eastAsia="Times New Roman" w:hAnsi="Times New Roman" w:cs="Times New Roman"/>
        </w:rPr>
        <w:t xml:space="preserve"> (1)</w:t>
      </w:r>
      <w:r w:rsidRPr="00E10E93">
        <w:rPr>
          <w:rFonts w:ascii="Times New Roman" w:eastAsia="Times New Roman" w:hAnsi="Times New Roman" w:cs="Times New Roman"/>
        </w:rPr>
        <w:t xml:space="preserve">, </w:t>
      </w:r>
      <w:r w:rsidR="00331763" w:rsidRPr="00E10E93">
        <w:rPr>
          <w:rFonts w:ascii="Times New Roman" w:eastAsia="Times New Roman" w:hAnsi="Times New Roman" w:cs="Times New Roman"/>
        </w:rPr>
        <w:t xml:space="preserve">pp. </w:t>
      </w:r>
      <w:r w:rsidRPr="00E10E93">
        <w:rPr>
          <w:rFonts w:ascii="Times New Roman" w:eastAsia="Times New Roman" w:hAnsi="Times New Roman" w:cs="Times New Roman"/>
        </w:rPr>
        <w:t>67–74.</w:t>
      </w:r>
      <w:r w:rsidR="002106EC" w:rsidRPr="00E10E93">
        <w:rPr>
          <w:rFonts w:ascii="Times New Roman" w:eastAsia="Times New Roman" w:hAnsi="Times New Roman" w:cs="Times New Roman"/>
        </w:rPr>
        <w:t xml:space="preserve"> </w:t>
      </w:r>
      <w:hyperlink r:id="rId19" w:history="1">
        <w:r w:rsidR="002106EC" w:rsidRPr="00E10E93">
          <w:rPr>
            <w:rStyle w:val="Hyperlink"/>
            <w:rFonts w:ascii="Times New Roman" w:eastAsia="Times New Roman" w:hAnsi="Times New Roman" w:cs="Times New Roman"/>
          </w:rPr>
          <w:t>https://doi.org/10.1016/j.ijhm.2018.03.001</w:t>
        </w:r>
      </w:hyperlink>
      <w:r w:rsidR="002106EC" w:rsidRPr="00E10E93">
        <w:rPr>
          <w:rFonts w:ascii="Times New Roman" w:eastAsia="Times New Roman" w:hAnsi="Times New Roman" w:cs="Times New Roman"/>
        </w:rPr>
        <w:t xml:space="preserve">. </w:t>
      </w:r>
    </w:p>
    <w:p w14:paraId="741EA3A6" w14:textId="2359693D" w:rsidR="00BF28A5" w:rsidRPr="00E10E93" w:rsidRDefault="00BF28A5" w:rsidP="00E10E93">
      <w:pPr>
        <w:pStyle w:val="Listparagraf"/>
        <w:numPr>
          <w:ilvl w:val="0"/>
          <w:numId w:val="1"/>
        </w:numPr>
        <w:jc w:val="both"/>
        <w:rPr>
          <w:rFonts w:ascii="Times New Roman" w:eastAsia="Times New Roman" w:hAnsi="Times New Roman" w:cs="Times New Roman"/>
        </w:rPr>
      </w:pPr>
      <w:r w:rsidRPr="00BF28A5">
        <w:rPr>
          <w:rFonts w:ascii="Times New Roman" w:eastAsia="Times New Roman" w:hAnsi="Times New Roman" w:cs="Times New Roman"/>
        </w:rPr>
        <w:t xml:space="preserve">Seal, W. B., Rohde, C., Garrison, R. H., &amp; Noreen, E. W. (2019) </w:t>
      </w:r>
      <w:r w:rsidRPr="00BF28A5">
        <w:rPr>
          <w:rFonts w:ascii="Times New Roman" w:eastAsia="Times New Roman" w:hAnsi="Times New Roman" w:cs="Times New Roman"/>
          <w:i/>
          <w:iCs/>
        </w:rPr>
        <w:t xml:space="preserve">Management accounting </w:t>
      </w:r>
      <w:r w:rsidRPr="00BF28A5">
        <w:rPr>
          <w:rFonts w:ascii="Times New Roman" w:eastAsia="Times New Roman" w:hAnsi="Times New Roman" w:cs="Times New Roman"/>
        </w:rPr>
        <w:t>(Sixth edition.). McGraw-Hill Education.</w:t>
      </w:r>
    </w:p>
    <w:p w14:paraId="2CCD92F7" w14:textId="12F6627E" w:rsidR="00E236C3" w:rsidRPr="00E10E93" w:rsidRDefault="00E236C3"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Wolf, M. (2021) </w:t>
      </w:r>
      <w:r w:rsidRPr="00E10E93">
        <w:rPr>
          <w:rFonts w:ascii="Times New Roman" w:eastAsia="Times New Roman" w:hAnsi="Times New Roman" w:cs="Times New Roman"/>
          <w:i/>
          <w:iCs/>
        </w:rPr>
        <w:t>Business Recovery in Difficult Times</w:t>
      </w:r>
      <w:r w:rsidRPr="00E10E93">
        <w:rPr>
          <w:rFonts w:ascii="Times New Roman" w:eastAsia="Times New Roman" w:hAnsi="Times New Roman" w:cs="Times New Roman"/>
        </w:rPr>
        <w:t xml:space="preserve">. 1st edn. BookTrail Publishing. Available at: </w:t>
      </w:r>
      <w:hyperlink r:id="rId20" w:history="1">
        <w:r w:rsidR="002106EC" w:rsidRPr="00E10E93">
          <w:rPr>
            <w:rStyle w:val="Hyperlink"/>
            <w:rFonts w:ascii="Times New Roman" w:eastAsia="Times New Roman" w:hAnsi="Times New Roman" w:cs="Times New Roman"/>
          </w:rPr>
          <w:t>https://www.perlego.com/book/2939973</w:t>
        </w:r>
      </w:hyperlink>
      <w:r w:rsidR="002106EC" w:rsidRPr="00E10E93">
        <w:rPr>
          <w:rFonts w:ascii="Times New Roman" w:eastAsia="Times New Roman" w:hAnsi="Times New Roman" w:cs="Times New Roman"/>
        </w:rPr>
        <w:t xml:space="preserve"> </w:t>
      </w:r>
      <w:r w:rsidRPr="00E10E93">
        <w:rPr>
          <w:rFonts w:ascii="Times New Roman" w:eastAsia="Times New Roman" w:hAnsi="Times New Roman" w:cs="Times New Roman"/>
        </w:rPr>
        <w:t xml:space="preserve"> (Accessed: 13 November 2024).</w:t>
      </w:r>
    </w:p>
    <w:p w14:paraId="1471ACE9" w14:textId="77777777" w:rsidR="002106EC" w:rsidRPr="00E10E93" w:rsidRDefault="002106EC" w:rsidP="00E10E93">
      <w:pPr>
        <w:pStyle w:val="Listparagraf"/>
        <w:numPr>
          <w:ilvl w:val="0"/>
          <w:numId w:val="1"/>
        </w:numPr>
        <w:jc w:val="both"/>
        <w:rPr>
          <w:rFonts w:ascii="Times New Roman" w:eastAsia="Times New Roman" w:hAnsi="Times New Roman" w:cs="Times New Roman"/>
        </w:rPr>
      </w:pPr>
      <w:r w:rsidRPr="00E10E93">
        <w:rPr>
          <w:rFonts w:ascii="Times New Roman" w:eastAsia="Times New Roman" w:hAnsi="Times New Roman" w:cs="Times New Roman"/>
        </w:rPr>
        <w:t xml:space="preserve">Xue, Y. (2021) “The impact of internal control on management expenses”. </w:t>
      </w:r>
      <w:r w:rsidRPr="00E10E93">
        <w:rPr>
          <w:rFonts w:ascii="Times New Roman" w:eastAsia="Times New Roman" w:hAnsi="Times New Roman" w:cs="Times New Roman"/>
          <w:i/>
          <w:iCs/>
        </w:rPr>
        <w:t>BCP Business &amp; Management.</w:t>
      </w:r>
      <w:r w:rsidRPr="00E10E93">
        <w:rPr>
          <w:rFonts w:ascii="Times New Roman" w:eastAsia="Times New Roman" w:hAnsi="Times New Roman" w:cs="Times New Roman"/>
        </w:rPr>
        <w:t xml:space="preserve"> 16(1), pp. 160–173. </w:t>
      </w:r>
      <w:hyperlink r:id="rId21" w:history="1">
        <w:r w:rsidRPr="00E10E93">
          <w:rPr>
            <w:rStyle w:val="Hyperlink"/>
            <w:rFonts w:ascii="Times New Roman" w:eastAsia="Times New Roman" w:hAnsi="Times New Roman" w:cs="Times New Roman"/>
          </w:rPr>
          <w:t>https://doi.org/10.54691/bcpbm.v16i.300</w:t>
        </w:r>
      </w:hyperlink>
      <w:r w:rsidRPr="00E10E93">
        <w:rPr>
          <w:rFonts w:ascii="Times New Roman" w:eastAsia="Times New Roman" w:hAnsi="Times New Roman" w:cs="Times New Roman"/>
        </w:rPr>
        <w:t>.</w:t>
      </w:r>
    </w:p>
    <w:p w14:paraId="2CBAC704" w14:textId="77777777" w:rsidR="002106EC" w:rsidRDefault="002106EC" w:rsidP="008119AB">
      <w:pPr>
        <w:jc w:val="both"/>
        <w:rPr>
          <w:rFonts w:ascii="Times New Roman" w:eastAsia="Times New Roman" w:hAnsi="Times New Roman" w:cs="Times New Roman"/>
        </w:rPr>
      </w:pPr>
    </w:p>
    <w:p w14:paraId="512B383D" w14:textId="77777777" w:rsidR="00AA3D7D" w:rsidRDefault="00AA3D7D" w:rsidP="008119AB">
      <w:pPr>
        <w:jc w:val="both"/>
        <w:rPr>
          <w:rFonts w:ascii="Times New Roman" w:eastAsia="Times New Roman" w:hAnsi="Times New Roman" w:cs="Times New Roman"/>
        </w:rPr>
      </w:pPr>
    </w:p>
    <w:p w14:paraId="249FC629" w14:textId="77777777" w:rsidR="00AA3D7D" w:rsidRDefault="00AA3D7D" w:rsidP="008119AB">
      <w:pPr>
        <w:jc w:val="both"/>
        <w:rPr>
          <w:rFonts w:ascii="Times New Roman" w:eastAsia="Times New Roman" w:hAnsi="Times New Roman" w:cs="Times New Roman"/>
        </w:rPr>
      </w:pPr>
    </w:p>
    <w:p w14:paraId="308C91B1" w14:textId="77777777" w:rsidR="00AA3D7D" w:rsidRPr="008119AB" w:rsidRDefault="00AA3D7D" w:rsidP="008119AB">
      <w:pPr>
        <w:jc w:val="both"/>
        <w:rPr>
          <w:rFonts w:ascii="Times New Roman" w:eastAsia="Times New Roman" w:hAnsi="Times New Roman" w:cs="Times New Roman"/>
        </w:rPr>
      </w:pPr>
    </w:p>
    <w:sectPr w:rsidR="00AA3D7D" w:rsidRPr="008119AB">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F151CF" w14:textId="77777777" w:rsidR="006D0D83" w:rsidRDefault="006D0D83">
      <w:pPr>
        <w:spacing w:after="0" w:line="240" w:lineRule="auto"/>
      </w:pPr>
      <w:r>
        <w:separator/>
      </w:r>
    </w:p>
  </w:endnote>
  <w:endnote w:type="continuationSeparator" w:id="0">
    <w:p w14:paraId="126F2C88" w14:textId="77777777" w:rsidR="006D0D83" w:rsidRDefault="006D0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36DBC5F" w14:paraId="0140D9E8" w14:textId="77777777" w:rsidTr="036DBC5F">
      <w:trPr>
        <w:trHeight w:val="300"/>
      </w:trPr>
      <w:tc>
        <w:tcPr>
          <w:tcW w:w="3120" w:type="dxa"/>
        </w:tcPr>
        <w:p w14:paraId="22B5C33F" w14:textId="02EA128C" w:rsidR="036DBC5F" w:rsidRDefault="036DBC5F" w:rsidP="036DBC5F">
          <w:pPr>
            <w:pStyle w:val="Antet"/>
            <w:ind w:left="-115"/>
          </w:pPr>
        </w:p>
      </w:tc>
      <w:tc>
        <w:tcPr>
          <w:tcW w:w="3120" w:type="dxa"/>
        </w:tcPr>
        <w:p w14:paraId="6B686C62" w14:textId="4F664972" w:rsidR="036DBC5F" w:rsidRDefault="036DBC5F" w:rsidP="036DBC5F">
          <w:pPr>
            <w:pStyle w:val="Antet"/>
            <w:jc w:val="center"/>
          </w:pPr>
        </w:p>
      </w:tc>
      <w:tc>
        <w:tcPr>
          <w:tcW w:w="3120" w:type="dxa"/>
        </w:tcPr>
        <w:p w14:paraId="7103A218" w14:textId="48ADF6F9" w:rsidR="036DBC5F" w:rsidRDefault="036DBC5F" w:rsidP="036DBC5F">
          <w:pPr>
            <w:pStyle w:val="Antet"/>
            <w:ind w:right="-115"/>
            <w:jc w:val="right"/>
          </w:pPr>
        </w:p>
      </w:tc>
    </w:tr>
  </w:tbl>
  <w:p w14:paraId="7E107754" w14:textId="6CB85FED" w:rsidR="036DBC5F" w:rsidRDefault="036DBC5F" w:rsidP="036DBC5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E3127" w14:textId="77777777" w:rsidR="006D0D83" w:rsidRDefault="006D0D83">
      <w:pPr>
        <w:spacing w:after="0" w:line="240" w:lineRule="auto"/>
      </w:pPr>
      <w:r>
        <w:separator/>
      </w:r>
    </w:p>
  </w:footnote>
  <w:footnote w:type="continuationSeparator" w:id="0">
    <w:p w14:paraId="46076053" w14:textId="77777777" w:rsidR="006D0D83" w:rsidRDefault="006D0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36DBC5F" w14:paraId="77C2F609" w14:textId="77777777" w:rsidTr="036DBC5F">
      <w:trPr>
        <w:trHeight w:val="300"/>
      </w:trPr>
      <w:tc>
        <w:tcPr>
          <w:tcW w:w="3120" w:type="dxa"/>
        </w:tcPr>
        <w:p w14:paraId="32DBC8C0" w14:textId="3A2A94D1" w:rsidR="036DBC5F" w:rsidRDefault="036DBC5F" w:rsidP="036DBC5F">
          <w:pPr>
            <w:pStyle w:val="Antet"/>
            <w:ind w:left="-115"/>
          </w:pPr>
        </w:p>
      </w:tc>
      <w:tc>
        <w:tcPr>
          <w:tcW w:w="3120" w:type="dxa"/>
        </w:tcPr>
        <w:p w14:paraId="24C5B241" w14:textId="3CEEFE68" w:rsidR="036DBC5F" w:rsidRDefault="036DBC5F" w:rsidP="036DBC5F">
          <w:pPr>
            <w:pStyle w:val="Antet"/>
            <w:jc w:val="center"/>
          </w:pPr>
        </w:p>
      </w:tc>
      <w:tc>
        <w:tcPr>
          <w:tcW w:w="3120" w:type="dxa"/>
        </w:tcPr>
        <w:p w14:paraId="78AE7122" w14:textId="26C97D1D" w:rsidR="036DBC5F" w:rsidRDefault="036DBC5F" w:rsidP="036DBC5F">
          <w:pPr>
            <w:pStyle w:val="Antet"/>
            <w:ind w:right="-115"/>
            <w:jc w:val="right"/>
          </w:pPr>
        </w:p>
      </w:tc>
    </w:tr>
  </w:tbl>
  <w:p w14:paraId="3DF2B0E0" w14:textId="7F245E5C" w:rsidR="036DBC5F" w:rsidRDefault="036DBC5F" w:rsidP="036DBC5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C31D28"/>
    <w:multiLevelType w:val="hybridMultilevel"/>
    <w:tmpl w:val="7556C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0814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2D3013"/>
    <w:rsid w:val="000D7989"/>
    <w:rsid w:val="001502A7"/>
    <w:rsid w:val="00171BC2"/>
    <w:rsid w:val="002106EC"/>
    <w:rsid w:val="00254848"/>
    <w:rsid w:val="00331763"/>
    <w:rsid w:val="00374B6C"/>
    <w:rsid w:val="00446F13"/>
    <w:rsid w:val="004614B5"/>
    <w:rsid w:val="004C0D30"/>
    <w:rsid w:val="00521C24"/>
    <w:rsid w:val="005836E6"/>
    <w:rsid w:val="006D0D83"/>
    <w:rsid w:val="007B4FF3"/>
    <w:rsid w:val="008119AB"/>
    <w:rsid w:val="008911A2"/>
    <w:rsid w:val="008E3583"/>
    <w:rsid w:val="00A17699"/>
    <w:rsid w:val="00AA3D7D"/>
    <w:rsid w:val="00B35BCF"/>
    <w:rsid w:val="00B9062D"/>
    <w:rsid w:val="00BB6522"/>
    <w:rsid w:val="00BF28A5"/>
    <w:rsid w:val="00C8227E"/>
    <w:rsid w:val="00CC5C2B"/>
    <w:rsid w:val="00D57CC8"/>
    <w:rsid w:val="00E10E93"/>
    <w:rsid w:val="00E139CC"/>
    <w:rsid w:val="00E236C3"/>
    <w:rsid w:val="00E65804"/>
    <w:rsid w:val="00F37D6D"/>
    <w:rsid w:val="00FD0407"/>
    <w:rsid w:val="02B8B1B1"/>
    <w:rsid w:val="036DBC5F"/>
    <w:rsid w:val="0BCC5E63"/>
    <w:rsid w:val="168482B3"/>
    <w:rsid w:val="2C01D9B2"/>
    <w:rsid w:val="2CF5734E"/>
    <w:rsid w:val="2F2D3013"/>
    <w:rsid w:val="326E9322"/>
    <w:rsid w:val="33F1D2B5"/>
    <w:rsid w:val="366C3DBD"/>
    <w:rsid w:val="3CB604F0"/>
    <w:rsid w:val="4F657315"/>
    <w:rsid w:val="604BDA2C"/>
    <w:rsid w:val="66A51CB8"/>
    <w:rsid w:val="6796465F"/>
    <w:rsid w:val="6FE39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3013"/>
  <w15:chartTrackingRefBased/>
  <w15:docId w15:val="{A31BEC6F-D3CF-41B6-9382-41B34B8E4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paragraph" w:styleId="Subtitlu">
    <w:name w:val="Subtitle"/>
    <w:basedOn w:val="Normal"/>
    <w:next w:val="Normal"/>
    <w:link w:val="SubtitluCaracter"/>
    <w:uiPriority w:val="11"/>
    <w:qFormat/>
    <w:pPr>
      <w:numPr>
        <w:ilvl w:val="1"/>
      </w:numPr>
    </w:pPr>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ntetCaracter">
    <w:name w:val="Antet Caracter"/>
    <w:basedOn w:val="Fontdeparagrafimplicit"/>
    <w:link w:val="Antet"/>
    <w:uiPriority w:val="99"/>
  </w:style>
  <w:style w:type="paragraph" w:styleId="Antet">
    <w:name w:val="header"/>
    <w:basedOn w:val="Normal"/>
    <w:link w:val="AntetCaracter"/>
    <w:uiPriority w:val="99"/>
    <w:unhideWhenUsed/>
    <w:pPr>
      <w:tabs>
        <w:tab w:val="center" w:pos="4680"/>
        <w:tab w:val="right" w:pos="9360"/>
      </w:tabs>
      <w:spacing w:after="0" w:line="240" w:lineRule="auto"/>
    </w:pPr>
  </w:style>
  <w:style w:type="character" w:customStyle="1" w:styleId="SubsolCaracter">
    <w:name w:val="Subsol Caracter"/>
    <w:basedOn w:val="Fontdeparagrafimplicit"/>
    <w:link w:val="Subsol"/>
    <w:uiPriority w:val="99"/>
  </w:style>
  <w:style w:type="paragraph" w:styleId="Subsol">
    <w:name w:val="footer"/>
    <w:basedOn w:val="Normal"/>
    <w:link w:val="SubsolCaracter"/>
    <w:uiPriority w:val="99"/>
    <w:unhideWhenUsed/>
    <w:pPr>
      <w:tabs>
        <w:tab w:val="center" w:pos="4680"/>
        <w:tab w:val="right" w:pos="9360"/>
      </w:tabs>
      <w:spacing w:after="0" w:line="240" w:lineRule="auto"/>
    </w:pPr>
  </w:style>
  <w:style w:type="character" w:styleId="Hyperlink">
    <w:name w:val="Hyperlink"/>
    <w:basedOn w:val="Fontdeparagrafimplicit"/>
    <w:uiPriority w:val="99"/>
    <w:unhideWhenUsed/>
    <w:rsid w:val="00B9062D"/>
    <w:rPr>
      <w:color w:val="467886" w:themeColor="hyperlink"/>
      <w:u w:val="single"/>
    </w:rPr>
  </w:style>
  <w:style w:type="character" w:styleId="MeniuneNerezolvat">
    <w:name w:val="Unresolved Mention"/>
    <w:basedOn w:val="Fontdeparagrafimplicit"/>
    <w:uiPriority w:val="99"/>
    <w:semiHidden/>
    <w:unhideWhenUsed/>
    <w:rsid w:val="00B9062D"/>
    <w:rPr>
      <w:color w:val="605E5C"/>
      <w:shd w:val="clear" w:color="auto" w:fill="E1DFDD"/>
    </w:rPr>
  </w:style>
  <w:style w:type="paragraph" w:styleId="Listparagraf">
    <w:name w:val="List Paragraph"/>
    <w:basedOn w:val="Normal"/>
    <w:uiPriority w:val="34"/>
    <w:qFormat/>
    <w:rsid w:val="005836E6"/>
    <w:pPr>
      <w:ind w:left="720"/>
      <w:contextualSpacing/>
    </w:pPr>
  </w:style>
  <w:style w:type="character" w:styleId="HyperlinkParcurs">
    <w:name w:val="FollowedHyperlink"/>
    <w:basedOn w:val="Fontdeparagrafimplicit"/>
    <w:uiPriority w:val="99"/>
    <w:semiHidden/>
    <w:unhideWhenUsed/>
    <w:rsid w:val="005836E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053-019-09779-x" TargetMode="External"/><Relationship Id="rId13" Type="http://schemas.openxmlformats.org/officeDocument/2006/relationships/hyperlink" Target="https://doi.org/10.51594/farj.v6i11.1697" TargetMode="External"/><Relationship Id="rId18" Type="http://schemas.openxmlformats.org/officeDocument/2006/relationships/hyperlink" Target="https://doi.org/10.4335/2021.9.2" TargetMode="External"/><Relationship Id="rId3" Type="http://schemas.openxmlformats.org/officeDocument/2006/relationships/settings" Target="settings.xml"/><Relationship Id="rId21" Type="http://schemas.openxmlformats.org/officeDocument/2006/relationships/hyperlink" Target="https://doi.org/10.54691/bcpbm.v16i.300" TargetMode="External"/><Relationship Id="rId7" Type="http://schemas.openxmlformats.org/officeDocument/2006/relationships/image" Target="media/image1.png"/><Relationship Id="rId12" Type="http://schemas.openxmlformats.org/officeDocument/2006/relationships/hyperlink" Target="https://doi.org/10.1111/1748-8583.12543" TargetMode="External"/><Relationship Id="rId17" Type="http://schemas.openxmlformats.org/officeDocument/2006/relationships/hyperlink" Target="https://doi.org/10.31375/2226-1915-2019-4-119-13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vestopedia.com/terms/d/deferredtaxasset.asp" TargetMode="External"/><Relationship Id="rId20" Type="http://schemas.openxmlformats.org/officeDocument/2006/relationships/hyperlink" Target="https://www.perlego.com/book/293997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39/ssrn.368489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erlego.com/book/4198744" TargetMode="External"/><Relationship Id="rId23" Type="http://schemas.openxmlformats.org/officeDocument/2006/relationships/footer" Target="footer1.xml"/><Relationship Id="rId10" Type="http://schemas.openxmlformats.org/officeDocument/2006/relationships/hyperlink" Target="https://doi.org/10.2139/ssrn.2391467" TargetMode="External"/><Relationship Id="rId19" Type="http://schemas.openxmlformats.org/officeDocument/2006/relationships/hyperlink" Target="https://doi.org/10.1016/j.ijhm.2018.03.001" TargetMode="External"/><Relationship Id="rId4" Type="http://schemas.openxmlformats.org/officeDocument/2006/relationships/webSettings" Target="webSettings.xml"/><Relationship Id="rId9" Type="http://schemas.openxmlformats.org/officeDocument/2006/relationships/hyperlink" Target="https://www.perlego.com/book/3866437" TargetMode="External"/><Relationship Id="rId14" Type="http://schemas.openxmlformats.org/officeDocument/2006/relationships/hyperlink" Target="https://doi.org/10.1016/b978-0-443-13701-3.00133-x"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2887</Words>
  <Characters>16751</Characters>
  <Application>Microsoft Office Word</Application>
  <DocSecurity>0</DocSecurity>
  <Lines>139</Lines>
  <Paragraphs>39</Paragraphs>
  <ScaleCrop>false</ScaleCrop>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Daniela-Elena Zota (2240973)</dc:creator>
  <cp:keywords/>
  <dc:description/>
  <cp:lastModifiedBy>Daniela Zota</cp:lastModifiedBy>
  <cp:revision>2</cp:revision>
  <dcterms:created xsi:type="dcterms:W3CDTF">2024-11-14T23:57:00Z</dcterms:created>
  <dcterms:modified xsi:type="dcterms:W3CDTF">2024-11-14T23:57:00Z</dcterms:modified>
</cp:coreProperties>
</file>