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659"/>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8642CB" w:rsidRPr="00876921" w:rsidTr="008642CB">
        <w:trPr>
          <w:gridAfter w:val="1"/>
          <w:wAfter w:w="31" w:type="dxa"/>
          <w:trHeight w:val="432"/>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Laura Davies</w:t>
            </w:r>
          </w:p>
        </w:tc>
        <w:tc>
          <w:tcPr>
            <w:tcW w:w="2272" w:type="dxa"/>
            <w:shd w:val="clear" w:color="auto" w:fill="D9D9D9"/>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3"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1922429</w:t>
            </w:r>
          </w:p>
        </w:tc>
      </w:tr>
      <w:tr w:rsidR="008642CB" w:rsidRPr="00876921" w:rsidTr="008642CB">
        <w:trPr>
          <w:gridAfter w:val="1"/>
          <w:wAfter w:w="31" w:type="dxa"/>
          <w:trHeight w:val="419"/>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8642CB" w:rsidRPr="00876921" w:rsidTr="008642CB">
        <w:trPr>
          <w:gridAfter w:val="1"/>
          <w:wAfter w:w="31" w:type="dxa"/>
          <w:trHeight w:val="432"/>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8642CB" w:rsidRPr="00876921" w:rsidTr="008642CB">
        <w:trPr>
          <w:gridAfter w:val="1"/>
          <w:wAfter w:w="31" w:type="dxa"/>
          <w:trHeight w:val="655"/>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rsidR="008642CB" w:rsidRPr="00876921" w:rsidRDefault="008642CB" w:rsidP="008642CB">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3" w:type="dxa"/>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8642CB" w:rsidRPr="00876921" w:rsidTr="008642CB">
        <w:trPr>
          <w:gridAfter w:val="1"/>
          <w:wAfter w:w="31" w:type="dxa"/>
          <w:trHeight w:val="419"/>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72" w:type="dxa"/>
            <w:shd w:val="clear" w:color="auto" w:fill="D9D9D9"/>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3" w:type="dxa"/>
          </w:tcPr>
          <w:p w:rsidR="008642CB" w:rsidRPr="00876921" w:rsidRDefault="008642CB" w:rsidP="008642CB">
            <w:pPr>
              <w:spacing w:before="120" w:after="120" w:line="240" w:lineRule="auto"/>
              <w:jc w:val="both"/>
              <w:rPr>
                <w:rFonts w:ascii="Arial" w:eastAsia="Times New Roman" w:hAnsi="Arial" w:cs="Arial"/>
                <w:b/>
                <w:lang w:eastAsia="en-GB"/>
              </w:rPr>
            </w:pPr>
          </w:p>
        </w:tc>
      </w:tr>
      <w:tr w:rsidR="008642CB" w:rsidRPr="00876921" w:rsidTr="008642CB">
        <w:trPr>
          <w:gridAfter w:val="1"/>
          <w:wAfter w:w="31" w:type="dxa"/>
          <w:trHeight w:val="655"/>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3"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8642CB" w:rsidRPr="00876921" w:rsidTr="008642CB">
        <w:trPr>
          <w:gridAfter w:val="1"/>
          <w:wAfter w:w="31" w:type="dxa"/>
          <w:trHeight w:val="864"/>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28</w:t>
            </w:r>
            <w:r w:rsidRPr="00184B02">
              <w:rPr>
                <w:rFonts w:ascii="Arial" w:eastAsia="Times New Roman" w:hAnsi="Arial" w:cs="Arial"/>
                <w:b/>
                <w:vertAlign w:val="superscript"/>
                <w:lang w:eastAsia="en-GB"/>
              </w:rPr>
              <w:t>th</w:t>
            </w:r>
            <w:r>
              <w:rPr>
                <w:rFonts w:ascii="Arial" w:eastAsia="Times New Roman" w:hAnsi="Arial" w:cs="Arial"/>
                <w:b/>
                <w:lang w:eastAsia="en-GB"/>
              </w:rPr>
              <w:t xml:space="preserve"> February 2022</w:t>
            </w:r>
          </w:p>
        </w:tc>
        <w:tc>
          <w:tcPr>
            <w:tcW w:w="2272"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3" w:type="dxa"/>
          </w:tcPr>
          <w:p w:rsidR="008642CB" w:rsidRPr="00876921" w:rsidRDefault="008642CB" w:rsidP="008642C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8642CB" w:rsidRPr="00876921" w:rsidTr="008642CB">
        <w:trPr>
          <w:gridAfter w:val="1"/>
          <w:wAfter w:w="31" w:type="dxa"/>
          <w:trHeight w:val="1978"/>
        </w:trPr>
        <w:tc>
          <w:tcPr>
            <w:tcW w:w="2096" w:type="dxa"/>
            <w:shd w:val="pct15" w:color="auto" w:fill="auto"/>
          </w:tcPr>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rsidR="008642CB" w:rsidRPr="00876921" w:rsidRDefault="008642CB" w:rsidP="008642CB">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642CB" w:rsidRPr="00876921" w:rsidRDefault="008642CB" w:rsidP="008642CB">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8642CB" w:rsidRPr="00876921" w:rsidTr="008642CB">
        <w:trPr>
          <w:gridAfter w:val="1"/>
          <w:wAfter w:w="31" w:type="dxa"/>
          <w:trHeight w:val="4665"/>
        </w:trPr>
        <w:tc>
          <w:tcPr>
            <w:tcW w:w="2096" w:type="dxa"/>
            <w:shd w:val="pct15" w:color="auto" w:fill="auto"/>
          </w:tcPr>
          <w:p w:rsidR="008642CB" w:rsidRPr="00876921" w:rsidRDefault="008642CB" w:rsidP="008642CB">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44" w:type="dxa"/>
            <w:gridSpan w:val="3"/>
            <w:shd w:val="clear" w:color="auto" w:fill="auto"/>
          </w:tcPr>
          <w:p w:rsidR="008642CB" w:rsidRDefault="008642CB" w:rsidP="008642CB">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Default="008642CB" w:rsidP="008642CB">
            <w:pPr>
              <w:spacing w:before="120" w:after="120" w:line="240" w:lineRule="auto"/>
              <w:jc w:val="both"/>
              <w:rPr>
                <w:rFonts w:ascii="Arial" w:eastAsia="Times New Roman" w:hAnsi="Arial" w:cs="Arial"/>
                <w:lang w:eastAsia="en-GB"/>
              </w:rPr>
            </w:pPr>
          </w:p>
          <w:p w:rsidR="008642CB" w:rsidRPr="00876921" w:rsidRDefault="008642CB" w:rsidP="008642CB">
            <w:pPr>
              <w:spacing w:before="120" w:after="120" w:line="240" w:lineRule="auto"/>
              <w:jc w:val="both"/>
              <w:rPr>
                <w:rFonts w:ascii="Arial" w:eastAsia="Times New Roman" w:hAnsi="Arial" w:cs="Arial"/>
                <w:lang w:eastAsia="en-GB"/>
              </w:rPr>
            </w:pPr>
          </w:p>
        </w:tc>
      </w:tr>
      <w:tr w:rsidR="008642CB" w:rsidRPr="00876921" w:rsidTr="008642CB">
        <w:trPr>
          <w:trHeight w:val="432"/>
        </w:trPr>
        <w:tc>
          <w:tcPr>
            <w:tcW w:w="9971" w:type="dxa"/>
            <w:gridSpan w:val="5"/>
            <w:shd w:val="pct10" w:color="auto" w:fill="auto"/>
          </w:tcPr>
          <w:p w:rsidR="008642CB" w:rsidRPr="00876921" w:rsidRDefault="008642CB" w:rsidP="008642CB">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rsidR="008642CB" w:rsidRPr="00876921" w:rsidRDefault="008642CB" w:rsidP="008642CB">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8642CB" w:rsidRPr="00876921" w:rsidTr="008642CB">
        <w:trPr>
          <w:trHeight w:val="14364"/>
        </w:trPr>
        <w:tc>
          <w:tcPr>
            <w:tcW w:w="9971" w:type="dxa"/>
            <w:gridSpan w:val="5"/>
          </w:tcPr>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rsidR="008642CB" w:rsidRPr="007216D1" w:rsidRDefault="008642CB" w:rsidP="008642CB">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rsidR="008642CB" w:rsidRPr="007216D1" w:rsidRDefault="008642CB" w:rsidP="008642CB">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rsidR="008642CB" w:rsidRPr="007216D1" w:rsidRDefault="008642CB" w:rsidP="008642CB">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rsidR="008642CB" w:rsidRPr="007216D1" w:rsidRDefault="008642CB" w:rsidP="008642C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rsidR="008642CB" w:rsidRPr="007216D1" w:rsidRDefault="008642CB" w:rsidP="008642C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rsidR="008642CB" w:rsidRPr="007216D1" w:rsidRDefault="008642CB" w:rsidP="008642C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rsidR="008642CB" w:rsidRPr="007216D1" w:rsidRDefault="008642CB" w:rsidP="008642C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rsidR="008642CB" w:rsidRPr="007216D1" w:rsidRDefault="008642CB" w:rsidP="008642CB">
            <w:pPr>
              <w:numPr>
                <w:ilvl w:val="0"/>
                <w:numId w:val="1"/>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rsidR="008642CB" w:rsidRPr="007216D1" w:rsidRDefault="008642CB" w:rsidP="008642CB">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rsidR="008642CB" w:rsidRPr="007216D1" w:rsidRDefault="008642CB" w:rsidP="008642CB">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rsidR="008642CB" w:rsidRPr="007216D1" w:rsidRDefault="008642CB" w:rsidP="008642CB">
            <w:pPr>
              <w:pStyle w:val="ListParagraph"/>
              <w:numPr>
                <w:ilvl w:val="0"/>
                <w:numId w:val="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rsidR="008642CB" w:rsidRPr="007216D1" w:rsidRDefault="008642CB" w:rsidP="008642CB">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rsidR="008642CB" w:rsidRPr="007216D1" w:rsidRDefault="008642CB" w:rsidP="008642CB">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rsidR="008642CB" w:rsidRPr="007216D1" w:rsidRDefault="008642CB" w:rsidP="008642CB">
            <w:pPr>
              <w:pStyle w:val="ListParagraph"/>
              <w:numPr>
                <w:ilvl w:val="0"/>
                <w:numId w:val="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rsidR="008642CB" w:rsidRPr="007216D1" w:rsidRDefault="008642CB" w:rsidP="008642CB">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rsidR="008642CB" w:rsidRPr="007216D1" w:rsidRDefault="008642CB" w:rsidP="008642CB">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rsidR="008642CB" w:rsidRPr="007216D1" w:rsidRDefault="008642CB" w:rsidP="008642CB">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rsidR="008642CB" w:rsidRPr="007216D1" w:rsidRDefault="008642CB" w:rsidP="008642CB">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rsidR="008642CB" w:rsidRPr="007216D1" w:rsidRDefault="008642CB" w:rsidP="008642CB">
            <w:pPr>
              <w:numPr>
                <w:ilvl w:val="0"/>
                <w:numId w:val="2"/>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rsidR="008642CB" w:rsidRPr="007216D1" w:rsidRDefault="008642CB" w:rsidP="008642CB">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rsidR="008642CB" w:rsidRPr="007216D1" w:rsidRDefault="008642CB" w:rsidP="008642CB">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rsidR="008642CB" w:rsidRPr="007216D1" w:rsidRDefault="008642CB" w:rsidP="008642CB">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rsidR="008642CB" w:rsidRPr="007216D1" w:rsidRDefault="008642CB" w:rsidP="008642CB">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rsidR="008642CB" w:rsidRPr="007216D1" w:rsidRDefault="008642CB" w:rsidP="008642CB">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rsidR="008642CB" w:rsidRPr="007216D1" w:rsidRDefault="008642CB" w:rsidP="008642CB">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rsidR="008642CB" w:rsidRPr="007216D1" w:rsidRDefault="008642CB" w:rsidP="008642CB">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rsidR="008642CB" w:rsidRPr="007216D1" w:rsidRDefault="008642CB" w:rsidP="008642CB">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rsidR="008642CB" w:rsidRPr="007216D1" w:rsidRDefault="008642CB" w:rsidP="008642CB">
            <w:pPr>
              <w:numPr>
                <w:ilvl w:val="0"/>
                <w:numId w:val="4"/>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rsidR="008642CB" w:rsidRPr="007216D1" w:rsidRDefault="008642CB" w:rsidP="008642CB">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rsidR="008642CB" w:rsidRPr="007216D1" w:rsidRDefault="008642CB" w:rsidP="008642CB">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rsidR="008642CB" w:rsidRPr="007216D1" w:rsidRDefault="008642CB" w:rsidP="008642CB">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rsidR="008642CB" w:rsidRPr="007216D1" w:rsidRDefault="008642CB" w:rsidP="008642CB">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rsidR="008642CB" w:rsidRPr="007216D1" w:rsidRDefault="008642CB" w:rsidP="008642CB">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rsidR="008642CB" w:rsidRPr="007216D1" w:rsidRDefault="008642CB" w:rsidP="008642CB">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Difference between 'volume and priority' crime</w:t>
            </w:r>
          </w:p>
          <w:p w:rsidR="008642CB" w:rsidRPr="007216D1" w:rsidRDefault="008642CB" w:rsidP="008642CB">
            <w:pPr>
              <w:pStyle w:val="ListParagraph"/>
              <w:numPr>
                <w:ilvl w:val="0"/>
                <w:numId w:val="5"/>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rsidR="008642CB" w:rsidRPr="007216D1" w:rsidRDefault="008642CB" w:rsidP="008642CB">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Importance of the concept of memory upon interview methods and process</w:t>
            </w:r>
          </w:p>
          <w:p w:rsidR="008642CB" w:rsidRPr="007216D1" w:rsidRDefault="008642CB" w:rsidP="008642CB">
            <w:pPr>
              <w:pStyle w:val="ListParagraph"/>
              <w:numPr>
                <w:ilvl w:val="0"/>
                <w:numId w:val="5"/>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rsidR="008642CB" w:rsidRPr="007216D1" w:rsidRDefault="008642CB" w:rsidP="008642CB">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lastRenderedPageBreak/>
              <w:t>Addressing complex circumstances when conducting interviews</w:t>
            </w:r>
          </w:p>
          <w:p w:rsidR="008642CB" w:rsidRPr="007216D1" w:rsidRDefault="008642CB" w:rsidP="008642CB">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rsidR="008642CB" w:rsidRPr="007216D1" w:rsidRDefault="008642CB" w:rsidP="008642CB">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rsidR="001B6A07" w:rsidRPr="00876921" w:rsidRDefault="001B6A07" w:rsidP="001B6A07">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lastRenderedPageBreak/>
        <w:drawing>
          <wp:anchor distT="0" distB="0" distL="114300" distR="114300" simplePos="0" relativeHeight="251659264" behindDoc="0" locked="0" layoutInCell="1" allowOverlap="1" wp14:anchorId="2F4B06B6" wp14:editId="6C4D450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rsidR="001B6A07" w:rsidRPr="00876921" w:rsidRDefault="001B6A07" w:rsidP="001B6A07">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B6A07" w:rsidRPr="00876921" w:rsidTr="008642CB">
        <w:tc>
          <w:tcPr>
            <w:tcW w:w="9922" w:type="dxa"/>
            <w:shd w:val="clear" w:color="auto" w:fill="C0C0C0"/>
          </w:tcPr>
          <w:p w:rsidR="001B6A07" w:rsidRPr="00876921" w:rsidRDefault="001B6A07" w:rsidP="008642CB">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rsidR="001B6A07" w:rsidRPr="00876921" w:rsidRDefault="001B6A07" w:rsidP="001B6A07">
      <w:pPr>
        <w:spacing w:after="0" w:line="240" w:lineRule="auto"/>
        <w:jc w:val="center"/>
        <w:rPr>
          <w:rFonts w:ascii="Arial" w:eastAsia="Times New Roman" w:hAnsi="Arial" w:cs="Arial"/>
          <w:b/>
          <w:i/>
          <w:sz w:val="32"/>
          <w:szCs w:val="20"/>
          <w:lang w:eastAsia="en-GB"/>
        </w:rPr>
      </w:pPr>
    </w:p>
    <w:p w:rsidR="001B6A07" w:rsidRPr="00876921" w:rsidRDefault="001B6A07" w:rsidP="001B6A07">
      <w:pPr>
        <w:spacing w:after="0" w:line="240" w:lineRule="auto"/>
        <w:rPr>
          <w:rFonts w:ascii="Arial" w:eastAsia="Times New Roman" w:hAnsi="Arial" w:cs="Arial"/>
          <w:b/>
          <w:sz w:val="20"/>
          <w:szCs w:val="20"/>
          <w:lang w:eastAsia="en-GB"/>
        </w:rPr>
      </w:pPr>
    </w:p>
    <w:p w:rsidR="001B6A07" w:rsidRDefault="001B6A07" w:rsidP="001B6A07">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B6A07" w:rsidRPr="00876921" w:rsidTr="008642CB">
        <w:tc>
          <w:tcPr>
            <w:tcW w:w="9781" w:type="dxa"/>
            <w:shd w:val="clear" w:color="auto" w:fill="C0C0C0"/>
          </w:tcPr>
          <w:p w:rsidR="001B6A07" w:rsidRPr="00876921" w:rsidRDefault="001B6A07" w:rsidP="008642CB">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rsidR="001B6A07" w:rsidRPr="00876921" w:rsidRDefault="001B6A07" w:rsidP="001B6A07">
      <w:pPr>
        <w:spacing w:after="0" w:line="240" w:lineRule="auto"/>
        <w:jc w:val="both"/>
        <w:rPr>
          <w:rFonts w:ascii="Arial" w:eastAsia="Times New Roman" w:hAnsi="Arial" w:cs="Arial"/>
          <w:lang w:eastAsia="en-GB"/>
        </w:rPr>
      </w:pPr>
    </w:p>
    <w:p w:rsidR="001B6A07" w:rsidRDefault="001B6A07" w:rsidP="001B6A07">
      <w:pPr>
        <w:spacing w:after="0" w:line="240" w:lineRule="auto"/>
        <w:ind w:left="426"/>
        <w:rPr>
          <w:rFonts w:ascii="Arial" w:eastAsia="Times New Roman" w:hAnsi="Arial" w:cs="Arial"/>
          <w:sz w:val="24"/>
          <w:szCs w:val="24"/>
          <w:lang w:eastAsia="en-GB"/>
        </w:rPr>
      </w:pPr>
    </w:p>
    <w:p w:rsidR="001B6A07" w:rsidRDefault="001B6A07" w:rsidP="001B6A07">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Students are required to complete two 2000-word essays (2 x 2000).</w:t>
      </w:r>
      <w:r w:rsidRPr="00464DEA">
        <w:rPr>
          <w:rFonts w:ascii="Trebuchet MS" w:eastAsia="Times New Roman" w:hAnsi="Trebuchet MS" w:cs="Arial"/>
          <w:sz w:val="24"/>
          <w:szCs w:val="24"/>
          <w:lang w:eastAsia="en-GB"/>
        </w:rPr>
        <w:t xml:space="preserve"> </w:t>
      </w:r>
    </w:p>
    <w:p w:rsidR="001B6A07" w:rsidRDefault="001B6A07" w:rsidP="001B6A07">
      <w:pPr>
        <w:spacing w:after="0" w:line="240" w:lineRule="auto"/>
        <w:rPr>
          <w:rFonts w:ascii="Trebuchet MS" w:eastAsia="Times New Roman" w:hAnsi="Trebuchet MS" w:cs="Arial"/>
          <w:sz w:val="24"/>
          <w:szCs w:val="24"/>
          <w:lang w:eastAsia="en-GB"/>
        </w:rPr>
      </w:pPr>
    </w:p>
    <w:p w:rsidR="001B6A07" w:rsidRPr="00464DEA" w:rsidRDefault="001B6A07" w:rsidP="001B6A07">
      <w:pPr>
        <w:pStyle w:val="ListParagraph"/>
        <w:spacing w:after="0" w:line="480" w:lineRule="auto"/>
        <w:rPr>
          <w:rFonts w:ascii="Trebuchet MS" w:eastAsia="Times New Roman" w:hAnsi="Trebuchet MS" w:cs="Arial"/>
          <w:sz w:val="24"/>
          <w:szCs w:val="24"/>
          <w:lang w:eastAsia="en-GB"/>
        </w:rPr>
      </w:pPr>
    </w:p>
    <w:p w:rsidR="001B6A07" w:rsidRPr="003150D8" w:rsidRDefault="001B6A07" w:rsidP="001B6A07">
      <w:pPr>
        <w:spacing w:after="0" w:line="480" w:lineRule="auto"/>
        <w:rPr>
          <w:rFonts w:ascii="Trebuchet MS" w:eastAsia="Times New Roman" w:hAnsi="Trebuchet MS" w:cs="Arial"/>
          <w:sz w:val="24"/>
          <w:szCs w:val="24"/>
          <w:u w:val="single"/>
          <w:lang w:eastAsia="en-GB"/>
        </w:rPr>
      </w:pPr>
      <w:r>
        <w:rPr>
          <w:rFonts w:ascii="Trebuchet MS" w:eastAsia="Times New Roman" w:hAnsi="Trebuchet MS" w:cs="Arial"/>
          <w:sz w:val="24"/>
          <w:szCs w:val="24"/>
          <w:u w:val="single"/>
          <w:lang w:eastAsia="en-GB"/>
        </w:rPr>
        <w:t xml:space="preserve">Essay 1: </w:t>
      </w:r>
      <w:r w:rsidRPr="003150D8">
        <w:rPr>
          <w:rFonts w:ascii="Trebuchet MS" w:eastAsia="Times New Roman" w:hAnsi="Trebuchet MS" w:cs="Arial"/>
          <w:sz w:val="24"/>
          <w:szCs w:val="24"/>
          <w:u w:val="single"/>
          <w:lang w:eastAsia="en-GB"/>
        </w:rPr>
        <w:t>Assess the role of community policing in fostering and maintaining community cohesion. (2000 words)</w:t>
      </w: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 xml:space="preserve">It is arguable when community policing first started.  The concept of community policing is not new and dates back to 1829 when Robert Peel launched the principles of democratic policing, introducing law enforcement officers, ‘peelers’, on the street, later known as the ‘bobby </w:t>
      </w:r>
      <w:r>
        <w:rPr>
          <w:rFonts w:ascii="Arial" w:eastAsia="Times New Roman" w:hAnsi="Arial" w:cs="Arial"/>
          <w:sz w:val="24"/>
          <w:szCs w:val="24"/>
        </w:rPr>
        <w:t>on the beat’.  Over the decades</w:t>
      </w:r>
      <w:r w:rsidRPr="00DF1AC5">
        <w:rPr>
          <w:rFonts w:ascii="Arial" w:eastAsia="Times New Roman" w:hAnsi="Arial" w:cs="Arial"/>
          <w:sz w:val="24"/>
          <w:szCs w:val="24"/>
        </w:rPr>
        <w:t xml:space="preserve"> with so much technological change, limited resources and the need to create efficiencies, the visibility of police officers on the beat diminished.  Changes to operational policing methods were introduced.  In 1967, the Home Office encouraged forces to reduce the number of foot patrolling officers in favour of motorised vehicles.  Policing became reactive and operated more remotely.  However, foot patrol, which became too highly demanding on financial and human resources, has been sorely missed by many communities. </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Over the last twenty years, community engagement has now been acknowledged as a key factor in reducing crime and has become a vital element of UK government policy design and implementation and of a wide range of interventions</w:t>
      </w:r>
      <w:r>
        <w:rPr>
          <w:rFonts w:ascii="Arial" w:eastAsia="Times New Roman" w:hAnsi="Arial" w:cs="Arial"/>
          <w:sz w:val="24"/>
          <w:szCs w:val="24"/>
        </w:rPr>
        <w:t>,</w:t>
      </w:r>
      <w:r w:rsidRPr="00DF1AC5">
        <w:rPr>
          <w:rFonts w:ascii="Arial" w:eastAsia="Times New Roman" w:hAnsi="Arial" w:cs="Arial"/>
          <w:sz w:val="24"/>
          <w:szCs w:val="24"/>
        </w:rPr>
        <w:t xml:space="preserve"> which allow </w:t>
      </w:r>
      <w:r w:rsidRPr="00DF1AC5">
        <w:rPr>
          <w:rFonts w:ascii="Arial" w:eastAsia="Times New Roman" w:hAnsi="Arial" w:cs="Arial"/>
          <w:sz w:val="24"/>
          <w:szCs w:val="24"/>
        </w:rPr>
        <w:lastRenderedPageBreak/>
        <w:t>communities to live without threat and to prosper.  Most initiatives necessitated the involvement of the police force.  In 1998, the Crime and Disorder Act pronounced that it was a legal duty for police forces to work in partnership to prevent and reduce crime in the community. In 2002, the Police Reform Act recognised the need once again for increased visibility of policing in the</w:t>
      </w:r>
      <w:r>
        <w:rPr>
          <w:rFonts w:ascii="Arial" w:eastAsia="Times New Roman" w:hAnsi="Arial" w:cs="Arial"/>
          <w:sz w:val="24"/>
          <w:szCs w:val="24"/>
        </w:rPr>
        <w:t xml:space="preserve"> community and the role of the Police Community Support O</w:t>
      </w:r>
      <w:r w:rsidRPr="00DF1AC5">
        <w:rPr>
          <w:rFonts w:ascii="Arial" w:eastAsia="Times New Roman" w:hAnsi="Arial" w:cs="Arial"/>
          <w:sz w:val="24"/>
          <w:szCs w:val="24"/>
        </w:rPr>
        <w:t xml:space="preserve">fficer (PCSO) was created.  This role was intended to raise the profile of policing in the community at an affordable cost, to increase visibility, and to focus on early intervention, thus helping to reduce crime and anti-social behaviour and to offer reassurance and advice to the public. In 2016, Thomas found that PCSOs had provided a vital link between neighbourhoods and police services and innovative ways to keep communities safe had been developed.  In August 2021, the Welsh Government announced additional funding to provide a further 100 PCSOs to support communities. First Minister, Mark Drakeford said “we will work together to protect vulnerable people from the threats and harm that are faced by every community”.  It is fair to say that community engagement has evolved considerably and has now become an essential component of policing. </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Undeniably, communities are more complex nowadays than they have ever been.  Their profiles constantly change</w:t>
      </w:r>
      <w:r>
        <w:rPr>
          <w:rFonts w:ascii="Arial" w:eastAsia="Times New Roman" w:hAnsi="Arial" w:cs="Arial"/>
          <w:sz w:val="24"/>
          <w:szCs w:val="24"/>
        </w:rPr>
        <w:t xml:space="preserve"> and th</w:t>
      </w:r>
      <w:r w:rsidRPr="00DF1AC5">
        <w:rPr>
          <w:rFonts w:ascii="Arial" w:eastAsia="Times New Roman" w:hAnsi="Arial" w:cs="Arial"/>
          <w:sz w:val="24"/>
          <w:szCs w:val="24"/>
        </w:rPr>
        <w:t>ere are many factors which af</w:t>
      </w:r>
      <w:r>
        <w:rPr>
          <w:rFonts w:ascii="Arial" w:eastAsia="Times New Roman" w:hAnsi="Arial" w:cs="Arial"/>
          <w:sz w:val="24"/>
          <w:szCs w:val="24"/>
        </w:rPr>
        <w:t>fect the profile of a community. For example,</w:t>
      </w:r>
      <w:r w:rsidRPr="00DF1AC5">
        <w:rPr>
          <w:rFonts w:ascii="Arial" w:eastAsia="Times New Roman" w:hAnsi="Arial" w:cs="Arial"/>
          <w:sz w:val="24"/>
          <w:szCs w:val="24"/>
        </w:rPr>
        <w:t xml:space="preserve"> deprivation, location, physical isolation, popu</w:t>
      </w:r>
      <w:r>
        <w:rPr>
          <w:rFonts w:ascii="Arial" w:eastAsia="Times New Roman" w:hAnsi="Arial" w:cs="Arial"/>
          <w:sz w:val="24"/>
          <w:szCs w:val="24"/>
        </w:rPr>
        <w:t>lation churn</w:t>
      </w:r>
      <w:r w:rsidRPr="00DF1AC5">
        <w:rPr>
          <w:rFonts w:ascii="Arial" w:eastAsia="Times New Roman" w:hAnsi="Arial" w:cs="Arial"/>
          <w:sz w:val="24"/>
          <w:szCs w:val="24"/>
        </w:rPr>
        <w:t xml:space="preserve">, resettlement of refugees, decline in manufacturing and high unemployment, lack of public facilities etc.  Each community will have its own unique profile and it is incumbent on the police and other key partners to have a sound knowledge of the heart-beat of their communities.  The task of liaising with communities has become ever-more demanding as community profiles have become more complex and integration of minorities more sensitive and onerous with multi-layered communities comprising high levels of cultural, ethnic, socioeconomic and religious diversity.  Also the advent of terrorism and county lines for the illegal drug industry has elevated the importance of community policing from a national security perspective. </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lastRenderedPageBreak/>
        <w:t>So what exactly is community policing and how does it differ from traditional policing?   Somerville (2009</w:t>
      </w:r>
      <w:r>
        <w:rPr>
          <w:rFonts w:ascii="Arial" w:eastAsia="Times New Roman" w:hAnsi="Arial" w:cs="Arial"/>
          <w:sz w:val="24"/>
          <w:szCs w:val="24"/>
        </w:rPr>
        <w:t>) defines community policing as</w:t>
      </w:r>
      <w:r w:rsidRPr="00DF1AC5">
        <w:rPr>
          <w:rFonts w:ascii="Arial" w:eastAsia="Times New Roman" w:hAnsi="Arial" w:cs="Arial"/>
          <w:sz w:val="24"/>
          <w:szCs w:val="24"/>
        </w:rPr>
        <w:t xml:space="preserve"> “a process of e</w:t>
      </w:r>
      <w:r>
        <w:rPr>
          <w:rFonts w:ascii="Arial" w:eastAsia="Times New Roman" w:hAnsi="Arial" w:cs="Arial"/>
          <w:sz w:val="24"/>
          <w:szCs w:val="24"/>
        </w:rPr>
        <w:t>nabling communities in policing</w:t>
      </w:r>
      <w:r w:rsidRPr="00DF1AC5">
        <w:rPr>
          <w:rFonts w:ascii="Arial" w:eastAsia="Times New Roman" w:hAnsi="Arial" w:cs="Arial"/>
          <w:sz w:val="24"/>
          <w:szCs w:val="24"/>
        </w:rPr>
        <w:t xml:space="preserve">, empowering them to identify and implement solutions to local problems and influence strategic and operational local priorities and decisions”. In simple terms, it is a partnership between law enforcement and residents of a local area, with multiple parties working together to help to enforce the law and establish a safe environment.  The primary concerns of traditional policing were crime control and prevention.   Community policing recognises policing as a broader function in society and one not restricted to simply law enforcement and crime fighting.  Rather than responding to criminal activity only after it happens, community policing encourages agencies to proactively develop solutions to the underlying conditions that are at the root of public unrest.  Community policing should not compete with traditional policing but should complement it, providing a viable option for crime prevention and deterrence. Three of the most important aspects of community policing are positive interaction, partnerships and problem solving.   Practice has developed over recent years and by increasing community involvement and moving away from consultation to empowering community members, residents take more responsibility and feel more able to directly influence the interventions that take place in their communities.  </w:t>
      </w:r>
    </w:p>
    <w:p w:rsidR="001B6A07" w:rsidRPr="00DF1AC5" w:rsidRDefault="001B6A07" w:rsidP="001B6A07">
      <w:pPr>
        <w:spacing w:line="360" w:lineRule="auto"/>
        <w:jc w:val="both"/>
        <w:rPr>
          <w:rFonts w:ascii="Arial" w:eastAsia="Times New Roman" w:hAnsi="Arial" w:cs="Arial"/>
          <w:sz w:val="24"/>
          <w:szCs w:val="24"/>
        </w:rPr>
      </w:pPr>
    </w:p>
    <w:p w:rsidR="001B6A07" w:rsidRPr="00DF1AC5" w:rsidRDefault="001B6A07" w:rsidP="001B6A07">
      <w:pPr>
        <w:spacing w:after="0" w:line="360" w:lineRule="auto"/>
        <w:contextualSpacing/>
        <w:jc w:val="both"/>
        <w:rPr>
          <w:rFonts w:ascii="Arial" w:eastAsiaTheme="majorEastAsia" w:hAnsi="Arial" w:cs="Arial"/>
          <w:spacing w:val="-10"/>
          <w:kern w:val="28"/>
          <w:sz w:val="24"/>
          <w:szCs w:val="24"/>
        </w:rPr>
      </w:pPr>
      <w:r w:rsidRPr="00DF1AC5">
        <w:rPr>
          <w:rFonts w:ascii="Arial" w:eastAsiaTheme="majorEastAsia" w:hAnsi="Arial" w:cs="Arial"/>
          <w:spacing w:val="-10"/>
          <w:kern w:val="28"/>
          <w:sz w:val="24"/>
          <w:szCs w:val="24"/>
        </w:rPr>
        <w:t>What is the purpose of community policing?  It is intended to proactiv</w:t>
      </w:r>
      <w:r w:rsidRPr="00B41F54">
        <w:rPr>
          <w:rFonts w:ascii="Arial" w:eastAsiaTheme="majorEastAsia" w:hAnsi="Arial" w:cs="Arial"/>
          <w:spacing w:val="-10"/>
          <w:kern w:val="28"/>
          <w:sz w:val="24"/>
          <w:szCs w:val="24"/>
        </w:rPr>
        <w:t>ely address the situations that</w:t>
      </w:r>
      <w:r w:rsidRPr="00DF1AC5">
        <w:rPr>
          <w:rFonts w:ascii="Arial" w:eastAsiaTheme="majorEastAsia" w:hAnsi="Arial" w:cs="Arial"/>
          <w:spacing w:val="-10"/>
          <w:kern w:val="28"/>
          <w:sz w:val="24"/>
          <w:szCs w:val="24"/>
        </w:rPr>
        <w:t xml:space="preserve"> provoke public safety issues such as crime, social disorder and fear of crime.  By working in partnership with community groups and agencies, the police aspire to provide more effective crime control, to improve the quality of life of the residents within communities and to improve relations with the police service and its legitimacy.  Its success very much relies on building trust between citizens and the police.  It also needs to be supported and practised by an entire police department  and embraced as a culture within the police force.</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 xml:space="preserve">How can we ensure community policing is effective? </w:t>
      </w:r>
      <w:r>
        <w:rPr>
          <w:rFonts w:ascii="Arial" w:eastAsia="Times New Roman" w:hAnsi="Arial" w:cs="Arial"/>
          <w:sz w:val="24"/>
          <w:szCs w:val="24"/>
        </w:rPr>
        <w:t xml:space="preserve"> Although community engagement </w:t>
      </w:r>
      <w:r w:rsidRPr="00DF1AC5">
        <w:rPr>
          <w:rFonts w:ascii="Arial" w:eastAsia="Times New Roman" w:hAnsi="Arial" w:cs="Arial"/>
          <w:sz w:val="24"/>
          <w:szCs w:val="24"/>
        </w:rPr>
        <w:t xml:space="preserve">has become increasingly prominent, it is not easy to secure for many reasons, none more so than the willingness, capacity of and opportunity for the public </w:t>
      </w:r>
      <w:r w:rsidRPr="00DF1AC5">
        <w:rPr>
          <w:rFonts w:ascii="Arial" w:eastAsia="Times New Roman" w:hAnsi="Arial" w:cs="Arial"/>
          <w:sz w:val="24"/>
          <w:szCs w:val="24"/>
        </w:rPr>
        <w:lastRenderedPageBreak/>
        <w:t xml:space="preserve">to participate as identified in the police reform White Paper in November 2004.  It is not a given that neighbourhood policing will automatically deliver community engagement.  The time invested in community engagement must deliver positive outcomes.  It is crucial that the community sees the benefit of engaging with the police and vice versa.  It should never be viewed as a tick box exercise to meet project or funding objectives.  There is no one size fits all approach.  Decision making needs to be devolved to allow beat officers flexibility in tailoring approaches.  Effective community engagement is guided by a number of principles: social justice, self-determination, working and learning together, sustainable communities, participation and reflective practice.  It is important that the spirit of these principles is wholly adopted by police officers working in the community, if community policing is to be successful.  Community engagement must be mainstreamed as a police priority, and be part of their core work not a specialism or a ‘bolt on’.  The College of Policing in its guidance paper ‘Modernising Neighbourhood Policing’ (2017) reports that “evidence suggests that the police service is still some way from accepting certain aspects of community engagement philosophy”.   Successful community policing and engagement  necessitate a culture where sharing power is understood and respected so that the process of policing is owned equally between the community and the agencies.  With ever diminishing police resources and ever increasing demands, involving the community in maintaining law and order has to be a way forward but this is not likely to be </w:t>
      </w:r>
      <w:r>
        <w:rPr>
          <w:rFonts w:ascii="Arial" w:eastAsia="Times New Roman" w:hAnsi="Arial" w:cs="Arial"/>
          <w:sz w:val="24"/>
          <w:szCs w:val="24"/>
        </w:rPr>
        <w:t>achieved quickly.  It is a long-</w:t>
      </w:r>
      <w:r w:rsidRPr="00DF1AC5">
        <w:rPr>
          <w:rFonts w:ascii="Arial" w:eastAsia="Times New Roman" w:hAnsi="Arial" w:cs="Arial"/>
          <w:sz w:val="24"/>
          <w:szCs w:val="24"/>
        </w:rPr>
        <w:t>term process.</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 xml:space="preserve">Community engagement is not an easy or cheap policing strategy as very often, a range of engagement opportunities needs to be provided and demand can exceed available resource.  In 2016 Stephen Carr, the safer communities programme manager for Wales, wrote in the Wales Audit Office report “ complex responsibilities make it difficult for public bodies to coordinate a strategic approach to community safety which weakens collective leadership and accountability and undermines the potential for people to stay safe”.  Certain behaviours need to be respected and success depends on addressing the issues identified that can enable or adversely affect its implementation.  Strategies need to be tailored and locally adapted.  Firstly, it is important to avoid exclusionary practices.  The whole community, including </w:t>
      </w:r>
      <w:r w:rsidRPr="00DF1AC5">
        <w:rPr>
          <w:rFonts w:ascii="Arial" w:eastAsia="Times New Roman" w:hAnsi="Arial" w:cs="Arial"/>
          <w:sz w:val="24"/>
          <w:szCs w:val="24"/>
        </w:rPr>
        <w:lastRenderedPageBreak/>
        <w:t xml:space="preserve">marginalised minorities, needs to be  identified to include the full composition of the community and ensure that any barriers to certain groups have been identified and adjustments made.  For example, the times a community meeting is held in addition to the type of venue, could prejudice the attendance of shift workers, parents with young children or children of school age, those in full time employment, or young persons.  Such details influence the success of community policing.  In his report in 2017, ‘Working Together for Safer Communities’, Carr said the review established a new shared vision for community safety in Wales and in 2021, the safer communities network team was established to coordinate strategy and guide operational performance at a national </w:t>
      </w:r>
      <w:r>
        <w:rPr>
          <w:rFonts w:ascii="Arial" w:eastAsia="Times New Roman" w:hAnsi="Arial" w:cs="Arial"/>
          <w:sz w:val="24"/>
          <w:szCs w:val="24"/>
        </w:rPr>
        <w:t>level in Wales. It is too early</w:t>
      </w:r>
      <w:r w:rsidRPr="00DF1AC5">
        <w:rPr>
          <w:rFonts w:ascii="Arial" w:eastAsia="Times New Roman" w:hAnsi="Arial" w:cs="Arial"/>
          <w:sz w:val="24"/>
          <w:szCs w:val="24"/>
        </w:rPr>
        <w:t xml:space="preserve"> to assess its effectiveness.</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Anti-social behaviours and crime should be reduced, if not prevented, but it is challenging to measure the impact and outcomes of community policing in fostering good community relations and preventing crime.  It is hard to prove that, without community policing, relations would be more fractious and crime rates would be higher.  It is a very complex a</w:t>
      </w:r>
      <w:r>
        <w:rPr>
          <w:rFonts w:ascii="Arial" w:eastAsia="Times New Roman" w:hAnsi="Arial" w:cs="Arial"/>
          <w:sz w:val="24"/>
          <w:szCs w:val="24"/>
        </w:rPr>
        <w:t xml:space="preserve">rea.  In 2012, Myhill indicated </w:t>
      </w:r>
      <w:r w:rsidRPr="00DF1AC5">
        <w:rPr>
          <w:rFonts w:ascii="Arial" w:eastAsia="Times New Roman" w:hAnsi="Arial" w:cs="Arial"/>
          <w:sz w:val="24"/>
          <w:szCs w:val="24"/>
        </w:rPr>
        <w:t xml:space="preserve">that “community engagement may also have a positive impact on crime and perceptions of anti-social behaviour.”  Furthermore, research conducted by Gill et al (2014) states that “ overall, the police collaborating with the public for the purposes of problem solving can reduce perceived disorder as well as increase trust and perceived legitimacy in the police”.  The words ‘may’ and ‘can’ demonstrate how problematic it is to produce irrefutable evidence of the impact of community policing.  Taylor et al (2010) proposed that “while targeted police presence can reduce crime in the short term, problem-solving can have a much larger impact in the longer term”. And in 2015, Braga et al maintained that “community policing has been shown to be more effective than aggressive enforcement when policing disorder”. </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 xml:space="preserve">Where community policing is effective, giving residents more control over the quality of life in their community, the benefits are considerable.   For the police officers who become part of the neighbourhood, improved morale ensues which, in turn, improves </w:t>
      </w:r>
      <w:r w:rsidRPr="00DF1AC5">
        <w:rPr>
          <w:rFonts w:ascii="Arial" w:eastAsia="Times New Roman" w:hAnsi="Arial" w:cs="Arial"/>
          <w:sz w:val="24"/>
          <w:szCs w:val="24"/>
        </w:rPr>
        <w:lastRenderedPageBreak/>
        <w:t xml:space="preserve">workforce retention and enriches knowledge, skills and experience of the local police force.  Workforce retention and skills retention are important as it is difficult to sustain the effectiveness of community policing, particularly if there is a high turnover of officers.  By working and learning together, the police have a better sense of community members’ needs.  Residents have a more favourable perception of the police.  For residents, they feel safer and the fear that non law abiding citizens imposes on the community is reduced.  Their sense of belonging and their perception of their well-being are enhanced.  </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Where community policing is ineffective, the consequences can have a negative impact on strategic planning and tactical policing with increased tensions in the community requir</w:t>
      </w:r>
      <w:r>
        <w:rPr>
          <w:rFonts w:ascii="Arial" w:eastAsia="Times New Roman" w:hAnsi="Arial" w:cs="Arial"/>
          <w:sz w:val="24"/>
          <w:szCs w:val="24"/>
        </w:rPr>
        <w:t>ing increased police resources,</w:t>
      </w:r>
      <w:r w:rsidRPr="00DF1AC5">
        <w:rPr>
          <w:rFonts w:ascii="Arial" w:eastAsia="Times New Roman" w:hAnsi="Arial" w:cs="Arial"/>
          <w:sz w:val="24"/>
          <w:szCs w:val="24"/>
        </w:rPr>
        <w:t xml:space="preserve"> a loss of public confidence, increased vulnerabilities around the threat of risk and harm and ultimately withdrawal of public participation.   The police should not underestimate the effect of previous poor relations, especially with minority communities. Adverse historical events such as the Mayhill riots in Swansea about a year ago can also jeopardise trust and infect community cohesion.  What started as a peaceful vigil for a deceased young local resident escalated into violence criminal damage and a wanton disregard for public safety.  As in all environments, trust takes a long time to build but no time at all to destroy.</w:t>
      </w:r>
    </w:p>
    <w:p w:rsidR="001B6A07" w:rsidRPr="00DF1AC5" w:rsidRDefault="001B6A07" w:rsidP="001B6A07">
      <w:pPr>
        <w:spacing w:line="360" w:lineRule="auto"/>
        <w:jc w:val="both"/>
        <w:rPr>
          <w:rFonts w:ascii="Arial" w:eastAsia="Times New Roman" w:hAnsi="Arial" w:cs="Arial"/>
          <w:sz w:val="24"/>
          <w:szCs w:val="24"/>
        </w:rPr>
      </w:pPr>
    </w:p>
    <w:p w:rsidR="001B6A07" w:rsidRDefault="001B6A07" w:rsidP="001B6A07">
      <w:pPr>
        <w:spacing w:line="360" w:lineRule="auto"/>
        <w:jc w:val="both"/>
        <w:rPr>
          <w:rFonts w:ascii="Arial" w:eastAsia="Times New Roman" w:hAnsi="Arial" w:cs="Arial"/>
          <w:sz w:val="24"/>
          <w:szCs w:val="24"/>
        </w:rPr>
      </w:pPr>
      <w:r w:rsidRPr="00DF1AC5">
        <w:rPr>
          <w:rFonts w:ascii="Arial" w:eastAsia="Times New Roman" w:hAnsi="Arial" w:cs="Arial"/>
          <w:sz w:val="24"/>
          <w:szCs w:val="24"/>
        </w:rPr>
        <w:t xml:space="preserve">Is community policing sustainable?   With the economic downturn caused by the current pandemic, police units are under even more pressure to maximise performance, despite increasing demands on their duties and minimum additional investment.   There is no doubt that the integrity of central UK government and the metropolitan police is being questioned currently and may have a negative impact on cooperation at a local level.  The lack of statistical analysis and robust evaluation could place community policing at risk in the future as our society places so much emphasis on measurable outcomes.  It will be important to build the analytical capability of community policing. </w:t>
      </w:r>
    </w:p>
    <w:p w:rsidR="001B6A07" w:rsidRPr="00DF1AC5" w:rsidRDefault="001B6A07" w:rsidP="001B6A07">
      <w:pPr>
        <w:spacing w:line="360" w:lineRule="auto"/>
        <w:jc w:val="both"/>
        <w:rPr>
          <w:rFonts w:ascii="Arial" w:eastAsia="Times New Roman" w:hAnsi="Arial" w:cs="Arial"/>
          <w:sz w:val="24"/>
          <w:szCs w:val="24"/>
        </w:rPr>
      </w:pPr>
    </w:p>
    <w:p w:rsidR="001B6A07" w:rsidRPr="00DF1AC5" w:rsidRDefault="001B6A07" w:rsidP="001B6A07">
      <w:pPr>
        <w:spacing w:line="360" w:lineRule="auto"/>
        <w:jc w:val="both"/>
        <w:rPr>
          <w:rFonts w:ascii="Arial" w:hAnsi="Arial" w:cs="Arial"/>
          <w:sz w:val="24"/>
          <w:szCs w:val="24"/>
        </w:rPr>
      </w:pPr>
      <w:r w:rsidRPr="00DF1AC5">
        <w:rPr>
          <w:rFonts w:ascii="Arial" w:eastAsia="Times New Roman" w:hAnsi="Arial" w:cs="Arial"/>
          <w:sz w:val="24"/>
          <w:szCs w:val="24"/>
        </w:rPr>
        <w:lastRenderedPageBreak/>
        <w:t>There is little doubt that there is a strong theoretical case for community engagement but the ability of police agencies to implement sustained engagement at an organisational  level remains unproven.  From the limited reviews (mostly US based) of the outcomes of community policing, there are mainly positive findings that it does reduce crime, disorder and anti-social behaviour and it does increase feelings of safety and improve police community relations and community perceptions.  However, there is mixed evidence as to whether community policing changes police officers’ attitudes and behaviours and whether it increases community capacity to live harmoniously is debatable</w:t>
      </w:r>
      <w:r>
        <w:rPr>
          <w:rFonts w:ascii="Arial" w:eastAsia="Times New Roman" w:hAnsi="Arial" w:cs="Arial"/>
          <w:sz w:val="24"/>
          <w:szCs w:val="24"/>
        </w:rPr>
        <w:t>.</w:t>
      </w:r>
    </w:p>
    <w:p w:rsidR="001B6A07" w:rsidRDefault="001B6A07" w:rsidP="001B6A07">
      <w:pPr>
        <w:spacing w:after="0" w:line="480" w:lineRule="auto"/>
        <w:rPr>
          <w:rFonts w:ascii="Trebuchet MS" w:eastAsia="Times New Roman" w:hAnsi="Trebuchet MS" w:cs="Arial"/>
          <w:sz w:val="24"/>
          <w:szCs w:val="24"/>
          <w:lang w:eastAsia="en-GB"/>
        </w:rPr>
      </w:pPr>
    </w:p>
    <w:p w:rsidR="001B6A07" w:rsidRPr="008642CB" w:rsidRDefault="001B6A07" w:rsidP="001B6A07">
      <w:pPr>
        <w:spacing w:after="0" w:line="480" w:lineRule="auto"/>
        <w:rPr>
          <w:rFonts w:ascii="Trebuchet MS" w:eastAsia="Times New Roman" w:hAnsi="Trebuchet MS" w:cs="Arial"/>
          <w:sz w:val="24"/>
          <w:szCs w:val="24"/>
          <w:u w:val="single"/>
          <w:lang w:eastAsia="en-GB"/>
        </w:rPr>
      </w:pPr>
      <w:r w:rsidRPr="008642CB">
        <w:rPr>
          <w:rFonts w:ascii="Trebuchet MS" w:eastAsia="Times New Roman" w:hAnsi="Trebuchet MS" w:cs="Arial"/>
          <w:sz w:val="24"/>
          <w:szCs w:val="24"/>
          <w:u w:val="single"/>
          <w:lang w:eastAsia="en-GB"/>
        </w:rPr>
        <w:t>(2034 words)</w:t>
      </w: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Default="001B6A07" w:rsidP="001B6A07">
      <w:pPr>
        <w:spacing w:after="0" w:line="480" w:lineRule="auto"/>
        <w:rPr>
          <w:rFonts w:ascii="Trebuchet MS" w:eastAsia="Times New Roman" w:hAnsi="Trebuchet MS" w:cs="Arial"/>
          <w:sz w:val="24"/>
          <w:szCs w:val="24"/>
          <w:lang w:eastAsia="en-GB"/>
        </w:rPr>
      </w:pPr>
    </w:p>
    <w:p w:rsidR="001B6A07" w:rsidRPr="003150D8" w:rsidRDefault="001B6A07" w:rsidP="001B6A07">
      <w:pPr>
        <w:spacing w:after="0" w:line="480" w:lineRule="auto"/>
        <w:rPr>
          <w:rFonts w:ascii="Trebuchet MS" w:eastAsia="Times New Roman" w:hAnsi="Trebuchet MS" w:cs="Arial"/>
          <w:b/>
          <w:sz w:val="24"/>
          <w:szCs w:val="24"/>
          <w:u w:val="single"/>
          <w:lang w:eastAsia="en-GB"/>
        </w:rPr>
      </w:pPr>
      <w:r>
        <w:rPr>
          <w:rFonts w:ascii="Trebuchet MS" w:eastAsia="Times New Roman" w:hAnsi="Trebuchet MS" w:cs="Arial"/>
          <w:b/>
          <w:sz w:val="24"/>
          <w:szCs w:val="24"/>
          <w:u w:val="single"/>
          <w:lang w:eastAsia="en-GB"/>
        </w:rPr>
        <w:lastRenderedPageBreak/>
        <w:t xml:space="preserve">Essay 2: </w:t>
      </w:r>
      <w:r w:rsidRPr="003150D8">
        <w:rPr>
          <w:rFonts w:ascii="Trebuchet MS" w:eastAsia="Times New Roman" w:hAnsi="Trebuchet MS" w:cs="Arial"/>
          <w:b/>
          <w:sz w:val="24"/>
          <w:szCs w:val="24"/>
          <w:u w:val="single"/>
          <w:lang w:eastAsia="en-GB"/>
        </w:rPr>
        <w:t>Critically examine the investigation of volume crime (2000 words)</w:t>
      </w: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The term investigation comes from the Latin word ‘investigare’ meaning to inquire or to discover.  Criminal investigation is both an art and a science, in that it is guided by both intuition and the application of forensic s</w:t>
      </w:r>
      <w:r>
        <w:rPr>
          <w:rFonts w:ascii="Arial" w:hAnsi="Arial" w:cs="Arial"/>
          <w:sz w:val="24"/>
          <w:szCs w:val="24"/>
        </w:rPr>
        <w:t>cience.  It is also a process involving</w:t>
      </w:r>
      <w:r w:rsidRPr="003150D8">
        <w:rPr>
          <w:rFonts w:ascii="Arial" w:hAnsi="Arial" w:cs="Arial"/>
          <w:sz w:val="24"/>
          <w:szCs w:val="24"/>
        </w:rPr>
        <w:t xml:space="preserve"> systematic procedure.  In 2009, the National Policing Improvement Agency (NPIA) produced a report ‘Practice advice on the management of priority and volume crime, commissioned by the Association of Chief Police Officers (ACPO) stating, “The police service in the UK has an excellent reputation for investigating serious crimes.  This is not the case, however, for volume crime, where, despite impressive reduction rates, the performance by the police service is perceived to be inadequate”.</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In the 2009 report, volume crime was defined as “any crime which, through its sheer volume, has a significant impact on the community and the ability of the police to tackle it”.   Volume crime includes robbery, burglary and vehicle-related criminality but can also apply to criminal damage or assaults.  Examples of offences </w:t>
      </w:r>
      <w:r w:rsidR="00015EA7">
        <w:rPr>
          <w:rFonts w:ascii="Arial" w:hAnsi="Arial" w:cs="Arial"/>
          <w:sz w:val="24"/>
          <w:szCs w:val="24"/>
        </w:rPr>
        <w:t>are:  arson, (without intent), assaults and knife</w:t>
      </w:r>
      <w:r w:rsidRPr="003150D8">
        <w:rPr>
          <w:rFonts w:ascii="Arial" w:hAnsi="Arial" w:cs="Arial"/>
          <w:sz w:val="24"/>
          <w:szCs w:val="24"/>
        </w:rPr>
        <w:t xml:space="preserve"> crime, cheque or credit ca</w:t>
      </w:r>
      <w:r w:rsidR="00015EA7">
        <w:rPr>
          <w:rFonts w:ascii="Arial" w:hAnsi="Arial" w:cs="Arial"/>
          <w:sz w:val="24"/>
          <w:szCs w:val="24"/>
        </w:rPr>
        <w:t>rd fraud, criminal damage, drug</w:t>
      </w:r>
      <w:r w:rsidRPr="003150D8">
        <w:rPr>
          <w:rFonts w:ascii="Arial" w:hAnsi="Arial" w:cs="Arial"/>
          <w:sz w:val="24"/>
          <w:szCs w:val="24"/>
        </w:rPr>
        <w:t xml:space="preserve"> offences, sexual </w:t>
      </w:r>
      <w:r w:rsidR="00015EA7">
        <w:rPr>
          <w:rFonts w:ascii="Arial" w:hAnsi="Arial" w:cs="Arial"/>
          <w:sz w:val="24"/>
          <w:szCs w:val="24"/>
        </w:rPr>
        <w:t xml:space="preserve">assault, </w:t>
      </w:r>
      <w:r w:rsidRPr="003150D8">
        <w:rPr>
          <w:rFonts w:ascii="Arial" w:hAnsi="Arial" w:cs="Arial"/>
          <w:sz w:val="24"/>
          <w:szCs w:val="24"/>
        </w:rPr>
        <w:t>violence against women and anti-social behaviour. These are the crimes that concern communities mostly and govern people’s perception of their safety and their trust in the police.   On the 11</w:t>
      </w:r>
      <w:r w:rsidRPr="003150D8">
        <w:rPr>
          <w:rFonts w:ascii="Arial" w:hAnsi="Arial" w:cs="Arial"/>
          <w:sz w:val="24"/>
          <w:szCs w:val="24"/>
          <w:vertAlign w:val="superscript"/>
        </w:rPr>
        <w:t>th</w:t>
      </w:r>
      <w:r w:rsidRPr="003150D8">
        <w:rPr>
          <w:rFonts w:ascii="Arial" w:hAnsi="Arial" w:cs="Arial"/>
          <w:sz w:val="24"/>
          <w:szCs w:val="24"/>
        </w:rPr>
        <w:t xml:space="preserve"> February 2022 the Mayor of London, Sadiq Khan, stated in Mayor’s Question Time, “a key measure in the Public Attitudes Survey (PAS) is about police dealing with what matters most to communities locally and this will mean the police being even more focused on local concerns.”  Billy Gazard from the Office for National Statistics Centre for Crime said in the report, ‘Crime in England and Wales: year ending March 2021’, “The coronavirus pandemic has had a significant impact on patterns of crime”.  While there were no changes in the overall levels of crime, theft offences decreased but fraud and online offences increased.   Data from the Crime Survey for England and Wales (CSEW) indicates a fall in the public’s confidence level in the police, from around 62% in 2017-18 to 55% in 2019-20.  Both figures suggest a substantial percentage of people who are disillusioned with the police and do not believe they are doing a good or excellent job.  </w:t>
      </w:r>
    </w:p>
    <w:p w:rsidR="001B6A07" w:rsidRPr="003150D8" w:rsidRDefault="001B6A07" w:rsidP="001B6A07">
      <w:pPr>
        <w:pStyle w:val="ListParagraph"/>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lastRenderedPageBreak/>
        <w:t xml:space="preserve">A criminal investigation can be reactive, instigated by the general public or by referrals from other agencies, or proactive, instigated by the police. The investigative process sets out to locate and gather relevant material to establish whether a person should be charged with an offence and whether if charged, the person is guilty.  Additionally, an investigation sets out to offer the victim(s) help to come to terms with what has happened, and also to satisfy legitimate requirements for information from partner organisations and the community. </w:t>
      </w:r>
    </w:p>
    <w:p w:rsidR="001B6A07" w:rsidRPr="003150D8" w:rsidRDefault="001B6A07" w:rsidP="001B6A07">
      <w:pPr>
        <w:pStyle w:val="ListParagraph"/>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When conducting investigations of volume crime, police investigators need to draw on certain qualities, skills and values.  Ethical policing is essential when investigating volume crime.  It is incumbent on police investigators to demonstrate incorruptible honesty and integrity and to have the moral fortitude to tell the truth no matter what.  Officers should act professionally and fairly, with integrity and honesty at all times, respecting all involved including any other bodies involved in the investigation.  Impartiality is a key principle in the process and it is important that investigators can demonstrate that they are not guilty of bias.  Reasonable steps should be taken to comply with the Equality Act 2010 and cater for the needs of vulnerable adults and minorities.   All reasonable lines of enquiry must be followed both for and against the suspect.  It is very easy for inexperienced officers to be unaware of their inherent prejudices, values and attitudes.  As human beings, we tend to be judgemental. The College of Policing claims, “every police officer is guilty of some sort of bias”.   It is crucial that investigating officers are aware of any subconscious beliefs so that they can suspend them and comply with the police standard of acting with integrity and honesty.  Fairness must pervade the investigation and all behaviours must be accountable and transparent.  If personal attitudes or any affinity bias impact the decision making, the fairness of the process could be challenged. A working knowledge of the law relevant to the particular case is important, as is the ability to demonstrate endurance, both physical and mental, and perseverance in order to overcome obstacles and bring the incident to the desired conclusion. They need to be able to decipher lies from truth relying on both their intuition and their reason, to differentiate fact from opinion and to read between the lines when interpreting </w:t>
      </w:r>
      <w:r w:rsidRPr="003150D8">
        <w:rPr>
          <w:rFonts w:ascii="Arial" w:hAnsi="Arial" w:cs="Arial"/>
          <w:sz w:val="24"/>
          <w:szCs w:val="24"/>
        </w:rPr>
        <w:lastRenderedPageBreak/>
        <w:t xml:space="preserve">accounts. They need a high level of mastery of written and oral communication.  They also need to logically analyse and organise a multitude of facts and material, as they will inevitably be continually processing various types of information.   These credentials are not a given amongst officers despite training programmes and some officers do not develop the competencies necessary for successful investigation. Unfortunately, some officers can also be, or become, corrupt and consequently, the public can lose confidence in police competence to conduct investigations of volume crime adequately. </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In addition to officers drawing on their individual knowledge, qualities, skills and values, effective and quality assured processes need to be in place to investigate volume crime successfully. There are certain principles and professional standards (Police Conduct Regulations 2012) which all police officers are expected to adhere to when investigating crime.   All these standards are relevant to the investigation of volume crime.  Accountability dictates that officers are answerable for their decisions, actions and omissions.  Fairness means that officers are required to treat all people fairly.  Honesty demands that officers are truthful and trustworthy and demonstrate integrity by doing the right thing.  Officers need to be objective, using their best professional judgement and open and transparent in their actions and decisions. All investigative conduct must be in the public interest and selfless, treating any parties involved with due respect.</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In 2002, the ACPO developed a framework for Professionalising the Investigation Process (PIP) for assessing and accrediting police officers’ investigative skills.   The successful management of an investigation requires planning, organisation, control and motivation on behalf of the investigator to establish the facts and develop the evidence. PIP identifies key learning and development and standards of competence for the conduct of investigations. It identifies key stages of the process: initial contact/response, scene assessment, evidence gathering, victim and witness management, suspect handling, post-charge management and file preparation for trial.   The aim of the PIP is to set a high standard of investigative conduct.  However, </w:t>
      </w:r>
      <w:r w:rsidRPr="003150D8">
        <w:rPr>
          <w:rFonts w:ascii="Arial" w:hAnsi="Arial" w:cs="Arial"/>
          <w:sz w:val="24"/>
          <w:szCs w:val="24"/>
        </w:rPr>
        <w:lastRenderedPageBreak/>
        <w:t xml:space="preserve">as the process is managed and undertaken by humans, it is inevitably vulnerable to error.  </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At the first stage, it is important for officers to have the right approach or investigative mind-set from the outset in order to understand the source of material.  The initial contact between the police and the public in solving crime is vital as it makes a large contribution to the total number of detections for volume crime offences. This involves structuring the investigative process at the planning and preparation stage.  In 2020, the Home Office published a report ‘Counting rules for recorded crime’ stating that victims who submit a complaint or report a crime should be believed initially so that the alleged crime is recorded. Volume crime is often initially reported to the police via a phone call.  Call handling is the starting point of investigations and it is vital that this is managed well.  The national standards approved by the Chief Constables Council aim to support delivery of a consistent quality service, </w:t>
      </w:r>
      <w:r w:rsidR="00015EA7">
        <w:rPr>
          <w:rFonts w:ascii="Arial" w:hAnsi="Arial" w:cs="Arial"/>
          <w:sz w:val="24"/>
          <w:szCs w:val="24"/>
        </w:rPr>
        <w:t xml:space="preserve">meeting </w:t>
      </w:r>
      <w:r w:rsidRPr="003150D8">
        <w:rPr>
          <w:rFonts w:ascii="Arial" w:hAnsi="Arial" w:cs="Arial"/>
          <w:sz w:val="24"/>
          <w:szCs w:val="24"/>
        </w:rPr>
        <w:t xml:space="preserve">the needs of the public.  It is important for the call handler to gather and record accurately as much information as possible as this will inform the risk assessment and direct any subsequent investigation.  </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Planning happens during the next stage of the investigative strategy.  Lines of enquiry need to be identified and the purpose of that line of enquiry.  It is important to explore all sources of evidence to include police databases, human intelligence – victims, witnesses, suspects, colleagues and community members – social media, and physical evidence.   Appropriate deployment and utilisation of resources are essential aspects of an effective investigation and in reducing attrition.   </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Actions are then identified and conducted in order to make available the maximum evidence and in some cases, trigger further lines of enquiry.  Other initial investigation factors include scene management, identifying those involved and preserving all relevant material.  Fast track actions may be appropriate, as the first chance to obtain </w:t>
      </w:r>
      <w:r w:rsidRPr="003150D8">
        <w:rPr>
          <w:rFonts w:ascii="Arial" w:hAnsi="Arial" w:cs="Arial"/>
          <w:sz w:val="24"/>
          <w:szCs w:val="24"/>
        </w:rPr>
        <w:lastRenderedPageBreak/>
        <w:t>material may be the last.  Any delay in protecting preserving or gathering material may result in evidence being contaminated or lost at every stage of the process.  It is vital that officers are not steered by any hypothesis they form when investigating volume crime.  All decisions and actions should be guided by factual evidence and hypotheses should be adjusted to accord with facts, rather than trying to find evidence to prove the hypotheses.</w:t>
      </w:r>
    </w:p>
    <w:p w:rsidR="001B6A07" w:rsidRPr="003150D8" w:rsidRDefault="001B6A07" w:rsidP="001B6A07">
      <w:pPr>
        <w:spacing w:line="360" w:lineRule="auto"/>
        <w:jc w:val="both"/>
        <w:rPr>
          <w:rFonts w:ascii="Arial" w:hAnsi="Arial" w:cs="Arial"/>
          <w:sz w:val="24"/>
          <w:szCs w:val="24"/>
        </w:rPr>
      </w:pPr>
    </w:p>
    <w:p w:rsidR="001B6A07" w:rsidRPr="003150D8" w:rsidRDefault="00015EA7" w:rsidP="001B6A07">
      <w:pPr>
        <w:spacing w:line="360" w:lineRule="auto"/>
        <w:jc w:val="both"/>
        <w:rPr>
          <w:rFonts w:ascii="Arial" w:hAnsi="Arial" w:cs="Arial"/>
          <w:sz w:val="24"/>
          <w:szCs w:val="24"/>
        </w:rPr>
      </w:pPr>
      <w:r>
        <w:rPr>
          <w:rFonts w:ascii="Arial" w:hAnsi="Arial" w:cs="Arial"/>
          <w:sz w:val="24"/>
          <w:szCs w:val="24"/>
        </w:rPr>
        <w:t>Evidence gathering is</w:t>
      </w:r>
      <w:r w:rsidR="001B6A07" w:rsidRPr="003150D8">
        <w:rPr>
          <w:rFonts w:ascii="Arial" w:hAnsi="Arial" w:cs="Arial"/>
          <w:sz w:val="24"/>
          <w:szCs w:val="24"/>
        </w:rPr>
        <w:t xml:space="preserve"> supported by interviews, which are central to the process of investigating at all stages of the process.  The College of Policing 2013 maintains that the highest standards of interviewing need to be upheld.  This is not a given, as effective interviewing is a complex skill, often taking place in complicated circumstances.  Each interview is unique so there is no template to follow.  However, guidelines advocate certain principles such as ensuring professional conduct at all times, being methodical, checking the appropriateness of the location, adopting a style which is appropriate to that particular interview and being alert to suggestibility which could, without conscious awareness, influence behaviour.  It is vital that officers are not steered by any hypothesis they form when investigating volume crime.  All decisions and actions should be guided by factual evidence and hypotheses should be adjusted to accord with facts, rather than trying to find evidence to prove the hypotheses.</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There is no doubt that establishing and maintaining rapport with the suspect(s), victim(s) and /or witnesses during the interview is crucial for successful outcomes, rather than adopting a neutral or abrupt interviewing style.  Directly accusing suspects from the outset immediately alienates the suspect and usually engenders defensive reactions.  Accusations merely bring about denials.  Witnesses and victims can also feel intimidated when questioned by police.  When witnesses are being interviewed, the cognitive methodology of mental reinstatement is helpful.  By asking about general activities, feelings and senses experienced at the time of the incident, witnesses are more likely to recall their memories, with more detail and accuracy.  </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lastRenderedPageBreak/>
        <w:t>Whilst it has been found to be effective to allow the interviewee to give their account freely without too many interventions from the police officer(s), it is important to probe the account once it has been provided.  This involves sophisticated communication skills such as active listening, using and observing body language, clarifying, reflecting, questioning using open and closed questions, summarising, holding silences and using emotional intelligence.  Deploying emotional intelligence is challenging as it requires a level of self-awareness and self-regulation, which may be difficult during an investigation.</w:t>
      </w:r>
    </w:p>
    <w:p w:rsidR="001B6A07" w:rsidRPr="003150D8" w:rsidRDefault="001B6A07" w:rsidP="001B6A07">
      <w:pPr>
        <w:spacing w:line="360" w:lineRule="auto"/>
        <w:jc w:val="both"/>
        <w:rPr>
          <w:rFonts w:ascii="Arial" w:hAnsi="Arial" w:cs="Arial"/>
          <w:sz w:val="24"/>
          <w:szCs w:val="24"/>
        </w:rPr>
      </w:pPr>
    </w:p>
    <w:p w:rsidR="001B6A07" w:rsidRPr="003150D8"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Working with partners can also be involved in investigations.  For example, material recovered from the scene of the offence may require forensic analysis to corroborate evidence.  Increasingly, forensic techniques are being used routinely to aid the investigation of volume crimes such as burglary and vehicle crime.   The NPIA 2009 report states, “in the UK, it is estimated that, for directly detected volume crimes, the main evidence securing the detection was forensic in more than one quarter of cases”.  However, the report found that police officer appreciation of forensic evidence is, and continues to be, inadequate.  This lack of knowledge and understanding exists particularly at patrol officer level but also among senior detectives. </w:t>
      </w:r>
    </w:p>
    <w:p w:rsidR="001B6A07" w:rsidRPr="003150D8" w:rsidRDefault="001B6A07" w:rsidP="001B6A07">
      <w:pPr>
        <w:spacing w:line="360" w:lineRule="auto"/>
        <w:jc w:val="both"/>
        <w:rPr>
          <w:rFonts w:ascii="Arial" w:hAnsi="Arial" w:cs="Arial"/>
          <w:sz w:val="24"/>
          <w:szCs w:val="24"/>
        </w:rPr>
      </w:pPr>
    </w:p>
    <w:p w:rsidR="001B6A07" w:rsidRDefault="001B6A07" w:rsidP="001B6A07">
      <w:pPr>
        <w:spacing w:line="360" w:lineRule="auto"/>
        <w:jc w:val="both"/>
        <w:rPr>
          <w:rFonts w:ascii="Arial" w:hAnsi="Arial" w:cs="Arial"/>
          <w:sz w:val="24"/>
          <w:szCs w:val="24"/>
        </w:rPr>
      </w:pPr>
      <w:r w:rsidRPr="003150D8">
        <w:rPr>
          <w:rFonts w:ascii="Arial" w:hAnsi="Arial" w:cs="Arial"/>
          <w:sz w:val="24"/>
          <w:szCs w:val="24"/>
        </w:rPr>
        <w:t xml:space="preserve">The success of police investigations is important for the sustainability of the force and for the safety of communities.  The interdependence between the police and the public is certainly a significant factor in solving volume crimes.  However, there are so many variables, random response, degree of clarity as to when the investigation starts, level of continuity during the investigation, clarity of lines of command, quality of training, experience of officers, workload demands, extent of support from management, clarity of direction given to officers, when examining volume crime investigation that it is difficult to come up with definitive conclusions as to what works best.  The quality of the investigation process is key but it is very difficult to prove to what extent the quality of investigations actually reduces crime.  Conversely, there is little doubt that inadequate investigation leads to public disenchantment and does little to reduce </w:t>
      </w:r>
      <w:r w:rsidRPr="003150D8">
        <w:rPr>
          <w:rFonts w:ascii="Arial" w:hAnsi="Arial" w:cs="Arial"/>
          <w:sz w:val="24"/>
          <w:szCs w:val="24"/>
        </w:rPr>
        <w:lastRenderedPageBreak/>
        <w:t>lawbreaking.  Public cooperation, officers’ decision making, officers’ perceptions and experiences, the robustness and consistency of procedural and/or discretionary approaches, financial and technological resources, variations in staffing levels, forensic policies and systems of a particular police force, recruitment, initial training and CPD all influence the outcomes.  Whilst national standards are in place to guide best practice, differences in working practices remain and too much depends on individual basic command units’ policies and practice and individual officer performance.  Whether the Policing Vision 2025 will deliver the outcomes needed will remain to be seen.</w:t>
      </w:r>
    </w:p>
    <w:p w:rsidR="001B6A07" w:rsidRPr="001B6A07" w:rsidRDefault="001B6A07" w:rsidP="001B6A07">
      <w:pPr>
        <w:spacing w:line="360" w:lineRule="auto"/>
        <w:jc w:val="both"/>
        <w:rPr>
          <w:rFonts w:ascii="Arial" w:hAnsi="Arial" w:cs="Arial"/>
          <w:sz w:val="24"/>
          <w:szCs w:val="24"/>
        </w:rPr>
      </w:pPr>
    </w:p>
    <w:p w:rsidR="001B6A07" w:rsidRPr="001B6A07" w:rsidRDefault="001B6A07" w:rsidP="001B6A07">
      <w:pPr>
        <w:spacing w:after="0" w:line="480" w:lineRule="auto"/>
        <w:rPr>
          <w:rFonts w:ascii="Trebuchet MS" w:eastAsia="Times New Roman" w:hAnsi="Trebuchet MS" w:cs="Arial"/>
          <w:b/>
          <w:sz w:val="24"/>
          <w:szCs w:val="24"/>
          <w:u w:val="single"/>
          <w:lang w:eastAsia="en-GB"/>
        </w:rPr>
      </w:pPr>
      <w:r w:rsidRPr="001B6A07">
        <w:rPr>
          <w:rFonts w:ascii="Trebuchet MS" w:eastAsia="Times New Roman" w:hAnsi="Trebuchet MS" w:cs="Arial"/>
          <w:b/>
          <w:sz w:val="24"/>
          <w:szCs w:val="24"/>
          <w:u w:val="single"/>
          <w:lang w:eastAsia="en-GB"/>
        </w:rPr>
        <w:t>(</w:t>
      </w:r>
      <w:r w:rsidR="00C00204">
        <w:rPr>
          <w:rFonts w:ascii="Trebuchet MS" w:eastAsia="Times New Roman" w:hAnsi="Trebuchet MS" w:cs="Arial"/>
          <w:b/>
          <w:sz w:val="24"/>
          <w:szCs w:val="24"/>
          <w:u w:val="single"/>
          <w:lang w:eastAsia="en-GB"/>
        </w:rPr>
        <w:t>2</w:t>
      </w:r>
      <w:r w:rsidR="00C030CE">
        <w:rPr>
          <w:rFonts w:ascii="Trebuchet MS" w:eastAsia="Times New Roman" w:hAnsi="Trebuchet MS" w:cs="Arial"/>
          <w:b/>
          <w:sz w:val="24"/>
          <w:szCs w:val="24"/>
          <w:u w:val="single"/>
          <w:lang w:eastAsia="en-GB"/>
        </w:rPr>
        <w:t>181</w:t>
      </w:r>
      <w:r w:rsidRPr="001B6A07">
        <w:rPr>
          <w:rFonts w:ascii="Trebuchet MS" w:eastAsia="Times New Roman" w:hAnsi="Trebuchet MS" w:cs="Arial"/>
          <w:b/>
          <w:sz w:val="24"/>
          <w:szCs w:val="24"/>
          <w:u w:val="single"/>
          <w:lang w:eastAsia="en-GB"/>
        </w:rPr>
        <w:t xml:space="preserve"> Words)</w:t>
      </w:r>
    </w:p>
    <w:p w:rsidR="001B6A07" w:rsidRDefault="001B6A07" w:rsidP="001B6A07">
      <w:pPr>
        <w:spacing w:after="0" w:line="480" w:lineRule="auto"/>
        <w:rPr>
          <w:rFonts w:ascii="Trebuchet MS" w:eastAsia="Times New Roman" w:hAnsi="Trebuchet MS" w:cs="Arial"/>
          <w:sz w:val="24"/>
          <w:szCs w:val="24"/>
          <w:lang w:eastAsia="en-GB"/>
        </w:rPr>
      </w:pPr>
    </w:p>
    <w:p w:rsidR="00D90A99" w:rsidRDefault="00D90A99"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p>
    <w:p w:rsidR="00C030CE" w:rsidRDefault="00C030CE" w:rsidP="001B6A07">
      <w:pPr>
        <w:spacing w:after="0" w:line="480" w:lineRule="auto"/>
        <w:rPr>
          <w:rFonts w:ascii="Trebuchet MS" w:eastAsia="Times New Roman" w:hAnsi="Trebuchet MS" w:cs="Arial"/>
          <w:sz w:val="24"/>
          <w:szCs w:val="24"/>
          <w:lang w:eastAsia="en-GB"/>
        </w:rPr>
      </w:pPr>
      <w:bookmarkStart w:id="0" w:name="_GoBack"/>
      <w:bookmarkEnd w:id="0"/>
    </w:p>
    <w:p w:rsidR="00D90A99" w:rsidRDefault="00D90A99" w:rsidP="001B6A07">
      <w:pPr>
        <w:spacing w:after="0" w:line="480" w:lineRule="auto"/>
        <w:rPr>
          <w:rFonts w:ascii="Trebuchet MS" w:eastAsia="Times New Roman" w:hAnsi="Trebuchet MS" w:cs="Arial"/>
          <w:sz w:val="24"/>
          <w:szCs w:val="24"/>
          <w:lang w:eastAsia="en-GB"/>
        </w:rPr>
      </w:pPr>
    </w:p>
    <w:p w:rsidR="00D90A99" w:rsidRDefault="00D90A99" w:rsidP="001B6A07">
      <w:pPr>
        <w:spacing w:after="0" w:line="480" w:lineRule="auto"/>
        <w:rPr>
          <w:rFonts w:ascii="Trebuchet MS" w:eastAsia="Times New Roman" w:hAnsi="Trebuchet MS" w:cs="Arial"/>
          <w:sz w:val="24"/>
          <w:szCs w:val="24"/>
          <w:lang w:eastAsia="en-GB"/>
        </w:rPr>
      </w:pPr>
    </w:p>
    <w:p w:rsidR="00C5512D" w:rsidRPr="00D239D6" w:rsidRDefault="00C5512D" w:rsidP="00173566">
      <w:pPr>
        <w:spacing w:after="0" w:line="480" w:lineRule="auto"/>
        <w:jc w:val="both"/>
      </w:pPr>
      <w:r w:rsidRPr="00C5512D">
        <w:rPr>
          <w:rFonts w:ascii="Trebuchet MS" w:eastAsia="Times New Roman" w:hAnsi="Trebuchet MS" w:cs="Arial"/>
          <w:b/>
          <w:sz w:val="24"/>
          <w:szCs w:val="24"/>
          <w:u w:val="single"/>
          <w:lang w:eastAsia="en-GB"/>
        </w:rPr>
        <w:lastRenderedPageBreak/>
        <w:t>Bibliograp</w:t>
      </w:r>
      <w:r>
        <w:rPr>
          <w:rFonts w:ascii="Trebuchet MS" w:eastAsia="Times New Roman" w:hAnsi="Trebuchet MS" w:cs="Arial"/>
          <w:b/>
          <w:sz w:val="24"/>
          <w:szCs w:val="24"/>
          <w:u w:val="single"/>
          <w:lang w:eastAsia="en-GB"/>
        </w:rPr>
        <w:t>hy</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Anthony, A. (2015). Can Policing Disorder Reduce Crime?. Available: https://journals.sagepub.com/doi/abs/10.1177/0022427815576576.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Brunger, M. (2016). Introduction to Policing. Available: file://swp.police.int/data/home/swp6714/Downloads/10.4324_9781315795294_previewpdf.pdf.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Cole, D (1996). A Writer's Guide to Police Organization and Crime Investigation and Detection. England: Robert Hale Ltd. ..</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College of Policing. (2013). Engagement and communication. Available: https://www.app.college.police.uk/app-content/engagement-and-communication/engaging-with-communities/.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College of Policing. (2017). Modernising NeighbourhoodPolicing. Available:https://www.npcc.police.uk/2018%20FOI/NPCC%20Misc/032%2018%20January%202018%20CCC%20Papers%20Part%203.pdf.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College of Policing. (2022). Investigation Introduction Volume Crime. Available: https://www.app.college.police.uk/app-content/investigations/introduction/. Last accessed 22nd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Colover, S. (2018). Neighbourhood policing: impact and implementation. Available:https://whatworks.college.police.uk/research/documents/NP_REA_summary.pdf.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Cunningham, K. (.). Community Policing. Available: https://www.crimeandjustice.org.uk/sites/crimeandjustice.org.uk/files/09627259408552680.pdf.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Fielding, N. (2005). Concepts and Theory in Community Policing. Available: https://onlinelibrary.wiley.com/doi/abs/10.1111/j.1468-2311.2005.00391.x.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First Line Practitioners. (2014). Community Policing in the UK. Available: https://www.firstlinepractitioners.com/cs/practice/community-policing-in-the-uk.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Gill, C. (2014). Community-oriented policing to reduce crime, disorder and fear and increase satisfaction and legitimacy among citizens: a systematic review. Available: https://link.springer.com/article/10.1007/s11292-014-9210-y.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Home Office. (2004). Building Communities, Beating Crime. Available: https://assets.publishing.service.gov.uk/government/uploads/system/uploads/attachment_data/file/251058/6360.pdf.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Home Office. (2005). The use of forensic science in volume crime investigations: a review of the research literature. Available: https://www.gov.uk/government/publications/the-use-of-forensic-science-in-volume-crime-investigations. Last accessed 22nd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Myhill, A. (2012). Community engagement in policing . Available: https://whatworks.college.police.uk/Research/Documents/Community_engagement_lessons.pdf.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National Police Chiefs' Council. (.). Policing Vision 2025. Available: https://www.npcc.police.uk/documents/Policing%20Vision.pdf. Last accessed 22nd February 2022.</w:t>
      </w: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National Policing Improvement Agency. (2009). The Management of Priority and Volume Crime. Available: https://library.college.police.uk/docs/acpo/VCMM-191109.pdf. Last accessed 22nd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Osidipe, T. (2018). The Future of Neighbourhood Policing. Available: https://books.google.co.uk/books?hl=en&amp;lr=&amp;id=DMEsEAAAQBAJ&amp;oi=fnd&amp;pg=PA83&amp;dq=%E2%80%A2%09Higgins+A+2018+The+future+of+neighbourhood+policing++The+police+foundation&amp;ots=x0kWBgbfK7&amp;sig=_iiNip0l-rIz7BxqV.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Police and Crime Committee. (2018). Volume Crime. Available: https://www.london.gov.uk/about-us/londonassembly/meetings/documents/s73117/Appendix%202%20-%20Volume%20Crime%20scoping%20note.pdf. Last accessed 22nd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Robinson, A. (2009). Factors influencing police performance in the investigation of volume crimes in England and Wales. Available: https://static1.squarespace.com/static/5d809efd96f5c906aaf61f3d/t/601c0e625cf5f9613b9212a5/1612451426538/Factors+influencing+police+performance+in+the+investigation+of+volume+crimes+in+England+and+Wal. Last accessed 22nd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Rogers, C. (2017). Working Together for Safer Communities Project. Available: https://gov.wales/sites/default/files/publications/2019-03/community-safety-review-appendix-vii_0.pdf.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Shine, J. (2018). 'Volume crimes now being hit' as police cuts result in closure of theft investigations. Available: https://www.policeprofessional.com/news/volume-crimes-now-being-hit-as-police-cuts-result-in-closure-of-theft-investigations/. Last accessed 22nd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lastRenderedPageBreak/>
        <w:t>Somerville, P. (2009). Understanding community policing. Available: https://www.emerald.com/insight/content/doi/10.1108/13639510910958172/full/html. Last accessed 21st February 2022.</w:t>
      </w:r>
    </w:p>
    <w:p w:rsidR="00C5512D" w:rsidRPr="00A33D82" w:rsidRDefault="00C5512D" w:rsidP="00173566">
      <w:pPr>
        <w:pStyle w:val="NoSpacing"/>
        <w:jc w:val="both"/>
        <w:rPr>
          <w:rFonts w:ascii="Arial" w:hAnsi="Arial" w:cs="Arial"/>
          <w:sz w:val="24"/>
          <w:szCs w:val="24"/>
        </w:rPr>
      </w:pPr>
    </w:p>
    <w:p w:rsidR="00C5512D" w:rsidRPr="00A33D82" w:rsidRDefault="00C5512D" w:rsidP="00173566">
      <w:pPr>
        <w:pStyle w:val="NoSpacing"/>
        <w:jc w:val="both"/>
        <w:rPr>
          <w:rFonts w:ascii="Arial" w:hAnsi="Arial" w:cs="Arial"/>
          <w:sz w:val="24"/>
          <w:szCs w:val="24"/>
        </w:rPr>
      </w:pPr>
      <w:r w:rsidRPr="00A33D82">
        <w:rPr>
          <w:rFonts w:ascii="Arial" w:hAnsi="Arial" w:cs="Arial"/>
          <w:sz w:val="24"/>
          <w:szCs w:val="24"/>
        </w:rPr>
        <w:t>Taylor, B. (2011). A randomized controlled trial of different policing strategies at hot spots of violent crime. Available: https://www.researchgate.net/publication/226924049_A_randomized_controlled_trial_of_different_policing_strategies_at_hot_spots_of_violent_crime. Last accessed 21st February 2022.</w:t>
      </w:r>
    </w:p>
    <w:p w:rsidR="00C5512D" w:rsidRDefault="00C5512D" w:rsidP="001B6A07">
      <w:pPr>
        <w:spacing w:after="0" w:line="480" w:lineRule="auto"/>
        <w:rPr>
          <w:rFonts w:ascii="Trebuchet MS" w:eastAsia="Times New Roman" w:hAnsi="Trebuchet MS" w:cs="Arial"/>
          <w:sz w:val="24"/>
          <w:szCs w:val="24"/>
          <w:lang w:eastAsia="en-GB"/>
        </w:rPr>
      </w:pPr>
    </w:p>
    <w:p w:rsidR="00C5512D" w:rsidRDefault="00C5512D"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173566" w:rsidRDefault="00173566" w:rsidP="001B6A07">
      <w:pPr>
        <w:spacing w:after="0" w:line="480" w:lineRule="auto"/>
        <w:rPr>
          <w:rFonts w:ascii="Trebuchet MS" w:eastAsia="Times New Roman" w:hAnsi="Trebuchet MS" w:cs="Arial"/>
          <w:sz w:val="24"/>
          <w:szCs w:val="24"/>
          <w:lang w:eastAsia="en-GB"/>
        </w:rPr>
      </w:pPr>
    </w:p>
    <w:p w:rsidR="00C5512D" w:rsidRDefault="00C5512D" w:rsidP="001B6A07">
      <w:pPr>
        <w:spacing w:after="0" w:line="480" w:lineRule="auto"/>
        <w:rPr>
          <w:rFonts w:ascii="Trebuchet MS" w:eastAsia="Times New Roman" w:hAnsi="Trebuchet MS"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B6A07" w:rsidRPr="00876921" w:rsidTr="00D90A99">
        <w:trPr>
          <w:trHeight w:val="671"/>
          <w:jc w:val="center"/>
        </w:trPr>
        <w:tc>
          <w:tcPr>
            <w:tcW w:w="9016" w:type="dxa"/>
            <w:shd w:val="clear" w:color="auto" w:fill="BFBFBF"/>
          </w:tcPr>
          <w:p w:rsidR="001B6A07" w:rsidRPr="00876921" w:rsidRDefault="001B6A07" w:rsidP="008642CB">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lastRenderedPageBreak/>
              <w:br w:type="page"/>
            </w:r>
            <w:r w:rsidRPr="00876921">
              <w:rPr>
                <w:rFonts w:ascii="Arial" w:eastAsia="Times New Roman" w:hAnsi="Arial" w:cs="Arial"/>
                <w:b/>
                <w:caps/>
                <w:sz w:val="40"/>
                <w:szCs w:val="20"/>
                <w:lang w:eastAsia="en-GB"/>
              </w:rPr>
              <w:t>Student FEEDBACK FORM</w:t>
            </w:r>
          </w:p>
        </w:tc>
      </w:tr>
    </w:tbl>
    <w:p w:rsidR="00D90A99" w:rsidRDefault="00D90A99" w:rsidP="00D90A99">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This</w:t>
      </w:r>
      <w:r>
        <w:rPr>
          <w:rFonts w:ascii="Arial" w:eastAsia="Times New Roman" w:hAnsi="Arial" w:cs="Arial"/>
          <w:sz w:val="20"/>
          <w:szCs w:val="20"/>
        </w:rPr>
        <w:t xml:space="preserve"> </w:t>
      </w:r>
      <w:r w:rsidRPr="00876921">
        <w:rPr>
          <w:rFonts w:ascii="Arial" w:eastAsia="Times New Roman" w:hAnsi="Arial" w:cs="Arial"/>
          <w:sz w:val="20"/>
          <w:szCs w:val="20"/>
        </w:rPr>
        <w:t xml:space="preserve">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w:t>
      </w:r>
      <w:r>
        <w:rPr>
          <w:rFonts w:ascii="Arial" w:eastAsia="Times New Roman" w:hAnsi="Arial" w:cs="Arial"/>
          <w:sz w:val="20"/>
          <w:szCs w:val="20"/>
        </w:rPr>
        <w:t>t from development/improvement.</w:t>
      </w:r>
    </w:p>
    <w:tbl>
      <w:tblPr>
        <w:tblpPr w:leftFromText="180" w:rightFromText="180" w:vertAnchor="text" w:horzAnchor="margin" w:tblpY="181"/>
        <w:tblW w:w="4707" w:type="pct"/>
        <w:tblLayout w:type="fixed"/>
        <w:tblLook w:val="04A0" w:firstRow="1" w:lastRow="0" w:firstColumn="1" w:lastColumn="0" w:noHBand="0" w:noVBand="1"/>
      </w:tblPr>
      <w:tblGrid>
        <w:gridCol w:w="7162"/>
        <w:gridCol w:w="664"/>
        <w:gridCol w:w="662"/>
      </w:tblGrid>
      <w:tr w:rsidR="00D90A99" w:rsidRPr="00876921" w:rsidTr="00D90A99">
        <w:trPr>
          <w:trHeight w:val="1002"/>
        </w:trPr>
        <w:tc>
          <w:tcPr>
            <w:tcW w:w="4219" w:type="pct"/>
            <w:tcBorders>
              <w:top w:val="single" w:sz="4" w:space="0" w:color="auto"/>
              <w:left w:val="single" w:sz="4" w:space="0" w:color="auto"/>
              <w:right w:val="single" w:sz="4" w:space="0" w:color="auto"/>
            </w:tcBorders>
            <w:shd w:val="clear" w:color="auto" w:fill="BFBFBF"/>
            <w:vAlign w:val="center"/>
          </w:tcPr>
          <w:p w:rsidR="00D90A99" w:rsidRPr="00876921" w:rsidRDefault="00D90A99" w:rsidP="00D90A99">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391" w:type="pct"/>
            <w:tcBorders>
              <w:top w:val="single" w:sz="4" w:space="0" w:color="auto"/>
              <w:left w:val="single" w:sz="4" w:space="0" w:color="auto"/>
              <w:right w:val="single" w:sz="4" w:space="0" w:color="auto"/>
            </w:tcBorders>
            <w:shd w:val="clear" w:color="auto" w:fill="BFBFBF"/>
            <w:textDirection w:val="btLr"/>
          </w:tcPr>
          <w:p w:rsidR="00D90A99" w:rsidRPr="00876921" w:rsidRDefault="00D90A99" w:rsidP="00D90A99">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39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90A99" w:rsidRPr="00876921" w:rsidRDefault="00D90A99" w:rsidP="00D90A9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rsidR="00D90A99" w:rsidRPr="00876921" w:rsidRDefault="00D90A99" w:rsidP="00D90A9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D90A99" w:rsidRPr="00876921" w:rsidTr="00D90A99">
        <w:trPr>
          <w:trHeight w:val="450"/>
        </w:trPr>
        <w:tc>
          <w:tcPr>
            <w:tcW w:w="4219"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rsidR="00D90A99" w:rsidRPr="00876921" w:rsidRDefault="00D90A99" w:rsidP="00D90A99">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391"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390" w:type="pct"/>
            <w:tcBorders>
              <w:top w:val="single" w:sz="4" w:space="0" w:color="auto"/>
              <w:left w:val="single" w:sz="4" w:space="0" w:color="auto"/>
              <w:bottom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vMerge w:val="restart"/>
            <w:tcBorders>
              <w:top w:val="single" w:sz="4" w:space="0" w:color="auto"/>
              <w:left w:val="single" w:sz="4" w:space="0" w:color="auto"/>
              <w:right w:val="single" w:sz="4" w:space="0" w:color="auto"/>
            </w:tcBorders>
          </w:tcPr>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val="restart"/>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1"/>
        </w:trPr>
        <w:tc>
          <w:tcPr>
            <w:tcW w:w="4219" w:type="pct"/>
            <w:vMerge/>
            <w:tcBorders>
              <w:left w:val="single" w:sz="4" w:space="0" w:color="auto"/>
              <w:bottom w:val="single" w:sz="4" w:space="0" w:color="auto"/>
              <w:right w:val="single" w:sz="4" w:space="0" w:color="auto"/>
            </w:tcBorders>
          </w:tcPr>
          <w:p w:rsidR="00D90A99" w:rsidRPr="00876921" w:rsidRDefault="00D90A99" w:rsidP="00D90A99">
            <w:pPr>
              <w:spacing w:after="0" w:line="240" w:lineRule="auto"/>
              <w:rPr>
                <w:rFonts w:ascii="Arial" w:eastAsia="Times New Roman" w:hAnsi="Arial" w:cs="Arial"/>
                <w:b/>
                <w:sz w:val="16"/>
                <w:szCs w:val="16"/>
                <w:lang w:eastAsia="en-GB"/>
              </w:rPr>
            </w:pPr>
          </w:p>
        </w:tc>
        <w:tc>
          <w:tcPr>
            <w:tcW w:w="391" w:type="pct"/>
            <w:tcBorders>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390" w:type="pct"/>
            <w:tcBorders>
              <w:top w:val="single" w:sz="4" w:space="0" w:color="auto"/>
              <w:left w:val="single" w:sz="4" w:space="0" w:color="auto"/>
              <w:bottom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vMerge w:val="restart"/>
            <w:tcBorders>
              <w:top w:val="single" w:sz="4" w:space="0" w:color="auto"/>
              <w:left w:val="single" w:sz="4" w:space="0" w:color="auto"/>
              <w:right w:val="single" w:sz="4" w:space="0" w:color="auto"/>
            </w:tcBorders>
          </w:tcPr>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val="restart"/>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1"/>
        </w:trPr>
        <w:tc>
          <w:tcPr>
            <w:tcW w:w="4219" w:type="pct"/>
            <w:vMerge/>
            <w:tcBorders>
              <w:left w:val="single" w:sz="4" w:space="0" w:color="auto"/>
              <w:bottom w:val="single" w:sz="4" w:space="0" w:color="auto"/>
              <w:right w:val="single" w:sz="4" w:space="0" w:color="auto"/>
            </w:tcBorders>
          </w:tcPr>
          <w:p w:rsidR="00D90A99" w:rsidRPr="00876921" w:rsidRDefault="00D90A99" w:rsidP="00D90A99">
            <w:pPr>
              <w:spacing w:after="0" w:line="240" w:lineRule="auto"/>
              <w:rPr>
                <w:rFonts w:ascii="Arial" w:eastAsia="Times New Roman" w:hAnsi="Arial" w:cs="Arial"/>
                <w:b/>
                <w:sz w:val="16"/>
                <w:szCs w:val="16"/>
                <w:lang w:eastAsia="en-GB"/>
              </w:rPr>
            </w:pPr>
          </w:p>
        </w:tc>
        <w:tc>
          <w:tcPr>
            <w:tcW w:w="391" w:type="pct"/>
            <w:tcBorders>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390" w:type="pct"/>
            <w:tcBorders>
              <w:top w:val="single" w:sz="4" w:space="0" w:color="auto"/>
              <w:left w:val="single" w:sz="4" w:space="0" w:color="auto"/>
              <w:bottom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vMerge w:val="restart"/>
            <w:tcBorders>
              <w:top w:val="single" w:sz="4" w:space="0" w:color="auto"/>
              <w:left w:val="single" w:sz="4" w:space="0" w:color="auto"/>
              <w:right w:val="single" w:sz="4" w:space="0" w:color="auto"/>
            </w:tcBorders>
          </w:tcPr>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val="restart"/>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1"/>
        </w:trPr>
        <w:tc>
          <w:tcPr>
            <w:tcW w:w="4219" w:type="pct"/>
            <w:vMerge/>
            <w:tcBorders>
              <w:left w:val="single" w:sz="4" w:space="0" w:color="auto"/>
              <w:bottom w:val="single" w:sz="4" w:space="0" w:color="auto"/>
              <w:right w:val="single" w:sz="4" w:space="0" w:color="auto"/>
            </w:tcBorders>
          </w:tcPr>
          <w:p w:rsidR="00D90A99" w:rsidRPr="00876921" w:rsidRDefault="00D90A99" w:rsidP="00D90A99">
            <w:pPr>
              <w:spacing w:after="0" w:line="240" w:lineRule="auto"/>
              <w:rPr>
                <w:rFonts w:ascii="Arial" w:eastAsia="Times New Roman" w:hAnsi="Arial" w:cs="Arial"/>
                <w:b/>
                <w:sz w:val="16"/>
                <w:szCs w:val="16"/>
                <w:lang w:eastAsia="en-GB"/>
              </w:rPr>
            </w:pPr>
          </w:p>
        </w:tc>
        <w:tc>
          <w:tcPr>
            <w:tcW w:w="391" w:type="pct"/>
            <w:tcBorders>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390" w:type="pct"/>
            <w:tcBorders>
              <w:top w:val="single" w:sz="4" w:space="0" w:color="auto"/>
              <w:left w:val="single" w:sz="4" w:space="0" w:color="auto"/>
              <w:bottom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1"/>
        </w:trPr>
        <w:tc>
          <w:tcPr>
            <w:tcW w:w="4219" w:type="pct"/>
            <w:vMerge w:val="restart"/>
            <w:tcBorders>
              <w:top w:val="single" w:sz="4" w:space="0" w:color="auto"/>
              <w:left w:val="single" w:sz="4" w:space="0" w:color="auto"/>
              <w:right w:val="single" w:sz="4" w:space="0" w:color="auto"/>
            </w:tcBorders>
          </w:tcPr>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val="restart"/>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vMerge/>
            <w:tcBorders>
              <w:left w:val="single" w:sz="4" w:space="0" w:color="auto"/>
              <w:bottom w:val="single" w:sz="4" w:space="0" w:color="auto"/>
              <w:right w:val="single" w:sz="4" w:space="0" w:color="auto"/>
            </w:tcBorders>
          </w:tcPr>
          <w:p w:rsidR="00D90A99" w:rsidRPr="00876921" w:rsidRDefault="00D90A99" w:rsidP="00D90A99">
            <w:pPr>
              <w:spacing w:after="0" w:line="240" w:lineRule="auto"/>
              <w:rPr>
                <w:rFonts w:ascii="Arial" w:eastAsia="Times New Roman" w:hAnsi="Arial" w:cs="Arial"/>
                <w:b/>
                <w:sz w:val="16"/>
                <w:szCs w:val="16"/>
                <w:lang w:eastAsia="en-GB"/>
              </w:rPr>
            </w:pPr>
          </w:p>
        </w:tc>
        <w:tc>
          <w:tcPr>
            <w:tcW w:w="391" w:type="pct"/>
            <w:tcBorders>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390" w:type="pct"/>
            <w:tcBorders>
              <w:top w:val="single" w:sz="4" w:space="0" w:color="auto"/>
              <w:left w:val="single" w:sz="4" w:space="0" w:color="auto"/>
              <w:bottom w:val="single" w:sz="4" w:space="0" w:color="auto"/>
              <w:right w:val="single" w:sz="4" w:space="0" w:color="auto"/>
            </w:tcBorders>
            <w:shd w:val="clear" w:color="auto" w:fill="D9D9D9"/>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1"/>
        </w:trPr>
        <w:tc>
          <w:tcPr>
            <w:tcW w:w="4219" w:type="pct"/>
            <w:vMerge w:val="restart"/>
            <w:tcBorders>
              <w:top w:val="single" w:sz="4" w:space="0" w:color="auto"/>
              <w:left w:val="single" w:sz="4" w:space="0" w:color="auto"/>
              <w:right w:val="single" w:sz="4" w:space="0" w:color="auto"/>
            </w:tcBorders>
          </w:tcPr>
          <w:p w:rsidR="00D90A99" w:rsidRPr="00876921" w:rsidRDefault="00D90A99" w:rsidP="00D90A99">
            <w:pPr>
              <w:spacing w:after="120" w:line="240" w:lineRule="auto"/>
              <w:rPr>
                <w:rFonts w:ascii="Arial" w:eastAsia="Times New Roman" w:hAnsi="Arial" w:cs="Arial"/>
                <w:sz w:val="14"/>
                <w:szCs w:val="14"/>
                <w:lang w:eastAsia="en-GB"/>
              </w:rPr>
            </w:pPr>
          </w:p>
          <w:p w:rsidR="00D90A99"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p w:rsidR="00D90A99" w:rsidRPr="00876921" w:rsidRDefault="00D90A99" w:rsidP="00D90A99">
            <w:pPr>
              <w:spacing w:after="120" w:line="240" w:lineRule="auto"/>
              <w:rPr>
                <w:rFonts w:ascii="Arial" w:eastAsia="Times New Roman" w:hAnsi="Arial" w:cs="Arial"/>
                <w:sz w:val="14"/>
                <w:szCs w:val="14"/>
                <w:lang w:eastAsia="en-GB"/>
              </w:rPr>
            </w:pPr>
          </w:p>
        </w:tc>
        <w:tc>
          <w:tcPr>
            <w:tcW w:w="391" w:type="pct"/>
            <w:tcBorders>
              <w:top w:val="single" w:sz="4" w:space="0" w:color="auto"/>
              <w:left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val="restart"/>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r w:rsidR="00D90A99" w:rsidRPr="00876921" w:rsidTr="00D90A99">
        <w:trPr>
          <w:trHeight w:val="450"/>
        </w:trPr>
        <w:tc>
          <w:tcPr>
            <w:tcW w:w="4219" w:type="pct"/>
            <w:vMerge/>
            <w:tcBorders>
              <w:left w:val="single" w:sz="4" w:space="0" w:color="auto"/>
              <w:bottom w:val="single" w:sz="4" w:space="0" w:color="auto"/>
              <w:right w:val="single" w:sz="4" w:space="0" w:color="auto"/>
            </w:tcBorders>
          </w:tcPr>
          <w:p w:rsidR="00D90A99" w:rsidRPr="00876921" w:rsidRDefault="00D90A99" w:rsidP="00D90A99">
            <w:pPr>
              <w:spacing w:after="0" w:line="240" w:lineRule="auto"/>
              <w:rPr>
                <w:rFonts w:ascii="Arial" w:eastAsia="Times New Roman" w:hAnsi="Arial" w:cs="Arial"/>
                <w:b/>
                <w:sz w:val="16"/>
                <w:szCs w:val="16"/>
                <w:lang w:eastAsia="en-GB"/>
              </w:rPr>
            </w:pPr>
          </w:p>
        </w:tc>
        <w:tc>
          <w:tcPr>
            <w:tcW w:w="391" w:type="pct"/>
            <w:tcBorders>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c>
          <w:tcPr>
            <w:tcW w:w="390" w:type="pct"/>
            <w:vMerge/>
            <w:tcBorders>
              <w:top w:val="single" w:sz="4" w:space="0" w:color="auto"/>
              <w:left w:val="single" w:sz="4" w:space="0" w:color="auto"/>
              <w:bottom w:val="single" w:sz="4" w:space="0" w:color="auto"/>
              <w:right w:val="single" w:sz="4" w:space="0" w:color="auto"/>
            </w:tcBorders>
          </w:tcPr>
          <w:p w:rsidR="00D90A99" w:rsidRPr="00876921" w:rsidRDefault="00D90A99" w:rsidP="00D90A99">
            <w:pPr>
              <w:spacing w:after="0" w:line="240" w:lineRule="auto"/>
              <w:jc w:val="center"/>
              <w:rPr>
                <w:rFonts w:ascii="Arial" w:eastAsia="Times New Roman" w:hAnsi="Arial" w:cs="Arial"/>
                <w:sz w:val="32"/>
                <w:szCs w:val="20"/>
                <w:lang w:eastAsia="en-GB"/>
              </w:rPr>
            </w:pPr>
          </w:p>
        </w:tc>
      </w:tr>
    </w:tbl>
    <w:p w:rsidR="001B6A07" w:rsidRDefault="001B6A07" w:rsidP="001B6A07">
      <w:pPr>
        <w:spacing w:after="0" w:line="240" w:lineRule="auto"/>
        <w:rPr>
          <w:rFonts w:ascii="Arial" w:eastAsia="Times New Roman" w:hAnsi="Arial" w:cs="Arial"/>
          <w:sz w:val="20"/>
          <w:szCs w:val="20"/>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90A99" w:rsidRPr="00876921" w:rsidTr="008642CB">
        <w:trPr>
          <w:cantSplit/>
        </w:trPr>
        <w:tc>
          <w:tcPr>
            <w:tcW w:w="6062" w:type="dxa"/>
            <w:vMerge w:val="restart"/>
            <w:shd w:val="pct15" w:color="auto" w:fill="auto"/>
            <w:vAlign w:val="center"/>
          </w:tcPr>
          <w:p w:rsidR="00D90A99" w:rsidRPr="00876921" w:rsidRDefault="00D90A99" w:rsidP="008642CB">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90A99" w:rsidRPr="00876921" w:rsidRDefault="00D90A99" w:rsidP="008642CB">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rsidR="00D90A99" w:rsidRPr="00876921" w:rsidRDefault="00D90A99" w:rsidP="008642CB">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D90A99" w:rsidRPr="00876921" w:rsidTr="008642CB">
        <w:trPr>
          <w:cantSplit/>
        </w:trPr>
        <w:tc>
          <w:tcPr>
            <w:tcW w:w="6062" w:type="dxa"/>
            <w:vMerge/>
            <w:vAlign w:val="bottom"/>
          </w:tcPr>
          <w:p w:rsidR="00D90A99" w:rsidRPr="00876921" w:rsidRDefault="00D90A99" w:rsidP="008642CB">
            <w:pPr>
              <w:spacing w:after="0" w:line="240" w:lineRule="auto"/>
              <w:rPr>
                <w:rFonts w:ascii="Arial" w:eastAsia="Times New Roman" w:hAnsi="Arial" w:cs="Arial"/>
                <w:sz w:val="20"/>
                <w:szCs w:val="20"/>
                <w:lang w:eastAsia="en-GB"/>
              </w:rPr>
            </w:pPr>
          </w:p>
        </w:tc>
        <w:tc>
          <w:tcPr>
            <w:tcW w:w="2903" w:type="dxa"/>
            <w:vAlign w:val="bottom"/>
          </w:tcPr>
          <w:p w:rsidR="00D90A99" w:rsidRPr="00876921" w:rsidRDefault="00D90A99" w:rsidP="008642CB">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rsidR="00D90A99" w:rsidRPr="00876921" w:rsidRDefault="00D90A99" w:rsidP="008642CB">
            <w:pPr>
              <w:spacing w:after="0" w:line="240" w:lineRule="auto"/>
              <w:jc w:val="center"/>
              <w:rPr>
                <w:rFonts w:ascii="Arial" w:eastAsia="Times New Roman" w:hAnsi="Arial" w:cs="Arial"/>
                <w:sz w:val="12"/>
                <w:szCs w:val="12"/>
                <w:lang w:eastAsia="en-GB"/>
              </w:rPr>
            </w:pPr>
          </w:p>
        </w:tc>
        <w:tc>
          <w:tcPr>
            <w:tcW w:w="1060" w:type="dxa"/>
            <w:vMerge/>
            <w:vAlign w:val="bottom"/>
          </w:tcPr>
          <w:p w:rsidR="00D90A99" w:rsidRPr="00876921" w:rsidRDefault="00D90A99" w:rsidP="008642CB">
            <w:pPr>
              <w:spacing w:after="0" w:line="240" w:lineRule="auto"/>
              <w:ind w:leftChars="71" w:left="156"/>
              <w:rPr>
                <w:rFonts w:ascii="Arial" w:eastAsia="Times New Roman" w:hAnsi="Arial" w:cs="Arial"/>
                <w:sz w:val="20"/>
                <w:szCs w:val="20"/>
                <w:lang w:eastAsia="en-GB"/>
              </w:rPr>
            </w:pPr>
          </w:p>
        </w:tc>
      </w:tr>
      <w:tr w:rsidR="00D90A99" w:rsidRPr="00876921" w:rsidTr="008642CB">
        <w:trPr>
          <w:cantSplit/>
        </w:trPr>
        <w:tc>
          <w:tcPr>
            <w:tcW w:w="6062" w:type="dxa"/>
            <w:vMerge/>
            <w:vAlign w:val="bottom"/>
          </w:tcPr>
          <w:p w:rsidR="00D90A99" w:rsidRPr="00876921" w:rsidRDefault="00D90A99" w:rsidP="008642CB">
            <w:pPr>
              <w:spacing w:after="0" w:line="240" w:lineRule="auto"/>
              <w:rPr>
                <w:rFonts w:ascii="Arial" w:eastAsia="Times New Roman" w:hAnsi="Arial" w:cs="Arial"/>
                <w:sz w:val="20"/>
                <w:szCs w:val="20"/>
                <w:lang w:eastAsia="en-GB"/>
              </w:rPr>
            </w:pPr>
          </w:p>
        </w:tc>
        <w:tc>
          <w:tcPr>
            <w:tcW w:w="2903" w:type="dxa"/>
            <w:vAlign w:val="bottom"/>
          </w:tcPr>
          <w:p w:rsidR="00D90A99" w:rsidRPr="00876921" w:rsidRDefault="00D90A99" w:rsidP="008642CB">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rsidR="00D90A99" w:rsidRPr="00876921" w:rsidRDefault="00D90A99" w:rsidP="008642CB">
            <w:pPr>
              <w:spacing w:after="0" w:line="240" w:lineRule="auto"/>
              <w:jc w:val="center"/>
              <w:rPr>
                <w:rFonts w:ascii="Arial" w:eastAsia="Times New Roman" w:hAnsi="Arial" w:cs="Arial"/>
                <w:sz w:val="12"/>
                <w:szCs w:val="12"/>
                <w:lang w:eastAsia="en-GB"/>
              </w:rPr>
            </w:pPr>
          </w:p>
        </w:tc>
        <w:tc>
          <w:tcPr>
            <w:tcW w:w="1060" w:type="dxa"/>
            <w:vMerge/>
            <w:vAlign w:val="bottom"/>
          </w:tcPr>
          <w:p w:rsidR="00D90A99" w:rsidRPr="00876921" w:rsidRDefault="00D90A99" w:rsidP="008642CB">
            <w:pPr>
              <w:spacing w:after="0" w:line="240" w:lineRule="auto"/>
              <w:ind w:firstLineChars="141" w:firstLine="282"/>
              <w:rPr>
                <w:rFonts w:ascii="Arial" w:eastAsia="Times New Roman" w:hAnsi="Arial" w:cs="Arial"/>
                <w:sz w:val="20"/>
                <w:szCs w:val="20"/>
                <w:lang w:eastAsia="en-GB"/>
              </w:rPr>
            </w:pPr>
          </w:p>
        </w:tc>
      </w:tr>
    </w:tbl>
    <w:p w:rsidR="00D90A99" w:rsidRPr="00876921" w:rsidRDefault="00D90A99" w:rsidP="001B6A07">
      <w:pPr>
        <w:spacing w:after="0" w:line="240" w:lineRule="auto"/>
        <w:rPr>
          <w:rFonts w:ascii="Arial" w:eastAsia="Times New Roman" w:hAnsi="Arial" w:cs="Arial"/>
          <w:sz w:val="20"/>
          <w:szCs w:val="20"/>
          <w:lang w:eastAsia="en-GB"/>
        </w:rPr>
      </w:pPr>
    </w:p>
    <w:p w:rsidR="001B6A07" w:rsidRPr="00876921" w:rsidRDefault="001B6A07" w:rsidP="001B6A07">
      <w:pPr>
        <w:spacing w:after="0" w:line="240" w:lineRule="auto"/>
        <w:rPr>
          <w:rFonts w:ascii="Arial" w:eastAsia="Times New Roman" w:hAnsi="Arial" w:cs="Arial"/>
          <w:b/>
          <w:lang w:eastAsia="en-GB"/>
        </w:rPr>
      </w:pPr>
    </w:p>
    <w:p w:rsidR="008642CB" w:rsidRDefault="008642CB"/>
    <w:sectPr w:rsidR="008642CB" w:rsidSect="0057283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EA7" w:rsidRDefault="00015EA7" w:rsidP="0057283E">
      <w:pPr>
        <w:spacing w:after="0" w:line="240" w:lineRule="auto"/>
      </w:pPr>
      <w:r>
        <w:separator/>
      </w:r>
    </w:p>
  </w:endnote>
  <w:endnote w:type="continuationSeparator" w:id="0">
    <w:p w:rsidR="00015EA7" w:rsidRDefault="00015EA7" w:rsidP="00572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A7" w:rsidRDefault="00015EA7" w:rsidP="0057283E">
    <w:pPr>
      <w:pStyle w:val="Footer"/>
      <w:rPr>
        <w:color w:val="000000"/>
        <w:sz w:val="17"/>
      </w:rPr>
    </w:pPr>
    <w:bookmarkStart w:id="5" w:name="TITUS2FooterEvenPages"/>
    <w:r>
      <w:rPr>
        <w:color w:val="000000"/>
        <w:sz w:val="17"/>
      </w:rPr>
      <w:t> </w:t>
    </w:r>
  </w:p>
  <w:p w:rsidR="00015EA7" w:rsidRDefault="00C030CE" w:rsidP="00C030CE">
    <w:pPr>
      <w:pStyle w:val="Footer"/>
      <w:rPr>
        <w:color w:val="000000"/>
        <w:sz w:val="17"/>
      </w:rPr>
    </w:pPr>
    <w:bookmarkStart w:id="6" w:name="TITUS1FooterEvenPages"/>
    <w:bookmarkEnd w:id="5"/>
    <w:r>
      <w:rPr>
        <w:color w:val="000000"/>
        <w:sz w:val="17"/>
      </w:rPr>
      <w:t> </w:t>
    </w:r>
  </w:p>
  <w:bookmarkEnd w:id="6"/>
  <w:p w:rsidR="00015EA7" w:rsidRDefault="00015EA7" w:rsidP="0057283E">
    <w:pPr>
      <w:pStyle w:val="Footer"/>
      <w:rPr>
        <w:color w:val="000000"/>
        <w:sz w:val="17"/>
      </w:rPr>
    </w:pPr>
  </w:p>
  <w:p w:rsidR="00015EA7" w:rsidRDefault="00015EA7" w:rsidP="005728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30CE">
      <w:rPr>
        <w:b/>
        <w:noProof/>
      </w:rPr>
      <w:t>22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30CE">
      <w:rPr>
        <w:b/>
        <w:noProof/>
      </w:rPr>
      <w:t>22</w:t>
    </w:r>
    <w:r>
      <w:rPr>
        <w:b/>
        <w:sz w:val="24"/>
        <w:szCs w:val="24"/>
      </w:rPr>
      <w:fldChar w:fldCharType="end"/>
    </w:r>
  </w:p>
  <w:p w:rsidR="00015EA7" w:rsidRDefault="00015EA7" w:rsidP="0057283E">
    <w:pPr>
      <w:pStyle w:val="Footer"/>
      <w:jc w:val="right"/>
      <w:rPr>
        <w:sz w:val="16"/>
      </w:rPr>
    </w:pPr>
  </w:p>
  <w:p w:rsidR="00015EA7" w:rsidRDefault="00015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A7" w:rsidRDefault="00015EA7" w:rsidP="0057283E">
    <w:pPr>
      <w:pStyle w:val="Footer"/>
      <w:rPr>
        <w:color w:val="000000"/>
        <w:sz w:val="17"/>
      </w:rPr>
    </w:pPr>
    <w:bookmarkStart w:id="7" w:name="TITUS2FooterPrimary"/>
    <w:r>
      <w:rPr>
        <w:color w:val="000000"/>
        <w:sz w:val="17"/>
      </w:rPr>
      <w:t> </w:t>
    </w:r>
  </w:p>
  <w:p w:rsidR="00015EA7" w:rsidRDefault="00C030CE" w:rsidP="00C030CE">
    <w:pPr>
      <w:pStyle w:val="Footer"/>
      <w:rPr>
        <w:color w:val="000000"/>
        <w:sz w:val="17"/>
      </w:rPr>
    </w:pPr>
    <w:bookmarkStart w:id="8" w:name="TITUS1FooterPrimary"/>
    <w:bookmarkEnd w:id="7"/>
    <w:r>
      <w:rPr>
        <w:color w:val="000000"/>
        <w:sz w:val="17"/>
      </w:rPr>
      <w:t> </w:t>
    </w:r>
  </w:p>
  <w:bookmarkEnd w:id="8"/>
  <w:p w:rsidR="00015EA7" w:rsidRDefault="00015EA7" w:rsidP="0057283E">
    <w:pPr>
      <w:pStyle w:val="Footer"/>
      <w:rPr>
        <w:color w:val="000000"/>
        <w:sz w:val="17"/>
      </w:rPr>
    </w:pPr>
  </w:p>
  <w:p w:rsidR="00015EA7" w:rsidRDefault="00015EA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30CE">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30CE">
      <w:rPr>
        <w:b/>
        <w:noProof/>
      </w:rPr>
      <w:t>22</w:t>
    </w:r>
    <w:r>
      <w:rPr>
        <w:b/>
        <w:sz w:val="24"/>
        <w:szCs w:val="24"/>
      </w:rPr>
      <w:fldChar w:fldCharType="end"/>
    </w:r>
  </w:p>
  <w:p w:rsidR="00015EA7" w:rsidRDefault="00015EA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A7" w:rsidRDefault="00015EA7" w:rsidP="0057283E">
    <w:pPr>
      <w:pStyle w:val="Footer"/>
      <w:rPr>
        <w:color w:val="000000"/>
        <w:sz w:val="17"/>
      </w:rPr>
    </w:pPr>
    <w:bookmarkStart w:id="11" w:name="TITUS2FooterFirstPage"/>
    <w:r>
      <w:rPr>
        <w:color w:val="000000"/>
        <w:sz w:val="17"/>
      </w:rPr>
      <w:t> </w:t>
    </w:r>
  </w:p>
  <w:p w:rsidR="00015EA7" w:rsidRDefault="00C030CE" w:rsidP="00C030CE">
    <w:pPr>
      <w:pStyle w:val="Footer"/>
      <w:rPr>
        <w:color w:val="000000"/>
        <w:sz w:val="17"/>
      </w:rPr>
    </w:pPr>
    <w:bookmarkStart w:id="12" w:name="TITUS1FooterFirstPage"/>
    <w:bookmarkEnd w:id="11"/>
    <w:r>
      <w:rPr>
        <w:color w:val="000000"/>
        <w:sz w:val="17"/>
      </w:rPr>
      <w:t> </w:t>
    </w:r>
  </w:p>
  <w:bookmarkEnd w:id="12"/>
  <w:p w:rsidR="00015EA7" w:rsidRDefault="00015EA7" w:rsidP="0057283E">
    <w:pPr>
      <w:pStyle w:val="Footer"/>
      <w:rPr>
        <w:color w:val="000000"/>
        <w:sz w:val="17"/>
      </w:rPr>
    </w:pPr>
  </w:p>
  <w:p w:rsidR="00015EA7" w:rsidRDefault="00015EA7" w:rsidP="0057283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030C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030CE">
      <w:rPr>
        <w:b/>
        <w:noProof/>
      </w:rPr>
      <w:t>22</w:t>
    </w:r>
    <w:r>
      <w:rPr>
        <w:b/>
        <w:sz w:val="24"/>
        <w:szCs w:val="24"/>
      </w:rPr>
      <w:fldChar w:fldCharType="end"/>
    </w:r>
  </w:p>
  <w:p w:rsidR="00015EA7" w:rsidRDefault="00015EA7" w:rsidP="0057283E">
    <w:pPr>
      <w:pStyle w:val="Footer"/>
      <w:jc w:val="right"/>
      <w:rPr>
        <w:sz w:val="16"/>
      </w:rPr>
    </w:pPr>
  </w:p>
  <w:p w:rsidR="00015EA7" w:rsidRDefault="00015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EA7" w:rsidRDefault="00015EA7" w:rsidP="0057283E">
      <w:pPr>
        <w:spacing w:after="0" w:line="240" w:lineRule="auto"/>
      </w:pPr>
      <w:r>
        <w:separator/>
      </w:r>
    </w:p>
  </w:footnote>
  <w:footnote w:type="continuationSeparator" w:id="0">
    <w:p w:rsidR="00015EA7" w:rsidRDefault="00015EA7" w:rsidP="005728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A7" w:rsidRDefault="00015EA7" w:rsidP="0057283E">
    <w:pPr>
      <w:pStyle w:val="Header"/>
      <w:rPr>
        <w:color w:val="000000"/>
        <w:sz w:val="17"/>
      </w:rPr>
    </w:pPr>
    <w:bookmarkStart w:id="1" w:name="TITUS2HeaderEvenPages"/>
    <w:r w:rsidRPr="0057283E">
      <w:rPr>
        <w:color w:val="000000"/>
        <w:sz w:val="17"/>
      </w:rPr>
      <w:t> </w:t>
    </w:r>
  </w:p>
  <w:p w:rsidR="00015EA7" w:rsidRDefault="00C030CE" w:rsidP="00C030CE">
    <w:pPr>
      <w:pStyle w:val="Header"/>
      <w:rPr>
        <w:color w:val="000000"/>
        <w:sz w:val="17"/>
      </w:rPr>
    </w:pPr>
    <w:bookmarkStart w:id="2" w:name="TITUS1HeaderEvenPages"/>
    <w:bookmarkEnd w:id="1"/>
    <w:r>
      <w:rPr>
        <w:color w:val="000000"/>
        <w:sz w:val="17"/>
      </w:rPr>
      <w:t> </w:t>
    </w:r>
  </w:p>
  <w:bookmarkEnd w:id="2"/>
  <w:p w:rsidR="00015EA7" w:rsidRDefault="00015EA7" w:rsidP="0057283E">
    <w:pPr>
      <w:pStyle w:val="Header"/>
    </w:pPr>
  </w:p>
  <w:p w:rsidR="00015EA7" w:rsidRDefault="00015E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A7" w:rsidRDefault="00015EA7" w:rsidP="0057283E">
    <w:pPr>
      <w:pStyle w:val="Header"/>
      <w:rPr>
        <w:color w:val="000000"/>
        <w:sz w:val="17"/>
      </w:rPr>
    </w:pPr>
    <w:bookmarkStart w:id="3" w:name="TITUS2HeaderPrimary"/>
    <w:r w:rsidRPr="0057283E">
      <w:rPr>
        <w:color w:val="000000"/>
        <w:sz w:val="17"/>
      </w:rPr>
      <w:t> </w:t>
    </w:r>
  </w:p>
  <w:p w:rsidR="00015EA7" w:rsidRDefault="00C030CE" w:rsidP="00C030CE">
    <w:pPr>
      <w:pStyle w:val="Header"/>
      <w:rPr>
        <w:color w:val="000000"/>
        <w:sz w:val="17"/>
      </w:rPr>
    </w:pPr>
    <w:bookmarkStart w:id="4" w:name="TITUS1HeaderPrimary"/>
    <w:bookmarkEnd w:id="3"/>
    <w:r>
      <w:rPr>
        <w:color w:val="000000"/>
        <w:sz w:val="17"/>
      </w:rPr>
      <w:t> </w:t>
    </w:r>
  </w:p>
  <w:bookmarkEnd w:id="4"/>
  <w:p w:rsidR="00015EA7" w:rsidRDefault="00015E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A7" w:rsidRDefault="00015EA7" w:rsidP="0057283E">
    <w:pPr>
      <w:pStyle w:val="Header"/>
      <w:rPr>
        <w:color w:val="000000"/>
        <w:sz w:val="17"/>
      </w:rPr>
    </w:pPr>
    <w:bookmarkStart w:id="9" w:name="TITUS2HeaderFirstPage"/>
    <w:r w:rsidRPr="0057283E">
      <w:rPr>
        <w:color w:val="000000"/>
        <w:sz w:val="17"/>
      </w:rPr>
      <w:t> </w:t>
    </w:r>
  </w:p>
  <w:p w:rsidR="00015EA7" w:rsidRDefault="00C030CE" w:rsidP="00C030CE">
    <w:pPr>
      <w:pStyle w:val="Header"/>
      <w:rPr>
        <w:color w:val="000000"/>
        <w:sz w:val="17"/>
      </w:rPr>
    </w:pPr>
    <w:bookmarkStart w:id="10" w:name="TITUS1HeaderFirstPage"/>
    <w:bookmarkEnd w:id="9"/>
    <w:r>
      <w:rPr>
        <w:color w:val="000000"/>
        <w:sz w:val="17"/>
      </w:rPr>
      <w:t> </w:t>
    </w:r>
  </w:p>
  <w:bookmarkEnd w:id="10"/>
  <w:p w:rsidR="00015EA7" w:rsidRDefault="00015EA7" w:rsidP="0057283E">
    <w:pPr>
      <w:pStyle w:val="Header"/>
    </w:pPr>
  </w:p>
  <w:p w:rsidR="00015EA7" w:rsidRDefault="00015E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6"/>
  </w:num>
  <w:num w:numId="5">
    <w:abstractNumId w:val="8"/>
  </w:num>
  <w:num w:numId="6">
    <w:abstractNumId w:val="7"/>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A07"/>
    <w:rsid w:val="00015EA7"/>
    <w:rsid w:val="00072B86"/>
    <w:rsid w:val="00173566"/>
    <w:rsid w:val="001B6A07"/>
    <w:rsid w:val="0057283E"/>
    <w:rsid w:val="00785D3F"/>
    <w:rsid w:val="008642CB"/>
    <w:rsid w:val="00C00204"/>
    <w:rsid w:val="00C030CE"/>
    <w:rsid w:val="00C5512D"/>
    <w:rsid w:val="00D90A99"/>
    <w:rsid w:val="00E14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68B68"/>
  <w15:chartTrackingRefBased/>
  <w15:docId w15:val="{0A67746E-AD2E-4FA2-BF83-10B9BD96A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A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B6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A07"/>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1B6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A07"/>
  </w:style>
  <w:style w:type="paragraph" w:styleId="NoSpacing">
    <w:name w:val="No Spacing"/>
    <w:uiPriority w:val="1"/>
    <w:qFormat/>
    <w:rsid w:val="00C551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22</Pages>
  <Words>5832</Words>
  <Characters>33246</Characters>
  <Application>Microsoft Office Word</Application>
  <DocSecurity>0</DocSecurity>
  <Lines>277</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Davies,Laura swp6714</dc:creator>
  <cp:keywords/>
  <dc:description/>
  <cp:lastModifiedBy>Davies,Laura swp6714</cp:lastModifiedBy>
  <cp:revision>4</cp:revision>
  <dcterms:created xsi:type="dcterms:W3CDTF">2022-02-28T08:49:00Z</dcterms:created>
  <dcterms:modified xsi:type="dcterms:W3CDTF">2022-02-28T10:50:00Z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e1f8b42f-6547-4b9c-83b5-b3bb178c275b</vt:lpwstr>
  </property>
  <property fmtid="{D5CDD505-2E9C-101B-9397-08002B2CF9AE}" pid="3" name="Classification">
    <vt:lpwstr>OFFICIAL</vt:lpwstr>
  </property>
  <property fmtid="{D5CDD505-2E9C-101B-9397-08002B2CF9AE}" pid="4" name="Visibility">
    <vt:lpwstr>NOT VISIBLE</vt:lpwstr>
  </property>
</Properties>
</file>