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left"/>
        <w:rPr>
          <w:rFonts w:ascii="Arial" w:hAnsi="Arial" w:cs="Arial" w:eastAsia="Arial"/>
          <w:color w:val="000000"/>
          <w:spacing w:val="0"/>
          <w:position w:val="0"/>
          <w:sz w:val="24"/>
          <w:shd w:fill="auto" w:val="clear"/>
        </w:rPr>
      </w:pPr>
    </w:p>
    <w:tbl>
      <w:tblPr/>
      <w:tblGrid>
        <w:gridCol w:w="6629"/>
        <w:gridCol w:w="1705"/>
        <w:gridCol w:w="2087"/>
        <w:gridCol w:w="1418"/>
        <w:gridCol w:w="662"/>
      </w:tblGrid>
      <w:tr>
        <w:trPr>
          <w:trHeight w:val="418" w:hRule="auto"/>
          <w:jc w:val="center"/>
        </w:trPr>
        <w:tc>
          <w:tcPr>
            <w:tcW w:w="6629" w:type="dxa"/>
            <w:vMerge w:val="restart"/>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keepNext w:val="true"/>
              <w:spacing w:before="0" w:after="160" w:line="360"/>
              <w:ind w:right="0" w:left="0" w:firstLine="0"/>
              <w:jc w:val="center"/>
              <w:rPr>
                <w:rFonts w:ascii="Arial" w:hAnsi="Arial" w:cs="Arial" w:eastAsia="Arial"/>
                <w:b/>
                <w:color w:val="000000"/>
                <w:spacing w:val="0"/>
                <w:position w:val="0"/>
                <w:sz w:val="24"/>
                <w:shd w:fill="auto" w:val="clear"/>
              </w:rPr>
            </w:pPr>
          </w:p>
          <w:p>
            <w:pPr>
              <w:keepNext w:val="true"/>
              <w:spacing w:before="0" w:after="160" w:line="360"/>
              <w:ind w:right="0" w:left="0" w:firstLine="0"/>
              <w:jc w:val="both"/>
              <w:rPr>
                <w:rFonts w:ascii="Arial" w:hAnsi="Arial" w:cs="Arial" w:eastAsia="Arial"/>
                <w:b/>
                <w:color w:val="000000"/>
                <w:spacing w:val="0"/>
                <w:position w:val="0"/>
                <w:sz w:val="24"/>
                <w:shd w:fill="auto" w:val="clear"/>
              </w:rPr>
            </w:pPr>
            <w:r>
              <w:object w:dxaOrig="4512" w:dyaOrig="1965">
                <v:rect xmlns:o="urn:schemas-microsoft-com:office:office" xmlns:v="urn:schemas-microsoft-com:vml" id="rectole0000000000" style="width:225.600000pt;height:98.2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r>
              <w:rPr>
                <w:rFonts w:ascii="Arial" w:hAnsi="Arial" w:cs="Arial" w:eastAsia="Arial"/>
                <w:b/>
                <w:color w:val="000000"/>
                <w:spacing w:val="0"/>
                <w:position w:val="0"/>
                <w:sz w:val="24"/>
                <w:shd w:fill="auto" w:val="clear"/>
              </w:rPr>
              <w:br/>
            </w:r>
          </w:p>
          <w:p>
            <w:pPr>
              <w:spacing w:before="0" w:after="16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Component One: Student Journal (learning log) 750 words +/- 10%</w:t>
            </w:r>
          </w:p>
          <w:p>
            <w:pPr>
              <w:spacing w:before="0" w:after="160" w:line="360"/>
              <w:ind w:right="0" w:left="0" w:firstLine="0"/>
              <w:jc w:val="left"/>
              <w:rPr>
                <w:spacing w:val="0"/>
                <w:position w:val="0"/>
                <w:shd w:fill="auto" w:val="clear"/>
              </w:rPr>
            </w:pPr>
            <w:r>
              <w:rPr>
                <w:rFonts w:ascii="Arial" w:hAnsi="Arial" w:cs="Arial" w:eastAsia="Arial"/>
                <w:b/>
                <w:color w:val="000000"/>
                <w:spacing w:val="0"/>
                <w:position w:val="0"/>
                <w:sz w:val="24"/>
                <w:shd w:fill="auto" w:val="clear"/>
              </w:rPr>
              <w:t xml:space="preserve">Contribution to Overall Module Assessment: 25%</w:t>
            </w:r>
          </w:p>
        </w:tc>
        <w:tc>
          <w:tcPr>
            <w:tcW w:w="3792"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120" w:after="160" w:line="360"/>
              <w:ind w:right="0" w:left="0" w:firstLine="0"/>
              <w:jc w:val="left"/>
              <w:rPr>
                <w:spacing w:val="0"/>
                <w:position w:val="0"/>
                <w:shd w:fill="auto" w:val="clear"/>
              </w:rPr>
            </w:pPr>
            <w:r>
              <w:rPr>
                <w:rFonts w:ascii="Arial" w:hAnsi="Arial" w:cs="Arial" w:eastAsia="Arial"/>
                <w:b/>
                <w:color w:val="000000"/>
                <w:spacing w:val="0"/>
                <w:position w:val="0"/>
                <w:sz w:val="24"/>
                <w:shd w:fill="auto" w:val="clear"/>
              </w:rPr>
              <w:t xml:space="preserve">Student No:                   </w:t>
            </w:r>
          </w:p>
        </w:tc>
        <w:tc>
          <w:tcPr>
            <w:tcW w:w="1418"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160" w:line="360"/>
              <w:ind w:right="0" w:left="0" w:firstLine="0"/>
              <w:jc w:val="left"/>
              <w:rPr>
                <w:spacing w:val="0"/>
                <w:position w:val="0"/>
                <w:shd w:fill="auto" w:val="clear"/>
              </w:rPr>
            </w:pPr>
            <w:r>
              <w:rPr>
                <w:rFonts w:ascii="Arial" w:hAnsi="Arial" w:cs="Arial" w:eastAsia="Arial"/>
                <w:b/>
                <w:color w:val="000000"/>
                <w:spacing w:val="0"/>
                <w:position w:val="0"/>
                <w:sz w:val="24"/>
                <w:shd w:fill="auto" w:val="clear"/>
              </w:rPr>
              <w:t xml:space="preserve">2243696</w:t>
            </w:r>
          </w:p>
        </w:tc>
        <w:tc>
          <w:tcPr>
            <w:tcW w:w="66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160" w:line="360"/>
              <w:ind w:right="0" w:left="0" w:firstLine="0"/>
              <w:jc w:val="center"/>
              <w:rPr>
                <w:rFonts w:ascii="Calibri" w:hAnsi="Calibri" w:cs="Calibri" w:eastAsia="Calibri"/>
                <w:color w:val="auto"/>
                <w:spacing w:val="0"/>
                <w:position w:val="0"/>
                <w:sz w:val="22"/>
                <w:shd w:fill="auto" w:val="clear"/>
              </w:rPr>
            </w:pPr>
          </w:p>
        </w:tc>
      </w:tr>
      <w:tr>
        <w:trPr>
          <w:trHeight w:val="468" w:hRule="auto"/>
          <w:jc w:val="center"/>
        </w:trPr>
        <w:tc>
          <w:tcPr>
            <w:tcW w:w="6629" w:type="dxa"/>
            <w:vMerge/>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0" w:line="360"/>
              <w:ind w:right="0" w:left="0" w:firstLine="0"/>
              <w:jc w:val="left"/>
              <w:rPr>
                <w:rFonts w:ascii="Calibri" w:hAnsi="Calibri" w:cs="Calibri" w:eastAsia="Calibri"/>
                <w:color w:val="auto"/>
                <w:spacing w:val="0"/>
                <w:position w:val="0"/>
                <w:sz w:val="22"/>
                <w:shd w:fill="auto" w:val="clear"/>
              </w:rPr>
            </w:pPr>
          </w:p>
        </w:tc>
        <w:tc>
          <w:tcPr>
            <w:tcW w:w="3792"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160" w:line="360"/>
              <w:ind w:right="0" w:left="0" w:firstLine="0"/>
              <w:jc w:val="left"/>
              <w:rPr>
                <w:rFonts w:ascii="Arial" w:hAnsi="Arial" w:cs="Arial" w:eastAsia="Arial"/>
                <w:color w:val="000000"/>
                <w:spacing w:val="0"/>
                <w:position w:val="0"/>
                <w:sz w:val="24"/>
                <w:shd w:fill="auto" w:val="clear"/>
              </w:rPr>
            </w:pPr>
          </w:p>
          <w:p>
            <w:pPr>
              <w:keepNext w:val="true"/>
              <w:spacing w:before="0" w:after="160" w:line="360"/>
              <w:ind w:right="0" w:left="0" w:firstLine="0"/>
              <w:jc w:val="left"/>
              <w:rPr>
                <w:spacing w:val="0"/>
                <w:position w:val="0"/>
                <w:shd w:fill="auto" w:val="clear"/>
              </w:rPr>
            </w:pPr>
            <w:r>
              <w:rPr>
                <w:rFonts w:ascii="Arial" w:hAnsi="Arial" w:cs="Arial" w:eastAsia="Arial"/>
                <w:color w:val="000000"/>
                <w:spacing w:val="0"/>
                <w:position w:val="0"/>
                <w:sz w:val="24"/>
                <w:shd w:fill="auto" w:val="clear"/>
              </w:rPr>
              <w:t xml:space="preserve">Module Title:</w:t>
            </w:r>
          </w:p>
        </w:tc>
        <w:tc>
          <w:tcPr>
            <w:tcW w:w="1418"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160" w:line="360"/>
              <w:ind w:right="0" w:left="0" w:firstLine="0"/>
              <w:jc w:val="center"/>
              <w:rPr>
                <w:spacing w:val="0"/>
                <w:position w:val="0"/>
                <w:shd w:fill="auto" w:val="clear"/>
              </w:rPr>
            </w:pPr>
            <w:r>
              <w:rPr>
                <w:rFonts w:ascii="Arial" w:hAnsi="Arial" w:cs="Arial" w:eastAsia="Arial"/>
                <w:b/>
                <w:color w:val="000000"/>
                <w:spacing w:val="0"/>
                <w:position w:val="0"/>
                <w:sz w:val="24"/>
                <w:shd w:fill="auto" w:val="clear"/>
              </w:rPr>
              <w:t xml:space="preserve">Operating Hotel Facilities.</w:t>
            </w:r>
          </w:p>
        </w:tc>
        <w:tc>
          <w:tcPr>
            <w:tcW w:w="66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160" w:line="360"/>
              <w:ind w:right="0" w:left="0" w:firstLine="0"/>
              <w:jc w:val="center"/>
              <w:rPr>
                <w:rFonts w:ascii="Calibri" w:hAnsi="Calibri" w:cs="Calibri" w:eastAsia="Calibri"/>
                <w:color w:val="auto"/>
                <w:spacing w:val="0"/>
                <w:position w:val="0"/>
                <w:sz w:val="22"/>
                <w:shd w:fill="auto" w:val="clear"/>
              </w:rPr>
            </w:pPr>
          </w:p>
        </w:tc>
      </w:tr>
      <w:tr>
        <w:trPr>
          <w:trHeight w:val="468" w:hRule="auto"/>
          <w:jc w:val="center"/>
        </w:trPr>
        <w:tc>
          <w:tcPr>
            <w:tcW w:w="6629" w:type="dxa"/>
            <w:vMerge/>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0" w:line="360"/>
              <w:ind w:right="0" w:left="0" w:firstLine="0"/>
              <w:jc w:val="left"/>
              <w:rPr>
                <w:rFonts w:ascii="Calibri" w:hAnsi="Calibri" w:cs="Calibri" w:eastAsia="Calibri"/>
                <w:color w:val="auto"/>
                <w:spacing w:val="0"/>
                <w:position w:val="0"/>
                <w:sz w:val="22"/>
                <w:shd w:fill="auto" w:val="clear"/>
              </w:rPr>
            </w:pPr>
          </w:p>
        </w:tc>
        <w:tc>
          <w:tcPr>
            <w:tcW w:w="3792"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160" w:line="360"/>
              <w:ind w:right="0" w:left="0" w:firstLine="0"/>
              <w:jc w:val="left"/>
              <w:rPr>
                <w:spacing w:val="0"/>
                <w:position w:val="0"/>
                <w:shd w:fill="auto" w:val="clear"/>
              </w:rPr>
            </w:pPr>
            <w:r>
              <w:rPr>
                <w:rFonts w:ascii="Arial" w:hAnsi="Arial" w:cs="Arial" w:eastAsia="Arial"/>
                <w:color w:val="000000"/>
                <w:spacing w:val="0"/>
                <w:position w:val="0"/>
                <w:sz w:val="24"/>
                <w:shd w:fill="auto" w:val="clear"/>
              </w:rPr>
              <w:t xml:space="preserve">Module Code:</w:t>
            </w:r>
          </w:p>
        </w:tc>
        <w:tc>
          <w:tcPr>
            <w:tcW w:w="1418"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160" w:line="360"/>
              <w:ind w:right="0" w:left="0" w:firstLine="0"/>
              <w:jc w:val="center"/>
              <w:rPr>
                <w:spacing w:val="0"/>
                <w:position w:val="0"/>
                <w:shd w:fill="auto" w:val="clear"/>
              </w:rPr>
            </w:pPr>
            <w:r>
              <w:rPr>
                <w:rFonts w:ascii="Arial" w:hAnsi="Arial" w:cs="Arial" w:eastAsia="Arial"/>
                <w:b/>
                <w:color w:val="000000"/>
                <w:spacing w:val="0"/>
                <w:position w:val="0"/>
                <w:sz w:val="24"/>
                <w:shd w:fill="auto" w:val="clear"/>
              </w:rPr>
              <w:t xml:space="preserve">BMIH4006</w:t>
            </w:r>
          </w:p>
        </w:tc>
        <w:tc>
          <w:tcPr>
            <w:tcW w:w="66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160" w:line="360"/>
              <w:ind w:right="0" w:left="0" w:firstLine="0"/>
              <w:jc w:val="center"/>
              <w:rPr>
                <w:rFonts w:ascii="Calibri" w:hAnsi="Calibri" w:cs="Calibri" w:eastAsia="Calibri"/>
                <w:color w:val="auto"/>
                <w:spacing w:val="0"/>
                <w:position w:val="0"/>
                <w:sz w:val="22"/>
                <w:shd w:fill="auto" w:val="clear"/>
              </w:rPr>
            </w:pPr>
          </w:p>
        </w:tc>
      </w:tr>
      <w:tr>
        <w:trPr>
          <w:trHeight w:val="468" w:hRule="auto"/>
          <w:jc w:val="center"/>
        </w:trPr>
        <w:tc>
          <w:tcPr>
            <w:tcW w:w="6629" w:type="dxa"/>
            <w:vMerge/>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0" w:line="360"/>
              <w:ind w:right="0" w:left="0" w:firstLine="0"/>
              <w:jc w:val="left"/>
              <w:rPr>
                <w:rFonts w:ascii="Calibri" w:hAnsi="Calibri" w:cs="Calibri" w:eastAsia="Calibri"/>
                <w:color w:val="auto"/>
                <w:spacing w:val="0"/>
                <w:position w:val="0"/>
                <w:sz w:val="22"/>
                <w:shd w:fill="auto" w:val="clear"/>
              </w:rPr>
            </w:pPr>
          </w:p>
        </w:tc>
        <w:tc>
          <w:tcPr>
            <w:tcW w:w="3792"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160" w:line="360"/>
              <w:ind w:right="0" w:left="0" w:firstLine="0"/>
              <w:jc w:val="left"/>
              <w:rPr>
                <w:spacing w:val="0"/>
                <w:position w:val="0"/>
                <w:shd w:fill="auto" w:val="clear"/>
              </w:rPr>
            </w:pPr>
            <w:r>
              <w:rPr>
                <w:rFonts w:ascii="Arial" w:hAnsi="Arial" w:cs="Arial" w:eastAsia="Arial"/>
                <w:color w:val="000000"/>
                <w:spacing w:val="0"/>
                <w:position w:val="0"/>
                <w:sz w:val="24"/>
                <w:shd w:fill="auto" w:val="clear"/>
              </w:rPr>
              <w:t xml:space="preserve">Lecturer:</w:t>
            </w:r>
          </w:p>
        </w:tc>
        <w:tc>
          <w:tcPr>
            <w:tcW w:w="1418"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160" w:line="360"/>
              <w:ind w:right="0" w:left="0" w:firstLine="0"/>
              <w:jc w:val="center"/>
              <w:rPr>
                <w:spacing w:val="0"/>
                <w:position w:val="0"/>
                <w:shd w:fill="auto" w:val="clear"/>
              </w:rPr>
            </w:pPr>
            <w:r>
              <w:rPr>
                <w:rFonts w:ascii="Arial" w:hAnsi="Arial" w:cs="Arial" w:eastAsia="Arial"/>
                <w:b/>
                <w:color w:val="000000"/>
                <w:spacing w:val="0"/>
                <w:position w:val="0"/>
                <w:sz w:val="24"/>
                <w:shd w:fill="auto" w:val="clear"/>
              </w:rPr>
              <w:t xml:space="preserve">Scott James</w:t>
            </w:r>
          </w:p>
        </w:tc>
        <w:tc>
          <w:tcPr>
            <w:tcW w:w="66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160" w:line="360"/>
              <w:ind w:right="0" w:left="0" w:firstLine="0"/>
              <w:jc w:val="center"/>
              <w:rPr>
                <w:rFonts w:ascii="Calibri" w:hAnsi="Calibri" w:cs="Calibri" w:eastAsia="Calibri"/>
                <w:color w:val="auto"/>
                <w:spacing w:val="0"/>
                <w:position w:val="0"/>
                <w:sz w:val="22"/>
                <w:shd w:fill="auto" w:val="clear"/>
              </w:rPr>
            </w:pPr>
          </w:p>
        </w:tc>
      </w:tr>
      <w:tr>
        <w:trPr>
          <w:trHeight w:val="20" w:hRule="auto"/>
          <w:jc w:val="center"/>
        </w:trPr>
        <w:tc>
          <w:tcPr>
            <w:tcW w:w="6629" w:type="dxa"/>
            <w:vMerge/>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0" w:line="360"/>
              <w:ind w:right="0" w:left="0" w:firstLine="0"/>
              <w:jc w:val="left"/>
              <w:rPr>
                <w:rFonts w:ascii="Calibri" w:hAnsi="Calibri" w:cs="Calibri" w:eastAsia="Calibri"/>
                <w:color w:val="auto"/>
                <w:spacing w:val="0"/>
                <w:position w:val="0"/>
                <w:sz w:val="22"/>
                <w:shd w:fill="auto" w:val="clear"/>
              </w:rPr>
            </w:pPr>
          </w:p>
        </w:tc>
        <w:tc>
          <w:tcPr>
            <w:tcW w:w="1705"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160" w:line="360"/>
              <w:ind w:right="0" w:left="0" w:firstLine="0"/>
              <w:jc w:val="left"/>
              <w:rPr>
                <w:rFonts w:ascii="Calibri" w:hAnsi="Calibri" w:cs="Calibri" w:eastAsia="Calibri"/>
                <w:color w:val="auto"/>
                <w:spacing w:val="0"/>
                <w:position w:val="0"/>
                <w:sz w:val="22"/>
                <w:shd w:fill="auto" w:val="clear"/>
              </w:rPr>
            </w:pPr>
          </w:p>
        </w:tc>
        <w:tc>
          <w:tcPr>
            <w:tcW w:w="3505"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160" w:line="360"/>
              <w:ind w:right="0" w:left="0" w:firstLine="0"/>
              <w:jc w:val="left"/>
              <w:rPr>
                <w:rFonts w:ascii="Calibri" w:hAnsi="Calibri" w:cs="Calibri" w:eastAsia="Calibri"/>
                <w:color w:val="auto"/>
                <w:spacing w:val="0"/>
                <w:position w:val="0"/>
                <w:sz w:val="22"/>
                <w:shd w:fill="auto" w:val="clear"/>
              </w:rPr>
            </w:pPr>
          </w:p>
        </w:tc>
        <w:tc>
          <w:tcPr>
            <w:tcW w:w="66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160" w:line="360"/>
              <w:ind w:right="0" w:left="0" w:firstLine="0"/>
              <w:jc w:val="center"/>
              <w:rPr>
                <w:rFonts w:ascii="Calibri" w:hAnsi="Calibri" w:cs="Calibri" w:eastAsia="Calibri"/>
                <w:color w:val="auto"/>
                <w:spacing w:val="0"/>
                <w:position w:val="0"/>
                <w:sz w:val="22"/>
                <w:shd w:fill="auto" w:val="clear"/>
              </w:rPr>
            </w:pPr>
          </w:p>
        </w:tc>
      </w:tr>
      <w:tr>
        <w:trPr>
          <w:trHeight w:val="470" w:hRule="auto"/>
          <w:jc w:val="center"/>
        </w:trPr>
        <w:tc>
          <w:tcPr>
            <w:tcW w:w="12501" w:type="dxa"/>
            <w:gridSpan w:val="5"/>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160" w:line="360"/>
              <w:ind w:right="0" w:left="0" w:firstLine="0"/>
              <w:jc w:val="left"/>
              <w:rPr>
                <w:rFonts w:ascii="Arial" w:hAnsi="Arial" w:cs="Arial" w:eastAsia="Arial"/>
                <w:color w:val="000000"/>
                <w:spacing w:val="0"/>
                <w:position w:val="0"/>
                <w:sz w:val="24"/>
                <w:shd w:fill="auto" w:val="clear"/>
              </w:rPr>
            </w:pPr>
          </w:p>
          <w:p>
            <w:pPr>
              <w:spacing w:before="480" w:after="120" w:line="360"/>
              <w:ind w:right="0" w:left="0" w:firstLine="0"/>
              <w:jc w:val="center"/>
              <w:rPr>
                <w:rFonts w:ascii="Calibri Light" w:hAnsi="Calibri Light" w:cs="Calibri Light" w:eastAsia="Calibri Light"/>
                <w:color w:val="2F5496"/>
                <w:spacing w:val="0"/>
                <w:position w:val="0"/>
                <w:sz w:val="32"/>
                <w:shd w:fill="auto" w:val="clear"/>
              </w:rPr>
            </w:pPr>
            <w:r>
              <w:rPr>
                <w:rFonts w:ascii="Arial" w:hAnsi="Arial" w:cs="Arial" w:eastAsia="Arial"/>
                <w:b/>
                <w:color w:val="000000"/>
                <w:spacing w:val="0"/>
                <w:position w:val="0"/>
                <w:sz w:val="24"/>
                <w:shd w:fill="auto" w:val="clear"/>
              </w:rPr>
              <w:t xml:space="preserve">Table of content</w:t>
            </w:r>
          </w:p>
          <w:p>
            <w:pPr>
              <w:spacing w:before="480" w:after="120" w:line="360"/>
              <w:ind w:right="0" w:left="0" w:firstLine="0"/>
              <w:jc w:val="left"/>
              <w:rPr>
                <w:rFonts w:ascii="Calibri Light" w:hAnsi="Calibri Light" w:cs="Calibri Light" w:eastAsia="Calibri Light"/>
                <w:color w:val="2F5496"/>
                <w:spacing w:val="0"/>
                <w:position w:val="0"/>
                <w:sz w:val="32"/>
                <w:shd w:fill="auto" w:val="clear"/>
              </w:rPr>
            </w:pPr>
          </w:p>
          <w:p>
            <w:pPr>
              <w:spacing w:before="480" w:after="120" w:line="360"/>
              <w:ind w:right="0" w:left="0" w:firstLine="0"/>
              <w:jc w:val="left"/>
              <w:rPr>
                <w:rFonts w:ascii="Calibri Light" w:hAnsi="Calibri Light" w:cs="Calibri Light" w:eastAsia="Calibri Light"/>
                <w:color w:val="2F5496"/>
                <w:spacing w:val="0"/>
                <w:position w:val="0"/>
                <w:sz w:val="32"/>
                <w:shd w:fill="auto" w:val="clear"/>
              </w:rPr>
            </w:pPr>
          </w:p>
          <w:p>
            <w:pPr>
              <w:spacing w:before="480" w:after="120" w:line="360"/>
              <w:ind w:right="0" w:left="0" w:firstLine="0"/>
              <w:jc w:val="left"/>
              <w:rPr>
                <w:rFonts w:ascii="Calibri Light" w:hAnsi="Calibri Light" w:cs="Calibri Light" w:eastAsia="Calibri Light"/>
                <w:color w:val="2F5496"/>
                <w:spacing w:val="0"/>
                <w:position w:val="0"/>
                <w:sz w:val="32"/>
                <w:shd w:fill="auto" w:val="clear"/>
              </w:rPr>
            </w:pPr>
          </w:p>
          <w:p>
            <w:pPr>
              <w:spacing w:before="480" w:after="120" w:line="360"/>
              <w:ind w:right="0" w:left="0" w:firstLine="0"/>
              <w:jc w:val="left"/>
              <w:rPr>
                <w:rFonts w:ascii="Calibri Light" w:hAnsi="Calibri Light" w:cs="Calibri Light" w:eastAsia="Calibri Light"/>
                <w:color w:val="2F5496"/>
                <w:spacing w:val="0"/>
                <w:position w:val="0"/>
                <w:sz w:val="32"/>
                <w:shd w:fill="auto" w:val="clear"/>
              </w:rPr>
            </w:pPr>
          </w:p>
          <w:p>
            <w:pPr>
              <w:spacing w:before="480" w:after="120" w:line="360"/>
              <w:ind w:right="0" w:left="0" w:firstLine="0"/>
              <w:jc w:val="left"/>
              <w:rPr>
                <w:rFonts w:ascii="Calibri Light" w:hAnsi="Calibri Light" w:cs="Calibri Light" w:eastAsia="Calibri Light"/>
                <w:color w:val="2F5496"/>
                <w:spacing w:val="0"/>
                <w:position w:val="0"/>
                <w:sz w:val="32"/>
                <w:shd w:fill="auto" w:val="clear"/>
              </w:rPr>
            </w:pPr>
          </w:p>
          <w:p>
            <w:pPr>
              <w:spacing w:before="480" w:after="120" w:line="360"/>
              <w:ind w:right="0" w:left="0" w:firstLine="0"/>
              <w:jc w:val="left"/>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Component 1</w:t>
            </w:r>
          </w:p>
          <w:p>
            <w:pPr>
              <w:spacing w:before="360" w:after="8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Introduction</w:t>
            </w:r>
          </w:p>
          <w:p>
            <w:pPr>
              <w:spacing w:before="20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reflective journal mostly focuses on offering detailed estimations and assumptions of past experiences and offering better learning to the participants (Stevens and Cooper, 2023). This past reflective journal implementation can also lead to higher employee engagement in any specialised and professional genre (Bridger 2022). Similarly, the primary aim of these components is to focus on reflective journal entries based on my placement experiences within the housekeeping departments of the Rossington Hall Hotel using the Gibbs reflective model.</w:t>
            </w:r>
          </w:p>
          <w:p>
            <w:pPr>
              <w:spacing w:before="360" w:after="8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Main Body</w:t>
            </w:r>
          </w:p>
          <w:p>
            <w:pPr>
              <w:spacing w:before="20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Gibbs reflective journal comprises various specific and effective stages that mostly involve better highlighting and reflecting on past experiences that can be beneficial towards implementing the past learning experiences.</w:t>
            </w:r>
          </w:p>
          <w:p>
            <w:pPr>
              <w:spacing w:before="20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shd w:fill="auto" w:val="clear"/>
              </w:rPr>
              <w:t xml:space="preserve">The first stage is the Description; </w:t>
            </w:r>
            <w:r>
              <w:rPr>
                <w:rFonts w:ascii="Arial" w:hAnsi="Arial" w:cs="Arial" w:eastAsia="Arial"/>
                <w:color w:val="auto"/>
                <w:spacing w:val="0"/>
                <w:position w:val="0"/>
                <w:sz w:val="24"/>
                <w:shd w:fill="auto" w:val="clear"/>
              </w:rPr>
              <w:t xml:space="preserve">This is the first stage of this reflective model that mostly states the various overall descriptions of the experiences and offers overall viewpoints of the past experiences. Similarly, while undergoing the housekeeping placement programs, I was to survey the housekeeping department of the Rossington Hall Hotel which is one of the most historic buildings with an age of around 140 years old with Victorian-style finishing. Being an intern I was also initially asked to observe the experienced housekeepers as an on-the-job training activity that has made my overall experiences more modest and enthusiastic. While entering the hotel I was offered a tour of the hotel and also explained the primary aim of this historic hotel and how to focus on every demand of the customers. In the first 2 weeks, they showed me the strategies to be followed while polishing classes, vacuuming the floor, washing dishes and many more. Later on, I also learned about using the bar computer and the accurate way of serving the customers. Furthermore, I also learned to serve lunch and dinner orders in and also learned to manage the check-in and check-out of the customers as a part of working as a housekeeping intern in the Rossington Hall Hotel. </w:t>
            </w:r>
          </w:p>
          <w:p>
            <w:pPr>
              <w:spacing w:before="20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shd w:fill="auto" w:val="clear"/>
              </w:rPr>
              <w:t xml:space="preserve">Feelings stage; </w:t>
            </w:r>
            <w:r>
              <w:rPr>
                <w:rFonts w:ascii="Arial" w:hAnsi="Arial" w:cs="Arial" w:eastAsia="Arial"/>
                <w:color w:val="auto"/>
                <w:spacing w:val="0"/>
                <w:position w:val="0"/>
                <w:sz w:val="24"/>
                <w:shd w:fill="auto" w:val="clear"/>
              </w:rPr>
              <w:t xml:space="preserve">This is the stage of the Gibbs model that mostly addresses and focuses on the identification of the specific feelings that can be essential to notice and highlight the participant's past learning experiences. Similarly, as a part of my placement program, I was to serve as a housekeeper in the Rossington Hall Hotel in the UK, so while operating I was accompanied by various other dedicated professionals who made me aware of various rules and regulations related to safety, which has made me enthusiastic and motivated. However, while learning to clean and change the lines of the bed I somehow made the mistake of breaking a cup accidentally, which resulted in feeling uneasy and demotivated.</w:t>
            </w:r>
          </w:p>
          <w:p>
            <w:pPr>
              <w:spacing w:before="20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shd w:fill="auto" w:val="clear"/>
              </w:rPr>
              <w:t xml:space="preserve">Evaluation stage; </w:t>
            </w:r>
            <w:r>
              <w:rPr>
                <w:rFonts w:ascii="Arial" w:hAnsi="Arial" w:cs="Arial" w:eastAsia="Arial"/>
                <w:color w:val="auto"/>
                <w:spacing w:val="0"/>
                <w:position w:val="0"/>
                <w:sz w:val="24"/>
                <w:shd w:fill="auto" w:val="clear"/>
              </w:rPr>
              <w:t xml:space="preserve">This is the stage that mostly states and focuses on offering detailed evaluations of the observed feelings from the earlier stages by the participants (Ezezika and Johnston 2023). In a similar context, as I have obtained the feeling of motivation by offering better on-the-job training from the professionals, my skills in housekeeping are being developed leading to my positive feelings. However, after thinking critically, once while changing the linens I accidentally damaged a cup in a part of the room, and also I need to apologies and have to pay the damaged value as compensation, thus resulting in my bad experience. </w:t>
            </w:r>
          </w:p>
          <w:p>
            <w:pPr>
              <w:spacing w:before="20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shd w:fill="auto" w:val="clear"/>
              </w:rPr>
              <w:t xml:space="preserve">Analysis stage; </w:t>
            </w:r>
            <w:r>
              <w:rPr>
                <w:rFonts w:ascii="Arial" w:hAnsi="Arial" w:cs="Arial" w:eastAsia="Arial"/>
                <w:color w:val="auto"/>
                <w:spacing w:val="0"/>
                <w:position w:val="0"/>
                <w:sz w:val="24"/>
                <w:shd w:fill="auto" w:val="clear"/>
              </w:rPr>
              <w:t xml:space="preserve">This is the next stage that offers additional evaluations of potential reasons for the specific sets of feelings that the participants obtained while reflecting on the past scenario. In this context, while analysing my experiences and feelings, the primary reason for me feeling happy and motivated is that this on-job training in the Rossington Hall Hotel can be very impactful in obtaining better job opportunities in the hospitality sector, and can also be effective for my career while working in a renowned brand such as Rossington Hall Hotel. However, as I have somehow damaged the amenities I had to pay the compensation, and the primary reason for me feeling depressed is because it can be assumed that my organising skills are lacking.</w:t>
            </w:r>
          </w:p>
          <w:p>
            <w:pPr>
              <w:spacing w:before="20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shd w:fill="auto" w:val="clear"/>
              </w:rPr>
              <w:t xml:space="preserve">Conclusion stage; </w:t>
            </w:r>
            <w:r>
              <w:rPr>
                <w:rFonts w:ascii="Arial" w:hAnsi="Arial" w:cs="Arial" w:eastAsia="Arial"/>
                <w:color w:val="auto"/>
                <w:spacing w:val="0"/>
                <w:position w:val="0"/>
                <w:sz w:val="24"/>
                <w:shd w:fill="auto" w:val="clear"/>
              </w:rPr>
              <w:t xml:space="preserve">This is the stage that offers the opportunity to evaluate and highlight any other additional learnings obtained from past experiences. While evaluating my past housekeeping experiences as a placement program in the housekeeping department, I have also learned the importance of creativity skills and designing skills for better and more attractive previews of the rooms for the Rossington Hall Hotel. Also, I have estimated that my organisational skills need to be developed to ensure no further damage to the hotel due to my incompetency.</w:t>
            </w:r>
          </w:p>
          <w:p>
            <w:pPr>
              <w:spacing w:before="20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shd w:fill="auto" w:val="clear"/>
              </w:rPr>
              <w:t xml:space="preserve">Action plan stage; </w:t>
            </w:r>
            <w:r>
              <w:rPr>
                <w:rFonts w:ascii="Arial" w:hAnsi="Arial" w:cs="Arial" w:eastAsia="Arial"/>
                <w:color w:val="auto"/>
                <w:spacing w:val="0"/>
                <w:position w:val="0"/>
                <w:sz w:val="24"/>
                <w:shd w:fill="auto" w:val="clear"/>
              </w:rPr>
              <w:t xml:space="preserve">This is the last stage of the Gibbs reflective model that involves determining a detailed plan of action to fill out the skills or knowledge gap identified from past experiences (Hashim </w:t>
            </w:r>
            <w:r>
              <w:rPr>
                <w:rFonts w:ascii="Arial" w:hAnsi="Arial" w:cs="Arial" w:eastAsia="Arial"/>
                <w:i/>
                <w:color w:val="auto"/>
                <w:spacing w:val="0"/>
                <w:position w:val="0"/>
                <w:sz w:val="24"/>
                <w:shd w:fill="auto" w:val="clear"/>
              </w:rPr>
              <w:t xml:space="preserve">et al., </w:t>
            </w:r>
            <w:r>
              <w:rPr>
                <w:rFonts w:ascii="Arial" w:hAnsi="Arial" w:cs="Arial" w:eastAsia="Arial"/>
                <w:color w:val="auto"/>
                <w:spacing w:val="0"/>
                <w:position w:val="0"/>
                <w:sz w:val="24"/>
                <w:shd w:fill="auto" w:val="clear"/>
              </w:rPr>
              <w:t xml:space="preserve">2023). As identified while reflecting on the personal evaluation of my learnings from the placement agencies, I have identified that my organising skills need to be developed which can be essential for me to gain higher job opportunities in the housekeeping department of the UK.</w:t>
            </w:r>
          </w:p>
          <w:p>
            <w:pPr>
              <w:spacing w:before="360" w:after="8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Conclusion</w:t>
            </w:r>
          </w:p>
          <w:p>
            <w:pPr>
              <w:spacing w:before="20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After completing this component, it has been identified that I focus on my past experiences while conducting housekeeping placement experiences within the UK hospitality sector can be essential in framing my experiences and professional betterment. This is the primary section of the assignment that will include the detailed implementation of this Gibbs reflective journal model on highlighting the various learnings while conducting the placement for the housekeeping departments within the UK hospitality sector.</w:t>
            </w:r>
          </w:p>
          <w:p>
            <w:pPr>
              <w:spacing w:before="0" w:after="160" w:line="360"/>
              <w:ind w:right="0" w:left="0" w:firstLine="0"/>
              <w:jc w:val="left"/>
              <w:rPr>
                <w:rFonts w:ascii="Arial" w:hAnsi="Arial" w:cs="Arial" w:eastAsia="Arial"/>
                <w:color w:val="auto"/>
                <w:spacing w:val="0"/>
                <w:position w:val="0"/>
                <w:sz w:val="24"/>
                <w:shd w:fill="auto" w:val="clear"/>
              </w:rPr>
            </w:pPr>
          </w:p>
          <w:p>
            <w:pPr>
              <w:spacing w:before="20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Component 2</w:t>
            </w:r>
          </w:p>
          <w:p>
            <w:pPr>
              <w:spacing w:before="360" w:after="8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Introduction</w:t>
            </w:r>
          </w:p>
          <w:p>
            <w:pPr>
              <w:spacing w:before="20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Maintaining and ensuring decent cleaning of the rooms within the hotels is one of the primary roles of any housekeeping department. Furthermore, this cleaning of rooms mostly involves various development of skills that can contribute towards the proper maintenance of the housekeeping activities within the room to offer the guests optimised staying experiences (Cottrell 2019). In this context, being a part of the housekeeping department, ensuring the proper maintenance of the safety regulations while cleaning the rooms is also to be adhered to offer better and maintaining hospitality behaviour (Mullins 2007). The primary aim of this component is to provide detailed evaluations of various safety implications to maintain by the housekeeping department to foster a safe and secure environment for everyone involved.  </w:t>
            </w:r>
          </w:p>
          <w:p>
            <w:pPr>
              <w:spacing w:before="360" w:after="8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“Identify potential risks, and gather industry information best practices and regulations related to housekeeping safety.”</w:t>
            </w:r>
          </w:p>
          <w:p>
            <w:pPr>
              <w:spacing w:before="20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As observed in the provided case scenario, the senior housekeeping has identified a lack of awareness while conducting the housekeeping duties in the hotel in the UK. Therefore, it is essential to highlight some of the potential risks or health hazards that can hamper the overall sustainability of housekeeping practices. One of the most evident risks is Chemical exposure. The cleaning agents and chemical-based cleaning substances can often lead to skin reactions and allergies for the guests that need to be maintained by the housekeeping personnel. These risks can be recovered by ensuing proper hazard identification and effective training. On the other hand, Waste disposal and its various implications are other potential risks that can be biologically infected and lead to poor travelling and staying experiences. These wastage disposal measures can be recovered and can be mitigated by ensuring proper disposal techniques and maintaining the wastage factors within the hospitality sectors.</w:t>
            </w:r>
          </w:p>
          <w:p>
            <w:pPr>
              <w:spacing w:before="20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On the other hand, there were various legal legislations set by the UK government that can be considered for better implications of housekeeping factors. Workplace (Health, Safety and Welfare) Regulations 1992 are the legal factors that state various legal safety implications to be maintained by the housekeeping departments to ensure better safety factors and well-being (HSE, 2023). Furthermore, the Personal Protective Equipment Regulations 1992 of the UK, also need to be addressed, which mostly focuses on ensuring suitable accommodation for PPE clothes and providing essential types of equipment while operating with hazardous substances while cleaning the room (HSE, 2023).</w:t>
            </w:r>
          </w:p>
          <w:p>
            <w:pPr>
              <w:spacing w:before="360" w:after="8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“Precautions: Create a section in your guide that outlines the necessary precautions to prevent accidents and injuries.”</w:t>
            </w:r>
          </w:p>
          <w:p>
            <w:pPr>
              <w:spacing w:before="20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While operating in the housekeeping sector of the UK, it is essential to maintain and take the necessary precautions to offer better adherence to the safety and well-being of the related personnel. As observed in the case scenario, the senior housekeeper has observed various lacks of awareness in ensuring safety regulations it is essential to eliminate any items involving flammable compositions to offer better well-being to the guests. On the other hand, as a part of a guide towards maintaining safety and well-being, it is essential to offer better training facilities to the staff in handling hazardous cleaning agents used to clean the amenities within the room as a part of the housekeeping individuals. </w:t>
            </w:r>
          </w:p>
          <w:p>
            <w:pPr>
              <w:spacing w:before="360" w:after="8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“Procedures: Outline a step-by-step procedure for room cleaning that incorporates safety measures.”</w:t>
            </w:r>
          </w:p>
          <w:p>
            <w:pPr>
              <w:numPr>
                <w:ilvl w:val="0"/>
                <w:numId w:val="47"/>
              </w:numPr>
              <w:spacing w:before="20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step-by-step process of cleaning the room while incorporating the safety measures is mentioned below;</w:t>
            </w:r>
          </w:p>
          <w:p>
            <w:pPr>
              <w:numPr>
                <w:ilvl w:val="0"/>
                <w:numId w:val="47"/>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first stage involves preparing the cleaning agents without involving any hazardous or flammable substances.</w:t>
            </w:r>
          </w:p>
          <w:p>
            <w:pPr>
              <w:numPr>
                <w:ilvl w:val="0"/>
                <w:numId w:val="47"/>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Then the housekeeper must approach the room and politely knock and ask for permission to clean the room.</w:t>
            </w:r>
          </w:p>
          <w:p>
            <w:pPr>
              <w:numPr>
                <w:ilvl w:val="0"/>
                <w:numId w:val="47"/>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Ensure to use of gloves while handling hazardous cleaning substances.</w:t>
            </w:r>
          </w:p>
          <w:p>
            <w:pPr>
              <w:numPr>
                <w:ilvl w:val="0"/>
                <w:numId w:val="47"/>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Start by cleaning the bathroom including the toilet using cleaning agents and proper globes and masks need to be ensured.</w:t>
            </w:r>
          </w:p>
          <w:p>
            <w:pPr>
              <w:numPr>
                <w:ilvl w:val="0"/>
                <w:numId w:val="47"/>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Then change the globes and apply another safety globe to dust the entire room look for the dustbins replace them dustbins and place them in an appropriate place.</w:t>
            </w:r>
          </w:p>
          <w:p>
            <w:pPr>
              <w:numPr>
                <w:ilvl w:val="0"/>
                <w:numId w:val="47"/>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Clean the bed and clear any dust within the bed.</w:t>
            </w:r>
          </w:p>
          <w:p>
            <w:pPr>
              <w:numPr>
                <w:ilvl w:val="0"/>
                <w:numId w:val="47"/>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Lastly, observe the overall room look for any potential cleaning areas and ensure everything is cleaned.</w:t>
            </w:r>
          </w:p>
          <w:p>
            <w:pPr>
              <w:numPr>
                <w:ilvl w:val="0"/>
                <w:numId w:val="47"/>
              </w:numPr>
              <w:spacing w:before="0" w:after="20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Lastly, leave the room.</w:t>
            </w:r>
          </w:p>
          <w:p>
            <w:pPr>
              <w:spacing w:before="360" w:after="8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“Equipment: Provide a list of essential equipment and tools that should be used safely during room cleaning.”</w:t>
            </w:r>
          </w:p>
          <w:p>
            <w:pPr>
              <w:spacing w:before="20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section of the report mostly demonstrates the detailed enlisting of various essential equipment to be considered for ensuring safety during room cleaning. One of the most essential elements to consider is the Housekeeping carts for offering better and more effective room cleaning facilities. Similarly, the housekeeping carts involved better accommodation and services and offer carrying of various cleaning substances and other cleaning accessories to offer hazardous-free safety during the room cleaning. On the other hand, the vacuum cleaner is another essential equipment to consider having while clearing the room. Furthermore, as stated by various UK government legislations, it is essential to use proper gear while using various hazardous cleaning substances. Therefore, while conducting housekeeping operations in the UK housekeeping sections, it is essential to include two safety gear including safety glasses, gloves, face shield etc. These are some of the various and essential equipment to have to be personnel of a housekeeping department.</w:t>
            </w:r>
          </w:p>
          <w:p>
            <w:pPr>
              <w:spacing w:before="360" w:after="8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“Hazard Mitigation: Identify potential hazards specific to room cleaning and provide practical solutions to mitigate them.”</w:t>
            </w:r>
          </w:p>
          <w:p>
            <w:pPr>
              <w:spacing w:before="20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Lastly, after identifying the various potential hazards it is essential to determine the probable solutions to mitigate the probable potential risks while operating and cleaning the hotel rooms. One of the probable identified mitigation strategies is to offer better and more accurate training facilities to the housekeeper while handling the risky substances to ensure better operations. On the other hand, as a mitigation strategy, it is appreciated to use non-lethal and non-hazardous chemicals to clean the rooms in the hotels in the UK. Lastly, proper adherence to the legal acts set by the UK government is important related to room clearing that can act as an effective solution in ensuring the safety and well-being of the guests of the UK and other related staff.  </w:t>
            </w:r>
          </w:p>
          <w:p>
            <w:pPr>
              <w:spacing w:before="360" w:after="8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Conclusion</w:t>
            </w:r>
          </w:p>
          <w:p>
            <w:pPr>
              <w:spacing w:before="20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After completing this component 2 assignment, it has been located and found that ensuring the better safety and well-being of the guests within the hospitality and other related staff is of prime importance. Also, one of the most commonly used and effective issues caused is harmful properties within the clearing solutions that need to be properly used to ensure better applications and the well-being of the related personnel within the hospitality sector. Furthermore, various legal activities and UK government-aided factors are also to be considered for the development and well-being and also ensuring other housekeeping-related activities.</w:t>
            </w:r>
          </w:p>
          <w:p>
            <w:pPr>
              <w:spacing w:before="0" w:after="160" w:line="360"/>
              <w:ind w:right="0" w:left="0" w:firstLine="0"/>
              <w:jc w:val="left"/>
              <w:rPr>
                <w:rFonts w:ascii="Arial" w:hAnsi="Arial" w:cs="Arial" w:eastAsia="Arial"/>
                <w:color w:val="auto"/>
                <w:spacing w:val="0"/>
                <w:position w:val="0"/>
                <w:sz w:val="24"/>
                <w:shd w:fill="auto" w:val="clear"/>
              </w:rPr>
            </w:pPr>
          </w:p>
          <w:p>
            <w:pPr>
              <w:spacing w:before="20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 Component Presentations</w:t>
            </w:r>
          </w:p>
          <w:p>
            <w:pPr>
              <w:spacing w:before="360" w:after="8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Introduction</w:t>
            </w:r>
          </w:p>
          <w:p>
            <w:pPr>
              <w:numPr>
                <w:ilvl w:val="0"/>
                <w:numId w:val="59"/>
              </w:numPr>
              <w:spacing w:before="20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As identified earlier, the incorporation of these safety measures can be effectively developed using dedicated training facilities.</w:t>
            </w:r>
          </w:p>
          <w:p>
            <w:pPr>
              <w:numPr>
                <w:ilvl w:val="0"/>
                <w:numId w:val="59"/>
              </w:numPr>
              <w:spacing w:before="0" w:after="20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Through effective training facilities, it is much easier to emphasise the benefits of incorporating these safety protocols as well as offering detailed steps to ensure safety protocols in the Rossington Hall Hotel hotels in the UK.</w:t>
            </w:r>
          </w:p>
          <w:p>
            <w:pPr>
              <w:spacing w:before="20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From the above components, it can be further estimated that the estimating of various safety regulations especially in the housekeeping department of the hospitality sector is much more significant. The primary aim of this presentation is to train housekeeping employees to ensure safety protocols and health measures for maintaining well-being.</w:t>
            </w:r>
          </w:p>
          <w:p>
            <w:pPr>
              <w:keepNext w:val="true"/>
              <w:keepLines w:val="true"/>
              <w:spacing w:before="360" w:after="8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Importance of health and safety guide in the housekeeping sector</w:t>
            </w:r>
          </w:p>
          <w:p>
            <w:pPr>
              <w:spacing w:before="200" w:after="200" w:line="360"/>
              <w:ind w:right="0" w:left="1080" w:hanging="360"/>
              <w:jc w:val="both"/>
              <w:rPr>
                <w:rFonts w:ascii="Arial" w:hAnsi="Arial" w:cs="Arial" w:eastAsia="Arial"/>
                <w:color w:val="auto"/>
                <w:spacing w:val="0"/>
                <w:position w:val="0"/>
                <w:sz w:val="24"/>
                <w:shd w:fill="auto" w:val="clear"/>
              </w:rPr>
            </w:pPr>
            <w:r>
              <w:rPr>
                <w:rFonts w:ascii="Segoe UI Symbol" w:hAnsi="Segoe UI Symbol" w:cs="Segoe UI Symbol" w:eastAsia="Segoe UI Symbo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The involvement of these health and safety protocols in the housekeeping sector can often lead to offering a clean and hygienic environment for the guests (Saepudin and Putra, 2023).</w:t>
            </w:r>
          </w:p>
          <w:p>
            <w:pPr>
              <w:spacing w:before="200" w:after="200" w:line="360"/>
              <w:ind w:right="0" w:left="1080" w:hanging="360"/>
              <w:jc w:val="both"/>
              <w:rPr>
                <w:rFonts w:ascii="Arial" w:hAnsi="Arial" w:cs="Arial" w:eastAsia="Arial"/>
                <w:color w:val="auto"/>
                <w:spacing w:val="0"/>
                <w:position w:val="0"/>
                <w:sz w:val="24"/>
                <w:shd w:fill="auto" w:val="clear"/>
              </w:rPr>
            </w:pPr>
            <w:r>
              <w:rPr>
                <w:rFonts w:ascii="Segoe UI Symbol" w:hAnsi="Segoe UI Symbol" w:cs="Segoe UI Symbol" w:eastAsia="Segoe UI Symbo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Incorporating these health and safety protocols in the housekeeping departments often involves better and safer usage of toxic substance and their storage.</w:t>
            </w:r>
          </w:p>
          <w:p>
            <w:pPr>
              <w:spacing w:before="20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section of the presentation mostly emphasises highlighting and identification of various health and safety guides involved in the housekeeping sector of the UK. The importance of maintaining the safety protocols and guides is essential to ensuring better applications for the housekeeping department and ensuring higher straying experiences for the guests of the Rossington Hall Hotel. Similarly, the involvement of safety and hygienic factors in the housekeeping department can often lead to ensuring that hazardous materials from spilt and causing any fatal damages certainly contributes to ensuring better hygienic measures and higher customer loyalty for the Rossington Hall Hotel.</w:t>
            </w:r>
          </w:p>
          <w:p>
            <w:pPr>
              <w:spacing w:before="20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On the other hand, the involvement and adherence to the various health and safety protocols often involve better cleaning and usage of the toxic and ensuring any harm to the related individuals or guests. These are some of the essential assumptions that can be considered while evaluating the probable implications of these health and safety protocols while operating as housekeeping for the Rossington Hall Hotel hotels ensuring better staying facilities for the guests and avoiding fatal circumstances.</w:t>
            </w:r>
          </w:p>
          <w:p>
            <w:pPr>
              <w:spacing w:before="360" w:after="8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Various UK legislations to follow while serving safety factors to the housekeeping sector</w:t>
            </w:r>
          </w:p>
          <w:p>
            <w:pPr>
              <w:spacing w:before="200" w:after="200" w:line="360"/>
              <w:ind w:right="0" w:left="1080" w:hanging="360"/>
              <w:jc w:val="both"/>
              <w:rPr>
                <w:rFonts w:ascii="Arial" w:hAnsi="Arial" w:cs="Arial" w:eastAsia="Arial"/>
                <w:color w:val="auto"/>
                <w:spacing w:val="0"/>
                <w:position w:val="0"/>
                <w:sz w:val="24"/>
                <w:shd w:fill="auto" w:val="clear"/>
              </w:rPr>
            </w:pPr>
            <w:r>
              <w:rPr>
                <w:rFonts w:ascii="Segoe UI Symbol" w:hAnsi="Segoe UI Symbol" w:cs="Segoe UI Symbol" w:eastAsia="Segoe UI Symbo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The Act of 1992, mostly covers a wider range of health, safety, and welfare issues and its dedicated mitigation factors to consider for the betterment of the related people within the workplace (Legislation, 2023).</w:t>
            </w:r>
          </w:p>
          <w:p>
            <w:pPr>
              <w:spacing w:before="200" w:after="200" w:line="360"/>
              <w:ind w:right="0" w:left="1080" w:hanging="360"/>
              <w:jc w:val="both"/>
              <w:rPr>
                <w:rFonts w:ascii="Arial" w:hAnsi="Arial" w:cs="Arial" w:eastAsia="Arial"/>
                <w:color w:val="auto"/>
                <w:spacing w:val="0"/>
                <w:position w:val="0"/>
                <w:sz w:val="24"/>
                <w:shd w:fill="auto" w:val="clear"/>
              </w:rPr>
            </w:pPr>
            <w:r>
              <w:rPr>
                <w:rFonts w:ascii="Segoe UI Symbol" w:hAnsi="Segoe UI Symbol" w:cs="Segoe UI Symbol" w:eastAsia="Segoe UI Symbo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Furthermore, the involvement or incorporation of this Act of 1992, mostly includes offering suitable ventilation, temperature, and cleanliness.</w:t>
            </w:r>
          </w:p>
          <w:p>
            <w:pPr>
              <w:spacing w:before="200" w:after="200" w:line="360"/>
              <w:ind w:right="0" w:left="1080" w:hanging="360"/>
              <w:jc w:val="both"/>
              <w:rPr>
                <w:rFonts w:ascii="Arial" w:hAnsi="Arial" w:cs="Arial" w:eastAsia="Arial"/>
                <w:color w:val="auto"/>
                <w:spacing w:val="0"/>
                <w:position w:val="0"/>
                <w:sz w:val="24"/>
                <w:shd w:fill="auto" w:val="clear"/>
              </w:rPr>
            </w:pPr>
            <w:r>
              <w:rPr>
                <w:rFonts w:ascii="Segoe UI Symbol" w:hAnsi="Segoe UI Symbol" w:cs="Segoe UI Symbol" w:eastAsia="Segoe UI Symbo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Also, involves working space, and workstations but is mostly incorporated in the housekeeping sectors.</w:t>
            </w:r>
          </w:p>
          <w:p>
            <w:pPr>
              <w:spacing w:before="20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is a section of the presentation that mostly involves highlighting various sets of legislation that can be considered to incorporate the safety protocols within the housekeeping sectors of the UK. One of the most prominent and relevant UK-based legislation that emphasises on the incorporation of housekeeping safety is the Workplace (Health, Safety and Welfare) Regulations 1992. Also, this Act of 1992, involves conductions of floors and traffic routes management for offering better and heath-ensured applications of various measurements that can be incorporated to have high-end housekeeping operations for the Rossington Hall Hotel.</w:t>
            </w:r>
          </w:p>
          <w:p>
            <w:pPr>
              <w:spacing w:before="200" w:after="200" w:line="360"/>
              <w:ind w:right="0" w:left="1080" w:hanging="360"/>
              <w:jc w:val="both"/>
              <w:rPr>
                <w:rFonts w:ascii="Arial" w:hAnsi="Arial" w:cs="Arial" w:eastAsia="Arial"/>
                <w:color w:val="auto"/>
                <w:spacing w:val="0"/>
                <w:position w:val="0"/>
                <w:sz w:val="24"/>
                <w:shd w:fill="auto" w:val="clear"/>
              </w:rPr>
            </w:pPr>
            <w:r>
              <w:rPr>
                <w:rFonts w:ascii="Segoe UI Symbol" w:hAnsi="Segoe UI Symbol" w:cs="Segoe UI Symbol" w:eastAsia="Segoe UI Symbo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The Control of Substances Hazardous to Health (COSHH) Regulations 2002 mostly state various statutory regulations to be considered for protecting individuals from health hazards and toxic substances (Nwleics, 2023).</w:t>
            </w:r>
          </w:p>
          <w:p>
            <w:pPr>
              <w:spacing w:before="200" w:after="200" w:line="360"/>
              <w:ind w:right="0" w:left="1080" w:hanging="360"/>
              <w:jc w:val="both"/>
              <w:rPr>
                <w:rFonts w:ascii="Arial" w:hAnsi="Arial" w:cs="Arial" w:eastAsia="Arial"/>
                <w:color w:val="auto"/>
                <w:spacing w:val="0"/>
                <w:position w:val="0"/>
                <w:sz w:val="24"/>
                <w:shd w:fill="auto" w:val="clear"/>
              </w:rPr>
            </w:pPr>
            <w:r>
              <w:rPr>
                <w:rFonts w:ascii="Segoe UI Symbol" w:hAnsi="Segoe UI Symbol" w:cs="Segoe UI Symbol" w:eastAsia="Segoe UI Symbo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Thus, using this COSHH can offer dedicated training in handling toxic substances while using these in cleaning the rooms and bathrooms.</w:t>
            </w:r>
          </w:p>
          <w:p>
            <w:pPr>
              <w:spacing w:before="20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On the other hand, adherence to the Control of Substances Hazardous to Health (COSHH) Regulations 2002 is another essential law to consider while operating in the UK hospitality sector. Similarly, this Act of 2002, can offer better handling of hazardous substances to prevent ourselves and others.</w:t>
            </w:r>
          </w:p>
          <w:p>
            <w:pPr>
              <w:spacing w:before="360" w:after="8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Ideal practices to consider implicating the safety protocols in the housekeeping sector.</w:t>
            </w:r>
          </w:p>
          <w:p>
            <w:pPr>
              <w:spacing w:before="20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section of the presentation mostly addresses the various safety practices to consider for offering better and safer practices, especially in the housekeeping sectors of the UK. There were multiple safety practices to consider for housekeeping are mentioned below;</w:t>
            </w:r>
          </w:p>
          <w:p>
            <w:pPr>
              <w:numPr>
                <w:ilvl w:val="0"/>
                <w:numId w:val="72"/>
              </w:numPr>
              <w:spacing w:before="20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clean-up spills needed to be immediately cleaned to avoid any sort of mishap that might lead to serious dangers.</w:t>
            </w:r>
          </w:p>
          <w:p>
            <w:pPr>
              <w:numPr>
                <w:ilvl w:val="0"/>
                <w:numId w:val="72"/>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housekeepers of the Rossington Hall Hotel need to carry or wear protective masks and assigned protective gear to prevent any harm to themselves from handling clearing materials.</w:t>
            </w:r>
          </w:p>
          <w:p>
            <w:pPr>
              <w:numPr>
                <w:ilvl w:val="0"/>
                <w:numId w:val="72"/>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It is also needed to use the right products equipment and eco-friendly components to indulge these safety protocols for the housekeeping sectors.</w:t>
            </w:r>
          </w:p>
          <w:p>
            <w:pPr>
              <w:numPr>
                <w:ilvl w:val="0"/>
                <w:numId w:val="72"/>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Apart from handling various toxic substances, it is much more important to ensure proper storing of those harmful chemicals to prevent any sort of intoxication.</w:t>
            </w:r>
          </w:p>
          <w:p>
            <w:pPr>
              <w:numPr>
                <w:ilvl w:val="0"/>
                <w:numId w:val="72"/>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It is also a fair and appreciated practice to use materials and look for fire hazards while using the housekeeping departments of the Rossington Hall Hotel.</w:t>
            </w:r>
          </w:p>
          <w:p>
            <w:pPr>
              <w:spacing w:before="20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Therefore, these are some of the safety practices that the housekeeping sector of the UK needs to develop through training that can be very important for the housekeeping department to be involved for the better offering of guests' well-being and relevance.</w:t>
            </w:r>
          </w:p>
          <w:p>
            <w:pPr>
              <w:spacing w:before="360" w:after="8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Various preventive measures to consider while operating in the housekeeping sector of the UK.</w:t>
            </w:r>
          </w:p>
          <w:p>
            <w:pPr>
              <w:numPr>
                <w:ilvl w:val="0"/>
                <w:numId w:val="76"/>
              </w:numPr>
              <w:spacing w:before="20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As observed earlier, one of the most common preventive measures is </w:t>
            </w:r>
            <w:r>
              <w:rPr>
                <w:rFonts w:ascii="Arial" w:hAnsi="Arial" w:cs="Arial" w:eastAsia="Arial"/>
                <w:i/>
                <w:color w:val="auto"/>
                <w:spacing w:val="0"/>
                <w:position w:val="0"/>
                <w:sz w:val="24"/>
                <w:shd w:fill="auto" w:val="clear"/>
              </w:rPr>
              <w:t xml:space="preserve">knowing the components involving hazardous materials</w:t>
            </w:r>
            <w:r>
              <w:rPr>
                <w:rFonts w:ascii="Arial" w:hAnsi="Arial" w:cs="Arial" w:eastAsia="Arial"/>
                <w:color w:val="auto"/>
                <w:spacing w:val="0"/>
                <w:position w:val="0"/>
                <w:sz w:val="24"/>
                <w:shd w:fill="auto" w:val="clear"/>
              </w:rPr>
              <w:t xml:space="preserve">.</w:t>
            </w:r>
          </w:p>
          <w:p>
            <w:pPr>
              <w:numPr>
                <w:ilvl w:val="0"/>
                <w:numId w:val="76"/>
              </w:numPr>
              <w:spacing w:before="0" w:after="20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Another preventive measure is the </w:t>
            </w:r>
            <w:r>
              <w:rPr>
                <w:rFonts w:ascii="Arial" w:hAnsi="Arial" w:cs="Arial" w:eastAsia="Arial"/>
                <w:i/>
                <w:color w:val="auto"/>
                <w:spacing w:val="0"/>
                <w:position w:val="0"/>
                <w:sz w:val="24"/>
                <w:shd w:fill="auto" w:val="clear"/>
              </w:rPr>
              <w:t xml:space="preserve">use of protective glasses</w:t>
            </w:r>
            <w:r>
              <w:rPr>
                <w:rFonts w:ascii="Arial" w:hAnsi="Arial" w:cs="Arial" w:eastAsia="Arial"/>
                <w:color w:val="auto"/>
                <w:spacing w:val="0"/>
                <w:position w:val="0"/>
                <w:sz w:val="24"/>
                <w:shd w:fill="auto" w:val="clear"/>
              </w:rPr>
              <w:t xml:space="preserve"> and gear while handling those toxic cleaning components and avoiding unwanted usage.</w:t>
            </w:r>
          </w:p>
          <w:p>
            <w:pPr>
              <w:spacing w:before="20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is the section of the presentation that involves offering various highlighting of preventive measures to be considered to incorporate these preventive measures or safety protocols within the housekeeping department of the Rossington Hall Hotel. By understanding and knowing the toxic materials it is much more likely to ensure safer operations while handling those toxic factors, used in cleaning the rooms. Similarly, being a much-reputed brand in the hospitality sector, it is much more likely to provide protective gear to every housekeeping activity to ensure better sustainable and safer operations in the hospitality sector. </w:t>
            </w:r>
          </w:p>
          <w:p>
            <w:pPr>
              <w:spacing w:before="360" w:after="8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Conclusion</w:t>
            </w:r>
          </w:p>
          <w:p>
            <w:pPr>
              <w:spacing w:before="200" w:after="200" w:line="360"/>
              <w:ind w:right="0" w:left="1080" w:hanging="360"/>
              <w:jc w:val="both"/>
              <w:rPr>
                <w:rFonts w:ascii="Arial" w:hAnsi="Arial" w:cs="Arial" w:eastAsia="Arial"/>
                <w:color w:val="auto"/>
                <w:spacing w:val="0"/>
                <w:position w:val="0"/>
                <w:sz w:val="24"/>
                <w:shd w:fill="auto" w:val="clear"/>
              </w:rPr>
            </w:pPr>
            <w:r>
              <w:rPr>
                <w:rFonts w:ascii="Segoe UI Symbol" w:hAnsi="Segoe UI Symbol" w:cs="Segoe UI Symbol" w:eastAsia="Segoe UI Symbo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w:t>
              <w:tab/>
              <w:t xml:space="preserve">After completing this assignment, it can be found that incorporating these safety measures or protocols is essential to offer well-being and ensure better sustainability of the related operations.</w:t>
            </w:r>
          </w:p>
          <w:p>
            <w:pPr>
              <w:spacing w:before="20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Furthermore, it has also been found that the use of protective glasses and following the proper UK government guidelines are some of the prime measures to consider while operating in the UK housekeeping sector, especially in a reputed hotel chain brand such as Rossington Hall Hotel.</w:t>
              <w:br/>
            </w:r>
          </w:p>
          <w:p>
            <w:pPr>
              <w:spacing w:before="480" w:after="120" w:line="360"/>
              <w:ind w:right="0" w:left="0" w:firstLine="0"/>
              <w:jc w:val="left"/>
              <w:rPr>
                <w:rFonts w:ascii="Arial" w:hAnsi="Arial" w:cs="Arial" w:eastAsia="Arial"/>
                <w:b/>
                <w:color w:val="auto"/>
                <w:spacing w:val="0"/>
                <w:position w:val="0"/>
                <w:sz w:val="24"/>
                <w:shd w:fill="auto" w:val="clear"/>
              </w:rPr>
            </w:pPr>
          </w:p>
          <w:p>
            <w:pPr>
              <w:spacing w:before="480" w:after="12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Reference list</w:t>
            </w:r>
          </w:p>
          <w:p>
            <w:pPr>
              <w:spacing w:before="200" w:after="20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Bridger, E., 2022. </w:t>
            </w:r>
            <w:r>
              <w:rPr>
                <w:rFonts w:ascii="Arial" w:hAnsi="Arial" w:cs="Arial" w:eastAsia="Arial"/>
                <w:i/>
                <w:color w:val="auto"/>
                <w:spacing w:val="0"/>
                <w:position w:val="0"/>
                <w:sz w:val="24"/>
                <w:shd w:fill="FFFFFF" w:val="clear"/>
              </w:rPr>
              <w:t xml:space="preserve">Employee engagement: A practical introduction</w:t>
            </w:r>
            <w:r>
              <w:rPr>
                <w:rFonts w:ascii="Arial" w:hAnsi="Arial" w:cs="Arial" w:eastAsia="Arial"/>
                <w:color w:val="auto"/>
                <w:spacing w:val="0"/>
                <w:position w:val="0"/>
                <w:sz w:val="24"/>
                <w:shd w:fill="FFFFFF" w:val="clear"/>
              </w:rPr>
              <w:t xml:space="preserve"> (Vol. 24). Kogan Page Publishers.</w:t>
            </w:r>
          </w:p>
          <w:p>
            <w:pPr>
              <w:spacing w:before="200" w:after="20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Cottrell, S., 2013. </w:t>
            </w:r>
            <w:r>
              <w:rPr>
                <w:rFonts w:ascii="Arial" w:hAnsi="Arial" w:cs="Arial" w:eastAsia="Arial"/>
                <w:i/>
                <w:color w:val="auto"/>
                <w:spacing w:val="0"/>
                <w:position w:val="0"/>
                <w:sz w:val="24"/>
                <w:shd w:fill="FFFFFF" w:val="clear"/>
              </w:rPr>
              <w:t xml:space="preserve">The study skills handbook</w:t>
            </w:r>
            <w:r>
              <w:rPr>
                <w:rFonts w:ascii="Arial" w:hAnsi="Arial" w:cs="Arial" w:eastAsia="Arial"/>
                <w:color w:val="auto"/>
                <w:spacing w:val="0"/>
                <w:position w:val="0"/>
                <w:sz w:val="24"/>
                <w:shd w:fill="FFFFFF" w:val="clear"/>
              </w:rPr>
              <w:t xml:space="preserve">. Macmillan International Higher Education.</w:t>
            </w:r>
          </w:p>
          <w:p>
            <w:pPr>
              <w:spacing w:before="200" w:after="20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Ezezika, O. and Johnston, N., 2023. Development and implementation of a reflective writing assignment for undergraduate students in a large public health biology course. </w:t>
            </w:r>
            <w:r>
              <w:rPr>
                <w:rFonts w:ascii="Arial" w:hAnsi="Arial" w:cs="Arial" w:eastAsia="Arial"/>
                <w:i/>
                <w:color w:val="auto"/>
                <w:spacing w:val="0"/>
                <w:position w:val="0"/>
                <w:sz w:val="24"/>
                <w:shd w:fill="FFFFFF" w:val="clear"/>
              </w:rPr>
              <w:t xml:space="preserve">Pedagogy in Health Promotion</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9</w:t>
            </w:r>
            <w:r>
              <w:rPr>
                <w:rFonts w:ascii="Arial" w:hAnsi="Arial" w:cs="Arial" w:eastAsia="Arial"/>
                <w:color w:val="auto"/>
                <w:spacing w:val="0"/>
                <w:position w:val="0"/>
                <w:sz w:val="24"/>
                <w:shd w:fill="FFFFFF" w:val="clear"/>
              </w:rPr>
              <w:t xml:space="preserve">(2), pp.101-115.</w:t>
            </w:r>
          </w:p>
          <w:p>
            <w:pPr>
              <w:spacing w:before="200" w:after="20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Hashim, S.N.A., Yaacob, A., Suryani, I., Asraf, R.M., Bahador, Z. and Supian, N., 2023. Exploring the Use of Gibbs' Reflective Model in Enhancing In-Service ESL Teachers' Reflective Writing. </w:t>
            </w:r>
            <w:r>
              <w:rPr>
                <w:rFonts w:ascii="Arial" w:hAnsi="Arial" w:cs="Arial" w:eastAsia="Arial"/>
                <w:i/>
                <w:color w:val="auto"/>
                <w:spacing w:val="0"/>
                <w:position w:val="0"/>
                <w:sz w:val="24"/>
                <w:shd w:fill="FFFFFF" w:val="clear"/>
              </w:rPr>
              <w:t xml:space="preserve">Arab World English Journal</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14</w:t>
            </w:r>
            <w:r>
              <w:rPr>
                <w:rFonts w:ascii="Arial" w:hAnsi="Arial" w:cs="Arial" w:eastAsia="Arial"/>
                <w:color w:val="auto"/>
                <w:spacing w:val="0"/>
                <w:position w:val="0"/>
                <w:sz w:val="24"/>
                <w:shd w:fill="FFFFFF" w:val="clear"/>
              </w:rPr>
              <w:t xml:space="preserve">(2).</w:t>
            </w:r>
          </w:p>
          <w:p>
            <w:pPr>
              <w:spacing w:before="200" w:after="20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Hse, 2023. </w:t>
            </w:r>
            <w:r>
              <w:rPr>
                <w:rFonts w:ascii="Arial" w:hAnsi="Arial" w:cs="Arial" w:eastAsia="Arial"/>
                <w:i/>
                <w:color w:val="auto"/>
                <w:spacing w:val="0"/>
                <w:position w:val="0"/>
                <w:sz w:val="24"/>
                <w:shd w:fill="FFFFFF" w:val="clear"/>
              </w:rPr>
              <w:t xml:space="preserve">Personal protective equipment (PPE) at work regulations from 6 April 2022</w:t>
            </w:r>
            <w:r>
              <w:rPr>
                <w:rFonts w:ascii="Arial" w:hAnsi="Arial" w:cs="Arial" w:eastAsia="Arial"/>
                <w:color w:val="auto"/>
                <w:spacing w:val="0"/>
                <w:position w:val="0"/>
                <w:sz w:val="24"/>
                <w:shd w:fill="FFFFFF" w:val="clear"/>
              </w:rPr>
              <w:t xml:space="preserve">. [Online] Available at:&lt; </w:t>
            </w:r>
            <w:hyperlink xmlns:r="http://schemas.openxmlformats.org/officeDocument/2006/relationships" r:id="docRId2">
              <w:r>
                <w:rPr>
                  <w:rFonts w:ascii="Arial" w:hAnsi="Arial" w:cs="Arial" w:eastAsia="Arial"/>
                  <w:color w:val="0000FF"/>
                  <w:spacing w:val="0"/>
                  <w:position w:val="0"/>
                  <w:sz w:val="24"/>
                  <w:u w:val="single"/>
                  <w:shd w:fill="FFFFFF" w:val="clear"/>
                </w:rPr>
                <w:t xml:space="preserve">https://www.hse.gov.uk/ppe/ppe-regulations-2022.htm#:~:text=PPER%201992%20places%20a%20duty,force%20on%206%20April%202022</w:t>
              </w:r>
            </w:hyperlink>
            <w:r>
              <w:rPr>
                <w:rFonts w:ascii="Arial" w:hAnsi="Arial" w:cs="Arial" w:eastAsia="Arial"/>
                <w:color w:val="auto"/>
                <w:spacing w:val="0"/>
                <w:position w:val="0"/>
                <w:sz w:val="24"/>
                <w:shd w:fill="FFFFFF" w:val="clear"/>
              </w:rPr>
              <w:t xml:space="preserve">.&gt; [Accessed on 13th February 2024]</w:t>
            </w:r>
          </w:p>
          <w:p>
            <w:pPr>
              <w:spacing w:before="200" w:after="20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Hse, 2023.</w:t>
            </w:r>
            <w:r>
              <w:rPr>
                <w:rFonts w:ascii="Arial" w:hAnsi="Arial" w:cs="Arial" w:eastAsia="Arial"/>
                <w:i/>
                <w:color w:val="auto"/>
                <w:spacing w:val="0"/>
                <w:position w:val="0"/>
                <w:sz w:val="24"/>
                <w:shd w:fill="FFFFFF" w:val="clear"/>
              </w:rPr>
              <w:t xml:space="preserve">Workplace health, safety and welfare. Workplace (Health, Safety and Welfare) Regulations 1992. Approved Code of Practice and guidance</w:t>
            </w:r>
            <w:r>
              <w:rPr>
                <w:rFonts w:ascii="Arial" w:hAnsi="Arial" w:cs="Arial" w:eastAsia="Arial"/>
                <w:color w:val="auto"/>
                <w:spacing w:val="0"/>
                <w:position w:val="0"/>
                <w:sz w:val="24"/>
                <w:shd w:fill="FFFFFF" w:val="clear"/>
              </w:rPr>
              <w:t xml:space="preserve">. [Online] Available at:&lt;https://www.hse.gov.uk/pubns/books/l24.htm&gt; [Accessed on 13th February 2024]</w:t>
            </w:r>
          </w:p>
          <w:p>
            <w:pPr>
              <w:spacing w:before="200" w:after="20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Legislation, 2023. </w:t>
            </w:r>
            <w:r>
              <w:rPr>
                <w:rFonts w:ascii="Arial" w:hAnsi="Arial" w:cs="Arial" w:eastAsia="Arial"/>
                <w:i/>
                <w:color w:val="auto"/>
                <w:spacing w:val="0"/>
                <w:position w:val="0"/>
                <w:sz w:val="24"/>
                <w:shd w:fill="FFFFFF" w:val="clear"/>
              </w:rPr>
              <w:t xml:space="preserve">The Workplace (Health, Safety and Welfare) Regulations 1992</w:t>
            </w:r>
            <w:r>
              <w:rPr>
                <w:rFonts w:ascii="Arial" w:hAnsi="Arial" w:cs="Arial" w:eastAsia="Arial"/>
                <w:color w:val="auto"/>
                <w:spacing w:val="0"/>
                <w:position w:val="0"/>
                <w:sz w:val="24"/>
                <w:shd w:fill="FFFFFF" w:val="clear"/>
              </w:rPr>
              <w:t xml:space="preserve">. [Online] Available at:&lt;https://www.legislation.gov.uk/uksi/1992/3004/made#:~:text=Condition%20of%20floors%20and%20traffic,for%20which%20it%20is%20used.&gt; [Accessed on 13th February 2024]</w:t>
            </w:r>
          </w:p>
          <w:p>
            <w:pPr>
              <w:spacing w:before="200" w:after="20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Mullins, L.J., 2007. </w:t>
            </w:r>
            <w:r>
              <w:rPr>
                <w:rFonts w:ascii="Arial" w:hAnsi="Arial" w:cs="Arial" w:eastAsia="Arial"/>
                <w:i/>
                <w:color w:val="auto"/>
                <w:spacing w:val="0"/>
                <w:position w:val="0"/>
                <w:sz w:val="24"/>
                <w:shd w:fill="FFFFFF" w:val="clear"/>
              </w:rPr>
              <w:t xml:space="preserve">Management and organisational behaviour</w:t>
            </w:r>
            <w:r>
              <w:rPr>
                <w:rFonts w:ascii="Arial" w:hAnsi="Arial" w:cs="Arial" w:eastAsia="Arial"/>
                <w:color w:val="auto"/>
                <w:spacing w:val="0"/>
                <w:position w:val="0"/>
                <w:sz w:val="24"/>
                <w:shd w:fill="FFFFFF" w:val="clear"/>
              </w:rPr>
              <w:t xml:space="preserve">. Pearson education.</w:t>
            </w:r>
          </w:p>
          <w:p>
            <w:pPr>
              <w:spacing w:before="200" w:after="20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Nwleics, 2023. </w:t>
            </w:r>
            <w:r>
              <w:rPr>
                <w:rFonts w:ascii="Arial" w:hAnsi="Arial" w:cs="Arial" w:eastAsia="Arial"/>
                <w:i/>
                <w:color w:val="auto"/>
                <w:spacing w:val="0"/>
                <w:position w:val="0"/>
                <w:sz w:val="24"/>
                <w:shd w:fill="FFFFFF" w:val="clear"/>
              </w:rPr>
              <w:t xml:space="preserve">Control of Substances Hazardous to Health (COSHH)</w:t>
            </w:r>
            <w:r>
              <w:rPr>
                <w:rFonts w:ascii="Arial" w:hAnsi="Arial" w:cs="Arial" w:eastAsia="Arial"/>
                <w:color w:val="auto"/>
                <w:spacing w:val="0"/>
                <w:position w:val="0"/>
                <w:sz w:val="24"/>
                <w:shd w:fill="FFFFFF" w:val="clear"/>
              </w:rPr>
              <w:t xml:space="preserve">. [Online] Available at:&lt;https://www.nwleics.gov.uk/pages/pollution_control_hazardous_substances#:~:text=COSHH%20regulations%202002,%2C%20fumes%20and%20waste%20products).&gt; [Accessed on 13th February 2024]</w:t>
            </w:r>
          </w:p>
          <w:p>
            <w:pPr>
              <w:spacing w:before="200" w:after="20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Saepudin, P. and Putra, F.K.K., 2023. Analyzing the application of cleanliness, health, safety, and environmental sustainability (CHSE) certification in the hotel business sector during the COVID-19 pandemic: perspectives of managers. </w:t>
            </w:r>
            <w:r>
              <w:rPr>
                <w:rFonts w:ascii="Arial" w:hAnsi="Arial" w:cs="Arial" w:eastAsia="Arial"/>
                <w:i/>
                <w:color w:val="auto"/>
                <w:spacing w:val="0"/>
                <w:position w:val="0"/>
                <w:sz w:val="24"/>
                <w:shd w:fill="FFFFFF" w:val="clear"/>
              </w:rPr>
              <w:t xml:space="preserve">Tourism and hospitality management</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29</w:t>
            </w:r>
            <w:r>
              <w:rPr>
                <w:rFonts w:ascii="Arial" w:hAnsi="Arial" w:cs="Arial" w:eastAsia="Arial"/>
                <w:color w:val="auto"/>
                <w:spacing w:val="0"/>
                <w:position w:val="0"/>
                <w:sz w:val="24"/>
                <w:shd w:fill="FFFFFF" w:val="clear"/>
              </w:rPr>
              <w:t xml:space="preserve">(4), pp.517-529.</w:t>
            </w:r>
          </w:p>
          <w:p>
            <w:pPr>
              <w:spacing w:before="200" w:after="20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Stevens, D.D. and Cooper, J.E., 2023. </w:t>
            </w:r>
            <w:r>
              <w:rPr>
                <w:rFonts w:ascii="Arial" w:hAnsi="Arial" w:cs="Arial" w:eastAsia="Arial"/>
                <w:i/>
                <w:color w:val="auto"/>
                <w:spacing w:val="0"/>
                <w:position w:val="0"/>
                <w:sz w:val="24"/>
                <w:shd w:fill="FFFFFF" w:val="clear"/>
              </w:rPr>
              <w:t xml:space="preserve">Journal keeping: How to use reflective writing for learning, teaching, professional insight and positive change</w:t>
            </w:r>
            <w:r>
              <w:rPr>
                <w:rFonts w:ascii="Arial" w:hAnsi="Arial" w:cs="Arial" w:eastAsia="Arial"/>
                <w:color w:val="auto"/>
                <w:spacing w:val="0"/>
                <w:position w:val="0"/>
                <w:sz w:val="24"/>
                <w:shd w:fill="FFFFFF" w:val="clear"/>
              </w:rPr>
              <w:t xml:space="preserve">. Taylor &amp; Francis.</w:t>
            </w: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829"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000000"/>
                <w:spacing w:val="0"/>
                <w:position w:val="0"/>
                <w:sz w:val="24"/>
                <w:shd w:fill="auto" w:val="clear"/>
              </w:rPr>
            </w:pPr>
          </w:p>
          <w:p>
            <w:pPr>
              <w:spacing w:before="0" w:after="160" w:line="360"/>
              <w:ind w:right="0" w:left="0" w:firstLine="0"/>
              <w:jc w:val="left"/>
              <w:rPr>
                <w:rFonts w:ascii="Arial" w:hAnsi="Arial" w:cs="Arial" w:eastAsia="Arial"/>
                <w:color w:val="000000"/>
                <w:spacing w:val="0"/>
                <w:position w:val="0"/>
                <w:sz w:val="24"/>
                <w:shd w:fill="auto" w:val="clear"/>
              </w:rPr>
            </w:pPr>
          </w:p>
          <w:p>
            <w:pPr>
              <w:spacing w:before="0" w:after="160" w:line="360"/>
              <w:ind w:right="0" w:left="0" w:firstLine="0"/>
              <w:jc w:val="left"/>
              <w:rPr>
                <w:rFonts w:ascii="Arial" w:hAnsi="Arial" w:cs="Arial" w:eastAsia="Arial"/>
                <w:color w:val="000000"/>
                <w:spacing w:val="0"/>
                <w:position w:val="0"/>
                <w:sz w:val="24"/>
                <w:shd w:fill="auto" w:val="clear"/>
              </w:rPr>
            </w:pPr>
          </w:p>
          <w:p>
            <w:pPr>
              <w:spacing w:before="0" w:after="160" w:line="360"/>
              <w:ind w:right="0" w:left="0" w:firstLine="0"/>
              <w:jc w:val="left"/>
              <w:rPr>
                <w:rFonts w:ascii="Arial" w:hAnsi="Arial" w:cs="Arial" w:eastAsia="Arial"/>
                <w:color w:val="000000"/>
                <w:spacing w:val="0"/>
                <w:position w:val="0"/>
                <w:sz w:val="24"/>
                <w:shd w:fill="auto" w:val="clear"/>
              </w:rPr>
            </w:pPr>
          </w:p>
          <w:p>
            <w:pPr>
              <w:spacing w:before="0" w:after="160" w:line="360"/>
              <w:ind w:right="0" w:left="0" w:firstLine="0"/>
              <w:jc w:val="left"/>
              <w:rPr>
                <w:rFonts w:ascii="Arial" w:hAnsi="Arial" w:cs="Arial" w:eastAsia="Arial"/>
                <w:color w:val="000000"/>
                <w:spacing w:val="0"/>
                <w:position w:val="0"/>
                <w:sz w:val="24"/>
                <w:shd w:fill="auto" w:val="clear"/>
              </w:rPr>
            </w:pPr>
          </w:p>
          <w:p>
            <w:pPr>
              <w:spacing w:before="0" w:after="160" w:line="360"/>
              <w:ind w:right="0" w:left="0" w:firstLine="0"/>
              <w:jc w:val="left"/>
              <w:rPr>
                <w:rFonts w:ascii="Arial" w:hAnsi="Arial" w:cs="Arial" w:eastAsia="Arial"/>
                <w:color w:val="000000"/>
                <w:spacing w:val="0"/>
                <w:position w:val="0"/>
                <w:sz w:val="24"/>
                <w:shd w:fill="auto" w:val="clear"/>
              </w:rPr>
            </w:pPr>
          </w:p>
          <w:p>
            <w:pPr>
              <w:spacing w:before="0" w:after="160" w:line="360"/>
              <w:ind w:right="0" w:left="0" w:firstLine="0"/>
              <w:jc w:val="left"/>
              <w:rPr>
                <w:rFonts w:ascii="Arial" w:hAnsi="Arial" w:cs="Arial" w:eastAsia="Arial"/>
                <w:color w:val="000000"/>
                <w:spacing w:val="0"/>
                <w:position w:val="0"/>
                <w:sz w:val="24"/>
                <w:shd w:fill="auto" w:val="clear"/>
              </w:rPr>
            </w:pPr>
          </w:p>
          <w:p>
            <w:pPr>
              <w:spacing w:before="0" w:after="160" w:line="360"/>
              <w:ind w:right="0" w:left="0" w:firstLine="0"/>
              <w:jc w:val="left"/>
              <w:rPr>
                <w:rFonts w:ascii="Arial" w:hAnsi="Arial" w:cs="Arial" w:eastAsia="Arial"/>
                <w:color w:val="000000"/>
                <w:spacing w:val="0"/>
                <w:position w:val="0"/>
                <w:sz w:val="24"/>
                <w:shd w:fill="auto" w:val="clear"/>
              </w:rPr>
            </w:pPr>
          </w:p>
          <w:p>
            <w:pPr>
              <w:spacing w:before="0" w:after="160" w:line="360"/>
              <w:ind w:right="0" w:left="0" w:firstLine="0"/>
              <w:jc w:val="left"/>
              <w:rPr>
                <w:rFonts w:ascii="Arial" w:hAnsi="Arial" w:cs="Arial" w:eastAsia="Arial"/>
                <w:color w:val="000000"/>
                <w:spacing w:val="0"/>
                <w:position w:val="0"/>
                <w:sz w:val="24"/>
                <w:shd w:fill="auto" w:val="clear"/>
              </w:rPr>
            </w:pPr>
          </w:p>
          <w:p>
            <w:pPr>
              <w:spacing w:before="0" w:after="160" w:line="360"/>
              <w:ind w:right="0" w:left="0" w:firstLine="0"/>
              <w:jc w:val="left"/>
              <w:rPr>
                <w:rFonts w:ascii="Arial" w:hAnsi="Arial" w:cs="Arial" w:eastAsia="Arial"/>
                <w:color w:val="000000"/>
                <w:spacing w:val="0"/>
                <w:position w:val="0"/>
                <w:sz w:val="24"/>
                <w:shd w:fill="auto" w:val="clear"/>
              </w:rPr>
            </w:pPr>
          </w:p>
          <w:p>
            <w:pPr>
              <w:spacing w:before="0" w:after="160" w:line="360"/>
              <w:ind w:right="0" w:left="0" w:firstLine="0"/>
              <w:jc w:val="left"/>
              <w:rPr>
                <w:rFonts w:ascii="Arial" w:hAnsi="Arial" w:cs="Arial" w:eastAsia="Arial"/>
                <w:color w:val="000000"/>
                <w:spacing w:val="0"/>
                <w:position w:val="0"/>
                <w:sz w:val="24"/>
                <w:shd w:fill="auto" w:val="clear"/>
              </w:rPr>
            </w:pPr>
          </w:p>
          <w:p>
            <w:pPr>
              <w:spacing w:before="0" w:after="160" w:line="360"/>
              <w:ind w:right="0" w:left="0" w:firstLine="0"/>
              <w:jc w:val="left"/>
              <w:rPr>
                <w:rFonts w:ascii="Arial" w:hAnsi="Arial" w:cs="Arial" w:eastAsia="Arial"/>
                <w:color w:val="000000"/>
                <w:spacing w:val="0"/>
                <w:position w:val="0"/>
                <w:sz w:val="24"/>
                <w:shd w:fill="auto" w:val="clear"/>
              </w:rPr>
            </w:pPr>
          </w:p>
          <w:p>
            <w:pPr>
              <w:spacing w:before="0" w:after="160" w:line="360"/>
              <w:ind w:right="0" w:left="0" w:firstLine="0"/>
              <w:jc w:val="left"/>
              <w:rPr>
                <w:rFonts w:ascii="Arial" w:hAnsi="Arial" w:cs="Arial" w:eastAsia="Arial"/>
                <w:color w:val="000000"/>
                <w:spacing w:val="0"/>
                <w:position w:val="0"/>
                <w:sz w:val="24"/>
                <w:shd w:fill="auto" w:val="clear"/>
              </w:rPr>
            </w:pPr>
          </w:p>
          <w:p>
            <w:pPr>
              <w:spacing w:before="0" w:after="160" w:line="360"/>
              <w:ind w:right="0" w:left="0" w:firstLine="0"/>
              <w:jc w:val="left"/>
              <w:rPr>
                <w:rFonts w:ascii="Arial" w:hAnsi="Arial" w:cs="Arial" w:eastAsia="Arial"/>
                <w:color w:val="000000"/>
                <w:spacing w:val="0"/>
                <w:position w:val="0"/>
                <w:sz w:val="24"/>
                <w:shd w:fill="auto" w:val="clear"/>
              </w:rPr>
            </w:pPr>
          </w:p>
          <w:p>
            <w:pPr>
              <w:spacing w:before="0" w:after="160" w:line="360"/>
              <w:ind w:right="0" w:left="0" w:firstLine="0"/>
              <w:jc w:val="left"/>
              <w:rPr>
                <w:rFonts w:ascii="Arial" w:hAnsi="Arial" w:cs="Arial" w:eastAsia="Arial"/>
                <w:color w:val="000000"/>
                <w:spacing w:val="0"/>
                <w:position w:val="0"/>
                <w:sz w:val="24"/>
                <w:shd w:fill="auto" w:val="clear"/>
              </w:rPr>
            </w:pPr>
          </w:p>
          <w:p>
            <w:pPr>
              <w:spacing w:before="0" w:after="160" w:line="360"/>
              <w:ind w:right="0" w:left="0" w:firstLine="0"/>
              <w:jc w:val="left"/>
              <w:rPr>
                <w:rFonts w:ascii="Arial" w:hAnsi="Arial" w:cs="Arial" w:eastAsia="Arial"/>
                <w:color w:val="000000"/>
                <w:spacing w:val="0"/>
                <w:position w:val="0"/>
                <w:sz w:val="24"/>
                <w:shd w:fill="auto" w:val="clear"/>
              </w:rPr>
            </w:pPr>
          </w:p>
          <w:p>
            <w:pPr>
              <w:spacing w:before="0" w:after="160" w:line="360"/>
              <w:ind w:right="0" w:left="0" w:firstLine="0"/>
              <w:jc w:val="left"/>
              <w:rPr>
                <w:rFonts w:ascii="Arial" w:hAnsi="Arial" w:cs="Arial" w:eastAsia="Arial"/>
                <w:color w:val="000000"/>
                <w:spacing w:val="0"/>
                <w:position w:val="0"/>
                <w:sz w:val="24"/>
                <w:shd w:fill="auto" w:val="clear"/>
              </w:rPr>
            </w:pPr>
          </w:p>
          <w:p>
            <w:pPr>
              <w:spacing w:before="0" w:after="160" w:line="360"/>
              <w:ind w:right="0" w:left="0" w:firstLine="0"/>
              <w:jc w:val="left"/>
              <w:rPr>
                <w:spacing w:val="0"/>
                <w:position w:val="0"/>
              </w:rPr>
            </w:pPr>
          </w:p>
        </w:tc>
      </w:tr>
    </w:tbl>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num w:numId="47">
    <w:abstractNumId w:val="18"/>
  </w:num>
  <w:num w:numId="59">
    <w:abstractNumId w:val="12"/>
  </w:num>
  <w:num w:numId="72">
    <w:abstractNumId w:val="6"/>
  </w:num>
  <w:num w:numId="76">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numbering.xml" Id="docRId3" Type="http://schemas.openxmlformats.org/officeDocument/2006/relationships/numbering" /><Relationship Target="embeddings/oleObject0.bin" Id="docRId0" Type="http://schemas.openxmlformats.org/officeDocument/2006/relationships/oleObject" /><Relationship TargetMode="External" Target="https://www.hse.gov.uk/ppe/ppe-regulations-2022.htm#:~:text=PPER%201992%20places%20a%20duty,force%20on%206%20April%202022" Id="docRId2" Type="http://schemas.openxmlformats.org/officeDocument/2006/relationships/hyperlink" /><Relationship Target="styles.xml" Id="docRId4" Type="http://schemas.openxmlformats.org/officeDocument/2006/relationships/styles" /></Relationships>
</file>