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1047F2" wp14:paraId="2C078E63" wp14:textId="230946EE">
      <w:pPr>
        <w:jc w:val="center"/>
      </w:pPr>
      <w:r w:rsidRPr="191047F2" w:rsidR="10536E52">
        <w:rPr>
          <w:rFonts w:ascii="Arial" w:hAnsi="Arial" w:eastAsia="Arial" w:cs="Arial"/>
          <w:b w:val="1"/>
          <w:bCs w:val="1"/>
          <w:sz w:val="52"/>
          <w:szCs w:val="52"/>
        </w:rPr>
        <w:t>ORGANISATIONAL CULTURE</w:t>
      </w:r>
    </w:p>
    <w:p w:rsidR="191047F2" w:rsidP="191047F2" w:rsidRDefault="191047F2" w14:paraId="3D2FF751" w14:textId="7EF938C5">
      <w:pPr>
        <w:pStyle w:val="Normal"/>
        <w:jc w:val="left"/>
        <w:rPr>
          <w:rFonts w:ascii="system-ui" w:hAnsi="system-ui" w:eastAsia="system-ui" w:cs="system-ui"/>
          <w:b w:val="0"/>
          <w:bCs w:val="0"/>
          <w:i w:val="0"/>
          <w:iCs w:val="0"/>
          <w:caps w:val="0"/>
          <w:smallCaps w:val="0"/>
          <w:noProof w:val="0"/>
          <w:color w:val="000000" w:themeColor="text1" w:themeTint="FF" w:themeShade="FF"/>
          <w:sz w:val="24"/>
          <w:szCs w:val="24"/>
          <w:lang w:val="en-US"/>
        </w:rPr>
      </w:pPr>
    </w:p>
    <w:p w:rsidR="35295AFE" w:rsidP="191047F2" w:rsidRDefault="35295AFE" w14:paraId="4CC61F22" w14:textId="4630C61C">
      <w:pPr>
        <w:pStyle w:val="Normal"/>
        <w:jc w:val="left"/>
        <w:rPr>
          <w:rFonts w:ascii="Arial" w:hAnsi="Arial" w:eastAsia="Arial" w:cs="Arial"/>
          <w:b w:val="1"/>
          <w:bCs w:val="1"/>
          <w:i w:val="0"/>
          <w:iCs w:val="0"/>
          <w:caps w:val="0"/>
          <w:smallCaps w:val="0"/>
          <w:noProof w:val="0"/>
          <w:color w:val="000000" w:themeColor="text1" w:themeTint="FF" w:themeShade="FF"/>
          <w:sz w:val="28"/>
          <w:szCs w:val="28"/>
          <w:lang w:val="en-US"/>
        </w:rPr>
      </w:pPr>
      <w:r w:rsidRPr="191047F2" w:rsidR="35295AFE">
        <w:rPr>
          <w:rFonts w:ascii="Arial" w:hAnsi="Arial" w:eastAsia="Arial" w:cs="Arial"/>
          <w:b w:val="1"/>
          <w:bCs w:val="1"/>
          <w:i w:val="0"/>
          <w:iCs w:val="0"/>
          <w:caps w:val="0"/>
          <w:smallCaps w:val="0"/>
          <w:noProof w:val="0"/>
          <w:color w:val="000000" w:themeColor="text1" w:themeTint="FF" w:themeShade="FF"/>
          <w:sz w:val="28"/>
          <w:szCs w:val="28"/>
          <w:lang w:val="en-US"/>
        </w:rPr>
        <w:t xml:space="preserve">Content </w:t>
      </w:r>
    </w:p>
    <w:p w:rsidR="520FBBFC" w:rsidP="191047F2" w:rsidRDefault="520FBBFC" w14:paraId="5F66854B" w14:textId="03E7600B">
      <w:pPr>
        <w:pStyle w:val="Normal"/>
        <w:jc w:val="left"/>
      </w:pPr>
      <w:r w:rsidRPr="191047F2" w:rsidR="520FBBFC">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Introduction </w:t>
      </w:r>
    </w:p>
    <w:p w:rsidR="520FBBFC" w:rsidP="191047F2" w:rsidRDefault="520FBBFC" w14:paraId="1E23E92A" w14:textId="1BB725B5">
      <w:pPr>
        <w:pStyle w:val="Normal"/>
        <w:jc w:val="left"/>
      </w:pPr>
      <w:r w:rsidRPr="191047F2" w:rsidR="520FBBFC">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Organisational Profile </w:t>
      </w:r>
    </w:p>
    <w:p w:rsidR="520FBBFC" w:rsidP="191047F2" w:rsidRDefault="520FBBFC" w14:paraId="73AEED12" w14:textId="3AB790DD">
      <w:pPr>
        <w:pStyle w:val="Normal"/>
        <w:jc w:val="left"/>
      </w:pPr>
      <w:r w:rsidRPr="191047F2" w:rsidR="520FBBFC">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Theoretical Frameworks for </w:t>
      </w:r>
      <w:r w:rsidRPr="191047F2" w:rsidR="520FBBFC">
        <w:rPr>
          <w:rFonts w:ascii="system-ui" w:hAnsi="system-ui" w:eastAsia="system-ui" w:cs="system-ui"/>
          <w:b w:val="0"/>
          <w:bCs w:val="0"/>
          <w:i w:val="0"/>
          <w:iCs w:val="0"/>
          <w:caps w:val="0"/>
          <w:smallCaps w:val="0"/>
          <w:noProof w:val="0"/>
          <w:color w:val="000000" w:themeColor="text1" w:themeTint="FF" w:themeShade="FF"/>
          <w:sz w:val="24"/>
          <w:szCs w:val="24"/>
          <w:lang w:val="en-US"/>
        </w:rPr>
        <w:t>Analysing</w:t>
      </w:r>
      <w:r w:rsidRPr="191047F2" w:rsidR="520FBBFC">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Culture </w:t>
      </w:r>
    </w:p>
    <w:p w:rsidR="520FBBFC" w:rsidP="191047F2" w:rsidRDefault="520FBBFC" w14:paraId="5826B576" w14:textId="552E564D">
      <w:pPr>
        <w:pStyle w:val="Normal"/>
        <w:jc w:val="left"/>
      </w:pPr>
      <w:r w:rsidRPr="191047F2" w:rsidR="520FBBFC">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Analysis of Culture at Lloyds Bank </w:t>
      </w:r>
    </w:p>
    <w:p w:rsidR="520FBBFC" w:rsidP="191047F2" w:rsidRDefault="520FBBFC" w14:paraId="562F96D8" w14:textId="3C8B2F1D">
      <w:pPr>
        <w:pStyle w:val="Normal"/>
        <w:jc w:val="left"/>
      </w:pPr>
      <w:r w:rsidRPr="191047F2" w:rsidR="520FBBFC">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Culture’s Influence on Structure and Decision-Making </w:t>
      </w:r>
    </w:p>
    <w:p w:rsidR="520FBBFC" w:rsidP="191047F2" w:rsidRDefault="520FBBFC" w14:paraId="51268BB9" w14:textId="2205E98D">
      <w:pPr>
        <w:pStyle w:val="Normal"/>
        <w:jc w:val="left"/>
      </w:pPr>
      <w:r w:rsidRPr="191047F2" w:rsidR="520FBBFC">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External Environment and Cultural Adaptation </w:t>
      </w:r>
    </w:p>
    <w:p w:rsidR="520FBBFC" w:rsidP="191047F2" w:rsidRDefault="520FBBFC" w14:paraId="5CD173CD" w14:textId="21DF4E2E">
      <w:pPr>
        <w:pStyle w:val="Normal"/>
        <w:jc w:val="left"/>
      </w:pPr>
      <w:r w:rsidRPr="6CC00757" w:rsidR="520FBBFC">
        <w:rPr>
          <w:rFonts w:ascii="system-ui" w:hAnsi="system-ui" w:eastAsia="system-ui" w:cs="system-ui"/>
          <w:b w:val="0"/>
          <w:bCs w:val="0"/>
          <w:i w:val="0"/>
          <w:iCs w:val="0"/>
          <w:caps w:val="0"/>
          <w:smallCaps w:val="0"/>
          <w:noProof w:val="0"/>
          <w:color w:val="000000" w:themeColor="text1" w:themeTint="FF" w:themeShade="FF"/>
          <w:sz w:val="24"/>
          <w:szCs w:val="24"/>
          <w:lang w:val="en-US"/>
        </w:rPr>
        <w:t>Culture as Barrier or Enabler</w:t>
      </w:r>
    </w:p>
    <w:p w:rsidR="520FBBFC" w:rsidP="191047F2" w:rsidRDefault="520FBBFC" w14:paraId="33E37B5C" w14:textId="5F5BE1A5">
      <w:pPr>
        <w:pStyle w:val="Normal"/>
        <w:jc w:val="left"/>
      </w:pPr>
      <w:r w:rsidRPr="191047F2" w:rsidR="520FBBFC">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Impact on Performance and Recommendations </w:t>
      </w:r>
    </w:p>
    <w:p w:rsidR="520FBBFC" w:rsidP="191047F2" w:rsidRDefault="520FBBFC" w14:paraId="5FA463E1" w14:textId="6251FA3A">
      <w:pPr>
        <w:pStyle w:val="Normal"/>
        <w:jc w:val="left"/>
      </w:pPr>
      <w:r w:rsidRPr="191047F2" w:rsidR="520FBBFC">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Conclusion </w:t>
      </w:r>
    </w:p>
    <w:p w:rsidR="520FBBFC" w:rsidP="191047F2" w:rsidRDefault="520FBBFC" w14:paraId="6790C984" w14:textId="12BA850A">
      <w:pPr>
        <w:pStyle w:val="Normal"/>
        <w:jc w:val="left"/>
      </w:pPr>
      <w:r w:rsidRPr="191047F2" w:rsidR="520FBBFC">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Reference List </w:t>
      </w:r>
    </w:p>
    <w:p w:rsidR="191047F2" w:rsidP="191047F2" w:rsidRDefault="191047F2" w14:paraId="2E6FE939" w14:textId="4B685143">
      <w:pPr>
        <w:pStyle w:val="Normal"/>
        <w:jc w:val="left"/>
        <w:rPr>
          <w:rFonts w:ascii="system-ui" w:hAnsi="system-ui" w:eastAsia="system-ui" w:cs="system-ui"/>
          <w:b w:val="0"/>
          <w:bCs w:val="0"/>
          <w:i w:val="0"/>
          <w:iCs w:val="0"/>
          <w:caps w:val="0"/>
          <w:smallCaps w:val="0"/>
          <w:noProof w:val="0"/>
          <w:color w:val="000000" w:themeColor="text1" w:themeTint="FF" w:themeShade="FF"/>
          <w:sz w:val="24"/>
          <w:szCs w:val="24"/>
          <w:lang w:val="en-US"/>
        </w:rPr>
      </w:pPr>
    </w:p>
    <w:p w:rsidR="7B6C4A27" w:rsidP="191047F2" w:rsidRDefault="7B6C4A27" w14:paraId="59A7230D" w14:textId="266D10D4">
      <w:pPr>
        <w:pStyle w:val="Normal"/>
        <w:jc w:val="left"/>
      </w:pPr>
      <w:r w:rsidRPr="191047F2" w:rsidR="7B6C4A27">
        <w:rPr>
          <w:rFonts w:ascii="Arial" w:hAnsi="Arial" w:eastAsia="Arial" w:cs="Arial"/>
          <w:b w:val="1"/>
          <w:bCs w:val="1"/>
          <w:i w:val="0"/>
          <w:iCs w:val="0"/>
          <w:caps w:val="0"/>
          <w:smallCaps w:val="0"/>
          <w:noProof w:val="0"/>
          <w:color w:val="000000" w:themeColor="text1" w:themeTint="FF" w:themeShade="FF"/>
          <w:sz w:val="28"/>
          <w:szCs w:val="28"/>
          <w:lang w:val="en-US"/>
        </w:rPr>
        <w:t xml:space="preserve">Introduction </w:t>
      </w:r>
    </w:p>
    <w:p w:rsidR="7B6C4A27" w:rsidP="191047F2" w:rsidRDefault="7B6C4A27" w14:paraId="0A12B080" w14:textId="408DE72C">
      <w:pPr>
        <w:pStyle w:val="Normal"/>
        <w:jc w:val="left"/>
        <w:rPr>
          <w:rFonts w:ascii="Arial" w:hAnsi="Arial" w:eastAsia="Arial" w:cs="Arial"/>
          <w:noProof w:val="0"/>
          <w:sz w:val="24"/>
          <w:szCs w:val="24"/>
          <w:lang w:val="en-US"/>
        </w:rPr>
      </w:pPr>
      <w:r w:rsidRPr="191047F2" w:rsidR="7B6C4A27">
        <w:rPr>
          <w:rFonts w:ascii="Arial" w:hAnsi="Arial" w:eastAsia="Arial" w:cs="Arial"/>
          <w:noProof w:val="0"/>
          <w:sz w:val="24"/>
          <w:szCs w:val="24"/>
          <w:lang w:val="en-US"/>
        </w:rPr>
        <w:t xml:space="preserve">Mullins and Christy (2016, p. 574) describe </w:t>
      </w:r>
      <w:r w:rsidRPr="191047F2" w:rsidR="7B6C4A27">
        <w:rPr>
          <w:rFonts w:ascii="Arial" w:hAnsi="Arial" w:eastAsia="Arial" w:cs="Arial"/>
          <w:noProof w:val="0"/>
          <w:sz w:val="24"/>
          <w:szCs w:val="24"/>
          <w:lang w:val="en-US"/>
        </w:rPr>
        <w:t>organisational</w:t>
      </w:r>
      <w:r w:rsidRPr="191047F2" w:rsidR="7B6C4A27">
        <w:rPr>
          <w:rFonts w:ascii="Arial" w:hAnsi="Arial" w:eastAsia="Arial" w:cs="Arial"/>
          <w:noProof w:val="0"/>
          <w:sz w:val="24"/>
          <w:szCs w:val="24"/>
          <w:lang w:val="en-US"/>
        </w:rPr>
        <w:t xml:space="preserve"> culture as the pervasive pattern of 'how things are done around here', shaped by shared values, </w:t>
      </w:r>
      <w:r w:rsidRPr="191047F2" w:rsidR="7B6C4A27">
        <w:rPr>
          <w:rFonts w:ascii="Arial" w:hAnsi="Arial" w:eastAsia="Arial" w:cs="Arial"/>
          <w:noProof w:val="0"/>
          <w:sz w:val="24"/>
          <w:szCs w:val="24"/>
          <w:lang w:val="en-US"/>
        </w:rPr>
        <w:t>beliefs</w:t>
      </w:r>
      <w:r w:rsidRPr="191047F2" w:rsidR="7B6C4A27">
        <w:rPr>
          <w:rFonts w:ascii="Arial" w:hAnsi="Arial" w:eastAsia="Arial" w:cs="Arial"/>
          <w:noProof w:val="0"/>
          <w:sz w:val="24"/>
          <w:szCs w:val="24"/>
          <w:lang w:val="en-US"/>
        </w:rPr>
        <w:t xml:space="preserve"> and attitudes, which profoundly influences decision-making, </w:t>
      </w:r>
      <w:r w:rsidRPr="191047F2" w:rsidR="7B6C4A27">
        <w:rPr>
          <w:rFonts w:ascii="Arial" w:hAnsi="Arial" w:eastAsia="Arial" w:cs="Arial"/>
          <w:noProof w:val="0"/>
          <w:sz w:val="24"/>
          <w:szCs w:val="24"/>
          <w:lang w:val="en-US"/>
        </w:rPr>
        <w:t>organisational</w:t>
      </w:r>
      <w:r w:rsidRPr="191047F2" w:rsidR="7B6C4A27">
        <w:rPr>
          <w:rFonts w:ascii="Arial" w:hAnsi="Arial" w:eastAsia="Arial" w:cs="Arial"/>
          <w:noProof w:val="0"/>
          <w:sz w:val="24"/>
          <w:szCs w:val="24"/>
          <w:lang w:val="en-US"/>
        </w:rPr>
        <w:t xml:space="preserve"> structure, group </w:t>
      </w:r>
      <w:r w:rsidRPr="191047F2" w:rsidR="7B6C4A27">
        <w:rPr>
          <w:rFonts w:ascii="Arial" w:hAnsi="Arial" w:eastAsia="Arial" w:cs="Arial"/>
          <w:noProof w:val="0"/>
          <w:sz w:val="24"/>
          <w:szCs w:val="24"/>
          <w:lang w:val="en-US"/>
        </w:rPr>
        <w:t>behaviour</w:t>
      </w:r>
      <w:r w:rsidRPr="191047F2" w:rsidR="7B6C4A27">
        <w:rPr>
          <w:rFonts w:ascii="Arial" w:hAnsi="Arial" w:eastAsia="Arial" w:cs="Arial"/>
          <w:noProof w:val="0"/>
          <w:sz w:val="24"/>
          <w:szCs w:val="24"/>
          <w:lang w:val="en-US"/>
        </w:rPr>
        <w:t xml:space="preserve">, </w:t>
      </w:r>
      <w:r w:rsidRPr="191047F2" w:rsidR="7B6C4A27">
        <w:rPr>
          <w:rFonts w:ascii="Arial" w:hAnsi="Arial" w:eastAsia="Arial" w:cs="Arial"/>
          <w:noProof w:val="0"/>
          <w:sz w:val="24"/>
          <w:szCs w:val="24"/>
          <w:lang w:val="en-US"/>
        </w:rPr>
        <w:t>motivation</w:t>
      </w:r>
      <w:r w:rsidRPr="191047F2" w:rsidR="7B6C4A27">
        <w:rPr>
          <w:rFonts w:ascii="Arial" w:hAnsi="Arial" w:eastAsia="Arial" w:cs="Arial"/>
          <w:noProof w:val="0"/>
          <w:sz w:val="24"/>
          <w:szCs w:val="24"/>
          <w:lang w:val="en-US"/>
        </w:rPr>
        <w:t xml:space="preserve"> and job satisfaction. In an increasingly </w:t>
      </w:r>
      <w:r w:rsidRPr="191047F2" w:rsidR="7B6C4A27">
        <w:rPr>
          <w:rFonts w:ascii="Arial" w:hAnsi="Arial" w:eastAsia="Arial" w:cs="Arial"/>
          <w:noProof w:val="0"/>
          <w:sz w:val="24"/>
          <w:szCs w:val="24"/>
          <w:lang w:val="en-US"/>
        </w:rPr>
        <w:t>globalised</w:t>
      </w:r>
      <w:r w:rsidRPr="191047F2" w:rsidR="7B6C4A27">
        <w:rPr>
          <w:rFonts w:ascii="Arial" w:hAnsi="Arial" w:eastAsia="Arial" w:cs="Arial"/>
          <w:noProof w:val="0"/>
          <w:sz w:val="24"/>
          <w:szCs w:val="24"/>
          <w:lang w:val="en-US"/>
        </w:rPr>
        <w:t xml:space="preserve"> and complex business environment, understanding and managing culture is central to </w:t>
      </w:r>
      <w:r w:rsidRPr="191047F2" w:rsidR="7B6C4A27">
        <w:rPr>
          <w:rFonts w:ascii="Arial" w:hAnsi="Arial" w:eastAsia="Arial" w:cs="Arial"/>
          <w:noProof w:val="0"/>
          <w:sz w:val="24"/>
          <w:szCs w:val="24"/>
          <w:lang w:val="en-US"/>
        </w:rPr>
        <w:t>organisational</w:t>
      </w:r>
      <w:r w:rsidRPr="191047F2" w:rsidR="7B6C4A27">
        <w:rPr>
          <w:rFonts w:ascii="Arial" w:hAnsi="Arial" w:eastAsia="Arial" w:cs="Arial"/>
          <w:noProof w:val="0"/>
          <w:sz w:val="24"/>
          <w:szCs w:val="24"/>
          <w:lang w:val="en-US"/>
        </w:rPr>
        <w:t xml:space="preserve"> effectiveness. This report applies that perspective to Lloyds Bank, one of the UK’s largest financial institutions, examining how culture is formed, </w:t>
      </w:r>
      <w:r w:rsidRPr="191047F2" w:rsidR="7B6C4A27">
        <w:rPr>
          <w:rFonts w:ascii="Arial" w:hAnsi="Arial" w:eastAsia="Arial" w:cs="Arial"/>
          <w:noProof w:val="0"/>
          <w:sz w:val="24"/>
          <w:szCs w:val="24"/>
          <w:lang w:val="en-US"/>
        </w:rPr>
        <w:t>identified</w:t>
      </w:r>
      <w:r w:rsidRPr="191047F2" w:rsidR="7B6C4A27">
        <w:rPr>
          <w:rFonts w:ascii="Arial" w:hAnsi="Arial" w:eastAsia="Arial" w:cs="Arial"/>
          <w:noProof w:val="0"/>
          <w:sz w:val="24"/>
          <w:szCs w:val="24"/>
          <w:lang w:val="en-US"/>
        </w:rPr>
        <w:t xml:space="preserve"> and expressed within the </w:t>
      </w:r>
      <w:r w:rsidRPr="191047F2" w:rsidR="7B6C4A27">
        <w:rPr>
          <w:rFonts w:ascii="Arial" w:hAnsi="Arial" w:eastAsia="Arial" w:cs="Arial"/>
          <w:noProof w:val="0"/>
          <w:sz w:val="24"/>
          <w:szCs w:val="24"/>
          <w:lang w:val="en-US"/>
        </w:rPr>
        <w:t>organisation</w:t>
      </w:r>
      <w:r w:rsidRPr="191047F2" w:rsidR="7B6C4A27">
        <w:rPr>
          <w:rFonts w:ascii="Arial" w:hAnsi="Arial" w:eastAsia="Arial" w:cs="Arial"/>
          <w:noProof w:val="0"/>
          <w:sz w:val="24"/>
          <w:szCs w:val="24"/>
          <w:lang w:val="en-US"/>
        </w:rPr>
        <w:t xml:space="preserve">. The report evaluates how culture interacts with structure and decision-making processes, how it enables or limits the </w:t>
      </w:r>
      <w:r w:rsidRPr="191047F2" w:rsidR="7B6C4A27">
        <w:rPr>
          <w:rFonts w:ascii="Arial" w:hAnsi="Arial" w:eastAsia="Arial" w:cs="Arial"/>
          <w:noProof w:val="0"/>
          <w:sz w:val="24"/>
          <w:szCs w:val="24"/>
          <w:lang w:val="en-US"/>
        </w:rPr>
        <w:t>organisation’s</w:t>
      </w:r>
      <w:r w:rsidRPr="191047F2" w:rsidR="7B6C4A27">
        <w:rPr>
          <w:rFonts w:ascii="Arial" w:hAnsi="Arial" w:eastAsia="Arial" w:cs="Arial"/>
          <w:noProof w:val="0"/>
          <w:sz w:val="24"/>
          <w:szCs w:val="24"/>
          <w:lang w:val="en-US"/>
        </w:rPr>
        <w:t xml:space="preserve"> response to external pressures, and whether it acts primarily as a strength or constraint. </w:t>
      </w:r>
    </w:p>
    <w:p w:rsidR="191047F2" w:rsidP="191047F2" w:rsidRDefault="191047F2" w14:paraId="2C788135" w14:textId="4BF3288F">
      <w:pPr>
        <w:pStyle w:val="Normal"/>
        <w:jc w:val="left"/>
        <w:rPr>
          <w:rFonts w:ascii="Arial" w:hAnsi="Arial" w:eastAsia="Arial" w:cs="Arial"/>
          <w:b w:val="1"/>
          <w:bCs w:val="1"/>
          <w:noProof w:val="0"/>
          <w:sz w:val="28"/>
          <w:szCs w:val="28"/>
          <w:lang w:val="en-US"/>
        </w:rPr>
      </w:pPr>
    </w:p>
    <w:p w:rsidR="191047F2" w:rsidP="191047F2" w:rsidRDefault="191047F2" w14:paraId="4EBAFB34" w14:textId="0784A9A3">
      <w:pPr>
        <w:pStyle w:val="Normal"/>
        <w:jc w:val="left"/>
        <w:rPr>
          <w:rFonts w:ascii="Arial" w:hAnsi="Arial" w:eastAsia="Arial" w:cs="Arial"/>
          <w:b w:val="1"/>
          <w:bCs w:val="1"/>
          <w:noProof w:val="0"/>
          <w:sz w:val="28"/>
          <w:szCs w:val="28"/>
          <w:lang w:val="en-US"/>
        </w:rPr>
      </w:pPr>
    </w:p>
    <w:p w:rsidR="7B6C4A27" w:rsidP="191047F2" w:rsidRDefault="7B6C4A27" w14:paraId="439BA019" w14:textId="387885C9">
      <w:pPr>
        <w:pStyle w:val="Normal"/>
        <w:jc w:val="left"/>
        <w:rPr>
          <w:rFonts w:ascii="Arial" w:hAnsi="Arial" w:eastAsia="Arial" w:cs="Arial"/>
          <w:b w:val="1"/>
          <w:bCs w:val="1"/>
          <w:noProof w:val="0"/>
          <w:sz w:val="28"/>
          <w:szCs w:val="28"/>
          <w:lang w:val="en-US"/>
        </w:rPr>
      </w:pPr>
      <w:r w:rsidRPr="191047F2" w:rsidR="7B6C4A27">
        <w:rPr>
          <w:rFonts w:ascii="Arial" w:hAnsi="Arial" w:eastAsia="Arial" w:cs="Arial"/>
          <w:b w:val="1"/>
          <w:bCs w:val="1"/>
          <w:noProof w:val="0"/>
          <w:sz w:val="28"/>
          <w:szCs w:val="28"/>
          <w:lang w:val="en-US"/>
        </w:rPr>
        <w:t>Organisational Profile: Lloyds Bank</w:t>
      </w:r>
    </w:p>
    <w:p w:rsidR="7B6C4A27" w:rsidP="191047F2" w:rsidRDefault="7B6C4A27" w14:paraId="28E45B65" w14:textId="34C73E8A">
      <w:pPr>
        <w:pStyle w:val="Normal"/>
        <w:jc w:val="left"/>
      </w:pPr>
      <w:r w:rsidRPr="191047F2" w:rsidR="7B6C4A27">
        <w:rPr>
          <w:rFonts w:ascii="Arial" w:hAnsi="Arial" w:eastAsia="Arial" w:cs="Arial"/>
          <w:noProof w:val="0"/>
          <w:sz w:val="24"/>
          <w:szCs w:val="24"/>
          <w:lang w:val="en-US"/>
        </w:rPr>
        <w:t>Lloyds Bank forms part of the Lloyds Banking Group (LBG), which also includes Halifax, Scottish Widows and Bank of Scotland. Headquartered in London, the group operates predominantly within the United Kingdom, focusing on retail and commercial banking, insurance and financial services. As of 2025, LBG employs approximately 64,000 people and serves over 26 million customers across the UK (Lloyds Banking Group, 2025). Following the financial crisis of 2008–2009 and subsequent periods of regulatory scrutiny, the organisation has undergone significant cultural transformation, shifting from a profit-centric model to one that emphasises trust, customer responsibility and long-term stability. Lloyds operates a centralised yet divisional structure, balancing national standards with regional customer delivery. This structure reflects both the regulatory requirements of banking and the cultural expectation of consistency, reliability and accountability.</w:t>
      </w:r>
    </w:p>
    <w:p w:rsidR="191047F2" w:rsidP="191047F2" w:rsidRDefault="191047F2" w14:paraId="25FDDB2D" w14:textId="07F209DC">
      <w:pPr>
        <w:pStyle w:val="Normal"/>
        <w:jc w:val="left"/>
        <w:rPr>
          <w:rFonts w:ascii="Arial" w:hAnsi="Arial" w:eastAsia="Arial" w:cs="Arial"/>
          <w:noProof w:val="0"/>
          <w:sz w:val="24"/>
          <w:szCs w:val="24"/>
          <w:lang w:val="en-US"/>
        </w:rPr>
      </w:pPr>
    </w:p>
    <w:p w:rsidR="6CC00757" w:rsidP="6CC00757" w:rsidRDefault="6CC00757" w14:paraId="6E6B7F55" w14:textId="2F987172">
      <w:pPr>
        <w:pStyle w:val="Normal"/>
        <w:jc w:val="left"/>
        <w:rPr>
          <w:rFonts w:ascii="Arial" w:hAnsi="Arial" w:eastAsia="Arial" w:cs="Arial"/>
          <w:b w:val="1"/>
          <w:bCs w:val="1"/>
          <w:noProof w:val="0"/>
          <w:sz w:val="32"/>
          <w:szCs w:val="32"/>
          <w:lang w:val="en-US"/>
        </w:rPr>
      </w:pPr>
    </w:p>
    <w:p w:rsidR="7B6C4A27" w:rsidP="191047F2" w:rsidRDefault="7B6C4A27" w14:paraId="476738CC" w14:textId="1A606ECD">
      <w:pPr>
        <w:pStyle w:val="Normal"/>
        <w:jc w:val="left"/>
        <w:rPr>
          <w:rFonts w:ascii="Arial" w:hAnsi="Arial" w:eastAsia="Arial" w:cs="Arial"/>
          <w:b w:val="1"/>
          <w:bCs w:val="1"/>
          <w:noProof w:val="0"/>
          <w:sz w:val="32"/>
          <w:szCs w:val="32"/>
          <w:lang w:val="en-US"/>
        </w:rPr>
      </w:pPr>
      <w:r w:rsidRPr="191047F2" w:rsidR="7B6C4A27">
        <w:rPr>
          <w:rFonts w:ascii="Arial" w:hAnsi="Arial" w:eastAsia="Arial" w:cs="Arial"/>
          <w:b w:val="1"/>
          <w:bCs w:val="1"/>
          <w:noProof w:val="0"/>
          <w:sz w:val="32"/>
          <w:szCs w:val="32"/>
          <w:lang w:val="en-US"/>
        </w:rPr>
        <w:t>Theoretical Frameworks for Analysing Culture</w:t>
      </w:r>
    </w:p>
    <w:p w:rsidR="7B6C4A27" w:rsidP="191047F2" w:rsidRDefault="7B6C4A27" w14:paraId="764365CB" w14:textId="62EA9E4C">
      <w:pPr>
        <w:pStyle w:val="Normal"/>
        <w:jc w:val="left"/>
        <w:rPr>
          <w:rFonts w:ascii="Arial" w:hAnsi="Arial" w:eastAsia="Arial" w:cs="Arial"/>
          <w:b w:val="1"/>
          <w:bCs w:val="1"/>
          <w:noProof w:val="0"/>
          <w:sz w:val="24"/>
          <w:szCs w:val="24"/>
          <w:lang w:val="en-US"/>
        </w:rPr>
      </w:pPr>
      <w:r w:rsidRPr="191047F2" w:rsidR="7B6C4A27">
        <w:rPr>
          <w:rFonts w:ascii="Arial" w:hAnsi="Arial" w:eastAsia="Arial" w:cs="Arial"/>
          <w:b w:val="1"/>
          <w:bCs w:val="1"/>
          <w:noProof w:val="0"/>
          <w:sz w:val="24"/>
          <w:szCs w:val="24"/>
          <w:lang w:val="en-US"/>
        </w:rPr>
        <w:t>Schein’s Three Levels of Organisational Culture</w:t>
      </w:r>
    </w:p>
    <w:p w:rsidR="7B6C4A27" w:rsidP="6CC00757" w:rsidRDefault="7B6C4A27" w14:paraId="5784B9CA" w14:textId="2240B6BA">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7B6C4A27">
        <w:rPr>
          <w:rFonts w:ascii="Arial" w:hAnsi="Arial" w:eastAsia="Arial" w:cs="Arial"/>
          <w:b w:val="0"/>
          <w:bCs w:val="0"/>
          <w:i w:val="0"/>
          <w:iCs w:val="0"/>
          <w:noProof w:val="0"/>
          <w:color w:val="000000" w:themeColor="text1" w:themeTint="FF" w:themeShade="FF"/>
          <w:sz w:val="24"/>
          <w:szCs w:val="24"/>
          <w:lang w:val="en-US"/>
        </w:rPr>
        <w:t>Schein (2010) argues that culture operates at three distinct but interconnected levels:</w:t>
      </w:r>
    </w:p>
    <w:p w:rsidR="7B6C4A27" w:rsidP="6CC00757" w:rsidRDefault="7B6C4A27" w14:paraId="06C2D287" w14:textId="16779901">
      <w:pPr>
        <w:pStyle w:val="Normal"/>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r w:rsidRPr="6CC00757" w:rsidR="7B6C4A27">
        <w:rPr>
          <w:rFonts w:ascii="Arial" w:hAnsi="Arial" w:eastAsia="Arial" w:cs="Arial"/>
          <w:b w:val="0"/>
          <w:bCs w:val="0"/>
          <w:i w:val="0"/>
          <w:iCs w:val="0"/>
          <w:noProof w:val="0"/>
          <w:color w:val="000000" w:themeColor="text1" w:themeTint="FF" w:themeShade="FF"/>
          <w:sz w:val="24"/>
          <w:szCs w:val="24"/>
          <w:lang w:val="en-US"/>
        </w:rPr>
        <w:t xml:space="preserve">Artifacts: Visible </w:t>
      </w:r>
      <w:r w:rsidRPr="6CC00757" w:rsidR="7B6C4A27">
        <w:rPr>
          <w:rFonts w:ascii="Arial" w:hAnsi="Arial" w:eastAsia="Arial" w:cs="Arial"/>
          <w:b w:val="0"/>
          <w:bCs w:val="0"/>
          <w:i w:val="0"/>
          <w:iCs w:val="0"/>
          <w:noProof w:val="0"/>
          <w:color w:val="000000" w:themeColor="text1" w:themeTint="FF" w:themeShade="FF"/>
          <w:sz w:val="24"/>
          <w:szCs w:val="24"/>
          <w:lang w:val="en-US"/>
        </w:rPr>
        <w:t>organisational</w:t>
      </w:r>
      <w:r w:rsidRPr="6CC00757" w:rsidR="7B6C4A27">
        <w:rPr>
          <w:rFonts w:ascii="Arial" w:hAnsi="Arial" w:eastAsia="Arial" w:cs="Arial"/>
          <w:b w:val="0"/>
          <w:bCs w:val="0"/>
          <w:i w:val="0"/>
          <w:iCs w:val="0"/>
          <w:noProof w:val="0"/>
          <w:color w:val="000000" w:themeColor="text1" w:themeTint="FF" w:themeShade="FF"/>
          <w:sz w:val="24"/>
          <w:szCs w:val="24"/>
          <w:lang w:val="en-US"/>
        </w:rPr>
        <w:t xml:space="preserve"> features including layout, dress codes, communication channels, </w:t>
      </w:r>
      <w:r w:rsidRPr="6CC00757" w:rsidR="7B6C4A27">
        <w:rPr>
          <w:rFonts w:ascii="Arial" w:hAnsi="Arial" w:eastAsia="Arial" w:cs="Arial"/>
          <w:b w:val="0"/>
          <w:bCs w:val="0"/>
          <w:i w:val="0"/>
          <w:iCs w:val="0"/>
          <w:noProof w:val="0"/>
          <w:color w:val="000000" w:themeColor="text1" w:themeTint="FF" w:themeShade="FF"/>
          <w:sz w:val="24"/>
          <w:szCs w:val="24"/>
          <w:lang w:val="en-US"/>
        </w:rPr>
        <w:t>rituals</w:t>
      </w:r>
      <w:r w:rsidRPr="6CC00757" w:rsidR="7B6C4A27">
        <w:rPr>
          <w:rFonts w:ascii="Arial" w:hAnsi="Arial" w:eastAsia="Arial" w:cs="Arial"/>
          <w:b w:val="0"/>
          <w:bCs w:val="0"/>
          <w:i w:val="0"/>
          <w:iCs w:val="0"/>
          <w:noProof w:val="0"/>
          <w:color w:val="000000" w:themeColor="text1" w:themeTint="FF" w:themeShade="FF"/>
          <w:sz w:val="24"/>
          <w:szCs w:val="24"/>
          <w:lang w:val="en-US"/>
        </w:rPr>
        <w:t xml:space="preserve"> and documented procedures. </w:t>
      </w:r>
    </w:p>
    <w:p w:rsidR="191047F2" w:rsidP="6CC00757" w:rsidRDefault="191047F2" w14:paraId="18BAA9BF" w14:textId="6651A4AC">
      <w:pPr>
        <w:pStyle w:val="Normal"/>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p>
    <w:p w:rsidR="7B6C4A27" w:rsidP="6CC00757" w:rsidRDefault="7B6C4A27" w14:paraId="3C6E6992" w14:textId="0E078CCF">
      <w:pPr>
        <w:pStyle w:val="Normal"/>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r w:rsidRPr="6CC00757" w:rsidR="7B6C4A27">
        <w:rPr>
          <w:rFonts w:ascii="Arial" w:hAnsi="Arial" w:eastAsia="Arial" w:cs="Arial"/>
          <w:b w:val="0"/>
          <w:bCs w:val="0"/>
          <w:i w:val="0"/>
          <w:iCs w:val="0"/>
          <w:noProof w:val="0"/>
          <w:color w:val="000000" w:themeColor="text1" w:themeTint="FF" w:themeShade="FF"/>
          <w:sz w:val="24"/>
          <w:szCs w:val="24"/>
          <w:lang w:val="en-US"/>
        </w:rPr>
        <w:t xml:space="preserve">Espoused Values: The </w:t>
      </w:r>
      <w:r w:rsidRPr="6CC00757" w:rsidR="51DBF358">
        <w:rPr>
          <w:rFonts w:ascii="Arial" w:hAnsi="Arial" w:eastAsia="Arial" w:cs="Arial"/>
          <w:b w:val="0"/>
          <w:bCs w:val="0"/>
          <w:i w:val="0"/>
          <w:iCs w:val="0"/>
          <w:noProof w:val="0"/>
          <w:color w:val="000000" w:themeColor="text1" w:themeTint="FF" w:themeShade="FF"/>
          <w:sz w:val="24"/>
          <w:szCs w:val="24"/>
          <w:lang w:val="en-US"/>
        </w:rPr>
        <w:t>organization's</w:t>
      </w:r>
      <w:r w:rsidRPr="6CC00757" w:rsidR="7B6C4A27">
        <w:rPr>
          <w:rFonts w:ascii="Arial" w:hAnsi="Arial" w:eastAsia="Arial" w:cs="Arial"/>
          <w:b w:val="0"/>
          <w:bCs w:val="0"/>
          <w:i w:val="0"/>
          <w:iCs w:val="0"/>
          <w:noProof w:val="0"/>
          <w:color w:val="000000" w:themeColor="text1" w:themeTint="FF" w:themeShade="FF"/>
          <w:sz w:val="24"/>
          <w:szCs w:val="24"/>
          <w:lang w:val="en-US"/>
        </w:rPr>
        <w:t xml:space="preserve"> stated mission, vision, </w:t>
      </w:r>
      <w:r w:rsidRPr="6CC00757" w:rsidR="7B6C4A27">
        <w:rPr>
          <w:rFonts w:ascii="Arial" w:hAnsi="Arial" w:eastAsia="Arial" w:cs="Arial"/>
          <w:b w:val="0"/>
          <w:bCs w:val="0"/>
          <w:i w:val="0"/>
          <w:iCs w:val="0"/>
          <w:noProof w:val="0"/>
          <w:color w:val="000000" w:themeColor="text1" w:themeTint="FF" w:themeShade="FF"/>
          <w:sz w:val="24"/>
          <w:szCs w:val="24"/>
          <w:lang w:val="en-US"/>
        </w:rPr>
        <w:t>policies</w:t>
      </w:r>
      <w:r w:rsidRPr="6CC00757" w:rsidR="7B6C4A27">
        <w:rPr>
          <w:rFonts w:ascii="Arial" w:hAnsi="Arial" w:eastAsia="Arial" w:cs="Arial"/>
          <w:b w:val="0"/>
          <w:bCs w:val="0"/>
          <w:i w:val="0"/>
          <w:iCs w:val="0"/>
          <w:noProof w:val="0"/>
          <w:color w:val="000000" w:themeColor="text1" w:themeTint="FF" w:themeShade="FF"/>
          <w:sz w:val="24"/>
          <w:szCs w:val="24"/>
          <w:lang w:val="en-US"/>
        </w:rPr>
        <w:t xml:space="preserve"> and public commitments.</w:t>
      </w:r>
    </w:p>
    <w:p w:rsidR="191047F2" w:rsidP="6CC00757" w:rsidRDefault="191047F2" w14:paraId="335A1EB0" w14:textId="581DDD13">
      <w:pPr>
        <w:pStyle w:val="Normal"/>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p>
    <w:p w:rsidR="7B6C4A27" w:rsidP="6CC00757" w:rsidRDefault="7B6C4A27" w14:paraId="22BADBAF" w14:textId="4A209DA8">
      <w:pPr>
        <w:pStyle w:val="Normal"/>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r w:rsidRPr="6CC00757" w:rsidR="7B6C4A27">
        <w:rPr>
          <w:rFonts w:ascii="Arial" w:hAnsi="Arial" w:eastAsia="Arial" w:cs="Arial"/>
          <w:b w:val="0"/>
          <w:bCs w:val="0"/>
          <w:i w:val="0"/>
          <w:iCs w:val="0"/>
          <w:noProof w:val="0"/>
          <w:color w:val="000000" w:themeColor="text1" w:themeTint="FF" w:themeShade="FF"/>
          <w:sz w:val="24"/>
          <w:szCs w:val="24"/>
          <w:lang w:val="en-US"/>
        </w:rPr>
        <w:t>Basic Underlying Assumptions: Deeply embedded, often unconscious beliefs and norms that guide behaviour. These develop over time and are difficult to change, yet they powerfully shape how people interpret events and make decisions</w:t>
      </w:r>
    </w:p>
    <w:p w:rsidR="7B6C4A27" w:rsidP="6CC00757" w:rsidRDefault="7B6C4A27" w14:paraId="522B53D6" w14:textId="340205EC">
      <w:pPr>
        <w:pStyle w:val="Normal"/>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7B6C4A27">
        <w:rPr>
          <w:rFonts w:ascii="Arial" w:hAnsi="Arial" w:eastAsia="Arial" w:cs="Arial"/>
          <w:b w:val="0"/>
          <w:bCs w:val="0"/>
          <w:i w:val="0"/>
          <w:iCs w:val="0"/>
          <w:noProof w:val="0"/>
          <w:color w:val="000000" w:themeColor="text1" w:themeTint="FF" w:themeShade="FF"/>
          <w:sz w:val="24"/>
          <w:szCs w:val="24"/>
          <w:lang w:val="en-US"/>
        </w:rPr>
        <w:t xml:space="preserve">Schein’s model is particularly valuable because it highlights the potential gap between what an </w:t>
      </w:r>
      <w:r w:rsidRPr="6CC00757" w:rsidR="7B6C4A27">
        <w:rPr>
          <w:rFonts w:ascii="Arial" w:hAnsi="Arial" w:eastAsia="Arial" w:cs="Arial"/>
          <w:b w:val="0"/>
          <w:bCs w:val="0"/>
          <w:i w:val="0"/>
          <w:iCs w:val="0"/>
          <w:noProof w:val="0"/>
          <w:color w:val="000000" w:themeColor="text1" w:themeTint="FF" w:themeShade="FF"/>
          <w:sz w:val="24"/>
          <w:szCs w:val="24"/>
          <w:lang w:val="en-US"/>
        </w:rPr>
        <w:t>organisation</w:t>
      </w:r>
      <w:r w:rsidRPr="6CC00757" w:rsidR="7B6C4A27">
        <w:rPr>
          <w:rFonts w:ascii="Arial" w:hAnsi="Arial" w:eastAsia="Arial" w:cs="Arial"/>
          <w:b w:val="0"/>
          <w:bCs w:val="0"/>
          <w:i w:val="0"/>
          <w:iCs w:val="0"/>
          <w:noProof w:val="0"/>
          <w:color w:val="000000" w:themeColor="text1" w:themeTint="FF" w:themeShade="FF"/>
          <w:sz w:val="24"/>
          <w:szCs w:val="24"/>
          <w:lang w:val="en-US"/>
        </w:rPr>
        <w:t xml:space="preserve"> claims it does and what actually occurs. </w:t>
      </w:r>
    </w:p>
    <w:p w:rsidR="7B6C4A27" w:rsidP="6CC00757" w:rsidRDefault="7B6C4A27" w14:paraId="4C44BF2F" w14:textId="2EC1BD1F">
      <w:pPr>
        <w:pStyle w:val="Normal"/>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7B6C4A27">
        <w:rPr>
          <w:rFonts w:ascii="Arial" w:hAnsi="Arial" w:eastAsia="Arial" w:cs="Arial"/>
          <w:b w:val="0"/>
          <w:bCs w:val="0"/>
          <w:i w:val="0"/>
          <w:iCs w:val="0"/>
          <w:noProof w:val="0"/>
          <w:color w:val="000000" w:themeColor="text1" w:themeTint="FF" w:themeShade="FF"/>
          <w:sz w:val="24"/>
          <w:szCs w:val="24"/>
          <w:lang w:val="en-US"/>
        </w:rPr>
        <w:t>However it has limitations:</w:t>
      </w:r>
    </w:p>
    <w:p w:rsidR="7B6C4A27" w:rsidP="6CC00757" w:rsidRDefault="7B6C4A27" w14:paraId="5C2A7DCE" w14:textId="123D1D39">
      <w:pPr>
        <w:pStyle w:val="Normal"/>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7B6C4A27">
        <w:rPr>
          <w:rFonts w:ascii="Arial" w:hAnsi="Arial" w:eastAsia="Arial" w:cs="Arial"/>
          <w:b w:val="0"/>
          <w:bCs w:val="0"/>
          <w:i w:val="0"/>
          <w:iCs w:val="0"/>
          <w:noProof w:val="0"/>
          <w:color w:val="000000" w:themeColor="text1" w:themeTint="FF" w:themeShade="FF"/>
          <w:sz w:val="24"/>
          <w:szCs w:val="24"/>
          <w:lang w:val="en-US"/>
        </w:rPr>
        <w:t xml:space="preserve"> </w:t>
      </w:r>
      <w:r w:rsidRPr="6CC00757" w:rsidR="7B6C4A27">
        <w:rPr>
          <w:rFonts w:ascii="Arial" w:hAnsi="Arial" w:eastAsia="Arial" w:cs="Arial"/>
          <w:b w:val="0"/>
          <w:bCs w:val="0"/>
          <w:i w:val="0"/>
          <w:iCs w:val="0"/>
          <w:noProof w:val="0"/>
          <w:color w:val="000000" w:themeColor="text1" w:themeTint="FF" w:themeShade="FF"/>
          <w:sz w:val="24"/>
          <w:szCs w:val="24"/>
          <w:lang w:val="en-US"/>
        </w:rPr>
        <w:t>the</w:t>
      </w:r>
      <w:r w:rsidRPr="6CC00757" w:rsidR="7B6C4A27">
        <w:rPr>
          <w:rFonts w:ascii="Arial" w:hAnsi="Arial" w:eastAsia="Arial" w:cs="Arial"/>
          <w:b w:val="0"/>
          <w:bCs w:val="0"/>
          <w:i w:val="0"/>
          <w:iCs w:val="0"/>
          <w:noProof w:val="0"/>
          <w:color w:val="000000" w:themeColor="text1" w:themeTint="FF" w:themeShade="FF"/>
          <w:sz w:val="24"/>
          <w:szCs w:val="24"/>
          <w:lang w:val="en-US"/>
        </w:rPr>
        <w:t xml:space="preserve"> three levels are not always clearly distinguishable, and underlying assumptions can be difficult to </w:t>
      </w:r>
      <w:r w:rsidRPr="6CC00757" w:rsidR="7B6C4A27">
        <w:rPr>
          <w:rFonts w:ascii="Arial" w:hAnsi="Arial" w:eastAsia="Arial" w:cs="Arial"/>
          <w:b w:val="0"/>
          <w:bCs w:val="0"/>
          <w:i w:val="0"/>
          <w:iCs w:val="0"/>
          <w:noProof w:val="0"/>
          <w:color w:val="000000" w:themeColor="text1" w:themeTint="FF" w:themeShade="FF"/>
          <w:sz w:val="24"/>
          <w:szCs w:val="24"/>
          <w:lang w:val="en-US"/>
        </w:rPr>
        <w:t>identify</w:t>
      </w:r>
      <w:r w:rsidRPr="6CC00757" w:rsidR="7B6C4A27">
        <w:rPr>
          <w:rFonts w:ascii="Arial" w:hAnsi="Arial" w:eastAsia="Arial" w:cs="Arial"/>
          <w:b w:val="0"/>
          <w:bCs w:val="0"/>
          <w:i w:val="0"/>
          <w:iCs w:val="0"/>
          <w:noProof w:val="0"/>
          <w:color w:val="000000" w:themeColor="text1" w:themeTint="FF" w:themeShade="FF"/>
          <w:sz w:val="24"/>
          <w:szCs w:val="24"/>
          <w:lang w:val="en-US"/>
        </w:rPr>
        <w:t xml:space="preserve"> and measure without extensive qualitative research (Alvesson, 2016)</w:t>
      </w:r>
    </w:p>
    <w:p w:rsidR="191047F2" w:rsidP="6CC00757" w:rsidRDefault="191047F2" w14:paraId="3925DDD6" w14:textId="4FBF991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0D94DF2" w:rsidP="191047F2" w:rsidRDefault="50D94DF2" w14:paraId="52C96777" w14:textId="2FA1BBB1">
      <w:pPr>
        <w:pStyle w:val="Normal"/>
        <w:jc w:val="left"/>
        <w:rPr>
          <w:rFonts w:ascii="Arial" w:hAnsi="Arial" w:eastAsia="Arial" w:cs="Arial"/>
          <w:b w:val="1"/>
          <w:bCs w:val="1"/>
          <w:noProof w:val="0"/>
          <w:sz w:val="24"/>
          <w:szCs w:val="24"/>
          <w:lang w:val="en-US"/>
        </w:rPr>
      </w:pPr>
      <w:r w:rsidRPr="6CC00757" w:rsidR="50D94DF2">
        <w:rPr>
          <w:rFonts w:ascii="Arial" w:hAnsi="Arial" w:eastAsia="Arial" w:cs="Arial"/>
          <w:b w:val="1"/>
          <w:bCs w:val="1"/>
          <w:noProof w:val="0"/>
          <w:sz w:val="24"/>
          <w:szCs w:val="24"/>
          <w:lang w:val="en-US"/>
        </w:rPr>
        <w:t>Handy’s Four Cultural Types</w:t>
      </w:r>
    </w:p>
    <w:p w:rsidR="50D94DF2" w:rsidP="6CC00757" w:rsidRDefault="50D94DF2" w14:paraId="158660D3" w14:textId="7536D46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50D94DF2">
        <w:rPr>
          <w:rFonts w:ascii="Arial" w:hAnsi="Arial" w:eastAsia="Arial" w:cs="Arial"/>
          <w:b w:val="0"/>
          <w:bCs w:val="0"/>
          <w:i w:val="0"/>
          <w:iCs w:val="0"/>
          <w:caps w:val="0"/>
          <w:smallCaps w:val="0"/>
          <w:noProof w:val="0"/>
          <w:color w:val="000000" w:themeColor="text1" w:themeTint="FF" w:themeShade="FF"/>
          <w:sz w:val="24"/>
          <w:szCs w:val="24"/>
          <w:lang w:val="en-US"/>
        </w:rPr>
        <w:t xml:space="preserve">Handy (1993) categorises organisational culture into four archetypes: </w:t>
      </w:r>
    </w:p>
    <w:p w:rsidR="50D94DF2" w:rsidP="6CC00757" w:rsidRDefault="50D94DF2" w14:paraId="214C0B3B" w14:textId="31AE452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50D94DF2">
        <w:rPr>
          <w:rFonts w:ascii="Arial" w:hAnsi="Arial" w:eastAsia="Arial" w:cs="Arial"/>
          <w:b w:val="0"/>
          <w:bCs w:val="0"/>
          <w:i w:val="0"/>
          <w:iCs w:val="0"/>
          <w:caps w:val="0"/>
          <w:smallCaps w:val="0"/>
          <w:noProof w:val="0"/>
          <w:color w:val="000000" w:themeColor="text1" w:themeTint="FF" w:themeShade="FF"/>
          <w:sz w:val="24"/>
          <w:szCs w:val="24"/>
          <w:lang w:val="en-US"/>
        </w:rPr>
        <w:t xml:space="preserve">Power Culture: Control radiates from a central authority; few rules exist and decisions are made quickly </w:t>
      </w:r>
    </w:p>
    <w:p w:rsidR="50D94DF2" w:rsidP="6CC00757" w:rsidRDefault="50D94DF2" w14:paraId="257B7C69" w14:textId="0532533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50D94DF2">
        <w:rPr>
          <w:rFonts w:ascii="Arial" w:hAnsi="Arial" w:eastAsia="Arial" w:cs="Arial"/>
          <w:b w:val="0"/>
          <w:bCs w:val="0"/>
          <w:i w:val="0"/>
          <w:iCs w:val="0"/>
          <w:caps w:val="0"/>
          <w:smallCaps w:val="0"/>
          <w:noProof w:val="0"/>
          <w:color w:val="000000" w:themeColor="text1" w:themeTint="FF" w:themeShade="FF"/>
          <w:sz w:val="24"/>
          <w:szCs w:val="24"/>
          <w:lang w:val="en-US"/>
        </w:rPr>
        <w:t xml:space="preserve">Role Culture: Governance through established roles, rules and hierarchies; authority is tied to position; stability and consistency are prioritised </w:t>
      </w:r>
    </w:p>
    <w:p w:rsidR="50D94DF2" w:rsidP="6CC00757" w:rsidRDefault="50D94DF2" w14:paraId="38F9F976" w14:textId="4A136BD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50D94DF2">
        <w:rPr>
          <w:rFonts w:ascii="Arial" w:hAnsi="Arial" w:eastAsia="Arial" w:cs="Arial"/>
          <w:b w:val="0"/>
          <w:bCs w:val="0"/>
          <w:i w:val="0"/>
          <w:iCs w:val="0"/>
          <w:caps w:val="0"/>
          <w:smallCaps w:val="0"/>
          <w:noProof w:val="0"/>
          <w:color w:val="000000" w:themeColor="text1" w:themeTint="FF" w:themeShade="FF"/>
          <w:sz w:val="24"/>
          <w:szCs w:val="24"/>
          <w:lang w:val="en-US"/>
        </w:rPr>
        <w:t xml:space="preserve">Task Culture: Organised around teams and projects; influence is based on expertise rather than status; adaptability and problem-solving are central </w:t>
      </w:r>
    </w:p>
    <w:p w:rsidR="50D94DF2" w:rsidP="6CC00757" w:rsidRDefault="50D94DF2" w14:paraId="117B640A" w14:textId="7BCB374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50D94DF2">
        <w:rPr>
          <w:rFonts w:ascii="Arial" w:hAnsi="Arial" w:eastAsia="Arial" w:cs="Arial"/>
          <w:b w:val="0"/>
          <w:bCs w:val="0"/>
          <w:i w:val="0"/>
          <w:iCs w:val="0"/>
          <w:caps w:val="0"/>
          <w:smallCaps w:val="0"/>
          <w:noProof w:val="0"/>
          <w:color w:val="000000" w:themeColor="text1" w:themeTint="FF" w:themeShade="FF"/>
          <w:sz w:val="24"/>
          <w:szCs w:val="24"/>
          <w:lang w:val="en-US"/>
        </w:rPr>
        <w:t xml:space="preserve">Most </w:t>
      </w:r>
      <w:r w:rsidRPr="6CC00757" w:rsidR="50D94DF2">
        <w:rPr>
          <w:rFonts w:ascii="Arial" w:hAnsi="Arial" w:eastAsia="Arial" w:cs="Arial"/>
          <w:b w:val="0"/>
          <w:bCs w:val="0"/>
          <w:i w:val="0"/>
          <w:iCs w:val="0"/>
          <w:caps w:val="0"/>
          <w:smallCaps w:val="0"/>
          <w:noProof w:val="0"/>
          <w:color w:val="000000" w:themeColor="text1" w:themeTint="FF" w:themeShade="FF"/>
          <w:sz w:val="24"/>
          <w:szCs w:val="24"/>
          <w:lang w:val="en-US"/>
        </w:rPr>
        <w:t>organisations</w:t>
      </w:r>
      <w:r w:rsidRPr="6CC00757" w:rsidR="50D94DF2">
        <w:rPr>
          <w:rFonts w:ascii="Arial" w:hAnsi="Arial" w:eastAsia="Arial" w:cs="Arial"/>
          <w:b w:val="0"/>
          <w:bCs w:val="0"/>
          <w:i w:val="0"/>
          <w:iCs w:val="0"/>
          <w:caps w:val="0"/>
          <w:smallCaps w:val="0"/>
          <w:noProof w:val="0"/>
          <w:color w:val="000000" w:themeColor="text1" w:themeTint="FF" w:themeShade="FF"/>
          <w:sz w:val="24"/>
          <w:szCs w:val="24"/>
          <w:lang w:val="en-US"/>
        </w:rPr>
        <w:t xml:space="preserve"> combine elements of multiple types. Handy’s framework provides a useful starting point for cultural diagnosis, though critics note that it is descriptive rather than explanatory, and does not fully account for how cultures evolve or how they interact with external conditions (Senior and Swailes, 201)</w:t>
      </w:r>
    </w:p>
    <w:p w:rsidR="191047F2" w:rsidP="6CC00757" w:rsidRDefault="191047F2" w14:paraId="62467060" w14:textId="2DCA904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CC00757" w:rsidP="6CC00757" w:rsidRDefault="6CC00757" w14:paraId="4D4C1ECD" w14:textId="2BACDFE5">
      <w:pPr>
        <w:pStyle w:val="Normal"/>
        <w:jc w:val="left"/>
        <w:rPr>
          <w:rFonts w:ascii="Arial" w:hAnsi="Arial" w:eastAsia="Arial" w:cs="Arial"/>
          <w:b w:val="1"/>
          <w:bCs w:val="1"/>
          <w:noProof w:val="0"/>
          <w:sz w:val="24"/>
          <w:szCs w:val="24"/>
          <w:lang w:val="en-US"/>
        </w:rPr>
      </w:pPr>
    </w:p>
    <w:p w:rsidR="6CC00757" w:rsidP="6CC00757" w:rsidRDefault="6CC00757" w14:paraId="120E383A" w14:textId="431CC85C">
      <w:pPr>
        <w:pStyle w:val="Normal"/>
        <w:jc w:val="left"/>
        <w:rPr>
          <w:rFonts w:ascii="Arial" w:hAnsi="Arial" w:eastAsia="Arial" w:cs="Arial"/>
          <w:b w:val="1"/>
          <w:bCs w:val="1"/>
          <w:noProof w:val="0"/>
          <w:sz w:val="24"/>
          <w:szCs w:val="24"/>
          <w:lang w:val="en-US"/>
        </w:rPr>
      </w:pPr>
    </w:p>
    <w:p w:rsidR="6CC00757" w:rsidP="6CC00757" w:rsidRDefault="6CC00757" w14:paraId="207E9D63" w14:textId="59BCA4B1">
      <w:pPr>
        <w:pStyle w:val="Normal"/>
        <w:jc w:val="left"/>
        <w:rPr>
          <w:rFonts w:ascii="Arial" w:hAnsi="Arial" w:eastAsia="Arial" w:cs="Arial"/>
          <w:b w:val="1"/>
          <w:bCs w:val="1"/>
          <w:noProof w:val="0"/>
          <w:sz w:val="24"/>
          <w:szCs w:val="24"/>
          <w:lang w:val="en-US"/>
        </w:rPr>
      </w:pPr>
    </w:p>
    <w:p w:rsidR="6CC00757" w:rsidP="6CC00757" w:rsidRDefault="6CC00757" w14:paraId="1CCAB539" w14:textId="014C0F24">
      <w:pPr>
        <w:pStyle w:val="Normal"/>
        <w:jc w:val="left"/>
        <w:rPr>
          <w:rFonts w:ascii="Arial" w:hAnsi="Arial" w:eastAsia="Arial" w:cs="Arial"/>
          <w:b w:val="1"/>
          <w:bCs w:val="1"/>
          <w:noProof w:val="0"/>
          <w:sz w:val="24"/>
          <w:szCs w:val="24"/>
          <w:lang w:val="en-US"/>
        </w:rPr>
      </w:pPr>
    </w:p>
    <w:p w:rsidR="6CC00757" w:rsidP="6CC00757" w:rsidRDefault="6CC00757" w14:paraId="5EE89DF3" w14:textId="551B847A">
      <w:pPr>
        <w:pStyle w:val="Normal"/>
        <w:jc w:val="left"/>
        <w:rPr>
          <w:rFonts w:ascii="Arial" w:hAnsi="Arial" w:eastAsia="Arial" w:cs="Arial"/>
          <w:b w:val="1"/>
          <w:bCs w:val="1"/>
          <w:noProof w:val="0"/>
          <w:sz w:val="24"/>
          <w:szCs w:val="24"/>
          <w:lang w:val="en-US"/>
        </w:rPr>
      </w:pPr>
    </w:p>
    <w:p w:rsidR="6CC00757" w:rsidP="6CC00757" w:rsidRDefault="6CC00757" w14:paraId="22DC5F77" w14:textId="226B0692">
      <w:pPr>
        <w:pStyle w:val="Normal"/>
        <w:jc w:val="left"/>
        <w:rPr>
          <w:rFonts w:ascii="Arial" w:hAnsi="Arial" w:eastAsia="Arial" w:cs="Arial"/>
          <w:b w:val="1"/>
          <w:bCs w:val="1"/>
          <w:noProof w:val="0"/>
          <w:sz w:val="24"/>
          <w:szCs w:val="24"/>
          <w:lang w:val="en-US"/>
        </w:rPr>
      </w:pPr>
    </w:p>
    <w:p w:rsidR="6CC00757" w:rsidP="6CC00757" w:rsidRDefault="6CC00757" w14:paraId="7368776A" w14:textId="02F5CD57">
      <w:pPr>
        <w:pStyle w:val="Normal"/>
        <w:jc w:val="left"/>
        <w:rPr>
          <w:rFonts w:ascii="Arial" w:hAnsi="Arial" w:eastAsia="Arial" w:cs="Arial"/>
          <w:b w:val="1"/>
          <w:bCs w:val="1"/>
          <w:noProof w:val="0"/>
          <w:sz w:val="24"/>
          <w:szCs w:val="24"/>
          <w:lang w:val="en-US"/>
        </w:rPr>
      </w:pPr>
    </w:p>
    <w:p w:rsidR="6CC00757" w:rsidP="6CC00757" w:rsidRDefault="6CC00757" w14:paraId="11C4A2FD" w14:textId="12259614">
      <w:pPr>
        <w:pStyle w:val="Normal"/>
        <w:jc w:val="left"/>
        <w:rPr>
          <w:rFonts w:ascii="Arial" w:hAnsi="Arial" w:eastAsia="Arial" w:cs="Arial"/>
          <w:b w:val="1"/>
          <w:bCs w:val="1"/>
          <w:noProof w:val="0"/>
          <w:sz w:val="24"/>
          <w:szCs w:val="24"/>
          <w:lang w:val="en-US"/>
        </w:rPr>
      </w:pPr>
    </w:p>
    <w:p w:rsidR="6CC00757" w:rsidP="6CC00757" w:rsidRDefault="6CC00757" w14:paraId="6FF6B91C" w14:textId="7C0D8948">
      <w:pPr>
        <w:pStyle w:val="Normal"/>
        <w:jc w:val="left"/>
        <w:rPr>
          <w:rFonts w:ascii="Arial" w:hAnsi="Arial" w:eastAsia="Arial" w:cs="Arial"/>
          <w:b w:val="1"/>
          <w:bCs w:val="1"/>
          <w:noProof w:val="0"/>
          <w:sz w:val="24"/>
          <w:szCs w:val="24"/>
          <w:lang w:val="en-US"/>
        </w:rPr>
      </w:pPr>
    </w:p>
    <w:p w:rsidR="6CC00757" w:rsidP="6CC00757" w:rsidRDefault="6CC00757" w14:paraId="69A96781" w14:textId="60BDB0F4">
      <w:pPr>
        <w:pStyle w:val="Normal"/>
        <w:jc w:val="left"/>
        <w:rPr>
          <w:rFonts w:ascii="Arial" w:hAnsi="Arial" w:eastAsia="Arial" w:cs="Arial"/>
          <w:b w:val="1"/>
          <w:bCs w:val="1"/>
          <w:noProof w:val="0"/>
          <w:sz w:val="24"/>
          <w:szCs w:val="24"/>
          <w:lang w:val="en-US"/>
        </w:rPr>
      </w:pPr>
    </w:p>
    <w:p w:rsidR="6CC00757" w:rsidP="6CC00757" w:rsidRDefault="6CC00757" w14:paraId="3943A166" w14:textId="6230AA1A">
      <w:pPr>
        <w:pStyle w:val="Normal"/>
        <w:jc w:val="left"/>
        <w:rPr>
          <w:rFonts w:ascii="Arial" w:hAnsi="Arial" w:eastAsia="Arial" w:cs="Arial"/>
          <w:b w:val="1"/>
          <w:bCs w:val="1"/>
          <w:noProof w:val="0"/>
          <w:sz w:val="24"/>
          <w:szCs w:val="24"/>
          <w:lang w:val="en-US"/>
        </w:rPr>
      </w:pPr>
    </w:p>
    <w:p w:rsidR="18F21616" w:rsidP="191047F2" w:rsidRDefault="18F21616" w14:paraId="1C4F2499" w14:textId="620E3FDB">
      <w:pPr>
        <w:pStyle w:val="Normal"/>
        <w:jc w:val="left"/>
        <w:rPr>
          <w:rFonts w:ascii="Arial" w:hAnsi="Arial" w:eastAsia="Arial" w:cs="Arial"/>
          <w:b w:val="1"/>
          <w:bCs w:val="1"/>
          <w:noProof w:val="0"/>
          <w:sz w:val="24"/>
          <w:szCs w:val="24"/>
          <w:lang w:val="en-US"/>
        </w:rPr>
      </w:pPr>
      <w:r w:rsidRPr="6CC00757" w:rsidR="18F21616">
        <w:rPr>
          <w:rFonts w:ascii="Arial" w:hAnsi="Arial" w:eastAsia="Arial" w:cs="Arial"/>
          <w:b w:val="1"/>
          <w:bCs w:val="1"/>
          <w:noProof w:val="0"/>
          <w:sz w:val="24"/>
          <w:szCs w:val="24"/>
          <w:lang w:val="en-US"/>
        </w:rPr>
        <w:t>Hofstede’s Cultural Dimensions</w:t>
      </w:r>
    </w:p>
    <w:p w:rsidR="18F21616" w:rsidP="6CC00757" w:rsidRDefault="18F21616" w14:paraId="4EF13AB0" w14:textId="131ACC07">
      <w:pPr>
        <w:pStyle w:val="Normal"/>
        <w:jc w:val="left"/>
        <w:rPr>
          <w:rFonts w:ascii="Arial" w:hAnsi="Arial" w:eastAsia="Arial" w:cs="Arial"/>
          <w:noProof w:val="0"/>
          <w:sz w:val="24"/>
          <w:szCs w:val="24"/>
          <w:lang w:val="en-US"/>
        </w:rPr>
      </w:pPr>
      <w:r w:rsidRPr="6CC00757" w:rsidR="18F21616">
        <w:rPr>
          <w:rFonts w:ascii="Arial" w:hAnsi="Arial" w:eastAsia="Arial" w:cs="Arial"/>
          <w:noProof w:val="0"/>
          <w:sz w:val="24"/>
          <w:szCs w:val="24"/>
          <w:lang w:val="en-US"/>
        </w:rPr>
        <w:t xml:space="preserve">Hofstede (2001) </w:t>
      </w:r>
      <w:r w:rsidRPr="6CC00757" w:rsidR="18F21616">
        <w:rPr>
          <w:rFonts w:ascii="Arial" w:hAnsi="Arial" w:eastAsia="Arial" w:cs="Arial"/>
          <w:noProof w:val="0"/>
          <w:sz w:val="24"/>
          <w:szCs w:val="24"/>
          <w:lang w:val="en-US"/>
        </w:rPr>
        <w:t>identifies</w:t>
      </w:r>
      <w:r w:rsidRPr="6CC00757" w:rsidR="18F21616">
        <w:rPr>
          <w:rFonts w:ascii="Arial" w:hAnsi="Arial" w:eastAsia="Arial" w:cs="Arial"/>
          <w:noProof w:val="0"/>
          <w:sz w:val="24"/>
          <w:szCs w:val="24"/>
          <w:lang w:val="en-US"/>
        </w:rPr>
        <w:t xml:space="preserve"> national cultural dimensions including power distance, uncertainty avoidance, individualism-</w:t>
      </w:r>
      <w:r w:rsidRPr="6CC00757" w:rsidR="18F21616">
        <w:rPr>
          <w:rFonts w:ascii="Arial" w:hAnsi="Arial" w:eastAsia="Arial" w:cs="Arial"/>
          <w:noProof w:val="0"/>
          <w:sz w:val="24"/>
          <w:szCs w:val="24"/>
          <w:lang w:val="en-US"/>
        </w:rPr>
        <w:t>collectivism</w:t>
      </w:r>
      <w:r w:rsidRPr="6CC00757" w:rsidR="18F21616">
        <w:rPr>
          <w:rFonts w:ascii="Arial" w:hAnsi="Arial" w:eastAsia="Arial" w:cs="Arial"/>
          <w:noProof w:val="0"/>
          <w:sz w:val="24"/>
          <w:szCs w:val="24"/>
          <w:lang w:val="en-US"/>
        </w:rPr>
        <w:t xml:space="preserve"> and long-term orientation. While Lloyds </w:t>
      </w:r>
      <w:r w:rsidRPr="6CC00757" w:rsidR="18F21616">
        <w:rPr>
          <w:rFonts w:ascii="Arial" w:hAnsi="Arial" w:eastAsia="Arial" w:cs="Arial"/>
          <w:noProof w:val="0"/>
          <w:sz w:val="24"/>
          <w:szCs w:val="24"/>
          <w:lang w:val="en-US"/>
        </w:rPr>
        <w:t>operates</w:t>
      </w:r>
      <w:r w:rsidRPr="6CC00757" w:rsidR="18F21616">
        <w:rPr>
          <w:rFonts w:ascii="Arial" w:hAnsi="Arial" w:eastAsia="Arial" w:cs="Arial"/>
          <w:noProof w:val="0"/>
          <w:sz w:val="24"/>
          <w:szCs w:val="24"/>
          <w:lang w:val="en-US"/>
        </w:rPr>
        <w:t xml:space="preserve"> primarily within the UK </w:t>
      </w:r>
      <w:r w:rsidRPr="6CC00757" w:rsidR="42BADBE8">
        <w:rPr>
          <w:rFonts w:ascii="Arial" w:hAnsi="Arial" w:eastAsia="Arial" w:cs="Arial"/>
          <w:noProof w:val="0"/>
          <w:sz w:val="24"/>
          <w:szCs w:val="24"/>
          <w:lang w:val="en-US"/>
        </w:rPr>
        <w:t xml:space="preserve"> </w:t>
      </w:r>
      <w:r w:rsidRPr="6CC00757" w:rsidR="18F21616">
        <w:rPr>
          <w:rFonts w:ascii="Arial" w:hAnsi="Arial" w:eastAsia="Arial" w:cs="Arial"/>
          <w:noProof w:val="0"/>
          <w:sz w:val="24"/>
          <w:szCs w:val="24"/>
          <w:lang w:val="en-US"/>
        </w:rPr>
        <w:t xml:space="preserve">a </w:t>
      </w:r>
      <w:r w:rsidRPr="6CC00757" w:rsidR="18F21616">
        <w:rPr>
          <w:rFonts w:ascii="Arial" w:hAnsi="Arial" w:eastAsia="Arial" w:cs="Arial"/>
          <w:noProof w:val="0"/>
          <w:sz w:val="24"/>
          <w:szCs w:val="24"/>
          <w:lang w:val="en-US"/>
        </w:rPr>
        <w:t>relatively low</w:t>
      </w:r>
      <w:r w:rsidRPr="6CC00757" w:rsidR="18F21616">
        <w:rPr>
          <w:rFonts w:ascii="Arial" w:hAnsi="Arial" w:eastAsia="Arial" w:cs="Arial"/>
          <w:noProof w:val="0"/>
          <w:sz w:val="24"/>
          <w:szCs w:val="24"/>
          <w:lang w:val="en-US"/>
        </w:rPr>
        <w:t xml:space="preserve"> power-distance, individualist culture — Hofstede’s framework </w:t>
      </w:r>
      <w:r w:rsidRPr="6CC00757" w:rsidR="18F21616">
        <w:rPr>
          <w:rFonts w:ascii="Arial" w:hAnsi="Arial" w:eastAsia="Arial" w:cs="Arial"/>
          <w:noProof w:val="0"/>
          <w:sz w:val="24"/>
          <w:szCs w:val="24"/>
          <w:lang w:val="en-US"/>
        </w:rPr>
        <w:t>remains</w:t>
      </w:r>
      <w:r w:rsidRPr="6CC00757" w:rsidR="18F21616">
        <w:rPr>
          <w:rFonts w:ascii="Arial" w:hAnsi="Arial" w:eastAsia="Arial" w:cs="Arial"/>
          <w:noProof w:val="0"/>
          <w:sz w:val="24"/>
          <w:szCs w:val="24"/>
          <w:lang w:val="en-US"/>
        </w:rPr>
        <w:t xml:space="preserve"> relevant because banking regulation, customer expectations and workforce diversity introduce cultural complexity within the domestic context. The model is </w:t>
      </w:r>
      <w:r w:rsidRPr="6CC00757" w:rsidR="18F21616">
        <w:rPr>
          <w:rFonts w:ascii="Arial" w:hAnsi="Arial" w:eastAsia="Arial" w:cs="Arial"/>
          <w:noProof w:val="0"/>
          <w:sz w:val="24"/>
          <w:szCs w:val="24"/>
          <w:lang w:val="en-US"/>
        </w:rPr>
        <w:t>frequently</w:t>
      </w:r>
      <w:r w:rsidRPr="6CC00757" w:rsidR="18F21616">
        <w:rPr>
          <w:rFonts w:ascii="Arial" w:hAnsi="Arial" w:eastAsia="Arial" w:cs="Arial"/>
          <w:noProof w:val="0"/>
          <w:sz w:val="24"/>
          <w:szCs w:val="24"/>
          <w:lang w:val="en-US"/>
        </w:rPr>
        <w:t xml:space="preserve"> cited but also </w:t>
      </w:r>
      <w:r w:rsidRPr="6CC00757" w:rsidR="18F21616">
        <w:rPr>
          <w:rFonts w:ascii="Arial" w:hAnsi="Arial" w:eastAsia="Arial" w:cs="Arial"/>
          <w:noProof w:val="0"/>
          <w:sz w:val="24"/>
          <w:szCs w:val="24"/>
          <w:lang w:val="en-US"/>
        </w:rPr>
        <w:t>criticised</w:t>
      </w:r>
      <w:r w:rsidRPr="6CC00757" w:rsidR="18F21616">
        <w:rPr>
          <w:rFonts w:ascii="Arial" w:hAnsi="Arial" w:eastAsia="Arial" w:cs="Arial"/>
          <w:noProof w:val="0"/>
          <w:sz w:val="24"/>
          <w:szCs w:val="24"/>
          <w:lang w:val="en-US"/>
        </w:rPr>
        <w:t>: it risks over-</w:t>
      </w:r>
      <w:r w:rsidRPr="6CC00757" w:rsidR="18F21616">
        <w:rPr>
          <w:rFonts w:ascii="Arial" w:hAnsi="Arial" w:eastAsia="Arial" w:cs="Arial"/>
          <w:noProof w:val="0"/>
          <w:sz w:val="24"/>
          <w:szCs w:val="24"/>
          <w:lang w:val="en-US"/>
        </w:rPr>
        <w:t>generalisation</w:t>
      </w:r>
      <w:r w:rsidRPr="6CC00757" w:rsidR="18F21616">
        <w:rPr>
          <w:rFonts w:ascii="Arial" w:hAnsi="Arial" w:eastAsia="Arial" w:cs="Arial"/>
          <w:noProof w:val="0"/>
          <w:sz w:val="24"/>
          <w:szCs w:val="24"/>
          <w:lang w:val="en-US"/>
        </w:rPr>
        <w:t xml:space="preserve">, treats culture as static rather than dynamic, and does not fully explain how </w:t>
      </w:r>
      <w:r w:rsidRPr="6CC00757" w:rsidR="18F21616">
        <w:rPr>
          <w:rFonts w:ascii="Arial" w:hAnsi="Arial" w:eastAsia="Arial" w:cs="Arial"/>
          <w:noProof w:val="0"/>
          <w:sz w:val="24"/>
          <w:szCs w:val="24"/>
          <w:lang w:val="en-US"/>
        </w:rPr>
        <w:t>organisational</w:t>
      </w:r>
      <w:r w:rsidRPr="6CC00757" w:rsidR="18F21616">
        <w:rPr>
          <w:rFonts w:ascii="Arial" w:hAnsi="Arial" w:eastAsia="Arial" w:cs="Arial"/>
          <w:noProof w:val="0"/>
          <w:sz w:val="24"/>
          <w:szCs w:val="24"/>
          <w:lang w:val="en-US"/>
        </w:rPr>
        <w:t xml:space="preserve"> culture can differ significantly from the prevailing national culture (McSweeney, 2002)</w:t>
      </w:r>
    </w:p>
    <w:p w:rsidR="191047F2" w:rsidP="6CC00757" w:rsidRDefault="191047F2" w14:paraId="1D108441" w14:textId="3F46B362">
      <w:pPr>
        <w:pStyle w:val="Normal"/>
        <w:jc w:val="left"/>
        <w:rPr>
          <w:rFonts w:ascii="Arial" w:hAnsi="Arial" w:eastAsia="Arial" w:cs="Arial"/>
          <w:noProof w:val="0"/>
          <w:sz w:val="24"/>
          <w:szCs w:val="24"/>
          <w:lang w:val="en-US"/>
        </w:rPr>
      </w:pPr>
    </w:p>
    <w:p w:rsidR="191047F2" w:rsidP="6CC00757" w:rsidRDefault="191047F2" w14:paraId="12519EA1" w14:textId="4D427AC9">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191047F2" w:rsidP="6CC00757" w:rsidRDefault="191047F2" w14:paraId="4A2960AD" w14:textId="3866F7CE">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648F67EE" w14:textId="5225D8F3">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5CA488DD" w14:textId="7BEC1E89">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5CE970FE" w14:textId="45CE7E24">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43EAEF08" w14:textId="115A269F">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06E79C43" w14:textId="6C7A94EC">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1E7EAD42" w14:textId="722471B9">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3E096778" w14:textId="538C927D">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2F2BB24D" w14:textId="718E285C">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7E7286E7" w14:textId="05005490">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14723CB5" w14:textId="4B1AA57C">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76CAC662" w14:textId="7A473496">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7AFF206A" w14:textId="38F6F9C4">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4312CCBC" w14:textId="177CA909">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1A564C77" w14:textId="0839B877">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15658201" w14:textId="37D06FC4">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2C360F24" w14:textId="24815494">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56973C1C" w:rsidP="6CC00757" w:rsidRDefault="56973C1C" w14:paraId="280F4BEA" w14:textId="78D6826B">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6CC00757" w:rsidR="56973C1C">
        <w:rPr>
          <w:rFonts w:ascii="Arial" w:hAnsi="Arial" w:eastAsia="Arial" w:cs="Arial"/>
          <w:b w:val="1"/>
          <w:bCs w:val="1"/>
          <w:i w:val="0"/>
          <w:iCs w:val="0"/>
          <w:caps w:val="0"/>
          <w:smallCaps w:val="0"/>
          <w:noProof w:val="0"/>
          <w:color w:val="000000" w:themeColor="text1" w:themeTint="FF" w:themeShade="FF"/>
          <w:sz w:val="24"/>
          <w:szCs w:val="24"/>
          <w:lang w:val="en-US"/>
        </w:rPr>
        <w:t>The Competing Values Framework (Cameron and Quinn</w:t>
      </w:r>
    </w:p>
    <w:p w:rsidR="56973C1C" w:rsidP="6CC00757" w:rsidRDefault="56973C1C" w14:paraId="322B31AE" w14:textId="0A7DEABC">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56973C1C">
        <w:rPr>
          <w:rFonts w:ascii="Arial" w:hAnsi="Arial" w:eastAsia="Arial" w:cs="Arial"/>
          <w:b w:val="0"/>
          <w:bCs w:val="0"/>
          <w:i w:val="0"/>
          <w:iCs w:val="0"/>
          <w:caps w:val="0"/>
          <w:smallCaps w:val="0"/>
          <w:noProof w:val="0"/>
          <w:color w:val="000000" w:themeColor="text1" w:themeTint="FF" w:themeShade="FF"/>
          <w:sz w:val="24"/>
          <w:szCs w:val="24"/>
          <w:lang w:val="en-US"/>
        </w:rPr>
        <w:t xml:space="preserve">Cameron and Quinn (2011) propose that culture can be </w:t>
      </w:r>
      <w:r w:rsidRPr="6CC00757" w:rsidR="56973C1C">
        <w:rPr>
          <w:rFonts w:ascii="Arial" w:hAnsi="Arial" w:eastAsia="Arial" w:cs="Arial"/>
          <w:b w:val="0"/>
          <w:bCs w:val="0"/>
          <w:i w:val="0"/>
          <w:iCs w:val="0"/>
          <w:caps w:val="0"/>
          <w:smallCaps w:val="0"/>
          <w:noProof w:val="0"/>
          <w:color w:val="000000" w:themeColor="text1" w:themeTint="FF" w:themeShade="FF"/>
          <w:sz w:val="24"/>
          <w:szCs w:val="24"/>
          <w:lang w:val="en-US"/>
        </w:rPr>
        <w:t>analysed</w:t>
      </w:r>
      <w:r w:rsidRPr="6CC00757" w:rsidR="56973C1C">
        <w:rPr>
          <w:rFonts w:ascii="Arial" w:hAnsi="Arial" w:eastAsia="Arial" w:cs="Arial"/>
          <w:b w:val="0"/>
          <w:bCs w:val="0"/>
          <w:i w:val="0"/>
          <w:iCs w:val="0"/>
          <w:caps w:val="0"/>
          <w:smallCaps w:val="0"/>
          <w:noProof w:val="0"/>
          <w:color w:val="000000" w:themeColor="text1" w:themeTint="FF" w:themeShade="FF"/>
          <w:sz w:val="24"/>
          <w:szCs w:val="24"/>
          <w:lang w:val="en-US"/>
        </w:rPr>
        <w:t xml:space="preserve"> along two dimensions: internal focus versus external focus, and flexibility versus stability. This produces four culture types: Clan, Adhocracy, </w:t>
      </w:r>
      <w:r w:rsidRPr="6CC00757" w:rsidR="56973C1C">
        <w:rPr>
          <w:rFonts w:ascii="Arial" w:hAnsi="Arial" w:eastAsia="Arial" w:cs="Arial"/>
          <w:b w:val="0"/>
          <w:bCs w:val="0"/>
          <w:i w:val="0"/>
          <w:iCs w:val="0"/>
          <w:caps w:val="0"/>
          <w:smallCaps w:val="0"/>
          <w:noProof w:val="0"/>
          <w:color w:val="000000" w:themeColor="text1" w:themeTint="FF" w:themeShade="FF"/>
          <w:sz w:val="24"/>
          <w:szCs w:val="24"/>
          <w:lang w:val="en-US"/>
        </w:rPr>
        <w:t>Market</w:t>
      </w:r>
      <w:r w:rsidRPr="6CC00757" w:rsidR="56973C1C">
        <w:rPr>
          <w:rFonts w:ascii="Arial" w:hAnsi="Arial" w:eastAsia="Arial" w:cs="Arial"/>
          <w:b w:val="0"/>
          <w:bCs w:val="0"/>
          <w:i w:val="0"/>
          <w:iCs w:val="0"/>
          <w:caps w:val="0"/>
          <w:smallCaps w:val="0"/>
          <w:noProof w:val="0"/>
          <w:color w:val="000000" w:themeColor="text1" w:themeTint="FF" w:themeShade="FF"/>
          <w:sz w:val="24"/>
          <w:szCs w:val="24"/>
          <w:lang w:val="en-US"/>
        </w:rPr>
        <w:t xml:space="preserve"> and Hierarchy.</w:t>
      </w:r>
    </w:p>
    <w:p w:rsidR="191047F2" w:rsidP="6CC00757" w:rsidRDefault="191047F2" w14:paraId="35C6744C" w14:textId="08CCF71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6973C1C" w:rsidP="6CC00757" w:rsidRDefault="56973C1C" w14:paraId="5AFEF687" w14:textId="1D385FA5">
      <w:pPr>
        <w:pStyle w:val="Normal"/>
        <w:jc w:val="left"/>
        <w:rPr>
          <w:rFonts w:ascii="Arial" w:hAnsi="Arial" w:eastAsia="Arial" w:cs="Arial"/>
          <w:b w:val="1"/>
          <w:bCs w:val="1"/>
          <w:i w:val="0"/>
          <w:iCs w:val="0"/>
          <w:caps w:val="0"/>
          <w:smallCaps w:val="0"/>
          <w:noProof w:val="0"/>
          <w:color w:val="000000" w:themeColor="text1" w:themeTint="FF" w:themeShade="FF"/>
          <w:sz w:val="28"/>
          <w:szCs w:val="28"/>
          <w:lang w:val="en-US"/>
        </w:rPr>
      </w:pPr>
      <w:r w:rsidRPr="6CC00757" w:rsidR="56973C1C">
        <w:rPr>
          <w:rFonts w:ascii="Arial" w:hAnsi="Arial" w:eastAsia="Arial" w:cs="Arial"/>
          <w:b w:val="1"/>
          <w:bCs w:val="1"/>
          <w:i w:val="0"/>
          <w:iCs w:val="0"/>
          <w:caps w:val="0"/>
          <w:smallCaps w:val="0"/>
          <w:noProof w:val="0"/>
          <w:color w:val="000000" w:themeColor="text1" w:themeTint="FF" w:themeShade="FF"/>
          <w:sz w:val="28"/>
          <w:szCs w:val="28"/>
          <w:lang w:val="en-US"/>
        </w:rPr>
        <w:t>Analysis of Culture at Lloyds Bank</w:t>
      </w:r>
    </w:p>
    <w:p w:rsidR="56973C1C" w:rsidP="6CC00757" w:rsidRDefault="56973C1C" w14:paraId="7946EF0A" w14:textId="673F0139">
      <w:pPr>
        <w:pStyle w:val="Normal"/>
        <w:jc w:val="left"/>
        <w:rPr>
          <w:rFonts w:ascii="Arial" w:hAnsi="Arial" w:eastAsia="Arial" w:cs="Arial"/>
          <w:noProof w:val="0"/>
          <w:sz w:val="24"/>
          <w:szCs w:val="24"/>
          <w:lang w:val="en-US"/>
        </w:rPr>
      </w:pPr>
      <w:r w:rsidRPr="6CC00757" w:rsidR="56973C1C">
        <w:rPr>
          <w:rFonts w:ascii="Arial" w:hAnsi="Arial" w:eastAsia="Arial" w:cs="Arial"/>
          <w:noProof w:val="0"/>
          <w:sz w:val="24"/>
          <w:szCs w:val="24"/>
          <w:lang w:val="en-US"/>
        </w:rPr>
        <w:t>Applying Schein’s Model to Lloyds Bank</w:t>
      </w:r>
    </w:p>
    <w:p w:rsidR="191047F2" w:rsidP="191047F2" w:rsidRDefault="191047F2" w14:paraId="02AAD0B4" w14:textId="28DE1B1E">
      <w:pPr>
        <w:pStyle w:val="Normal"/>
        <w:jc w:val="left"/>
        <w:rPr>
          <w:rFonts w:ascii="Arial" w:hAnsi="Arial" w:eastAsia="Arial" w:cs="Arial"/>
          <w:noProof w:val="0"/>
          <w:sz w:val="24"/>
          <w:szCs w:val="24"/>
          <w:lang w:val="en-US"/>
        </w:rPr>
      </w:pPr>
    </w:p>
    <w:tbl>
      <w:tblPr>
        <w:tblStyle w:val="TableNormal"/>
        <w:bidiVisual w:val="0"/>
        <w:tblW w:w="0" w:type="auto"/>
        <w:tblLook w:val="06A0" w:firstRow="1" w:lastRow="0" w:firstColumn="1" w:lastColumn="0" w:noHBand="1" w:noVBand="1"/>
      </w:tblPr>
      <w:tblGrid>
        <w:gridCol w:w="2805"/>
        <w:gridCol w:w="6555"/>
      </w:tblGrid>
      <w:tr w:rsidR="191047F2" w:rsidTr="6CC00757" w14:paraId="27342565">
        <w:trPr>
          <w:trHeight w:val="300"/>
        </w:trPr>
        <w:tc>
          <w:tcPr>
            <w:tcW w:w="280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6016CBAE" w14:textId="08362B41">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Level</w:t>
            </w:r>
          </w:p>
        </w:tc>
        <w:tc>
          <w:tcPr>
            <w:tcW w:w="655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79F07D85" w14:textId="690511DB">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Observations at Lloyds Bank</w:t>
            </w:r>
          </w:p>
        </w:tc>
      </w:tr>
      <w:tr w:rsidR="191047F2" w:rsidTr="6CC00757" w14:paraId="08DFB9BA">
        <w:trPr>
          <w:trHeight w:val="300"/>
        </w:trPr>
        <w:tc>
          <w:tcPr>
            <w:tcW w:w="280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059E470A" w14:textId="5DC8C216">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Artifacts</w:t>
            </w:r>
          </w:p>
        </w:tc>
        <w:tc>
          <w:tcPr>
            <w:tcW w:w="655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4B0A8C58" w14:textId="4C48A533">
            <w:pPr>
              <w:spacing w:before="0" w:beforeAutospacing="off" w:after="0" w:afterAutospacing="off"/>
              <w:jc w:val="left"/>
              <w:rPr>
                <w:rFonts w:ascii="Arial" w:hAnsi="Arial" w:eastAsia="Arial" w:cs="Arial"/>
              </w:rPr>
            </w:pPr>
            <w:r w:rsidRPr="6CC00757" w:rsidR="7561A22C">
              <w:rPr>
                <w:rFonts w:ascii="Arial" w:hAnsi="Arial" w:eastAsia="Arial" w:cs="Arial"/>
              </w:rPr>
              <w:t>Formal branch environments, structured training programmes, standardised customer service protocols, rigorous compliance processes, internal recognition schemes, clear hierarchical reporting lines</w:t>
            </w:r>
          </w:p>
        </w:tc>
      </w:tr>
      <w:tr w:rsidR="191047F2" w:rsidTr="6CC00757" w14:paraId="1516BAB3">
        <w:trPr>
          <w:trHeight w:val="300"/>
        </w:trPr>
        <w:tc>
          <w:tcPr>
            <w:tcW w:w="280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301112C3" w14:textId="3CAFC3DB">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Espoused Values</w:t>
            </w:r>
          </w:p>
        </w:tc>
        <w:tc>
          <w:tcPr>
            <w:tcW w:w="655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20F5C6E0" w14:textId="0990661C">
            <w:pPr>
              <w:spacing w:before="0" w:beforeAutospacing="off" w:after="0" w:afterAutospacing="off"/>
              <w:jc w:val="left"/>
              <w:rPr>
                <w:rFonts w:ascii="Arial" w:hAnsi="Arial" w:eastAsia="Arial" w:cs="Arial"/>
              </w:rPr>
            </w:pPr>
            <w:r w:rsidRPr="6CC00757" w:rsidR="7561A22C">
              <w:rPr>
                <w:rFonts w:ascii="Arial" w:hAnsi="Arial" w:eastAsia="Arial" w:cs="Arial"/>
              </w:rPr>
              <w:t>'Putting customers first', 'making a real difference', 'working together', 'doing the right thing' (Lloyds Banking Group, 2024). Strategic emphasis on trust, financial inclusion and responsible lending</w:t>
            </w:r>
          </w:p>
        </w:tc>
      </w:tr>
      <w:tr w:rsidR="191047F2" w:rsidTr="6CC00757" w14:paraId="6937967B">
        <w:trPr>
          <w:trHeight w:val="300"/>
        </w:trPr>
        <w:tc>
          <w:tcPr>
            <w:tcW w:w="280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7107FA34" w14:textId="25831F39">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Underlying Assumptions</w:t>
            </w:r>
          </w:p>
        </w:tc>
        <w:tc>
          <w:tcPr>
            <w:tcW w:w="655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69E7F3F8" w14:textId="7CF4D4B9">
            <w:pPr>
              <w:spacing w:before="0" w:beforeAutospacing="off" w:after="0" w:afterAutospacing="off"/>
              <w:jc w:val="left"/>
              <w:rPr>
                <w:rFonts w:ascii="Arial" w:hAnsi="Arial" w:eastAsia="Arial" w:cs="Arial"/>
              </w:rPr>
            </w:pPr>
            <w:r w:rsidRPr="6CC00757" w:rsidR="7561A22C">
              <w:rPr>
                <w:rFonts w:ascii="Arial" w:hAnsi="Arial" w:eastAsia="Arial" w:cs="Arial"/>
              </w:rPr>
              <w:t>Compliance protects both the customer and the organisation; stability is essential in banking; customers value consistency above innovation; professional judgement must be framed within established procedures; reputation is built incrementally through reliability</w:t>
            </w:r>
          </w:p>
        </w:tc>
      </w:tr>
    </w:tbl>
    <w:p w:rsidR="191047F2" w:rsidP="191047F2" w:rsidRDefault="191047F2" w14:paraId="278ED333" w14:textId="3D15CAC5">
      <w:pPr>
        <w:pStyle w:val="Normal"/>
        <w:jc w:val="left"/>
        <w:rPr>
          <w:rFonts w:ascii="Arial" w:hAnsi="Arial" w:eastAsia="Arial" w:cs="Arial"/>
          <w:noProof w:val="0"/>
          <w:sz w:val="24"/>
          <w:szCs w:val="24"/>
          <w:lang w:val="en-US"/>
        </w:rPr>
      </w:pPr>
    </w:p>
    <w:p w:rsidR="3D142A5D" w:rsidP="6CC00757" w:rsidRDefault="3D142A5D" w14:paraId="60A20F26" w14:textId="671A53B4">
      <w:pPr>
        <w:pStyle w:val="Normal"/>
        <w:jc w:val="left"/>
        <w:rPr>
          <w:rFonts w:ascii="Arial" w:hAnsi="Arial" w:eastAsia="Arial" w:cs="Arial"/>
          <w:noProof w:val="0"/>
          <w:sz w:val="24"/>
          <w:szCs w:val="24"/>
          <w:lang w:val="en-US"/>
        </w:rPr>
      </w:pPr>
      <w:r w:rsidRPr="6CC00757" w:rsidR="3D142A5D">
        <w:rPr>
          <w:rFonts w:ascii="Arial" w:hAnsi="Arial" w:eastAsia="Arial" w:cs="Arial"/>
          <w:noProof w:val="0"/>
          <w:sz w:val="24"/>
          <w:szCs w:val="24"/>
          <w:lang w:val="en-US"/>
        </w:rPr>
        <w:t>This three-level analysis reveals generally strong alignment, though some tension is evident.</w:t>
      </w:r>
      <w:r w:rsidRPr="6CC00757" w:rsidR="3D142A5D">
        <w:rPr>
          <w:rFonts w:ascii="Arial" w:hAnsi="Arial" w:eastAsia="Arial" w:cs="Arial"/>
          <w:noProof w:val="0"/>
          <w:sz w:val="24"/>
          <w:szCs w:val="24"/>
          <w:lang w:val="en-US"/>
        </w:rPr>
        <w:t xml:space="preserve"> For example, the espoused value of 'customer-first responsiveness' occasionally conflicts with the underlying assumption that procedural compliance takes priority a tension </w:t>
      </w:r>
      <w:r w:rsidRPr="6CC00757" w:rsidR="3D142A5D">
        <w:rPr>
          <w:rFonts w:ascii="Arial" w:hAnsi="Arial" w:eastAsia="Arial" w:cs="Arial"/>
          <w:noProof w:val="0"/>
          <w:sz w:val="24"/>
          <w:szCs w:val="24"/>
          <w:lang w:val="en-US"/>
        </w:rPr>
        <w:t>frequently</w:t>
      </w:r>
      <w:r w:rsidRPr="6CC00757" w:rsidR="3D142A5D">
        <w:rPr>
          <w:rFonts w:ascii="Arial" w:hAnsi="Arial" w:eastAsia="Arial" w:cs="Arial"/>
          <w:noProof w:val="0"/>
          <w:sz w:val="24"/>
          <w:szCs w:val="24"/>
          <w:lang w:val="en-US"/>
        </w:rPr>
        <w:t xml:space="preserve"> </w:t>
      </w:r>
      <w:r w:rsidRPr="6CC00757" w:rsidR="3D142A5D">
        <w:rPr>
          <w:rFonts w:ascii="Arial" w:hAnsi="Arial" w:eastAsia="Arial" w:cs="Arial"/>
          <w:noProof w:val="0"/>
          <w:sz w:val="24"/>
          <w:szCs w:val="24"/>
          <w:lang w:val="en-US"/>
        </w:rPr>
        <w:t>observed</w:t>
      </w:r>
      <w:r w:rsidRPr="6CC00757" w:rsidR="3D142A5D">
        <w:rPr>
          <w:rFonts w:ascii="Arial" w:hAnsi="Arial" w:eastAsia="Arial" w:cs="Arial"/>
          <w:noProof w:val="0"/>
          <w:sz w:val="24"/>
          <w:szCs w:val="24"/>
          <w:lang w:val="en-US"/>
        </w:rPr>
        <w:t xml:space="preserve"> in regulated financial services (FCA, 2023). This illustrates Schein’s key insight: visible </w:t>
      </w:r>
      <w:r w:rsidRPr="6CC00757" w:rsidR="3D142A5D">
        <w:rPr>
          <w:rFonts w:ascii="Arial" w:hAnsi="Arial" w:eastAsia="Arial" w:cs="Arial"/>
          <w:noProof w:val="0"/>
          <w:sz w:val="24"/>
          <w:szCs w:val="24"/>
          <w:lang w:val="en-US"/>
        </w:rPr>
        <w:t>behaviours</w:t>
      </w:r>
      <w:r w:rsidRPr="6CC00757" w:rsidR="3D142A5D">
        <w:rPr>
          <w:rFonts w:ascii="Arial" w:hAnsi="Arial" w:eastAsia="Arial" w:cs="Arial"/>
          <w:noProof w:val="0"/>
          <w:sz w:val="24"/>
          <w:szCs w:val="24"/>
          <w:lang w:val="en-US"/>
        </w:rPr>
        <w:t xml:space="preserve"> are shaped not only by </w:t>
      </w:r>
      <w:r w:rsidRPr="6CC00757" w:rsidR="3D142A5D">
        <w:rPr>
          <w:rFonts w:ascii="Arial" w:hAnsi="Arial" w:eastAsia="Arial" w:cs="Arial"/>
          <w:noProof w:val="0"/>
          <w:sz w:val="24"/>
          <w:szCs w:val="24"/>
          <w:lang w:val="en-US"/>
        </w:rPr>
        <w:t>stated</w:t>
      </w:r>
      <w:r w:rsidRPr="6CC00757" w:rsidR="3D142A5D">
        <w:rPr>
          <w:rFonts w:ascii="Arial" w:hAnsi="Arial" w:eastAsia="Arial" w:cs="Arial"/>
          <w:noProof w:val="0"/>
          <w:sz w:val="24"/>
          <w:szCs w:val="24"/>
          <w:lang w:val="en-US"/>
        </w:rPr>
        <w:t xml:space="preserve"> values but by deeper, often unspoken beliefs</w:t>
      </w:r>
    </w:p>
    <w:p w:rsidR="3D142A5D" w:rsidP="6CC00757" w:rsidRDefault="3D142A5D" w14:paraId="5A4A53A3" w14:textId="7A5B3035">
      <w:pPr>
        <w:pStyle w:val="Normal"/>
        <w:jc w:val="left"/>
        <w:rPr>
          <w:rFonts w:ascii="Arial" w:hAnsi="Arial" w:eastAsia="Arial" w:cs="Arial"/>
          <w:b w:val="1"/>
          <w:bCs w:val="1"/>
          <w:noProof w:val="0"/>
          <w:sz w:val="24"/>
          <w:szCs w:val="24"/>
          <w:lang w:val="en-US"/>
        </w:rPr>
      </w:pPr>
    </w:p>
    <w:p w:rsidR="3D142A5D" w:rsidP="6CC00757" w:rsidRDefault="3D142A5D" w14:paraId="0D762F08" w14:textId="2996E8E8">
      <w:pPr>
        <w:pStyle w:val="Normal"/>
        <w:jc w:val="left"/>
        <w:rPr>
          <w:rFonts w:ascii="Arial" w:hAnsi="Arial" w:eastAsia="Arial" w:cs="Arial"/>
          <w:b w:val="1"/>
          <w:bCs w:val="1"/>
          <w:noProof w:val="0"/>
          <w:sz w:val="24"/>
          <w:szCs w:val="24"/>
          <w:lang w:val="en-US"/>
        </w:rPr>
      </w:pPr>
    </w:p>
    <w:p w:rsidR="3D142A5D" w:rsidP="191047F2" w:rsidRDefault="3D142A5D" w14:paraId="42669315" w14:textId="2484E497">
      <w:pPr>
        <w:pStyle w:val="Normal"/>
        <w:jc w:val="left"/>
        <w:rPr>
          <w:rFonts w:ascii="Arial" w:hAnsi="Arial" w:eastAsia="Arial" w:cs="Arial"/>
          <w:b w:val="1"/>
          <w:bCs w:val="1"/>
          <w:noProof w:val="0"/>
          <w:sz w:val="24"/>
          <w:szCs w:val="24"/>
          <w:lang w:val="en-US"/>
        </w:rPr>
      </w:pPr>
      <w:r w:rsidRPr="6CC00757" w:rsidR="3D142A5D">
        <w:rPr>
          <w:rFonts w:ascii="Arial" w:hAnsi="Arial" w:eastAsia="Arial" w:cs="Arial"/>
          <w:b w:val="1"/>
          <w:bCs w:val="1"/>
          <w:noProof w:val="0"/>
          <w:sz w:val="24"/>
          <w:szCs w:val="24"/>
          <w:lang w:val="en-US"/>
        </w:rPr>
        <w:t>Handy’s Cultural Types Application</w:t>
      </w:r>
    </w:p>
    <w:p w:rsidR="3D142A5D" w:rsidP="6CC00757" w:rsidRDefault="3D142A5D" w14:paraId="3BDE16FF" w14:textId="110629B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3D142A5D">
        <w:rPr>
          <w:rFonts w:ascii="Arial" w:hAnsi="Arial" w:eastAsia="Arial" w:cs="Arial"/>
          <w:b w:val="0"/>
          <w:bCs w:val="0"/>
          <w:i w:val="0"/>
          <w:iCs w:val="0"/>
          <w:caps w:val="0"/>
          <w:smallCaps w:val="0"/>
          <w:noProof w:val="0"/>
          <w:color w:val="000000" w:themeColor="text1" w:themeTint="FF" w:themeShade="FF"/>
          <w:sz w:val="24"/>
          <w:szCs w:val="24"/>
          <w:lang w:val="en-US"/>
        </w:rPr>
        <w:t xml:space="preserve">Lloyds Bank is predominantly a Role Culture, characterised by clearly defined roles, extensive procedures, hierarchical authority and formal communication channels. This is functionally appropriate in banking, where regulatory compliance, data security and financial integrity demand consistency and accountability. However, elements of other cultural types are also visible: </w:t>
      </w:r>
    </w:p>
    <w:p w:rsidR="3D142A5D" w:rsidP="6CC00757" w:rsidRDefault="3D142A5D" w14:paraId="6173E409" w14:textId="6F5ABDC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3D142A5D">
        <w:rPr>
          <w:rFonts w:ascii="Arial" w:hAnsi="Arial" w:eastAsia="Arial" w:cs="Arial"/>
          <w:b w:val="0"/>
          <w:bCs w:val="0"/>
          <w:i w:val="0"/>
          <w:iCs w:val="0"/>
          <w:caps w:val="0"/>
          <w:smallCaps w:val="0"/>
          <w:noProof w:val="0"/>
          <w:color w:val="000000" w:themeColor="text1" w:themeTint="FF" w:themeShade="FF"/>
          <w:sz w:val="24"/>
          <w:szCs w:val="24"/>
          <w:lang w:val="en-US"/>
        </w:rPr>
        <w:t xml:space="preserve">Task Culture: Cross-functional project teams address digital transformation and customer experience initiatives </w:t>
      </w:r>
    </w:p>
    <w:p w:rsidR="3D142A5D" w:rsidP="6CC00757" w:rsidRDefault="3D142A5D" w14:paraId="7E3DE81A" w14:textId="6AC0073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3D142A5D">
        <w:rPr>
          <w:rFonts w:ascii="Arial" w:hAnsi="Arial" w:eastAsia="Arial" w:cs="Arial"/>
          <w:b w:val="0"/>
          <w:bCs w:val="0"/>
          <w:i w:val="0"/>
          <w:iCs w:val="0"/>
          <w:caps w:val="0"/>
          <w:smallCaps w:val="0"/>
          <w:noProof w:val="0"/>
          <w:color w:val="000000" w:themeColor="text1" w:themeTint="FF" w:themeShade="FF"/>
          <w:sz w:val="24"/>
          <w:szCs w:val="24"/>
          <w:lang w:val="en-US"/>
        </w:rPr>
        <w:t xml:space="preserve">Person Culture: Specialist teams in areas such as risk management and legal compliance maintain significant professional autonomy </w:t>
      </w:r>
    </w:p>
    <w:p w:rsidR="3D142A5D" w:rsidP="6CC00757" w:rsidRDefault="3D142A5D" w14:paraId="29F45F51" w14:textId="6B3BE75C">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3D142A5D">
        <w:rPr>
          <w:rFonts w:ascii="Arial" w:hAnsi="Arial" w:eastAsia="Arial" w:cs="Arial"/>
          <w:b w:val="0"/>
          <w:bCs w:val="0"/>
          <w:i w:val="0"/>
          <w:iCs w:val="0"/>
          <w:caps w:val="0"/>
          <w:smallCaps w:val="0"/>
          <w:noProof w:val="0"/>
          <w:color w:val="000000" w:themeColor="text1" w:themeTint="FF" w:themeShade="FF"/>
          <w:sz w:val="24"/>
          <w:szCs w:val="24"/>
          <w:lang w:val="en-US"/>
        </w:rPr>
        <w:t xml:space="preserve">Market Culture: External performance metrics, customer satisfaction scores and competitive positioning influence decision-making throughout the organisation </w:t>
      </w:r>
    </w:p>
    <w:p w:rsidR="3D142A5D" w:rsidP="191047F2" w:rsidRDefault="3D142A5D" w14:paraId="776C64DB" w14:textId="14CF42FD">
      <w:pPr>
        <w:pStyle w:val="Normal"/>
        <w:jc w:val="left"/>
        <w:rPr>
          <w:rFonts w:ascii="Arial" w:hAnsi="Arial" w:eastAsia="Arial" w:cs="Arial"/>
          <w:noProof w:val="0"/>
          <w:sz w:val="24"/>
          <w:szCs w:val="24"/>
          <w:lang w:val="en-US"/>
        </w:rPr>
      </w:pPr>
      <w:r w:rsidRPr="6CC00757" w:rsidR="3D142A5D">
        <w:rPr>
          <w:rFonts w:ascii="Arial" w:hAnsi="Arial" w:eastAsia="Arial" w:cs="Arial"/>
          <w:b w:val="0"/>
          <w:bCs w:val="0"/>
          <w:i w:val="0"/>
          <w:iCs w:val="0"/>
          <w:caps w:val="0"/>
          <w:smallCaps w:val="0"/>
          <w:noProof w:val="0"/>
          <w:color w:val="000000" w:themeColor="text1" w:themeTint="FF" w:themeShade="FF"/>
          <w:sz w:val="24"/>
          <w:szCs w:val="24"/>
          <w:lang w:val="en-US"/>
        </w:rPr>
        <w:t>This hybrid profile presents both strengths and challenges. The Role Culture foundation ensures reliability and regulatory adherence but can appear inflexible or slow to respond to changing customer expectations (Johnson et al., 2017).</w:t>
      </w:r>
    </w:p>
    <w:p w:rsidR="191047F2" w:rsidP="191047F2" w:rsidRDefault="191047F2" w14:paraId="42E96407" w14:textId="56A3A593">
      <w:pPr>
        <w:pStyle w:val="Normal"/>
        <w:jc w:val="left"/>
        <w:rPr>
          <w:rFonts w:ascii="Arial" w:hAnsi="Arial" w:eastAsia="Arial" w:cs="Arial"/>
          <w:noProof w:val="0"/>
          <w:sz w:val="24"/>
          <w:szCs w:val="24"/>
          <w:lang w:val="en-US"/>
        </w:rPr>
      </w:pPr>
    </w:p>
    <w:p w:rsidR="55ED892C" w:rsidP="6CC00757" w:rsidRDefault="55ED892C" w14:paraId="1290F98B" w14:textId="4D2AA2A3">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6CC00757" w:rsidR="55ED892C">
        <w:rPr>
          <w:rFonts w:ascii="Arial" w:hAnsi="Arial" w:eastAsia="Arial" w:cs="Arial"/>
          <w:b w:val="1"/>
          <w:bCs w:val="1"/>
          <w:i w:val="0"/>
          <w:iCs w:val="0"/>
          <w:caps w:val="0"/>
          <w:smallCaps w:val="0"/>
          <w:noProof w:val="0"/>
          <w:color w:val="000000" w:themeColor="text1" w:themeTint="FF" w:themeShade="FF"/>
          <w:sz w:val="24"/>
          <w:szCs w:val="24"/>
          <w:lang w:val="en-US"/>
        </w:rPr>
        <w:t>Hofstede’s Dimensions and Lloyds’ Cultural Context</w:t>
      </w:r>
    </w:p>
    <w:p w:rsidR="55ED892C" w:rsidP="6CC00757" w:rsidRDefault="55ED892C" w14:paraId="1258D19C" w14:textId="7BBBBE6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55ED892C">
        <w:rPr>
          <w:rFonts w:ascii="Arial" w:hAnsi="Arial" w:eastAsia="Arial" w:cs="Arial"/>
          <w:b w:val="0"/>
          <w:bCs w:val="0"/>
          <w:i w:val="0"/>
          <w:iCs w:val="0"/>
          <w:caps w:val="0"/>
          <w:smallCaps w:val="0"/>
          <w:noProof w:val="0"/>
          <w:color w:val="000000" w:themeColor="text1" w:themeTint="FF" w:themeShade="FF"/>
          <w:sz w:val="24"/>
          <w:szCs w:val="24"/>
          <w:lang w:val="en-US"/>
        </w:rPr>
        <w:t xml:space="preserve">Within the UK </w:t>
      </w:r>
      <w:r w:rsidRPr="6CC00757" w:rsidR="55ED892C">
        <w:rPr>
          <w:rFonts w:ascii="Arial" w:hAnsi="Arial" w:eastAsia="Arial" w:cs="Arial"/>
          <w:b w:val="0"/>
          <w:bCs w:val="0"/>
          <w:i w:val="0"/>
          <w:iCs w:val="0"/>
          <w:caps w:val="0"/>
          <w:smallCaps w:val="0"/>
          <w:noProof w:val="0"/>
          <w:color w:val="000000" w:themeColor="text1" w:themeTint="FF" w:themeShade="FF"/>
          <w:sz w:val="24"/>
          <w:szCs w:val="24"/>
          <w:lang w:val="en-US"/>
        </w:rPr>
        <w:t>context</w:t>
      </w:r>
      <w:r w:rsidRPr="6CC00757" w:rsidR="55ED892C">
        <w:rPr>
          <w:rFonts w:ascii="Arial" w:hAnsi="Arial" w:eastAsia="Arial" w:cs="Arial"/>
          <w:b w:val="0"/>
          <w:bCs w:val="0"/>
          <w:i w:val="0"/>
          <w:iCs w:val="0"/>
          <w:caps w:val="0"/>
          <w:smallCaps w:val="0"/>
          <w:noProof w:val="0"/>
          <w:color w:val="000000" w:themeColor="text1" w:themeTint="FF" w:themeShade="FF"/>
          <w:sz w:val="24"/>
          <w:szCs w:val="24"/>
          <w:lang w:val="en-US"/>
        </w:rPr>
        <w:t xml:space="preserve"> low power distance, moderate uncertainty avoidance</w:t>
      </w:r>
      <w:r w:rsidRPr="6CC00757" w:rsidR="55ED892C">
        <w:rPr>
          <w:rFonts w:ascii="Arial" w:hAnsi="Arial" w:eastAsia="Arial" w:cs="Arial"/>
          <w:b w:val="0"/>
          <w:bCs w:val="0"/>
          <w:i w:val="0"/>
          <w:iCs w:val="0"/>
          <w:caps w:val="0"/>
          <w:smallCaps w:val="0"/>
          <w:noProof w:val="0"/>
          <w:color w:val="000000" w:themeColor="text1" w:themeTint="FF" w:themeShade="FF"/>
          <w:sz w:val="24"/>
          <w:szCs w:val="24"/>
          <w:lang w:val="en-US"/>
        </w:rPr>
        <w:t xml:space="preserve"> Lloyds</w:t>
      </w:r>
      <w:r w:rsidRPr="6CC00757" w:rsidR="55ED892C">
        <w:rPr>
          <w:rFonts w:ascii="Arial" w:hAnsi="Arial" w:eastAsia="Arial" w:cs="Arial"/>
          <w:b w:val="0"/>
          <w:bCs w:val="0"/>
          <w:i w:val="0"/>
          <w:iCs w:val="0"/>
          <w:caps w:val="0"/>
          <w:smallCaps w:val="0"/>
          <w:noProof w:val="0"/>
          <w:color w:val="000000" w:themeColor="text1" w:themeTint="FF" w:themeShade="FF"/>
          <w:sz w:val="24"/>
          <w:szCs w:val="24"/>
          <w:lang w:val="en-US"/>
        </w:rPr>
        <w:t xml:space="preserve">’ culture sits slightly towards higher uncertainty avoidance, reflecting the conservative nature of banking and the requirement for prudence.  Internally, however, the </w:t>
      </w:r>
      <w:r w:rsidRPr="6CC00757" w:rsidR="55ED892C">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6CC00757" w:rsidR="55ED892C">
        <w:rPr>
          <w:rFonts w:ascii="Arial" w:hAnsi="Arial" w:eastAsia="Arial" w:cs="Arial"/>
          <w:b w:val="0"/>
          <w:bCs w:val="0"/>
          <w:i w:val="0"/>
          <w:iCs w:val="0"/>
          <w:caps w:val="0"/>
          <w:smallCaps w:val="0"/>
          <w:noProof w:val="0"/>
          <w:color w:val="000000" w:themeColor="text1" w:themeTint="FF" w:themeShade="FF"/>
          <w:sz w:val="24"/>
          <w:szCs w:val="24"/>
          <w:lang w:val="en-US"/>
        </w:rPr>
        <w:t xml:space="preserve"> must also accommodate increasing workforce diversity. Hofstede’s framework reminds us that while Lloyds </w:t>
      </w:r>
      <w:r w:rsidRPr="6CC00757" w:rsidR="55ED892C">
        <w:rPr>
          <w:rFonts w:ascii="Arial" w:hAnsi="Arial" w:eastAsia="Arial" w:cs="Arial"/>
          <w:b w:val="0"/>
          <w:bCs w:val="0"/>
          <w:i w:val="0"/>
          <w:iCs w:val="0"/>
          <w:caps w:val="0"/>
          <w:smallCaps w:val="0"/>
          <w:noProof w:val="0"/>
          <w:color w:val="000000" w:themeColor="text1" w:themeTint="FF" w:themeShade="FF"/>
          <w:sz w:val="24"/>
          <w:szCs w:val="24"/>
          <w:lang w:val="en-US"/>
        </w:rPr>
        <w:t>operates</w:t>
      </w:r>
      <w:r w:rsidRPr="6CC00757" w:rsidR="55ED892C">
        <w:rPr>
          <w:rFonts w:ascii="Arial" w:hAnsi="Arial" w:eastAsia="Arial" w:cs="Arial"/>
          <w:b w:val="0"/>
          <w:bCs w:val="0"/>
          <w:i w:val="0"/>
          <w:iCs w:val="0"/>
          <w:caps w:val="0"/>
          <w:smallCaps w:val="0"/>
          <w:noProof w:val="0"/>
          <w:color w:val="000000" w:themeColor="text1" w:themeTint="FF" w:themeShade="FF"/>
          <w:sz w:val="24"/>
          <w:szCs w:val="24"/>
          <w:lang w:val="en-US"/>
        </w:rPr>
        <w:t xml:space="preserve"> within one national market, the cultural expectations of individual employees and customers vary significantly, requiring inclusive leadership approaches that acknowledge these differences (Hofstede et al., 2010)</w:t>
      </w:r>
    </w:p>
    <w:p w:rsidR="191047F2" w:rsidP="6CC00757" w:rsidRDefault="191047F2" w14:paraId="14871471" w14:textId="494CBE7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91047F2" w:rsidP="6CC00757" w:rsidRDefault="191047F2" w14:paraId="0AC61E3C" w14:textId="3CC33B82">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191047F2" w:rsidP="6CC00757" w:rsidRDefault="191047F2" w14:paraId="15848526" w14:textId="38ADDF72">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191047F2" w:rsidP="6CC00757" w:rsidRDefault="191047F2" w14:paraId="7DAC308C" w14:textId="5E948BE4">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191047F2" w:rsidP="6CC00757" w:rsidRDefault="191047F2" w14:paraId="1A553C4D" w14:textId="356CF39C">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6CC00757" w:rsidP="6CC00757" w:rsidRDefault="6CC00757" w14:paraId="457635F2" w14:textId="2B7FA56D">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55ED892C" w:rsidP="6CC00757" w:rsidRDefault="55ED892C" w14:paraId="48210683" w14:textId="159D60F4">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6CC00757" w:rsidR="55ED892C">
        <w:rPr>
          <w:rFonts w:ascii="Arial" w:hAnsi="Arial" w:eastAsia="Arial" w:cs="Arial"/>
          <w:b w:val="1"/>
          <w:bCs w:val="1"/>
          <w:i w:val="0"/>
          <w:iCs w:val="0"/>
          <w:caps w:val="0"/>
          <w:smallCaps w:val="0"/>
          <w:noProof w:val="0"/>
          <w:color w:val="000000" w:themeColor="text1" w:themeTint="FF" w:themeShade="FF"/>
          <w:sz w:val="24"/>
          <w:szCs w:val="24"/>
          <w:lang w:val="en-US"/>
        </w:rPr>
        <w:t>Cameron and Quinn’s Competing Values Framework</w:t>
      </w:r>
    </w:p>
    <w:p w:rsidR="55ED892C" w:rsidP="6CC00757" w:rsidRDefault="55ED892C" w14:paraId="2B40AC2E" w14:textId="3D38D96F">
      <w:pPr>
        <w:pStyle w:val="Normal"/>
        <w:jc w:val="left"/>
        <w:rPr>
          <w:rFonts w:ascii="Arial" w:hAnsi="Arial" w:eastAsia="Arial" w:cs="Arial"/>
          <w:noProof w:val="0"/>
          <w:sz w:val="24"/>
          <w:szCs w:val="24"/>
          <w:lang w:val="en-US"/>
        </w:rPr>
      </w:pPr>
      <w:r w:rsidRPr="6CC00757" w:rsidR="55ED892C">
        <w:rPr>
          <w:rFonts w:ascii="Arial" w:hAnsi="Arial" w:eastAsia="Arial" w:cs="Arial"/>
          <w:noProof w:val="0"/>
          <w:sz w:val="24"/>
          <w:szCs w:val="24"/>
          <w:lang w:val="en-US"/>
        </w:rPr>
        <w:t xml:space="preserve">Using this framework, Lloyds displays characteristics of both </w:t>
      </w:r>
      <w:r w:rsidRPr="6CC00757" w:rsidR="55ED892C">
        <w:rPr>
          <w:rFonts w:ascii="Arial" w:hAnsi="Arial" w:eastAsia="Arial" w:cs="Arial"/>
          <w:b w:val="0"/>
          <w:bCs w:val="0"/>
          <w:i w:val="0"/>
          <w:iCs w:val="0"/>
          <w:noProof w:val="0"/>
          <w:color w:val="000000" w:themeColor="text1" w:themeTint="FF" w:themeShade="FF"/>
          <w:sz w:val="24"/>
          <w:szCs w:val="24"/>
          <w:lang w:val="en-US"/>
        </w:rPr>
        <w:t>Hierarchy Culture</w:t>
      </w:r>
      <w:r w:rsidRPr="6CC00757" w:rsidR="55ED892C">
        <w:rPr>
          <w:rFonts w:ascii="Arial" w:hAnsi="Arial" w:eastAsia="Arial" w:cs="Arial"/>
          <w:noProof w:val="0"/>
          <w:sz w:val="24"/>
          <w:szCs w:val="24"/>
          <w:lang w:val="en-US"/>
        </w:rPr>
        <w:t xml:space="preserve"> — emphasis on order, </w:t>
      </w:r>
      <w:r w:rsidRPr="6CC00757" w:rsidR="55ED892C">
        <w:rPr>
          <w:rFonts w:ascii="Arial" w:hAnsi="Arial" w:eastAsia="Arial" w:cs="Arial"/>
          <w:noProof w:val="0"/>
          <w:sz w:val="24"/>
          <w:szCs w:val="24"/>
          <w:lang w:val="en-US"/>
        </w:rPr>
        <w:t>stability</w:t>
      </w:r>
      <w:r w:rsidRPr="6CC00757" w:rsidR="55ED892C">
        <w:rPr>
          <w:rFonts w:ascii="Arial" w:hAnsi="Arial" w:eastAsia="Arial" w:cs="Arial"/>
          <w:noProof w:val="0"/>
          <w:sz w:val="24"/>
          <w:szCs w:val="24"/>
          <w:lang w:val="en-US"/>
        </w:rPr>
        <w:t xml:space="preserve"> and efficiency — and </w:t>
      </w:r>
      <w:r w:rsidRPr="6CC00757" w:rsidR="55ED892C">
        <w:rPr>
          <w:rFonts w:ascii="Arial" w:hAnsi="Arial" w:eastAsia="Arial" w:cs="Arial"/>
          <w:b w:val="0"/>
          <w:bCs w:val="0"/>
          <w:i w:val="0"/>
          <w:iCs w:val="0"/>
          <w:noProof w:val="0"/>
          <w:color w:val="000000" w:themeColor="text1" w:themeTint="FF" w:themeShade="FF"/>
          <w:sz w:val="24"/>
          <w:szCs w:val="24"/>
          <w:lang w:val="en-US"/>
        </w:rPr>
        <w:t>Market Culture</w:t>
      </w:r>
      <w:r w:rsidRPr="6CC00757" w:rsidR="55ED892C">
        <w:rPr>
          <w:rFonts w:ascii="Arial" w:hAnsi="Arial" w:eastAsia="Arial" w:cs="Arial"/>
          <w:noProof w:val="0"/>
          <w:sz w:val="24"/>
          <w:szCs w:val="24"/>
          <w:lang w:val="en-US"/>
        </w:rPr>
        <w:t xml:space="preserve"> — focus on performance, customer </w:t>
      </w:r>
      <w:r w:rsidRPr="6CC00757" w:rsidR="55ED892C">
        <w:rPr>
          <w:rFonts w:ascii="Arial" w:hAnsi="Arial" w:eastAsia="Arial" w:cs="Arial"/>
          <w:noProof w:val="0"/>
          <w:sz w:val="24"/>
          <w:szCs w:val="24"/>
          <w:lang w:val="en-US"/>
        </w:rPr>
        <w:t>satisfaction</w:t>
      </w:r>
      <w:r w:rsidRPr="6CC00757" w:rsidR="55ED892C">
        <w:rPr>
          <w:rFonts w:ascii="Arial" w:hAnsi="Arial" w:eastAsia="Arial" w:cs="Arial"/>
          <w:noProof w:val="0"/>
          <w:sz w:val="24"/>
          <w:szCs w:val="24"/>
          <w:lang w:val="en-US"/>
        </w:rPr>
        <w:t xml:space="preserve"> and competitive positioning. There is also a developing element of </w:t>
      </w:r>
      <w:r w:rsidRPr="6CC00757" w:rsidR="55ED892C">
        <w:rPr>
          <w:rFonts w:ascii="Arial" w:hAnsi="Arial" w:eastAsia="Arial" w:cs="Arial"/>
          <w:b w:val="0"/>
          <w:bCs w:val="0"/>
          <w:i w:val="0"/>
          <w:iCs w:val="0"/>
          <w:noProof w:val="0"/>
          <w:color w:val="000000" w:themeColor="text1" w:themeTint="FF" w:themeShade="FF"/>
          <w:sz w:val="24"/>
          <w:szCs w:val="24"/>
          <w:lang w:val="en-US"/>
        </w:rPr>
        <w:t>Clan Culture</w:t>
      </w:r>
      <w:r w:rsidRPr="6CC00757" w:rsidR="55ED892C">
        <w:rPr>
          <w:rFonts w:ascii="Arial" w:hAnsi="Arial" w:eastAsia="Arial" w:cs="Arial"/>
          <w:noProof w:val="0"/>
          <w:sz w:val="24"/>
          <w:szCs w:val="24"/>
          <w:lang w:val="en-US"/>
        </w:rPr>
        <w:t xml:space="preserve">, with increased investment in employee well-being, </w:t>
      </w:r>
      <w:r w:rsidRPr="6CC00757" w:rsidR="55ED892C">
        <w:rPr>
          <w:rFonts w:ascii="Arial" w:hAnsi="Arial" w:eastAsia="Arial" w:cs="Arial"/>
          <w:noProof w:val="0"/>
          <w:sz w:val="24"/>
          <w:szCs w:val="24"/>
          <w:lang w:val="en-US"/>
        </w:rPr>
        <w:t>collaboration</w:t>
      </w:r>
      <w:r w:rsidRPr="6CC00757" w:rsidR="55ED892C">
        <w:rPr>
          <w:rFonts w:ascii="Arial" w:hAnsi="Arial" w:eastAsia="Arial" w:cs="Arial"/>
          <w:noProof w:val="0"/>
          <w:sz w:val="24"/>
          <w:szCs w:val="24"/>
          <w:lang w:val="en-US"/>
        </w:rPr>
        <w:t xml:space="preserve"> and shared purpose. Balancing these competing cultural orientations is a continuous management challenge, particularly when stability must coexist with the agility </w:t>
      </w:r>
      <w:r w:rsidRPr="6CC00757" w:rsidR="55ED892C">
        <w:rPr>
          <w:rFonts w:ascii="Arial" w:hAnsi="Arial" w:eastAsia="Arial" w:cs="Arial"/>
          <w:noProof w:val="0"/>
          <w:sz w:val="24"/>
          <w:szCs w:val="24"/>
          <w:lang w:val="en-US"/>
        </w:rPr>
        <w:t>required</w:t>
      </w:r>
      <w:r w:rsidRPr="6CC00757" w:rsidR="55ED892C">
        <w:rPr>
          <w:rFonts w:ascii="Arial" w:hAnsi="Arial" w:eastAsia="Arial" w:cs="Arial"/>
          <w:noProof w:val="0"/>
          <w:sz w:val="24"/>
          <w:szCs w:val="24"/>
          <w:lang w:val="en-US"/>
        </w:rPr>
        <w:t xml:space="preserve"> for digital transformation (Cameron and Quinn, 2011).</w:t>
      </w:r>
    </w:p>
    <w:p w:rsidR="191047F2" w:rsidP="191047F2" w:rsidRDefault="191047F2" w14:paraId="00CAE531" w14:textId="610FE323">
      <w:pPr>
        <w:pStyle w:val="Normal"/>
        <w:jc w:val="left"/>
        <w:rPr>
          <w:rFonts w:ascii="Arial" w:hAnsi="Arial" w:eastAsia="Arial" w:cs="Arial"/>
          <w:noProof w:val="0"/>
          <w:sz w:val="24"/>
          <w:szCs w:val="24"/>
          <w:lang w:val="en-US"/>
        </w:rPr>
      </w:pPr>
    </w:p>
    <w:p w:rsidR="55ED892C" w:rsidP="6CC00757" w:rsidRDefault="55ED892C" w14:paraId="1B3DF0AC" w14:textId="50228E35">
      <w:pPr>
        <w:pStyle w:val="Normal"/>
        <w:jc w:val="left"/>
        <w:rPr>
          <w:rFonts w:ascii="Arial" w:hAnsi="Arial" w:eastAsia="Arial" w:cs="Arial"/>
          <w:b w:val="1"/>
          <w:bCs w:val="1"/>
          <w:noProof w:val="0"/>
          <w:sz w:val="24"/>
          <w:szCs w:val="24"/>
          <w:lang w:val="en-US"/>
        </w:rPr>
      </w:pPr>
      <w:r w:rsidRPr="6CC00757" w:rsidR="55ED892C">
        <w:rPr>
          <w:rFonts w:ascii="Arial" w:hAnsi="Arial" w:eastAsia="Arial" w:cs="Arial"/>
          <w:b w:val="1"/>
          <w:bCs w:val="1"/>
          <w:noProof w:val="0"/>
          <w:sz w:val="24"/>
          <w:szCs w:val="24"/>
          <w:lang w:val="en-US"/>
        </w:rPr>
        <w:t>Prevailing Culture Summary</w:t>
      </w:r>
    </w:p>
    <w:p w:rsidR="55ED892C" w:rsidP="6CC00757" w:rsidRDefault="55ED892C" w14:paraId="7EE4CA3E" w14:textId="593D9455">
      <w:pPr>
        <w:pStyle w:val="Normal"/>
        <w:jc w:val="left"/>
        <w:rPr>
          <w:rFonts w:ascii="Arial" w:hAnsi="Arial" w:eastAsia="Arial" w:cs="Arial"/>
          <w:noProof w:val="0"/>
          <w:sz w:val="24"/>
          <w:szCs w:val="24"/>
          <w:lang w:val="en-US"/>
        </w:rPr>
      </w:pPr>
      <w:r w:rsidRPr="6CC00757" w:rsidR="55ED892C">
        <w:rPr>
          <w:rFonts w:ascii="Arial" w:hAnsi="Arial" w:eastAsia="Arial" w:cs="Arial"/>
          <w:noProof w:val="0"/>
          <w:sz w:val="24"/>
          <w:szCs w:val="24"/>
          <w:lang w:val="en-US"/>
        </w:rPr>
        <w:t xml:space="preserve">Overall, Lloyds Bank possesses a </w:t>
      </w:r>
      <w:r w:rsidRPr="6CC00757" w:rsidR="55ED892C">
        <w:rPr>
          <w:rFonts w:ascii="Arial" w:hAnsi="Arial" w:eastAsia="Arial" w:cs="Arial"/>
          <w:b w:val="0"/>
          <w:bCs w:val="0"/>
          <w:i w:val="0"/>
          <w:iCs w:val="0"/>
          <w:noProof w:val="0"/>
          <w:color w:val="000000" w:themeColor="text1" w:themeTint="FF" w:themeShade="FF"/>
          <w:sz w:val="24"/>
          <w:szCs w:val="24"/>
          <w:lang w:val="en-US"/>
        </w:rPr>
        <w:t>stability-oriented, compliance-focused culture</w:t>
      </w:r>
      <w:r w:rsidRPr="6CC00757" w:rsidR="55ED892C">
        <w:rPr>
          <w:rFonts w:ascii="Arial" w:hAnsi="Arial" w:eastAsia="Arial" w:cs="Arial"/>
          <w:noProof w:val="0"/>
          <w:sz w:val="24"/>
          <w:szCs w:val="24"/>
          <w:lang w:val="en-US"/>
        </w:rPr>
        <w:t>, evolving towards greater customer-centricity and adaptability.</w:t>
      </w:r>
      <w:r w:rsidRPr="6CC00757" w:rsidR="55ED892C">
        <w:rPr>
          <w:rFonts w:ascii="Arial" w:hAnsi="Arial" w:eastAsia="Arial" w:cs="Arial"/>
          <w:noProof w:val="0"/>
          <w:sz w:val="24"/>
          <w:szCs w:val="24"/>
          <w:lang w:val="en-US"/>
        </w:rPr>
        <w:t xml:space="preserve"> The dominant Role Culture provides essential structure but is being supplemented with cultural initiatives designed to empower employees, improve customer </w:t>
      </w:r>
      <w:r w:rsidRPr="6CC00757" w:rsidR="55ED892C">
        <w:rPr>
          <w:rFonts w:ascii="Arial" w:hAnsi="Arial" w:eastAsia="Arial" w:cs="Arial"/>
          <w:noProof w:val="0"/>
          <w:sz w:val="24"/>
          <w:szCs w:val="24"/>
          <w:lang w:val="en-US"/>
        </w:rPr>
        <w:t>responsiveness</w:t>
      </w:r>
      <w:r w:rsidRPr="6CC00757" w:rsidR="55ED892C">
        <w:rPr>
          <w:rFonts w:ascii="Arial" w:hAnsi="Arial" w:eastAsia="Arial" w:cs="Arial"/>
          <w:noProof w:val="0"/>
          <w:sz w:val="24"/>
          <w:szCs w:val="24"/>
          <w:lang w:val="en-US"/>
        </w:rPr>
        <w:t xml:space="preserve"> and support digital innovation. </w:t>
      </w:r>
    </w:p>
    <w:p w:rsidR="6CC00757" w:rsidP="6CC00757" w:rsidRDefault="6CC00757" w14:paraId="1A09429D" w14:textId="3D0F90DF">
      <w:pPr>
        <w:pStyle w:val="Normal"/>
        <w:jc w:val="left"/>
        <w:rPr>
          <w:rFonts w:ascii="Arial" w:hAnsi="Arial" w:eastAsia="Arial" w:cs="Arial"/>
          <w:b w:val="1"/>
          <w:bCs w:val="1"/>
          <w:noProof w:val="0"/>
          <w:sz w:val="28"/>
          <w:szCs w:val="28"/>
          <w:lang w:val="en-US"/>
        </w:rPr>
      </w:pPr>
    </w:p>
    <w:p w:rsidR="55ED892C" w:rsidP="6CC00757" w:rsidRDefault="55ED892C" w14:paraId="4AAEFA52" w14:textId="19A5CBBC">
      <w:pPr>
        <w:pStyle w:val="Normal"/>
        <w:jc w:val="left"/>
        <w:rPr>
          <w:rFonts w:ascii="Arial" w:hAnsi="Arial" w:eastAsia="Arial" w:cs="Arial"/>
          <w:b w:val="1"/>
          <w:bCs w:val="1"/>
          <w:noProof w:val="0"/>
          <w:sz w:val="28"/>
          <w:szCs w:val="28"/>
          <w:lang w:val="en-US"/>
        </w:rPr>
      </w:pPr>
      <w:r w:rsidRPr="6CC00757" w:rsidR="55ED892C">
        <w:rPr>
          <w:rFonts w:ascii="Arial" w:hAnsi="Arial" w:eastAsia="Arial" w:cs="Arial"/>
          <w:b w:val="1"/>
          <w:bCs w:val="1"/>
          <w:noProof w:val="0"/>
          <w:sz w:val="28"/>
          <w:szCs w:val="28"/>
          <w:lang w:val="en-US"/>
        </w:rPr>
        <w:t>Culture’s Influence on Structure and Decision-Making Processes</w:t>
      </w:r>
    </w:p>
    <w:p w:rsidR="55ED892C" w:rsidP="6CC00757" w:rsidRDefault="55ED892C" w14:paraId="319128BC" w14:textId="79243BCF">
      <w:pPr>
        <w:pStyle w:val="Normal"/>
        <w:jc w:val="left"/>
        <w:rPr>
          <w:rFonts w:ascii="Arial" w:hAnsi="Arial" w:eastAsia="Arial" w:cs="Arial"/>
          <w:b w:val="1"/>
          <w:bCs w:val="1"/>
          <w:noProof w:val="0"/>
          <w:sz w:val="24"/>
          <w:szCs w:val="24"/>
          <w:lang w:val="en-US"/>
        </w:rPr>
      </w:pPr>
      <w:r w:rsidRPr="6CC00757" w:rsidR="55ED892C">
        <w:rPr>
          <w:rFonts w:ascii="Arial" w:hAnsi="Arial" w:eastAsia="Arial" w:cs="Arial"/>
          <w:b w:val="1"/>
          <w:bCs w:val="1"/>
          <w:noProof w:val="0"/>
          <w:sz w:val="24"/>
          <w:szCs w:val="24"/>
          <w:lang w:val="en-US"/>
        </w:rPr>
        <w:t>Cultural Influence on Organisational Structure</w:t>
      </w:r>
    </w:p>
    <w:p w:rsidR="55ED892C" w:rsidP="6CC00757" w:rsidRDefault="55ED892C" w14:paraId="31F517EF" w14:textId="6025B419">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5ED892C">
        <w:rPr>
          <w:rFonts w:ascii="Arial" w:hAnsi="Arial" w:eastAsia="Arial" w:cs="Arial"/>
          <w:b w:val="0"/>
          <w:bCs w:val="0"/>
          <w:i w:val="0"/>
          <w:iCs w:val="0"/>
          <w:noProof w:val="0"/>
          <w:color w:val="000000" w:themeColor="text1" w:themeTint="FF" w:themeShade="FF"/>
          <w:sz w:val="24"/>
          <w:szCs w:val="24"/>
          <w:lang w:val="en-US"/>
        </w:rPr>
        <w:t xml:space="preserve">Lloyds’ cultural preference for stability, accountability and consistency directly supports its </w:t>
      </w:r>
      <w:r w:rsidRPr="6CC00757" w:rsidR="55ED892C">
        <w:rPr>
          <w:rFonts w:ascii="Arial" w:hAnsi="Arial" w:eastAsia="Arial" w:cs="Arial"/>
          <w:b w:val="0"/>
          <w:bCs w:val="0"/>
          <w:i w:val="0"/>
          <w:iCs w:val="0"/>
          <w:noProof w:val="0"/>
          <w:color w:val="000000" w:themeColor="text1" w:themeTint="FF" w:themeShade="FF"/>
          <w:sz w:val="24"/>
          <w:szCs w:val="24"/>
          <w:lang w:val="en-US"/>
        </w:rPr>
        <w:t>centralised</w:t>
      </w:r>
      <w:r w:rsidRPr="6CC00757" w:rsidR="55ED892C">
        <w:rPr>
          <w:rFonts w:ascii="Arial" w:hAnsi="Arial" w:eastAsia="Arial" w:cs="Arial"/>
          <w:b w:val="0"/>
          <w:bCs w:val="0"/>
          <w:i w:val="0"/>
          <w:iCs w:val="0"/>
          <w:noProof w:val="0"/>
          <w:color w:val="000000" w:themeColor="text1" w:themeTint="FF" w:themeShade="FF"/>
          <w:sz w:val="24"/>
          <w:szCs w:val="24"/>
          <w:lang w:val="en-US"/>
        </w:rPr>
        <w:t xml:space="preserve"> divisional structure. Policy risk </w:t>
      </w:r>
      <w:r w:rsidRPr="6CC00757" w:rsidR="55ED892C">
        <w:rPr>
          <w:rFonts w:ascii="Arial" w:hAnsi="Arial" w:eastAsia="Arial" w:cs="Arial"/>
          <w:b w:val="0"/>
          <w:bCs w:val="0"/>
          <w:i w:val="0"/>
          <w:iCs w:val="0"/>
          <w:noProof w:val="0"/>
          <w:color w:val="000000" w:themeColor="text1" w:themeTint="FF" w:themeShade="FF"/>
          <w:sz w:val="24"/>
          <w:szCs w:val="24"/>
          <w:lang w:val="en-US"/>
        </w:rPr>
        <w:t>frameworks</w:t>
      </w:r>
      <w:r w:rsidRPr="6CC00757" w:rsidR="55ED892C">
        <w:rPr>
          <w:rFonts w:ascii="Arial" w:hAnsi="Arial" w:eastAsia="Arial" w:cs="Arial"/>
          <w:b w:val="0"/>
          <w:bCs w:val="0"/>
          <w:i w:val="0"/>
          <w:iCs w:val="0"/>
          <w:noProof w:val="0"/>
          <w:color w:val="000000" w:themeColor="text1" w:themeTint="FF" w:themeShade="FF"/>
          <w:sz w:val="24"/>
          <w:szCs w:val="24"/>
          <w:lang w:val="en-US"/>
        </w:rPr>
        <w:t xml:space="preserve"> and strategic direction are set at group level, while regional and branch teams deliver services within those parameters. </w:t>
      </w:r>
      <w:r w:rsidRPr="6CC00757" w:rsidR="55ED892C">
        <w:rPr>
          <w:rFonts w:ascii="Arial" w:hAnsi="Arial" w:eastAsia="Arial" w:cs="Arial"/>
          <w:b w:val="0"/>
          <w:bCs w:val="0"/>
          <w:i w:val="0"/>
          <w:iCs w:val="0"/>
          <w:noProof w:val="0"/>
          <w:color w:val="000000" w:themeColor="text1" w:themeTint="FF" w:themeShade="FF"/>
          <w:sz w:val="24"/>
          <w:szCs w:val="24"/>
          <w:lang w:val="en-US"/>
        </w:rPr>
        <w:t>This structure is culturally reinforced: authority follows position, reporting lines are unambiguous, and deviation from established procedure is actively discouraged.</w:t>
      </w:r>
    </w:p>
    <w:p w:rsidR="55ED892C" w:rsidP="6CC00757" w:rsidRDefault="55ED892C" w14:paraId="73EE84CB" w14:textId="0EFB6A53">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5ED892C">
        <w:rPr>
          <w:rFonts w:ascii="Arial" w:hAnsi="Arial" w:eastAsia="Arial" w:cs="Arial"/>
          <w:b w:val="0"/>
          <w:bCs w:val="0"/>
          <w:i w:val="0"/>
          <w:iCs w:val="0"/>
          <w:noProof w:val="0"/>
          <w:color w:val="000000" w:themeColor="text1" w:themeTint="FF" w:themeShade="FF"/>
          <w:sz w:val="24"/>
          <w:szCs w:val="24"/>
          <w:lang w:val="en-US"/>
        </w:rPr>
        <w:t xml:space="preserve">The advantages include consistent service delivery, clear </w:t>
      </w:r>
      <w:r w:rsidRPr="6CC00757" w:rsidR="55ED892C">
        <w:rPr>
          <w:rFonts w:ascii="Arial" w:hAnsi="Arial" w:eastAsia="Arial" w:cs="Arial"/>
          <w:b w:val="0"/>
          <w:bCs w:val="0"/>
          <w:i w:val="0"/>
          <w:iCs w:val="0"/>
          <w:noProof w:val="0"/>
          <w:color w:val="000000" w:themeColor="text1" w:themeTint="FF" w:themeShade="FF"/>
          <w:sz w:val="24"/>
          <w:szCs w:val="24"/>
          <w:lang w:val="en-US"/>
        </w:rPr>
        <w:t>accountability</w:t>
      </w:r>
      <w:r w:rsidRPr="6CC00757" w:rsidR="55ED892C">
        <w:rPr>
          <w:rFonts w:ascii="Arial" w:hAnsi="Arial" w:eastAsia="Arial" w:cs="Arial"/>
          <w:b w:val="0"/>
          <w:bCs w:val="0"/>
          <w:i w:val="0"/>
          <w:iCs w:val="0"/>
          <w:noProof w:val="0"/>
          <w:color w:val="000000" w:themeColor="text1" w:themeTint="FF" w:themeShade="FF"/>
          <w:sz w:val="24"/>
          <w:szCs w:val="24"/>
          <w:lang w:val="en-US"/>
        </w:rPr>
        <w:t xml:space="preserve"> and effective regulatory compliance. However, the cultural embeddedness of this structure also creates inflexibility  local managers have limited discretion to adapt services to specific community needs without seeking higher approval. This illustrates Mullins and Christy’s (2016) observation that culture and structure are mutually reinforcing: cultural norms shape the structure, which in turn </w:t>
      </w:r>
      <w:r w:rsidRPr="6CC00757" w:rsidR="55ED892C">
        <w:rPr>
          <w:rFonts w:ascii="Arial" w:hAnsi="Arial" w:eastAsia="Arial" w:cs="Arial"/>
          <w:b w:val="0"/>
          <w:bCs w:val="0"/>
          <w:i w:val="0"/>
          <w:iCs w:val="0"/>
          <w:noProof w:val="0"/>
          <w:color w:val="000000" w:themeColor="text1" w:themeTint="FF" w:themeShade="FF"/>
          <w:sz w:val="24"/>
          <w:szCs w:val="24"/>
          <w:lang w:val="en-US"/>
        </w:rPr>
        <w:t>maintains</w:t>
      </w:r>
      <w:r w:rsidRPr="6CC00757" w:rsidR="55ED892C">
        <w:rPr>
          <w:rFonts w:ascii="Arial" w:hAnsi="Arial" w:eastAsia="Arial" w:cs="Arial"/>
          <w:b w:val="0"/>
          <w:bCs w:val="0"/>
          <w:i w:val="0"/>
          <w:iCs w:val="0"/>
          <w:noProof w:val="0"/>
          <w:color w:val="000000" w:themeColor="text1" w:themeTint="FF" w:themeShade="FF"/>
          <w:sz w:val="24"/>
          <w:szCs w:val="24"/>
          <w:lang w:val="en-US"/>
        </w:rPr>
        <w:t xml:space="preserve"> those cultural norms. Changing one without addressing the other is rarely successful.</w:t>
      </w:r>
    </w:p>
    <w:p w:rsidR="191047F2" w:rsidP="191047F2" w:rsidRDefault="191047F2" w14:paraId="0BCC601E" w14:textId="5E119CF1">
      <w:pPr>
        <w:pStyle w:val="Normal"/>
        <w:jc w:val="left"/>
        <w:rPr>
          <w:rFonts w:ascii="Arial" w:hAnsi="Arial" w:eastAsia="Arial" w:cs="Arial"/>
          <w:b w:val="1"/>
          <w:bCs w:val="1"/>
          <w:noProof w:val="0"/>
          <w:sz w:val="24"/>
          <w:szCs w:val="24"/>
          <w:lang w:val="en-US"/>
        </w:rPr>
      </w:pPr>
    </w:p>
    <w:p w:rsidR="55ED892C" w:rsidP="6CC00757" w:rsidRDefault="55ED892C" w14:paraId="62C5D090" w14:textId="0E51338F">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6CC00757" w:rsidR="55ED892C">
        <w:rPr>
          <w:rFonts w:ascii="Arial" w:hAnsi="Arial" w:eastAsia="Arial" w:cs="Arial"/>
          <w:b w:val="1"/>
          <w:bCs w:val="1"/>
          <w:i w:val="0"/>
          <w:iCs w:val="0"/>
          <w:caps w:val="0"/>
          <w:smallCaps w:val="0"/>
          <w:noProof w:val="0"/>
          <w:color w:val="000000" w:themeColor="text1" w:themeTint="FF" w:themeShade="FF"/>
          <w:sz w:val="24"/>
          <w:szCs w:val="24"/>
          <w:lang w:val="en-US"/>
        </w:rPr>
        <w:t>Cultural Influence on Decision-Making</w:t>
      </w:r>
    </w:p>
    <w:p w:rsidR="55ED892C" w:rsidP="6CC00757" w:rsidRDefault="55ED892C" w14:paraId="589A49FD" w14:textId="06A66AC2">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5ED892C">
        <w:rPr>
          <w:rFonts w:ascii="Arial" w:hAnsi="Arial" w:eastAsia="Arial" w:cs="Arial"/>
          <w:b w:val="0"/>
          <w:bCs w:val="0"/>
          <w:i w:val="0"/>
          <w:iCs w:val="0"/>
          <w:noProof w:val="0"/>
          <w:color w:val="000000" w:themeColor="text1" w:themeTint="FF" w:themeShade="FF"/>
          <w:sz w:val="24"/>
          <w:szCs w:val="24"/>
          <w:lang w:val="en-US"/>
        </w:rPr>
        <w:t xml:space="preserve">Decision-making at Lloyds is predominantly top-down and process-driven, reflecting both </w:t>
      </w:r>
      <w:r w:rsidRPr="6CC00757" w:rsidR="55ED892C">
        <w:rPr>
          <w:rFonts w:ascii="Arial" w:hAnsi="Arial" w:eastAsia="Arial" w:cs="Arial"/>
          <w:b w:val="0"/>
          <w:bCs w:val="0"/>
          <w:i w:val="0"/>
          <w:iCs w:val="0"/>
          <w:noProof w:val="0"/>
          <w:color w:val="000000" w:themeColor="text1" w:themeTint="FF" w:themeShade="FF"/>
          <w:sz w:val="24"/>
          <w:szCs w:val="24"/>
          <w:lang w:val="en-US"/>
        </w:rPr>
        <w:t>regulatory requirements and cultural assumptions about prudence and accountability. Key characteristics include:</w:t>
      </w:r>
    </w:p>
    <w:p w:rsidR="55ED892C" w:rsidP="6CC00757" w:rsidRDefault="55ED892C" w14:paraId="1764F032" w14:textId="4CBA5D51">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5ED892C">
        <w:rPr>
          <w:rFonts w:ascii="Arial" w:hAnsi="Arial" w:eastAsia="Arial" w:cs="Arial"/>
          <w:b w:val="0"/>
          <w:bCs w:val="0"/>
          <w:i w:val="0"/>
          <w:iCs w:val="0"/>
          <w:noProof w:val="0"/>
          <w:color w:val="000000" w:themeColor="text1" w:themeTint="FF" w:themeShade="FF"/>
          <w:sz w:val="24"/>
          <w:szCs w:val="24"/>
          <w:lang w:val="en-US"/>
        </w:rPr>
        <w:t>Compliance-first framing: Major decisions are evaluated primarily through risk and regulatory lenses before business considerations</w:t>
      </w:r>
    </w:p>
    <w:p w:rsidR="55ED892C" w:rsidP="6CC00757" w:rsidRDefault="55ED892C" w14:paraId="6D241DF8" w14:textId="20E36E9A">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5ED892C">
        <w:rPr>
          <w:rFonts w:ascii="Arial" w:hAnsi="Arial" w:eastAsia="Arial" w:cs="Arial"/>
          <w:b w:val="0"/>
          <w:bCs w:val="0"/>
          <w:i w:val="0"/>
          <w:iCs w:val="0"/>
          <w:noProof w:val="0"/>
          <w:color w:val="000000" w:themeColor="text1" w:themeTint="FF" w:themeShade="FF"/>
          <w:sz w:val="24"/>
          <w:szCs w:val="24"/>
          <w:lang w:val="en-US"/>
        </w:rPr>
        <w:t>Consensus-seeking Significant proposals typically require consultation across multiple functions, reflecting a cultural preference for shared responsibility</w:t>
      </w:r>
    </w:p>
    <w:p w:rsidR="55ED892C" w:rsidP="6CC00757" w:rsidRDefault="55ED892C" w14:paraId="345A3BFC" w14:textId="36509CD3">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5ED892C">
        <w:rPr>
          <w:rFonts w:ascii="Arial" w:hAnsi="Arial" w:eastAsia="Arial" w:cs="Arial"/>
          <w:b w:val="0"/>
          <w:bCs w:val="0"/>
          <w:i w:val="0"/>
          <w:iCs w:val="0"/>
          <w:noProof w:val="0"/>
          <w:color w:val="000000" w:themeColor="text1" w:themeTint="FF" w:themeShade="FF"/>
          <w:sz w:val="24"/>
          <w:szCs w:val="24"/>
          <w:lang w:val="en-US"/>
        </w:rPr>
        <w:t>Evidence-based caution: Preference for established data and precedent over innovation or intuition consistent with high uncertainty avoidance</w:t>
      </w:r>
    </w:p>
    <w:p w:rsidR="55ED892C" w:rsidP="6CC00757" w:rsidRDefault="55ED892C" w14:paraId="0B262939" w14:textId="33E74EF1">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5ED892C">
        <w:rPr>
          <w:rFonts w:ascii="Arial" w:hAnsi="Arial" w:eastAsia="Arial" w:cs="Arial"/>
          <w:b w:val="0"/>
          <w:bCs w:val="0"/>
          <w:i w:val="0"/>
          <w:iCs w:val="0"/>
          <w:noProof w:val="0"/>
          <w:color w:val="000000" w:themeColor="text1" w:themeTint="FF" w:themeShade="FF"/>
          <w:sz w:val="24"/>
          <w:szCs w:val="24"/>
          <w:lang w:val="en-US"/>
        </w:rPr>
        <w:t>Risk aversion: The 2008 crisis remains a powerful cultural reference point; decisions perceived as potentially exposing the organisation to reputational or financial risk are treated with extreme caution</w:t>
      </w:r>
    </w:p>
    <w:p w:rsidR="6CC00757" w:rsidP="6CC00757" w:rsidRDefault="6CC00757" w14:paraId="448A2039" w14:textId="30BE0541">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p>
    <w:p w:rsidR="55ED892C" w:rsidP="6CC00757" w:rsidRDefault="55ED892C" w14:paraId="16617392" w14:textId="1A1A647B">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5ED892C">
        <w:rPr>
          <w:rFonts w:ascii="Arial" w:hAnsi="Arial" w:eastAsia="Arial" w:cs="Arial"/>
          <w:b w:val="0"/>
          <w:bCs w:val="0"/>
          <w:i w:val="0"/>
          <w:iCs w:val="0"/>
          <w:noProof w:val="0"/>
          <w:color w:val="000000" w:themeColor="text1" w:themeTint="FF" w:themeShade="FF"/>
          <w:sz w:val="24"/>
          <w:szCs w:val="24"/>
          <w:lang w:val="en-US"/>
        </w:rPr>
        <w:t xml:space="preserve">This cultural approach improves decision quality in terms of risk management but extends decision timelines and can discourage creative solutions. Importantly, culture also influences </w:t>
      </w:r>
      <w:r w:rsidRPr="6CC00757" w:rsidR="55ED892C">
        <w:rPr>
          <w:rFonts w:ascii="Arial" w:hAnsi="Arial" w:eastAsia="Arial" w:cs="Arial"/>
          <w:b w:val="0"/>
          <w:bCs w:val="0"/>
          <w:i w:val="1"/>
          <w:iCs w:val="1"/>
          <w:noProof w:val="0"/>
          <w:color w:val="000000" w:themeColor="text1" w:themeTint="FF" w:themeShade="FF"/>
          <w:sz w:val="24"/>
          <w:szCs w:val="24"/>
          <w:lang w:val="en-US"/>
        </w:rPr>
        <w:t xml:space="preserve">who </w:t>
      </w:r>
      <w:r w:rsidRPr="6CC00757" w:rsidR="55ED892C">
        <w:rPr>
          <w:rFonts w:ascii="Arial" w:hAnsi="Arial" w:eastAsia="Arial" w:cs="Arial"/>
          <w:b w:val="0"/>
          <w:bCs w:val="0"/>
          <w:i w:val="1"/>
          <w:iCs w:val="1"/>
          <w:noProof w:val="0"/>
          <w:color w:val="000000" w:themeColor="text1" w:themeTint="FF" w:themeShade="FF"/>
          <w:sz w:val="24"/>
          <w:szCs w:val="24"/>
          <w:lang w:val="en-US"/>
        </w:rPr>
        <w:t>participates</w:t>
      </w:r>
      <w:r w:rsidRPr="6CC00757" w:rsidR="55ED892C">
        <w:rPr>
          <w:rFonts w:ascii="Arial" w:hAnsi="Arial" w:eastAsia="Arial" w:cs="Arial"/>
          <w:b w:val="0"/>
          <w:bCs w:val="0"/>
          <w:i w:val="0"/>
          <w:iCs w:val="0"/>
          <w:noProof w:val="0"/>
          <w:color w:val="000000" w:themeColor="text1" w:themeTint="FF" w:themeShade="FF"/>
          <w:sz w:val="24"/>
          <w:szCs w:val="24"/>
          <w:lang w:val="en-US"/>
        </w:rPr>
        <w:t xml:space="preserve"> in decisions technical and compliance functions hold </w:t>
      </w:r>
      <w:r w:rsidRPr="6CC00757" w:rsidR="55ED892C">
        <w:rPr>
          <w:rFonts w:ascii="Arial" w:hAnsi="Arial" w:eastAsia="Arial" w:cs="Arial"/>
          <w:b w:val="0"/>
          <w:bCs w:val="0"/>
          <w:i w:val="0"/>
          <w:iCs w:val="0"/>
          <w:noProof w:val="0"/>
          <w:color w:val="000000" w:themeColor="text1" w:themeTint="FF" w:themeShade="FF"/>
          <w:sz w:val="24"/>
          <w:szCs w:val="24"/>
          <w:lang w:val="en-US"/>
        </w:rPr>
        <w:t>significant influence</w:t>
      </w:r>
      <w:r w:rsidRPr="6CC00757" w:rsidR="55ED892C">
        <w:rPr>
          <w:rFonts w:ascii="Arial" w:hAnsi="Arial" w:eastAsia="Arial" w:cs="Arial"/>
          <w:b w:val="0"/>
          <w:bCs w:val="0"/>
          <w:i w:val="0"/>
          <w:iCs w:val="0"/>
          <w:noProof w:val="0"/>
          <w:color w:val="000000" w:themeColor="text1" w:themeTint="FF" w:themeShade="FF"/>
          <w:sz w:val="24"/>
          <w:szCs w:val="24"/>
          <w:lang w:val="en-US"/>
        </w:rPr>
        <w:t>, while frontline customer-facing staff have limited voice in shaping service standards or processes. This reinforces the Role Culture hierarchy but may limit the flow of valuable customer insight upwards (Huczynski and Buchanan, 2019)</w:t>
      </w:r>
    </w:p>
    <w:p w:rsidR="191047F2" w:rsidP="6CC00757" w:rsidRDefault="191047F2" w14:paraId="7964C730" w14:textId="49BC212B">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0E16070D" w:rsidP="6CC00757" w:rsidRDefault="0E16070D" w14:paraId="6F2B7F35" w14:textId="6858E345">
      <w:pPr>
        <w:pStyle w:val="Normal"/>
        <w:jc w:val="left"/>
        <w:rPr>
          <w:rFonts w:ascii="Arial" w:hAnsi="Arial" w:eastAsia="Arial" w:cs="Arial"/>
          <w:noProof w:val="0"/>
          <w:sz w:val="24"/>
          <w:szCs w:val="24"/>
          <w:lang w:val="en-US"/>
        </w:rPr>
      </w:pPr>
      <w:r w:rsidRPr="6CC00757" w:rsidR="0E16070D">
        <w:rPr>
          <w:rFonts w:ascii="Arial" w:hAnsi="Arial" w:eastAsia="Arial" w:cs="Arial"/>
          <w:b w:val="1"/>
          <w:bCs w:val="1"/>
          <w:noProof w:val="0"/>
          <w:sz w:val="24"/>
          <w:szCs w:val="24"/>
          <w:lang w:val="en-US"/>
        </w:rPr>
        <w:t>Critical Evaluation: Limits of Cultural Influence</w:t>
      </w:r>
      <w:r w:rsidRPr="6CC00757" w:rsidR="0E16070D">
        <w:rPr>
          <w:rFonts w:ascii="Arial" w:hAnsi="Arial" w:eastAsia="Arial" w:cs="Arial"/>
          <w:noProof w:val="0"/>
          <w:sz w:val="24"/>
          <w:szCs w:val="24"/>
          <w:lang w:val="en-US"/>
        </w:rPr>
        <w:t xml:space="preserve">  </w:t>
      </w:r>
    </w:p>
    <w:p w:rsidR="0E16070D" w:rsidP="6CC00757" w:rsidRDefault="0E16070D" w14:paraId="490497CF" w14:textId="7497486D">
      <w:pPr>
        <w:pStyle w:val="Normal"/>
        <w:jc w:val="left"/>
        <w:rPr>
          <w:rFonts w:ascii="Arial" w:hAnsi="Arial" w:eastAsia="Arial" w:cs="Arial"/>
          <w:noProof w:val="0"/>
          <w:sz w:val="24"/>
          <w:szCs w:val="24"/>
          <w:lang w:val="en-US"/>
        </w:rPr>
      </w:pPr>
      <w:r w:rsidRPr="6CC00757" w:rsidR="0E16070D">
        <w:rPr>
          <w:rFonts w:ascii="Arial" w:hAnsi="Arial" w:eastAsia="Arial" w:cs="Arial"/>
          <w:noProof w:val="0"/>
          <w:sz w:val="24"/>
          <w:szCs w:val="24"/>
          <w:lang w:val="en-US"/>
        </w:rPr>
        <w:t>Culture provides a decision-making framework, but it does not determine every outcome.</w:t>
      </w:r>
      <w:r w:rsidRPr="6CC00757" w:rsidR="0E16070D">
        <w:rPr>
          <w:rFonts w:ascii="Arial" w:hAnsi="Arial" w:eastAsia="Arial" w:cs="Arial"/>
          <w:noProof w:val="0"/>
          <w:sz w:val="24"/>
          <w:szCs w:val="24"/>
          <w:lang w:val="en-US"/>
        </w:rPr>
        <w:t xml:space="preserve"> External </w:t>
      </w:r>
      <w:r w:rsidRPr="6CC00757" w:rsidR="0E16070D">
        <w:rPr>
          <w:rFonts w:ascii="Arial" w:hAnsi="Arial" w:eastAsia="Arial" w:cs="Arial"/>
          <w:noProof w:val="0"/>
          <w:sz w:val="24"/>
          <w:szCs w:val="24"/>
          <w:lang w:val="en-US"/>
        </w:rPr>
        <w:t>pressures</w:t>
      </w:r>
      <w:r w:rsidRPr="6CC00757" w:rsidR="0E16070D">
        <w:rPr>
          <w:rFonts w:ascii="Arial" w:hAnsi="Arial" w:eastAsia="Arial" w:cs="Arial"/>
          <w:noProof w:val="0"/>
          <w:sz w:val="24"/>
          <w:szCs w:val="24"/>
          <w:lang w:val="en-US"/>
        </w:rPr>
        <w:t xml:space="preserve"> </w:t>
      </w:r>
      <w:r w:rsidRPr="6CC00757" w:rsidR="0E16070D">
        <w:rPr>
          <w:rFonts w:ascii="Arial" w:hAnsi="Arial" w:eastAsia="Arial" w:cs="Arial"/>
          <w:noProof w:val="0"/>
          <w:sz w:val="24"/>
          <w:szCs w:val="24"/>
          <w:lang w:val="en-US"/>
        </w:rPr>
        <w:t xml:space="preserve">regulatory changes, competitor actions, economic conditions frequently compel decisions that run counter to cultural preferences. For example, digital transformation initiatives require faster, more experimental approaches that conflict with traditional cautious norms. Cultural values therefore guide rather than dictate </w:t>
      </w:r>
      <w:r w:rsidRPr="6CC00757" w:rsidR="0E16070D">
        <w:rPr>
          <w:rFonts w:ascii="Arial" w:hAnsi="Arial" w:eastAsia="Arial" w:cs="Arial"/>
          <w:noProof w:val="0"/>
          <w:sz w:val="24"/>
          <w:szCs w:val="24"/>
          <w:lang w:val="en-US"/>
        </w:rPr>
        <w:t>behaviour</w:t>
      </w:r>
      <w:r w:rsidRPr="6CC00757" w:rsidR="0E16070D">
        <w:rPr>
          <w:rFonts w:ascii="Arial" w:hAnsi="Arial" w:eastAsia="Arial" w:cs="Arial"/>
          <w:noProof w:val="0"/>
          <w:sz w:val="24"/>
          <w:szCs w:val="24"/>
          <w:lang w:val="en-US"/>
        </w:rPr>
        <w:t xml:space="preserve">, and understanding this boundary is essential. Managers must </w:t>
      </w:r>
      <w:r w:rsidRPr="6CC00757" w:rsidR="0E16070D">
        <w:rPr>
          <w:rFonts w:ascii="Arial" w:hAnsi="Arial" w:eastAsia="Arial" w:cs="Arial"/>
          <w:noProof w:val="0"/>
          <w:sz w:val="24"/>
          <w:szCs w:val="24"/>
          <w:lang w:val="en-US"/>
        </w:rPr>
        <w:t>recognise</w:t>
      </w:r>
      <w:r w:rsidRPr="6CC00757" w:rsidR="0E16070D">
        <w:rPr>
          <w:rFonts w:ascii="Arial" w:hAnsi="Arial" w:eastAsia="Arial" w:cs="Arial"/>
          <w:noProof w:val="0"/>
          <w:sz w:val="24"/>
          <w:szCs w:val="24"/>
          <w:lang w:val="en-US"/>
        </w:rPr>
        <w:t xml:space="preserve"> when cultural guidance supports effective action and when it becomes a constraint requiring deliberate intervention (Schein, 2010)</w:t>
      </w:r>
    </w:p>
    <w:p w:rsidR="0E16070D" w:rsidP="6CC00757" w:rsidRDefault="0E16070D" w14:paraId="7B3DED99" w14:textId="318D3F33">
      <w:pPr>
        <w:pStyle w:val="Normal"/>
        <w:jc w:val="left"/>
        <w:rPr>
          <w:rFonts w:ascii="Arial" w:hAnsi="Arial" w:eastAsia="Arial" w:cs="Arial"/>
          <w:b w:val="1"/>
          <w:bCs w:val="1"/>
          <w:i w:val="0"/>
          <w:iCs w:val="0"/>
          <w:caps w:val="0"/>
          <w:smallCaps w:val="0"/>
          <w:noProof w:val="0"/>
          <w:color w:val="000000" w:themeColor="text1" w:themeTint="FF" w:themeShade="FF"/>
          <w:sz w:val="28"/>
          <w:szCs w:val="28"/>
          <w:lang w:val="en-US"/>
        </w:rPr>
      </w:pPr>
      <w:r w:rsidRPr="6CC00757" w:rsidR="0E16070D">
        <w:rPr>
          <w:rFonts w:ascii="Arial" w:hAnsi="Arial" w:eastAsia="Arial" w:cs="Arial"/>
          <w:b w:val="1"/>
          <w:bCs w:val="1"/>
          <w:i w:val="0"/>
          <w:iCs w:val="0"/>
          <w:caps w:val="0"/>
          <w:smallCaps w:val="0"/>
          <w:noProof w:val="0"/>
          <w:color w:val="000000" w:themeColor="text1" w:themeTint="FF" w:themeShade="FF"/>
          <w:sz w:val="28"/>
          <w:szCs w:val="28"/>
          <w:lang w:val="en-US"/>
        </w:rPr>
        <w:t>External Environment and Cultural Adaptation</w:t>
      </w:r>
    </w:p>
    <w:p w:rsidR="0E16070D" w:rsidP="6CC00757" w:rsidRDefault="0E16070D" w14:paraId="6EB16DE7" w14:textId="2E23322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0E16070D">
        <w:rPr>
          <w:rFonts w:ascii="Arial" w:hAnsi="Arial" w:eastAsia="Arial" w:cs="Arial"/>
          <w:b w:val="0"/>
          <w:bCs w:val="0"/>
          <w:i w:val="0"/>
          <w:iCs w:val="0"/>
          <w:caps w:val="0"/>
          <w:smallCaps w:val="0"/>
          <w:noProof w:val="0"/>
          <w:color w:val="000000" w:themeColor="text1" w:themeTint="FF" w:themeShade="FF"/>
          <w:sz w:val="24"/>
          <w:szCs w:val="24"/>
          <w:lang w:val="en-US"/>
        </w:rPr>
        <w:t>PESTEL Analysis of Influences</w:t>
      </w:r>
    </w:p>
    <w:p w:rsidR="0E16070D" w:rsidP="6CC00757" w:rsidRDefault="0E16070D" w14:paraId="7E34B2DB" w14:textId="24D7A7E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0E16070D">
        <w:rPr>
          <w:rFonts w:ascii="Arial" w:hAnsi="Arial" w:eastAsia="Arial" w:cs="Arial"/>
          <w:b w:val="0"/>
          <w:bCs w:val="0"/>
          <w:i w:val="0"/>
          <w:iCs w:val="0"/>
          <w:caps w:val="0"/>
          <w:smallCaps w:val="0"/>
          <w:noProof w:val="0"/>
          <w:color w:val="000000" w:themeColor="text1" w:themeTint="FF" w:themeShade="FF"/>
          <w:sz w:val="24"/>
          <w:szCs w:val="24"/>
          <w:lang w:val="en-US"/>
        </w:rPr>
        <w:t>The external environment exerts continuous pressure on Lloyds’ culture</w:t>
      </w:r>
    </w:p>
    <w:p w:rsidR="191047F2" w:rsidP="6CC00757" w:rsidRDefault="191047F2" w14:paraId="41D5A123" w14:textId="2460333C">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Normal"/>
        <w:bidiVisual w:val="0"/>
        <w:tblW w:w="0" w:type="auto"/>
        <w:tblLook w:val="06A0" w:firstRow="1" w:lastRow="0" w:firstColumn="1" w:lastColumn="0" w:noHBand="1" w:noVBand="1"/>
      </w:tblPr>
      <w:tblGrid>
        <w:gridCol w:w="1935"/>
        <w:gridCol w:w="3237"/>
        <w:gridCol w:w="4188"/>
      </w:tblGrid>
      <w:tr w:rsidR="191047F2" w:rsidTr="6CC00757" w14:paraId="32C1940D">
        <w:trPr>
          <w:trHeight w:val="300"/>
        </w:trPr>
        <w:tc>
          <w:tcPr>
            <w:tcW w:w="19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693B567E" w14:textId="2F7EB995">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Factor</w:t>
            </w:r>
          </w:p>
        </w:tc>
        <w:tc>
          <w:tcPr>
            <w:tcW w:w="323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2BD8CCED" w14:textId="17F6A68F">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Key Impacts</w:t>
            </w:r>
          </w:p>
        </w:tc>
        <w:tc>
          <w:tcPr>
            <w:tcW w:w="418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37B08A8C" w14:textId="088BDB62">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Cultural Response / Tension</w:t>
            </w:r>
          </w:p>
        </w:tc>
      </w:tr>
      <w:tr w:rsidR="191047F2" w:rsidTr="6CC00757" w14:paraId="7F509236">
        <w:trPr>
          <w:trHeight w:val="300"/>
        </w:trPr>
        <w:tc>
          <w:tcPr>
            <w:tcW w:w="19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00E21906" w14:textId="328E0CEE">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Political</w:t>
            </w:r>
          </w:p>
        </w:tc>
        <w:tc>
          <w:tcPr>
            <w:tcW w:w="323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57D726DF" w14:textId="5404D14B">
            <w:pPr>
              <w:spacing w:before="0" w:beforeAutospacing="off" w:after="0" w:afterAutospacing="off"/>
              <w:jc w:val="left"/>
              <w:rPr>
                <w:rFonts w:ascii="Arial" w:hAnsi="Arial" w:eastAsia="Arial" w:cs="Arial"/>
              </w:rPr>
            </w:pPr>
            <w:r w:rsidRPr="6CC00757" w:rsidR="7561A22C">
              <w:rPr>
                <w:rFonts w:ascii="Arial" w:hAnsi="Arial" w:eastAsia="Arial" w:cs="Arial"/>
              </w:rPr>
              <w:t>Government economic policy, regulatory changes, ring-fencing requirements, financial conduct regulation</w:t>
            </w:r>
          </w:p>
        </w:tc>
        <w:tc>
          <w:tcPr>
            <w:tcW w:w="418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21D64E0A" w14:textId="5186528A">
            <w:pPr>
              <w:spacing w:before="0" w:beforeAutospacing="off" w:after="0" w:afterAutospacing="off"/>
              <w:jc w:val="left"/>
              <w:rPr>
                <w:rFonts w:ascii="Arial" w:hAnsi="Arial" w:eastAsia="Arial" w:cs="Arial"/>
              </w:rPr>
            </w:pPr>
            <w:r w:rsidRPr="6CC00757" w:rsidR="7561A22C">
              <w:rPr>
                <w:rFonts w:ascii="Arial" w:hAnsi="Arial" w:eastAsia="Arial" w:cs="Arial"/>
              </w:rPr>
              <w:t>Culture of compliance is reinforced; however frequent regulatory change creates fatigue and uncertainty about long-term cultural goals</w:t>
            </w:r>
          </w:p>
        </w:tc>
      </w:tr>
      <w:tr w:rsidR="191047F2" w:rsidTr="6CC00757" w14:paraId="51FBAA04">
        <w:trPr>
          <w:trHeight w:val="300"/>
        </w:trPr>
        <w:tc>
          <w:tcPr>
            <w:tcW w:w="19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23B1FAA3" w14:textId="3653568D">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Economic</w:t>
            </w:r>
          </w:p>
        </w:tc>
        <w:tc>
          <w:tcPr>
            <w:tcW w:w="323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674A291A" w14:textId="5E6745B3">
            <w:pPr>
              <w:spacing w:before="0" w:beforeAutospacing="off" w:after="0" w:afterAutospacing="off"/>
              <w:jc w:val="left"/>
              <w:rPr>
                <w:rFonts w:ascii="Arial" w:hAnsi="Arial" w:eastAsia="Arial" w:cs="Arial"/>
              </w:rPr>
            </w:pPr>
            <w:r w:rsidRPr="6CC00757" w:rsidR="7561A22C">
              <w:rPr>
                <w:rFonts w:ascii="Arial" w:hAnsi="Arial" w:eastAsia="Arial" w:cs="Arial"/>
              </w:rPr>
              <w:t>Interest rate volatility, inflation, housing market fluctuations, cost-of-living pressures, regional economic inequality</w:t>
            </w:r>
          </w:p>
        </w:tc>
        <w:tc>
          <w:tcPr>
            <w:tcW w:w="418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53FFB322" w14:textId="264D0797">
            <w:pPr>
              <w:spacing w:before="0" w:beforeAutospacing="off" w:after="0" w:afterAutospacing="off"/>
              <w:jc w:val="left"/>
              <w:rPr>
                <w:rFonts w:ascii="Arial" w:hAnsi="Arial" w:eastAsia="Arial" w:cs="Arial"/>
              </w:rPr>
            </w:pPr>
            <w:r w:rsidRPr="6CC00757" w:rsidR="7561A22C">
              <w:rPr>
                <w:rFonts w:ascii="Arial" w:hAnsi="Arial" w:eastAsia="Arial" w:cs="Arial"/>
              </w:rPr>
              <w:t>Cultural emphasis on financial prudence resonates; balancing profitability with customer support creates ethical and operational tension</w:t>
            </w:r>
          </w:p>
        </w:tc>
      </w:tr>
      <w:tr w:rsidR="191047F2" w:rsidTr="6CC00757" w14:paraId="77869ECA">
        <w:trPr>
          <w:trHeight w:val="300"/>
        </w:trPr>
        <w:tc>
          <w:tcPr>
            <w:tcW w:w="19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63EA1057" w14:textId="4517AD4C">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Social</w:t>
            </w:r>
          </w:p>
        </w:tc>
        <w:tc>
          <w:tcPr>
            <w:tcW w:w="323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0AC6357C" w14:textId="02A0C528">
            <w:pPr>
              <w:spacing w:before="0" w:beforeAutospacing="off" w:after="0" w:afterAutospacing="off"/>
              <w:jc w:val="left"/>
              <w:rPr>
                <w:rFonts w:ascii="Arial" w:hAnsi="Arial" w:eastAsia="Arial" w:cs="Arial"/>
              </w:rPr>
            </w:pPr>
            <w:r w:rsidRPr="6CC00757" w:rsidR="7561A22C">
              <w:rPr>
                <w:rFonts w:ascii="Arial" w:hAnsi="Arial" w:eastAsia="Arial" w:cs="Arial"/>
              </w:rPr>
              <w:t>Declining branch usage, preference for digital services, demand for ethical banking, financial inclusion expectations, trust in institutions</w:t>
            </w:r>
          </w:p>
        </w:tc>
        <w:tc>
          <w:tcPr>
            <w:tcW w:w="418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3A15C1EA" w14:textId="170B4B96">
            <w:pPr>
              <w:spacing w:before="0" w:beforeAutospacing="off" w:after="0" w:afterAutospacing="off"/>
              <w:jc w:val="left"/>
              <w:rPr>
                <w:rFonts w:ascii="Arial" w:hAnsi="Arial" w:eastAsia="Arial" w:cs="Arial"/>
              </w:rPr>
            </w:pPr>
            <w:r w:rsidRPr="6CC00757" w:rsidR="7561A22C">
              <w:rPr>
                <w:rFonts w:ascii="Arial" w:hAnsi="Arial" w:eastAsia="Arial" w:cs="Arial"/>
              </w:rPr>
              <w:t>Traditional service norms conflict with evolving customer habits; culture must adapt without abandoning core values of accessibility and reliability</w:t>
            </w:r>
          </w:p>
        </w:tc>
      </w:tr>
      <w:tr w:rsidR="191047F2" w:rsidTr="6CC00757" w14:paraId="741A6911">
        <w:trPr>
          <w:trHeight w:val="300"/>
        </w:trPr>
        <w:tc>
          <w:tcPr>
            <w:tcW w:w="19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2968AB69" w14:textId="54059EC0">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Technological</w:t>
            </w:r>
          </w:p>
        </w:tc>
        <w:tc>
          <w:tcPr>
            <w:tcW w:w="323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2AB49557" w14:textId="132A7BC6">
            <w:pPr>
              <w:spacing w:before="0" w:beforeAutospacing="off" w:after="0" w:afterAutospacing="off"/>
              <w:jc w:val="left"/>
              <w:rPr>
                <w:rFonts w:ascii="Arial" w:hAnsi="Arial" w:eastAsia="Arial" w:cs="Arial"/>
              </w:rPr>
            </w:pPr>
            <w:r w:rsidRPr="6CC00757" w:rsidR="7561A22C">
              <w:rPr>
                <w:rFonts w:ascii="Arial" w:hAnsi="Arial" w:eastAsia="Arial" w:cs="Arial"/>
              </w:rPr>
              <w:t>Fintech competition, AI integration, cybersecurity risks, data analytics capabilities, open banking</w:t>
            </w:r>
          </w:p>
        </w:tc>
        <w:tc>
          <w:tcPr>
            <w:tcW w:w="418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34AA19D3" w14:textId="3528D390">
            <w:pPr>
              <w:spacing w:before="0" w:beforeAutospacing="off" w:after="0" w:afterAutospacing="off"/>
              <w:jc w:val="left"/>
              <w:rPr>
                <w:rFonts w:ascii="Arial" w:hAnsi="Arial" w:eastAsia="Arial" w:cs="Arial"/>
              </w:rPr>
            </w:pPr>
            <w:r w:rsidRPr="6CC00757" w:rsidR="7561A22C">
              <w:rPr>
                <w:rFonts w:ascii="Arial" w:hAnsi="Arial" w:eastAsia="Arial" w:cs="Arial"/>
              </w:rPr>
              <w:t>Cultural caution slows adoption of unproven technologies; cybersecurity concerns reinforce control-oriented norms but can hinder innovation</w:t>
            </w:r>
          </w:p>
        </w:tc>
      </w:tr>
      <w:tr w:rsidR="191047F2" w:rsidTr="6CC00757" w14:paraId="6F433E57">
        <w:trPr>
          <w:trHeight w:val="300"/>
        </w:trPr>
        <w:tc>
          <w:tcPr>
            <w:tcW w:w="19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2BDF2570" w14:textId="3544E385">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Legal</w:t>
            </w:r>
          </w:p>
        </w:tc>
        <w:tc>
          <w:tcPr>
            <w:tcW w:w="323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5CC6FF16" w14:textId="4A031A3A">
            <w:pPr>
              <w:spacing w:before="0" w:beforeAutospacing="off" w:after="0" w:afterAutospacing="off"/>
              <w:jc w:val="left"/>
              <w:rPr>
                <w:rFonts w:ascii="Arial" w:hAnsi="Arial" w:eastAsia="Arial" w:cs="Arial"/>
              </w:rPr>
            </w:pPr>
            <w:r w:rsidRPr="6CC00757" w:rsidR="7561A22C">
              <w:rPr>
                <w:rFonts w:ascii="Arial" w:hAnsi="Arial" w:eastAsia="Arial" w:cs="Arial"/>
              </w:rPr>
              <w:t>FCA/PRA regulations, consumer duty legislation, data protection (GDPR), competition law, employment legislation</w:t>
            </w:r>
          </w:p>
        </w:tc>
        <w:tc>
          <w:tcPr>
            <w:tcW w:w="418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7CC9717A" w14:textId="4FD2B077">
            <w:pPr>
              <w:spacing w:before="0" w:beforeAutospacing="off" w:after="0" w:afterAutospacing="off"/>
              <w:jc w:val="left"/>
              <w:rPr>
                <w:rFonts w:ascii="Arial" w:hAnsi="Arial" w:eastAsia="Arial" w:cs="Arial"/>
              </w:rPr>
            </w:pPr>
            <w:r w:rsidRPr="6CC00757" w:rsidR="7561A22C">
              <w:rPr>
                <w:rFonts w:ascii="Arial" w:hAnsi="Arial" w:eastAsia="Arial" w:cs="Arial"/>
              </w:rPr>
              <w:t>Legal requirements become cultural norms; distinction between 'compliance' and 'doing the right thing' becomes increasingly difficult to distinguish</w:t>
            </w:r>
          </w:p>
        </w:tc>
      </w:tr>
      <w:tr w:rsidR="191047F2" w:rsidTr="6CC00757" w14:paraId="5414FF87">
        <w:trPr>
          <w:trHeight w:val="300"/>
        </w:trPr>
        <w:tc>
          <w:tcPr>
            <w:tcW w:w="19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1A512BA5" w14:textId="29386F7D">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Environmental</w:t>
            </w:r>
          </w:p>
        </w:tc>
        <w:tc>
          <w:tcPr>
            <w:tcW w:w="323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2D1D1AA4" w14:textId="4AF6DB43">
            <w:pPr>
              <w:spacing w:before="0" w:beforeAutospacing="off" w:after="0" w:afterAutospacing="off"/>
              <w:jc w:val="left"/>
              <w:rPr>
                <w:rFonts w:ascii="Arial" w:hAnsi="Arial" w:eastAsia="Arial" w:cs="Arial"/>
              </w:rPr>
            </w:pPr>
            <w:r w:rsidRPr="6CC00757" w:rsidR="7561A22C">
              <w:rPr>
                <w:rFonts w:ascii="Arial" w:hAnsi="Arial" w:eastAsia="Arial" w:cs="Arial"/>
              </w:rPr>
              <w:t>Climate change targets, sustainable finance requirements, green investment expectations, environmental risk disclosure</w:t>
            </w:r>
          </w:p>
        </w:tc>
        <w:tc>
          <w:tcPr>
            <w:tcW w:w="418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6CC00757" w:rsidRDefault="191047F2" w14:paraId="7FC9A33D" w14:textId="72DCE5F2">
            <w:pPr>
              <w:spacing w:before="0" w:beforeAutospacing="off" w:after="0" w:afterAutospacing="off"/>
              <w:jc w:val="left"/>
              <w:rPr>
                <w:rFonts w:ascii="Arial" w:hAnsi="Arial" w:eastAsia="Arial" w:cs="Arial"/>
              </w:rPr>
            </w:pPr>
            <w:r w:rsidRPr="6CC00757" w:rsidR="7561A22C">
              <w:rPr>
                <w:rFonts w:ascii="Arial" w:hAnsi="Arial" w:eastAsia="Arial" w:cs="Arial"/>
              </w:rPr>
              <w:t>New cultural expectations must be integrated into established lending and investment practices</w:t>
            </w:r>
          </w:p>
        </w:tc>
      </w:tr>
    </w:tbl>
    <w:p w:rsidR="191047F2" w:rsidP="6CC00757" w:rsidRDefault="191047F2" w14:paraId="3CB73A6F" w14:textId="6306D7B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9816FB0" w:rsidP="6CC00757" w:rsidRDefault="69816FB0" w14:paraId="5761543F" w14:textId="495E98E8">
      <w:pPr>
        <w:pStyle w:val="Normal"/>
        <w:jc w:val="left"/>
        <w:rPr>
          <w:rFonts w:ascii="Arial" w:hAnsi="Arial" w:eastAsia="Arial" w:cs="Arial"/>
          <w:b w:val="1"/>
          <w:bCs w:val="1"/>
          <w:noProof w:val="0"/>
          <w:sz w:val="24"/>
          <w:szCs w:val="24"/>
          <w:lang w:val="en-US"/>
        </w:rPr>
      </w:pPr>
      <w:r w:rsidRPr="6CC00757" w:rsidR="69816FB0">
        <w:rPr>
          <w:rFonts w:ascii="Arial" w:hAnsi="Arial" w:eastAsia="Arial" w:cs="Arial"/>
          <w:b w:val="1"/>
          <w:bCs w:val="1"/>
          <w:noProof w:val="0"/>
          <w:sz w:val="24"/>
          <w:szCs w:val="24"/>
          <w:lang w:val="en-US"/>
        </w:rPr>
        <w:t>Leveraging Culture for Resilience and Adaptation</w:t>
      </w:r>
    </w:p>
    <w:p w:rsidR="69816FB0" w:rsidP="6CC00757" w:rsidRDefault="69816FB0" w14:paraId="5B6BB306" w14:textId="06A9066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C00757" w:rsidR="69816FB0">
        <w:rPr>
          <w:rFonts w:ascii="Arial" w:hAnsi="Arial" w:eastAsia="Arial" w:cs="Arial"/>
          <w:b w:val="0"/>
          <w:bCs w:val="0"/>
          <w:i w:val="0"/>
          <w:iCs w:val="0"/>
          <w:caps w:val="0"/>
          <w:smallCaps w:val="0"/>
          <w:noProof w:val="0"/>
          <w:color w:val="000000" w:themeColor="text1" w:themeTint="FF" w:themeShade="FF"/>
          <w:sz w:val="24"/>
          <w:szCs w:val="24"/>
          <w:lang w:val="en-US"/>
        </w:rPr>
        <w:t xml:space="preserve">Lloyds leverages its culture in several ways when responding to external change: Reputational resilience: The cultural emphasis on stability and trust means customers remain loyal during periods of uncertainty Regulatory responsiveness Existing compliance culture enables relatively rapid adaptation to new legal requirements compared to less structured </w:t>
      </w:r>
      <w:r w:rsidRPr="6CC00757" w:rsidR="69816FB0">
        <w:rPr>
          <w:rFonts w:ascii="Arial" w:hAnsi="Arial" w:eastAsia="Arial" w:cs="Arial"/>
          <w:b w:val="0"/>
          <w:bCs w:val="0"/>
          <w:i w:val="0"/>
          <w:iCs w:val="0"/>
          <w:caps w:val="0"/>
          <w:smallCaps w:val="0"/>
          <w:noProof w:val="0"/>
          <w:color w:val="000000" w:themeColor="text1" w:themeTint="FF" w:themeShade="FF"/>
          <w:sz w:val="24"/>
          <w:szCs w:val="24"/>
          <w:lang w:val="en-US"/>
        </w:rPr>
        <w:t>organisations</w:t>
      </w:r>
      <w:r w:rsidRPr="6CC00757" w:rsidR="69816FB0">
        <w:rPr>
          <w:rFonts w:ascii="Arial" w:hAnsi="Arial" w:eastAsia="Arial" w:cs="Arial"/>
          <w:b w:val="0"/>
          <w:bCs w:val="0"/>
          <w:i w:val="0"/>
          <w:iCs w:val="0"/>
          <w:caps w:val="0"/>
          <w:smallCaps w:val="0"/>
          <w:noProof w:val="0"/>
          <w:color w:val="000000" w:themeColor="text1" w:themeTint="FF" w:themeShade="FF"/>
          <w:sz w:val="24"/>
          <w:szCs w:val="24"/>
          <w:lang w:val="en-US"/>
        </w:rPr>
        <w:t xml:space="preserve"> Cultural inertia as a constraint: Conversely, deeply embedded caution slows innovation and the adoption of new business models required to compete with agile fintech entrants This demonstrates a core paradox of </w:t>
      </w:r>
      <w:r w:rsidRPr="6CC00757" w:rsidR="69816FB0">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6CC00757" w:rsidR="69816FB0">
        <w:rPr>
          <w:rFonts w:ascii="Arial" w:hAnsi="Arial" w:eastAsia="Arial" w:cs="Arial"/>
          <w:b w:val="0"/>
          <w:bCs w:val="0"/>
          <w:i w:val="0"/>
          <w:iCs w:val="0"/>
          <w:caps w:val="0"/>
          <w:smallCaps w:val="0"/>
          <w:noProof w:val="0"/>
          <w:color w:val="000000" w:themeColor="text1" w:themeTint="FF" w:themeShade="FF"/>
          <w:sz w:val="24"/>
          <w:szCs w:val="24"/>
          <w:lang w:val="en-US"/>
        </w:rPr>
        <w:t xml:space="preserve"> culture: the same cultural traits that provide strength in one context can become liabilities in another (Mullins and Christy, 2016). Lloyds’ culture is well-suited to managing risk and </w:t>
      </w:r>
      <w:r w:rsidRPr="6CC00757" w:rsidR="69816FB0">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6CC00757" w:rsidR="69816FB0">
        <w:rPr>
          <w:rFonts w:ascii="Arial" w:hAnsi="Arial" w:eastAsia="Arial" w:cs="Arial"/>
          <w:b w:val="0"/>
          <w:bCs w:val="0"/>
          <w:i w:val="0"/>
          <w:iCs w:val="0"/>
          <w:caps w:val="0"/>
          <w:smallCaps w:val="0"/>
          <w:noProof w:val="0"/>
          <w:color w:val="000000" w:themeColor="text1" w:themeTint="FF" w:themeShade="FF"/>
          <w:sz w:val="24"/>
          <w:szCs w:val="24"/>
          <w:lang w:val="en-US"/>
        </w:rPr>
        <w:t xml:space="preserve"> stability but requires deliberate management to ensure it does not impede necessary adaptation</w:t>
      </w:r>
    </w:p>
    <w:p w:rsidR="191047F2" w:rsidP="6CC00757" w:rsidRDefault="191047F2" w14:paraId="5B135B36" w14:textId="3C5D051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CC00757" w:rsidP="6CC00757" w:rsidRDefault="6CC00757" w14:paraId="5EA4F774" w14:textId="51ACB475">
      <w:pPr>
        <w:pStyle w:val="Normal"/>
        <w:jc w:val="left"/>
        <w:rPr>
          <w:rFonts w:ascii="Arial" w:hAnsi="Arial" w:eastAsia="Arial" w:cs="Arial"/>
          <w:b w:val="1"/>
          <w:bCs w:val="1"/>
          <w:noProof w:val="0"/>
          <w:sz w:val="28"/>
          <w:szCs w:val="28"/>
          <w:lang w:val="en-US"/>
        </w:rPr>
      </w:pPr>
    </w:p>
    <w:p w:rsidR="6CC00757" w:rsidP="6CC00757" w:rsidRDefault="6CC00757" w14:paraId="04F6BEE0" w14:textId="191ABC75">
      <w:pPr>
        <w:pStyle w:val="Normal"/>
        <w:jc w:val="left"/>
        <w:rPr>
          <w:rFonts w:ascii="Arial" w:hAnsi="Arial" w:eastAsia="Arial" w:cs="Arial"/>
          <w:b w:val="1"/>
          <w:bCs w:val="1"/>
          <w:noProof w:val="0"/>
          <w:sz w:val="28"/>
          <w:szCs w:val="28"/>
          <w:lang w:val="en-US"/>
        </w:rPr>
      </w:pPr>
    </w:p>
    <w:p w:rsidR="6CC00757" w:rsidP="6CC00757" w:rsidRDefault="6CC00757" w14:paraId="3BB66C6F" w14:textId="6A1C5FBC">
      <w:pPr>
        <w:pStyle w:val="Normal"/>
        <w:jc w:val="left"/>
        <w:rPr>
          <w:rFonts w:ascii="Arial" w:hAnsi="Arial" w:eastAsia="Arial" w:cs="Arial"/>
          <w:b w:val="1"/>
          <w:bCs w:val="1"/>
          <w:noProof w:val="0"/>
          <w:sz w:val="28"/>
          <w:szCs w:val="28"/>
          <w:lang w:val="en-US"/>
        </w:rPr>
      </w:pPr>
    </w:p>
    <w:p w:rsidR="6CC00757" w:rsidP="6CC00757" w:rsidRDefault="6CC00757" w14:paraId="4FC5965D" w14:textId="246DEC96">
      <w:pPr>
        <w:pStyle w:val="Normal"/>
        <w:jc w:val="left"/>
        <w:rPr>
          <w:rFonts w:ascii="Arial" w:hAnsi="Arial" w:eastAsia="Arial" w:cs="Arial"/>
          <w:b w:val="1"/>
          <w:bCs w:val="1"/>
          <w:noProof w:val="0"/>
          <w:sz w:val="28"/>
          <w:szCs w:val="28"/>
          <w:lang w:val="en-US"/>
        </w:rPr>
      </w:pPr>
    </w:p>
    <w:p w:rsidR="6CC00757" w:rsidP="6CC00757" w:rsidRDefault="6CC00757" w14:paraId="12A17964" w14:textId="58E4EC91">
      <w:pPr>
        <w:pStyle w:val="Normal"/>
        <w:jc w:val="left"/>
        <w:rPr>
          <w:rFonts w:ascii="Arial" w:hAnsi="Arial" w:eastAsia="Arial" w:cs="Arial"/>
          <w:b w:val="1"/>
          <w:bCs w:val="1"/>
          <w:noProof w:val="0"/>
          <w:sz w:val="28"/>
          <w:szCs w:val="28"/>
          <w:lang w:val="en-US"/>
        </w:rPr>
      </w:pPr>
    </w:p>
    <w:p w:rsidR="6CC00757" w:rsidP="6CC00757" w:rsidRDefault="6CC00757" w14:paraId="0AA832D5" w14:textId="3D09BF8A">
      <w:pPr>
        <w:pStyle w:val="Normal"/>
        <w:jc w:val="left"/>
        <w:rPr>
          <w:rFonts w:ascii="Arial" w:hAnsi="Arial" w:eastAsia="Arial" w:cs="Arial"/>
          <w:b w:val="1"/>
          <w:bCs w:val="1"/>
          <w:noProof w:val="0"/>
          <w:sz w:val="28"/>
          <w:szCs w:val="28"/>
          <w:lang w:val="en-US"/>
        </w:rPr>
      </w:pPr>
    </w:p>
    <w:p w:rsidR="6CC00757" w:rsidP="6CC00757" w:rsidRDefault="6CC00757" w14:paraId="1F103879" w14:textId="5A855898">
      <w:pPr>
        <w:pStyle w:val="Normal"/>
        <w:jc w:val="left"/>
        <w:rPr>
          <w:rFonts w:ascii="Arial" w:hAnsi="Arial" w:eastAsia="Arial" w:cs="Arial"/>
          <w:b w:val="1"/>
          <w:bCs w:val="1"/>
          <w:noProof w:val="0"/>
          <w:sz w:val="28"/>
          <w:szCs w:val="28"/>
          <w:lang w:val="en-US"/>
        </w:rPr>
      </w:pPr>
    </w:p>
    <w:p w:rsidR="6CC00757" w:rsidP="6CC00757" w:rsidRDefault="6CC00757" w14:paraId="4B1AE330" w14:textId="031B2982">
      <w:pPr>
        <w:pStyle w:val="Normal"/>
        <w:jc w:val="left"/>
        <w:rPr>
          <w:rFonts w:ascii="Arial" w:hAnsi="Arial" w:eastAsia="Arial" w:cs="Arial"/>
          <w:b w:val="1"/>
          <w:bCs w:val="1"/>
          <w:noProof w:val="0"/>
          <w:sz w:val="28"/>
          <w:szCs w:val="28"/>
          <w:lang w:val="en-US"/>
        </w:rPr>
      </w:pPr>
    </w:p>
    <w:p w:rsidR="6CC00757" w:rsidP="6CC00757" w:rsidRDefault="6CC00757" w14:paraId="04AB2760" w14:textId="63E49F21">
      <w:pPr>
        <w:pStyle w:val="Normal"/>
        <w:jc w:val="left"/>
        <w:rPr>
          <w:rFonts w:ascii="Arial" w:hAnsi="Arial" w:eastAsia="Arial" w:cs="Arial"/>
          <w:b w:val="1"/>
          <w:bCs w:val="1"/>
          <w:noProof w:val="0"/>
          <w:sz w:val="28"/>
          <w:szCs w:val="28"/>
          <w:lang w:val="en-US"/>
        </w:rPr>
      </w:pPr>
    </w:p>
    <w:p w:rsidR="6CC00757" w:rsidP="6CC00757" w:rsidRDefault="6CC00757" w14:paraId="18C47239" w14:textId="17CB5217">
      <w:pPr>
        <w:pStyle w:val="Normal"/>
        <w:jc w:val="left"/>
        <w:rPr>
          <w:rFonts w:ascii="Arial" w:hAnsi="Arial" w:eastAsia="Arial" w:cs="Arial"/>
          <w:b w:val="1"/>
          <w:bCs w:val="1"/>
          <w:noProof w:val="0"/>
          <w:sz w:val="28"/>
          <w:szCs w:val="28"/>
          <w:lang w:val="en-US"/>
        </w:rPr>
      </w:pPr>
    </w:p>
    <w:p w:rsidR="69816FB0" w:rsidP="191047F2" w:rsidRDefault="69816FB0" w14:paraId="37A824F8" w14:textId="6B86A5B9">
      <w:pPr>
        <w:pStyle w:val="Normal"/>
        <w:jc w:val="left"/>
        <w:rPr>
          <w:rFonts w:ascii="Arial" w:hAnsi="Arial" w:eastAsia="Arial" w:cs="Arial"/>
          <w:b w:val="1"/>
          <w:bCs w:val="1"/>
          <w:noProof w:val="0"/>
          <w:sz w:val="28"/>
          <w:szCs w:val="28"/>
          <w:lang w:val="en-US"/>
        </w:rPr>
      </w:pPr>
      <w:r w:rsidRPr="6CC00757" w:rsidR="69816FB0">
        <w:rPr>
          <w:rFonts w:ascii="Arial" w:hAnsi="Arial" w:eastAsia="Arial" w:cs="Arial"/>
          <w:b w:val="1"/>
          <w:bCs w:val="1"/>
          <w:noProof w:val="0"/>
          <w:sz w:val="28"/>
          <w:szCs w:val="28"/>
          <w:lang w:val="en-US"/>
        </w:rPr>
        <w:t>Culture: Barrier or Enabler to Effective Organisational Functioning?</w:t>
      </w:r>
    </w:p>
    <w:tbl>
      <w:tblPr>
        <w:tblStyle w:val="TableNormal"/>
        <w:bidiVisual w:val="0"/>
        <w:tblW w:w="9361" w:type="dxa"/>
        <w:tblLook w:val="06A0" w:firstRow="1" w:lastRow="0" w:firstColumn="1" w:lastColumn="0" w:noHBand="1" w:noVBand="1"/>
      </w:tblPr>
      <w:tblGrid>
        <w:gridCol w:w="2475"/>
        <w:gridCol w:w="3047"/>
        <w:gridCol w:w="3839"/>
      </w:tblGrid>
      <w:tr w:rsidR="191047F2" w:rsidTr="6CC00757" w14:paraId="5A14014D">
        <w:trPr>
          <w:trHeight w:val="300"/>
        </w:trPr>
        <w:tc>
          <w:tcPr>
            <w:tcW w:w="24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4E01AA8C" w14:textId="45C8B842">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Dimension</w:t>
            </w:r>
          </w:p>
        </w:tc>
        <w:tc>
          <w:tcPr>
            <w:tcW w:w="304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610F5200" w14:textId="63DB1F50">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Culture as an ENABLER</w:t>
            </w:r>
          </w:p>
        </w:tc>
        <w:tc>
          <w:tcPr>
            <w:tcW w:w="383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7D60A067" w14:textId="37B91D0E">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Culture as a BARRIER</w:t>
            </w:r>
          </w:p>
        </w:tc>
      </w:tr>
      <w:tr w:rsidR="191047F2" w:rsidTr="6CC00757" w14:paraId="4970648E">
        <w:trPr>
          <w:trHeight w:val="300"/>
        </w:trPr>
        <w:tc>
          <w:tcPr>
            <w:tcW w:w="24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7BCF820B" w14:textId="1AD95B2F">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Regulatory Compliance</w:t>
            </w:r>
          </w:p>
        </w:tc>
        <w:tc>
          <w:tcPr>
            <w:tcW w:w="304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1C4BE4AA" w14:textId="45B92226">
            <w:pPr>
              <w:spacing w:before="0" w:beforeAutospacing="off" w:after="0" w:afterAutospacing="off"/>
              <w:jc w:val="left"/>
              <w:rPr>
                <w:rFonts w:ascii="Arial" w:hAnsi="Arial" w:eastAsia="Arial" w:cs="Arial"/>
              </w:rPr>
            </w:pPr>
            <w:r w:rsidRPr="6CC00757" w:rsidR="7561A22C">
              <w:rPr>
                <w:rFonts w:ascii="Arial" w:hAnsi="Arial" w:eastAsia="Arial" w:cs="Arial"/>
              </w:rPr>
              <w:t>Shared understanding of responsibilities; consistent interpretation of standards; strong ethical foundation can exceed minimum requirements</w:t>
            </w:r>
          </w:p>
        </w:tc>
        <w:tc>
          <w:tcPr>
            <w:tcW w:w="383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7624C8FC" w14:textId="3A0B1418">
            <w:pPr>
              <w:spacing w:before="0" w:beforeAutospacing="off" w:after="0" w:afterAutospacing="off"/>
              <w:jc w:val="left"/>
              <w:rPr>
                <w:rFonts w:ascii="Arial" w:hAnsi="Arial" w:eastAsia="Arial" w:cs="Arial"/>
              </w:rPr>
            </w:pPr>
            <w:r w:rsidRPr="6CC00757" w:rsidR="7561A22C">
              <w:rPr>
                <w:rFonts w:ascii="Arial" w:hAnsi="Arial" w:eastAsia="Arial" w:cs="Arial"/>
              </w:rPr>
              <w:t>Over-compliance mentality; risk aversion can become an end in itself rather than a means to responsible business</w:t>
            </w:r>
          </w:p>
        </w:tc>
      </w:tr>
      <w:tr w:rsidR="191047F2" w:rsidTr="6CC00757" w14:paraId="55D6A573">
        <w:trPr>
          <w:trHeight w:val="300"/>
        </w:trPr>
        <w:tc>
          <w:tcPr>
            <w:tcW w:w="24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1C1419F9" w14:textId="2187BFD2">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Service Consistency</w:t>
            </w:r>
          </w:p>
        </w:tc>
        <w:tc>
          <w:tcPr>
            <w:tcW w:w="304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15E4375E" w14:textId="2D11F6C4">
            <w:pPr>
              <w:spacing w:before="0" w:beforeAutospacing="off" w:after="0" w:afterAutospacing="off"/>
              <w:jc w:val="left"/>
              <w:rPr>
                <w:rFonts w:ascii="Arial" w:hAnsi="Arial" w:eastAsia="Arial" w:cs="Arial"/>
              </w:rPr>
            </w:pPr>
            <w:r w:rsidRPr="6CC00757" w:rsidR="7561A22C">
              <w:rPr>
                <w:rFonts w:ascii="Arial" w:hAnsi="Arial" w:eastAsia="Arial" w:cs="Arial"/>
              </w:rPr>
              <w:t>Customers receive predictable service across channels and locations; employees know what is expected of them</w:t>
            </w:r>
          </w:p>
        </w:tc>
        <w:tc>
          <w:tcPr>
            <w:tcW w:w="383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1283781C" w14:textId="7ACB4AC3">
            <w:pPr>
              <w:spacing w:before="0" w:beforeAutospacing="off" w:after="0" w:afterAutospacing="off"/>
              <w:jc w:val="left"/>
              <w:rPr>
                <w:rFonts w:ascii="Arial" w:hAnsi="Arial" w:eastAsia="Arial" w:cs="Arial"/>
              </w:rPr>
            </w:pPr>
            <w:r w:rsidRPr="6CC00757" w:rsidR="7561A22C">
              <w:rPr>
                <w:rFonts w:ascii="Arial" w:hAnsi="Arial" w:eastAsia="Arial" w:cs="Arial"/>
              </w:rPr>
              <w:t>Standardisation may reduce personalisation; one-size-fits-all approaches may not serve diverse customer groups</w:t>
            </w:r>
          </w:p>
        </w:tc>
      </w:tr>
      <w:tr w:rsidR="191047F2" w:rsidTr="6CC00757" w14:paraId="459C396A">
        <w:trPr>
          <w:trHeight w:val="300"/>
        </w:trPr>
        <w:tc>
          <w:tcPr>
            <w:tcW w:w="24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1D47B4D1" w14:textId="6A2B8CE7">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Employee Clarity</w:t>
            </w:r>
          </w:p>
        </w:tc>
        <w:tc>
          <w:tcPr>
            <w:tcW w:w="304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3FD043A3" w14:textId="6C54D221">
            <w:pPr>
              <w:spacing w:before="0" w:beforeAutospacing="off" w:after="0" w:afterAutospacing="off"/>
              <w:jc w:val="left"/>
              <w:rPr>
                <w:rFonts w:ascii="Arial" w:hAnsi="Arial" w:eastAsia="Arial" w:cs="Arial"/>
              </w:rPr>
            </w:pPr>
            <w:r w:rsidRPr="6CC00757" w:rsidR="7561A22C">
              <w:rPr>
                <w:rFonts w:ascii="Arial" w:hAnsi="Arial" w:eastAsia="Arial" w:cs="Arial"/>
              </w:rPr>
              <w:t>Clear expectations reduce role ambiguity; established career paths and norms provide security</w:t>
            </w:r>
          </w:p>
        </w:tc>
        <w:tc>
          <w:tcPr>
            <w:tcW w:w="383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36944A82" w14:textId="5A6F97FB">
            <w:pPr>
              <w:spacing w:before="0" w:beforeAutospacing="off" w:after="0" w:afterAutospacing="off"/>
              <w:jc w:val="left"/>
              <w:rPr>
                <w:rFonts w:ascii="Arial" w:hAnsi="Arial" w:eastAsia="Arial" w:cs="Arial"/>
              </w:rPr>
            </w:pPr>
            <w:r w:rsidRPr="6CC00757" w:rsidR="7561A22C">
              <w:rPr>
                <w:rFonts w:ascii="Arial" w:hAnsi="Arial" w:eastAsia="Arial" w:cs="Arial"/>
              </w:rPr>
              <w:t>Limited autonomy can reduce engagement; initiative may be discouraged unless explicitly authorised</w:t>
            </w:r>
          </w:p>
        </w:tc>
      </w:tr>
      <w:tr w:rsidR="191047F2" w:rsidTr="6CC00757" w14:paraId="3B56B944">
        <w:trPr>
          <w:trHeight w:val="300"/>
        </w:trPr>
        <w:tc>
          <w:tcPr>
            <w:tcW w:w="24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1F1F49E4" w14:textId="088DA760">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Change Management</w:t>
            </w:r>
          </w:p>
        </w:tc>
        <w:tc>
          <w:tcPr>
            <w:tcW w:w="304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0486A3D7" w14:textId="59B51558">
            <w:pPr>
              <w:spacing w:before="0" w:beforeAutospacing="off" w:after="0" w:afterAutospacing="off"/>
              <w:jc w:val="left"/>
              <w:rPr>
                <w:rFonts w:ascii="Arial" w:hAnsi="Arial" w:eastAsia="Arial" w:cs="Arial"/>
              </w:rPr>
            </w:pPr>
            <w:r w:rsidRPr="6CC00757" w:rsidR="7561A22C">
              <w:rPr>
                <w:rFonts w:ascii="Arial" w:hAnsi="Arial" w:eastAsia="Arial" w:cs="Arial"/>
              </w:rPr>
              <w:t>Established values provide continuity during transition; cultural commitment to responsibility supports ethical transformation</w:t>
            </w:r>
          </w:p>
        </w:tc>
        <w:tc>
          <w:tcPr>
            <w:tcW w:w="383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7807764A" w14:textId="0A1B76DB">
            <w:pPr>
              <w:spacing w:before="0" w:beforeAutospacing="off" w:after="0" w:afterAutospacing="off"/>
              <w:jc w:val="left"/>
              <w:rPr>
                <w:rFonts w:ascii="Arial" w:hAnsi="Arial" w:eastAsia="Arial" w:cs="Arial"/>
              </w:rPr>
            </w:pPr>
            <w:r w:rsidRPr="6CC00757" w:rsidR="7561A22C">
              <w:rPr>
                <w:rFonts w:ascii="Arial" w:hAnsi="Arial" w:eastAsia="Arial" w:cs="Arial"/>
              </w:rPr>
              <w:t>Cultural inertia can delay necessary changes; deeply embedded habits persist despite new strategies</w:t>
            </w:r>
          </w:p>
        </w:tc>
      </w:tr>
      <w:tr w:rsidR="191047F2" w:rsidTr="6CC00757" w14:paraId="52CB679E">
        <w:trPr>
          <w:trHeight w:val="300"/>
        </w:trPr>
        <w:tc>
          <w:tcPr>
            <w:tcW w:w="24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1F4450AD" w14:textId="42616B9A">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Reputation &amp; Trust</w:t>
            </w:r>
          </w:p>
        </w:tc>
        <w:tc>
          <w:tcPr>
            <w:tcW w:w="304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1FB5CFF4" w14:textId="527E7AA9">
            <w:pPr>
              <w:spacing w:before="0" w:beforeAutospacing="off" w:after="0" w:afterAutospacing="off"/>
              <w:jc w:val="left"/>
              <w:rPr>
                <w:rFonts w:ascii="Arial" w:hAnsi="Arial" w:eastAsia="Arial" w:cs="Arial"/>
              </w:rPr>
            </w:pPr>
            <w:r w:rsidRPr="6CC00757" w:rsidR="7561A22C">
              <w:rPr>
                <w:rFonts w:ascii="Arial" w:hAnsi="Arial" w:eastAsia="Arial" w:cs="Arial"/>
              </w:rPr>
              <w:t>Long-standing cultural values support brand loyalty; reliability is a competitive advantage</w:t>
            </w:r>
          </w:p>
        </w:tc>
        <w:tc>
          <w:tcPr>
            <w:tcW w:w="383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4D35E0F4" w14:textId="0BCDB940">
            <w:pPr>
              <w:spacing w:before="0" w:beforeAutospacing="off" w:after="0" w:afterAutospacing="off"/>
              <w:jc w:val="left"/>
              <w:rPr>
                <w:rFonts w:ascii="Arial" w:hAnsi="Arial" w:eastAsia="Arial" w:cs="Arial"/>
              </w:rPr>
            </w:pPr>
            <w:r w:rsidRPr="6CC00757" w:rsidR="7561A22C">
              <w:rPr>
                <w:rFonts w:ascii="Arial" w:hAnsi="Arial" w:eastAsia="Arial" w:cs="Arial"/>
              </w:rPr>
              <w:t>Reputational damage can occur rapidly if actions appear inconsistent with cultural promises; recovery is difficult</w:t>
            </w:r>
          </w:p>
        </w:tc>
      </w:tr>
    </w:tbl>
    <w:p w:rsidR="191047F2" w:rsidP="191047F2" w:rsidRDefault="191047F2" w14:paraId="54E05381" w14:textId="36EF5A7B">
      <w:pPr>
        <w:pStyle w:val="Normal"/>
        <w:jc w:val="left"/>
        <w:rPr>
          <w:rFonts w:ascii="Arial" w:hAnsi="Arial" w:eastAsia="Arial" w:cs="Arial"/>
          <w:b w:val="1"/>
          <w:bCs w:val="1"/>
          <w:noProof w:val="0"/>
          <w:sz w:val="28"/>
          <w:szCs w:val="28"/>
          <w:lang w:val="en-US"/>
        </w:rPr>
      </w:pPr>
    </w:p>
    <w:p w:rsidR="6CC00757" w:rsidP="6CC00757" w:rsidRDefault="6CC00757" w14:paraId="039926A9" w14:textId="7532F2DC">
      <w:pPr>
        <w:pStyle w:val="Normal"/>
        <w:jc w:val="left"/>
        <w:rPr>
          <w:rFonts w:ascii="Arial" w:hAnsi="Arial" w:eastAsia="Arial" w:cs="Arial"/>
          <w:b w:val="1"/>
          <w:bCs w:val="1"/>
          <w:noProof w:val="0"/>
          <w:sz w:val="24"/>
          <w:szCs w:val="24"/>
          <w:lang w:val="en-US"/>
        </w:rPr>
      </w:pPr>
    </w:p>
    <w:p w:rsidR="6CC00757" w:rsidP="6CC00757" w:rsidRDefault="6CC00757" w14:paraId="2115859F" w14:textId="17DB0AD2">
      <w:pPr>
        <w:pStyle w:val="Normal"/>
        <w:jc w:val="left"/>
        <w:rPr>
          <w:rFonts w:ascii="Arial" w:hAnsi="Arial" w:eastAsia="Arial" w:cs="Arial"/>
          <w:b w:val="1"/>
          <w:bCs w:val="1"/>
          <w:noProof w:val="0"/>
          <w:sz w:val="24"/>
          <w:szCs w:val="24"/>
          <w:lang w:val="en-US"/>
        </w:rPr>
      </w:pPr>
    </w:p>
    <w:p w:rsidR="6CC00757" w:rsidP="6CC00757" w:rsidRDefault="6CC00757" w14:paraId="6F9A181D" w14:textId="53803B9C">
      <w:pPr>
        <w:pStyle w:val="Normal"/>
        <w:jc w:val="left"/>
        <w:rPr>
          <w:rFonts w:ascii="Arial" w:hAnsi="Arial" w:eastAsia="Arial" w:cs="Arial"/>
          <w:b w:val="1"/>
          <w:bCs w:val="1"/>
          <w:noProof w:val="0"/>
          <w:sz w:val="24"/>
          <w:szCs w:val="24"/>
          <w:lang w:val="en-US"/>
        </w:rPr>
      </w:pPr>
    </w:p>
    <w:p w:rsidR="6CC00757" w:rsidP="6CC00757" w:rsidRDefault="6CC00757" w14:paraId="714A7C10" w14:textId="7333480D">
      <w:pPr>
        <w:pStyle w:val="Normal"/>
        <w:jc w:val="left"/>
        <w:rPr>
          <w:rFonts w:ascii="Arial" w:hAnsi="Arial" w:eastAsia="Arial" w:cs="Arial"/>
          <w:b w:val="1"/>
          <w:bCs w:val="1"/>
          <w:noProof w:val="0"/>
          <w:sz w:val="24"/>
          <w:szCs w:val="24"/>
          <w:lang w:val="en-US"/>
        </w:rPr>
      </w:pPr>
    </w:p>
    <w:p w:rsidR="6CC00757" w:rsidP="6CC00757" w:rsidRDefault="6CC00757" w14:paraId="49A7DA94" w14:textId="4B13743C">
      <w:pPr>
        <w:pStyle w:val="Normal"/>
        <w:jc w:val="left"/>
        <w:rPr>
          <w:rFonts w:ascii="Arial" w:hAnsi="Arial" w:eastAsia="Arial" w:cs="Arial"/>
          <w:b w:val="1"/>
          <w:bCs w:val="1"/>
          <w:noProof w:val="0"/>
          <w:sz w:val="24"/>
          <w:szCs w:val="24"/>
          <w:lang w:val="en-US"/>
        </w:rPr>
      </w:pPr>
    </w:p>
    <w:p w:rsidR="5EB6BD2B" w:rsidP="191047F2" w:rsidRDefault="5EB6BD2B" w14:paraId="7A0FE008" w14:textId="0DF04BFE">
      <w:pPr>
        <w:pStyle w:val="Normal"/>
        <w:jc w:val="left"/>
        <w:rPr>
          <w:rFonts w:ascii="Arial" w:hAnsi="Arial" w:eastAsia="Arial" w:cs="Arial"/>
          <w:b w:val="1"/>
          <w:bCs w:val="1"/>
          <w:noProof w:val="0"/>
          <w:sz w:val="24"/>
          <w:szCs w:val="24"/>
          <w:lang w:val="en-US"/>
        </w:rPr>
      </w:pPr>
      <w:r w:rsidRPr="6CC00757" w:rsidR="5EB6BD2B">
        <w:rPr>
          <w:rFonts w:ascii="Arial" w:hAnsi="Arial" w:eastAsia="Arial" w:cs="Arial"/>
          <w:b w:val="1"/>
          <w:bCs w:val="1"/>
          <w:noProof w:val="0"/>
          <w:sz w:val="24"/>
          <w:szCs w:val="24"/>
          <w:lang w:val="en-US"/>
        </w:rPr>
        <w:t xml:space="preserve">Critical assessment </w:t>
      </w:r>
    </w:p>
    <w:p w:rsidR="5EB6BD2B" w:rsidP="6CC00757" w:rsidRDefault="5EB6BD2B" w14:paraId="51BC2F48" w14:textId="78825310">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EB6BD2B">
        <w:rPr>
          <w:rFonts w:ascii="Arial" w:hAnsi="Arial" w:eastAsia="Arial" w:cs="Arial"/>
          <w:b w:val="0"/>
          <w:bCs w:val="0"/>
          <w:i w:val="0"/>
          <w:iCs w:val="0"/>
          <w:noProof w:val="0"/>
          <w:color w:val="000000" w:themeColor="text1" w:themeTint="FF" w:themeShade="FF"/>
          <w:sz w:val="24"/>
          <w:szCs w:val="24"/>
          <w:lang w:val="en-US"/>
        </w:rPr>
        <w:t>Overall, Lloyds’ culture functions primarily as an enabler, particularly in relation to regulatory trust, service reliability and organisational stability — all critical success factors in banking. However, significant barriers also exist:</w:t>
      </w:r>
    </w:p>
    <w:p w:rsidR="5EB6BD2B" w:rsidP="6CC00757" w:rsidRDefault="5EB6BD2B" w14:paraId="165C718D" w14:textId="2A74CA0A">
      <w:pPr>
        <w:pStyle w:val="ListParagraph"/>
        <w:numPr>
          <w:ilvl w:val="0"/>
          <w:numId w:val="3"/>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EB6BD2B">
        <w:rPr>
          <w:rFonts w:ascii="Arial" w:hAnsi="Arial" w:eastAsia="Arial" w:cs="Arial"/>
          <w:b w:val="0"/>
          <w:bCs w:val="0"/>
          <w:i w:val="0"/>
          <w:iCs w:val="0"/>
          <w:noProof w:val="0"/>
          <w:color w:val="000000" w:themeColor="text1" w:themeTint="FF" w:themeShade="FF"/>
          <w:sz w:val="24"/>
          <w:szCs w:val="24"/>
          <w:lang w:val="en-US"/>
        </w:rPr>
        <w:t>Risk aversion can suppress innovation: The cultural lesson of 2008 has been learned so thoroughly that legitimate calculated risk is sometimes conflated with recklessness, limiting progress</w:t>
      </w:r>
    </w:p>
    <w:p w:rsidR="5EB6BD2B" w:rsidP="6CC00757" w:rsidRDefault="5EB6BD2B" w14:paraId="4D8D510C" w14:textId="5D0B903D">
      <w:pPr>
        <w:pStyle w:val="ListParagraph"/>
        <w:numPr>
          <w:ilvl w:val="0"/>
          <w:numId w:val="3"/>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EB6BD2B">
        <w:rPr>
          <w:rFonts w:ascii="Arial" w:hAnsi="Arial" w:eastAsia="Arial" w:cs="Arial"/>
          <w:b w:val="0"/>
          <w:bCs w:val="0"/>
          <w:i w:val="0"/>
          <w:iCs w:val="0"/>
          <w:noProof w:val="0"/>
          <w:color w:val="000000" w:themeColor="text1" w:themeTint="FF" w:themeShade="FF"/>
          <w:sz w:val="24"/>
          <w:szCs w:val="24"/>
          <w:lang w:val="en-US"/>
        </w:rPr>
        <w:t>Hierarchy slows responsiveness: Cultural deference to authority means emerging issues may not surface quickly enough at senior levels</w:t>
      </w:r>
    </w:p>
    <w:p w:rsidR="5EB6BD2B" w:rsidP="6CC00757" w:rsidRDefault="5EB6BD2B" w14:paraId="6B5B5E91" w14:textId="755FC8E2">
      <w:pPr>
        <w:pStyle w:val="ListParagraph"/>
        <w:numPr>
          <w:ilvl w:val="0"/>
          <w:numId w:val="3"/>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EB6BD2B">
        <w:rPr>
          <w:rFonts w:ascii="Arial" w:hAnsi="Arial" w:eastAsia="Arial" w:cs="Arial"/>
          <w:b w:val="0"/>
          <w:bCs w:val="0"/>
          <w:i w:val="0"/>
          <w:iCs w:val="0"/>
          <w:noProof w:val="0"/>
          <w:color w:val="000000" w:themeColor="text1" w:themeTint="FF" w:themeShade="FF"/>
          <w:sz w:val="24"/>
          <w:szCs w:val="24"/>
          <w:lang w:val="en-US"/>
        </w:rPr>
        <w:t>Cultural duality creates internal tension: Employees experience conflict between 'serve the customer' messages and 'follow the procedure' realities, potentially reducing job satisfaction and increasing stress</w:t>
      </w:r>
    </w:p>
    <w:p w:rsidR="5EB6BD2B" w:rsidP="6CC00757" w:rsidRDefault="5EB6BD2B" w14:paraId="448DFAE0" w14:textId="2096B3E7">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5EB6BD2B">
        <w:rPr>
          <w:rFonts w:ascii="Arial" w:hAnsi="Arial" w:eastAsia="Arial" w:cs="Arial"/>
          <w:b w:val="0"/>
          <w:bCs w:val="0"/>
          <w:i w:val="0"/>
          <w:iCs w:val="0"/>
          <w:noProof w:val="0"/>
          <w:color w:val="000000" w:themeColor="text1" w:themeTint="FF" w:themeShade="FF"/>
          <w:sz w:val="24"/>
          <w:szCs w:val="24"/>
          <w:lang w:val="en-US"/>
        </w:rPr>
        <w:t>These are not failures of culture itself but rather consequences of how culture has developed and been reinforced over time. As Schein (2010) observes, no culture is perfectly adapted to all circumstances; periodic review and adjustment are always necessary. Culture is therefore neither inherently good nor bad — its effectiveness depends on how well it aligns with the organisation's current and future environment (Schneider et al., 2013).</w:t>
      </w:r>
    </w:p>
    <w:p w:rsidR="191047F2" w:rsidP="191047F2" w:rsidRDefault="191047F2" w14:paraId="51D22C12" w14:textId="50EFE01C">
      <w:pPr>
        <w:pStyle w:val="Normal"/>
        <w:jc w:val="left"/>
        <w:rPr>
          <w:rFonts w:ascii="Arial" w:hAnsi="Arial" w:eastAsia="Arial" w:cs="Arial"/>
          <w:b w:val="1"/>
          <w:bCs w:val="1"/>
          <w:noProof w:val="0"/>
          <w:sz w:val="28"/>
          <w:szCs w:val="28"/>
          <w:lang w:val="en-US"/>
        </w:rPr>
      </w:pPr>
    </w:p>
    <w:p w:rsidR="6CC00757" w:rsidP="6CC00757" w:rsidRDefault="6CC00757" w14:paraId="1BB25E49" w14:textId="7ABCDC44">
      <w:pPr>
        <w:pStyle w:val="Normal"/>
        <w:jc w:val="left"/>
        <w:rPr>
          <w:rFonts w:ascii="Arial" w:hAnsi="Arial" w:eastAsia="Arial" w:cs="Arial"/>
          <w:b w:val="1"/>
          <w:bCs w:val="1"/>
          <w:noProof w:val="0"/>
          <w:sz w:val="28"/>
          <w:szCs w:val="28"/>
          <w:lang w:val="en-US"/>
        </w:rPr>
      </w:pPr>
    </w:p>
    <w:p w:rsidR="6CC00757" w:rsidP="6CC00757" w:rsidRDefault="6CC00757" w14:paraId="73CC22C1" w14:textId="2E6E23D9">
      <w:pPr>
        <w:pStyle w:val="Normal"/>
        <w:jc w:val="left"/>
        <w:rPr>
          <w:rFonts w:ascii="Arial" w:hAnsi="Arial" w:eastAsia="Arial" w:cs="Arial"/>
          <w:b w:val="1"/>
          <w:bCs w:val="1"/>
          <w:noProof w:val="0"/>
          <w:sz w:val="28"/>
          <w:szCs w:val="28"/>
          <w:lang w:val="en-US"/>
        </w:rPr>
      </w:pPr>
    </w:p>
    <w:p w:rsidR="6CC00757" w:rsidP="6CC00757" w:rsidRDefault="6CC00757" w14:paraId="03837DDA" w14:textId="786730AF">
      <w:pPr>
        <w:pStyle w:val="Normal"/>
        <w:jc w:val="left"/>
        <w:rPr>
          <w:rFonts w:ascii="Arial" w:hAnsi="Arial" w:eastAsia="Arial" w:cs="Arial"/>
          <w:b w:val="1"/>
          <w:bCs w:val="1"/>
          <w:noProof w:val="0"/>
          <w:sz w:val="28"/>
          <w:szCs w:val="28"/>
          <w:lang w:val="en-US"/>
        </w:rPr>
      </w:pPr>
    </w:p>
    <w:p w:rsidR="6CC00757" w:rsidP="6CC00757" w:rsidRDefault="6CC00757" w14:paraId="38A5D8AD" w14:textId="5B6A9ADA">
      <w:pPr>
        <w:pStyle w:val="Normal"/>
        <w:jc w:val="left"/>
        <w:rPr>
          <w:rFonts w:ascii="Arial" w:hAnsi="Arial" w:eastAsia="Arial" w:cs="Arial"/>
          <w:b w:val="1"/>
          <w:bCs w:val="1"/>
          <w:noProof w:val="0"/>
          <w:sz w:val="28"/>
          <w:szCs w:val="28"/>
          <w:lang w:val="en-US"/>
        </w:rPr>
      </w:pPr>
    </w:p>
    <w:p w:rsidR="6CC00757" w:rsidP="6CC00757" w:rsidRDefault="6CC00757" w14:paraId="58E7DF34" w14:textId="156C972C">
      <w:pPr>
        <w:pStyle w:val="Normal"/>
        <w:jc w:val="left"/>
        <w:rPr>
          <w:rFonts w:ascii="Arial" w:hAnsi="Arial" w:eastAsia="Arial" w:cs="Arial"/>
          <w:b w:val="1"/>
          <w:bCs w:val="1"/>
          <w:noProof w:val="0"/>
          <w:sz w:val="28"/>
          <w:szCs w:val="28"/>
          <w:lang w:val="en-US"/>
        </w:rPr>
      </w:pPr>
    </w:p>
    <w:p w:rsidR="6CC00757" w:rsidP="6CC00757" w:rsidRDefault="6CC00757" w14:paraId="773C50EA" w14:textId="0B44F3A1">
      <w:pPr>
        <w:pStyle w:val="Normal"/>
        <w:jc w:val="left"/>
        <w:rPr>
          <w:rFonts w:ascii="Arial" w:hAnsi="Arial" w:eastAsia="Arial" w:cs="Arial"/>
          <w:b w:val="1"/>
          <w:bCs w:val="1"/>
          <w:noProof w:val="0"/>
          <w:sz w:val="28"/>
          <w:szCs w:val="28"/>
          <w:lang w:val="en-US"/>
        </w:rPr>
      </w:pPr>
    </w:p>
    <w:p w:rsidR="6CC00757" w:rsidP="6CC00757" w:rsidRDefault="6CC00757" w14:paraId="16C0F564" w14:textId="3D62C6B7">
      <w:pPr>
        <w:pStyle w:val="Normal"/>
        <w:jc w:val="left"/>
        <w:rPr>
          <w:rFonts w:ascii="Arial" w:hAnsi="Arial" w:eastAsia="Arial" w:cs="Arial"/>
          <w:b w:val="1"/>
          <w:bCs w:val="1"/>
          <w:noProof w:val="0"/>
          <w:sz w:val="28"/>
          <w:szCs w:val="28"/>
          <w:lang w:val="en-US"/>
        </w:rPr>
      </w:pPr>
    </w:p>
    <w:p w:rsidR="6CC00757" w:rsidP="6CC00757" w:rsidRDefault="6CC00757" w14:paraId="65AF7D6C" w14:textId="3D3B4AA7">
      <w:pPr>
        <w:pStyle w:val="Normal"/>
        <w:jc w:val="left"/>
        <w:rPr>
          <w:rFonts w:ascii="Arial" w:hAnsi="Arial" w:eastAsia="Arial" w:cs="Arial"/>
          <w:b w:val="1"/>
          <w:bCs w:val="1"/>
          <w:noProof w:val="0"/>
          <w:sz w:val="28"/>
          <w:szCs w:val="28"/>
          <w:lang w:val="en-US"/>
        </w:rPr>
      </w:pPr>
    </w:p>
    <w:p w:rsidR="5EB6BD2B" w:rsidP="191047F2" w:rsidRDefault="5EB6BD2B" w14:paraId="6D25A9C7" w14:textId="177F9DBF">
      <w:pPr>
        <w:pStyle w:val="Normal"/>
        <w:jc w:val="left"/>
        <w:rPr>
          <w:rFonts w:ascii="Arial" w:hAnsi="Arial" w:eastAsia="Arial" w:cs="Arial"/>
          <w:b w:val="1"/>
          <w:bCs w:val="1"/>
          <w:noProof w:val="0"/>
          <w:sz w:val="28"/>
          <w:szCs w:val="28"/>
          <w:lang w:val="en-US"/>
        </w:rPr>
      </w:pPr>
      <w:r w:rsidRPr="6CC00757" w:rsidR="5EB6BD2B">
        <w:rPr>
          <w:rFonts w:ascii="Arial" w:hAnsi="Arial" w:eastAsia="Arial" w:cs="Arial"/>
          <w:b w:val="1"/>
          <w:bCs w:val="1"/>
          <w:noProof w:val="0"/>
          <w:sz w:val="28"/>
          <w:szCs w:val="28"/>
          <w:lang w:val="en-US"/>
        </w:rPr>
        <w:t>Impact on Performance and Recommendations</w:t>
      </w:r>
    </w:p>
    <w:p w:rsidR="5EB6BD2B" w:rsidP="191047F2" w:rsidRDefault="5EB6BD2B" w14:paraId="5EA258D8" w14:textId="020E4D98">
      <w:pPr>
        <w:pStyle w:val="Normal"/>
        <w:jc w:val="left"/>
        <w:rPr>
          <w:rFonts w:ascii="Arial" w:hAnsi="Arial" w:eastAsia="Arial" w:cs="Arial"/>
          <w:noProof w:val="0"/>
          <w:sz w:val="24"/>
          <w:szCs w:val="24"/>
          <w:lang w:val="en-US"/>
        </w:rPr>
      </w:pPr>
      <w:r w:rsidRPr="6CC00757" w:rsidR="5EB6BD2B">
        <w:rPr>
          <w:rFonts w:ascii="Arial" w:hAnsi="Arial" w:eastAsia="Arial" w:cs="Arial"/>
          <w:noProof w:val="0"/>
          <w:sz w:val="24"/>
          <w:szCs w:val="24"/>
          <w:lang w:val="en-US"/>
        </w:rPr>
        <w:t>Cultural Impact on Organisational Performance</w:t>
      </w:r>
    </w:p>
    <w:p w:rsidR="191047F2" w:rsidP="191047F2" w:rsidRDefault="191047F2" w14:paraId="7D443ADD" w14:textId="053AC671">
      <w:pPr>
        <w:pStyle w:val="Normal"/>
        <w:jc w:val="left"/>
        <w:rPr>
          <w:rFonts w:ascii="Arial" w:hAnsi="Arial" w:eastAsia="Arial" w:cs="Arial"/>
          <w:noProof w:val="0"/>
          <w:sz w:val="24"/>
          <w:szCs w:val="24"/>
          <w:lang w:val="en-US"/>
        </w:rPr>
      </w:pPr>
    </w:p>
    <w:tbl>
      <w:tblPr>
        <w:tblStyle w:val="TableNormal"/>
        <w:bidiVisual w:val="0"/>
        <w:tblW w:w="0" w:type="auto"/>
        <w:tblLook w:val="06A0" w:firstRow="1" w:lastRow="0" w:firstColumn="1" w:lastColumn="0" w:noHBand="1" w:noVBand="1"/>
      </w:tblPr>
      <w:tblGrid>
        <w:gridCol w:w="2265"/>
        <w:gridCol w:w="3389"/>
        <w:gridCol w:w="3706"/>
      </w:tblGrid>
      <w:tr w:rsidR="191047F2" w:rsidTr="6CC00757" w14:paraId="772C4F64">
        <w:trPr>
          <w:trHeight w:val="300"/>
        </w:trPr>
        <w:tc>
          <w:tcPr>
            <w:tcW w:w="22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32D6D9E6" w14:textId="3FE82425">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Performance Area</w:t>
            </w:r>
          </w:p>
        </w:tc>
        <w:tc>
          <w:tcPr>
            <w:tcW w:w="338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7EFBFCCC" w14:textId="5A600133">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Cultural Influence</w:t>
            </w:r>
          </w:p>
        </w:tc>
        <w:tc>
          <w:tcPr>
            <w:tcW w:w="370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733EF6C3" w14:textId="5A427EB3">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Supporting Evidence</w:t>
            </w:r>
          </w:p>
        </w:tc>
      </w:tr>
      <w:tr w:rsidR="191047F2" w:rsidTr="6CC00757" w14:paraId="30EBC761">
        <w:trPr>
          <w:trHeight w:val="300"/>
        </w:trPr>
        <w:tc>
          <w:tcPr>
            <w:tcW w:w="22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79129F16" w14:textId="1BB0EFD0">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Financial Stability</w:t>
            </w:r>
          </w:p>
        </w:tc>
        <w:tc>
          <w:tcPr>
            <w:tcW w:w="338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38D31358" w14:textId="733773A4">
            <w:pPr>
              <w:spacing w:before="0" w:beforeAutospacing="off" w:after="0" w:afterAutospacing="off"/>
              <w:jc w:val="left"/>
              <w:rPr>
                <w:rFonts w:ascii="Arial" w:hAnsi="Arial" w:eastAsia="Arial" w:cs="Arial"/>
              </w:rPr>
            </w:pPr>
            <w:r w:rsidRPr="6CC00757" w:rsidR="7561A22C">
              <w:rPr>
                <w:rFonts w:ascii="Arial" w:hAnsi="Arial" w:eastAsia="Arial" w:cs="Arial"/>
              </w:rPr>
              <w:t>Conservative cultural approach supports resilience through economic downturns; prudence in lending reduces exposure to high-risk markets</w:t>
            </w:r>
          </w:p>
        </w:tc>
        <w:tc>
          <w:tcPr>
            <w:tcW w:w="370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58108D65" w14:textId="7E4F389D">
            <w:pPr>
              <w:spacing w:before="0" w:beforeAutospacing="off" w:after="0" w:afterAutospacing="off"/>
              <w:jc w:val="left"/>
              <w:rPr>
                <w:rFonts w:ascii="Arial" w:hAnsi="Arial" w:eastAsia="Arial" w:cs="Arial"/>
              </w:rPr>
            </w:pPr>
            <w:r w:rsidRPr="6CC00757" w:rsidR="7561A22C">
              <w:rPr>
                <w:rFonts w:ascii="Arial" w:hAnsi="Arial" w:eastAsia="Arial" w:cs="Arial"/>
              </w:rPr>
              <w:t>Lloyds Banking Group (2025) reports strong capital ratios and consistent profitability relative to sector averages</w:t>
            </w:r>
          </w:p>
        </w:tc>
      </w:tr>
      <w:tr w:rsidR="191047F2" w:rsidTr="6CC00757" w14:paraId="64214432">
        <w:trPr>
          <w:trHeight w:val="300"/>
        </w:trPr>
        <w:tc>
          <w:tcPr>
            <w:tcW w:w="22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57A135B3" w14:textId="0BF51929">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Customer Satisfaction &amp; Trust</w:t>
            </w:r>
          </w:p>
        </w:tc>
        <w:tc>
          <w:tcPr>
            <w:tcW w:w="338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55CED29C" w14:textId="53D0A9FD">
            <w:pPr>
              <w:spacing w:before="0" w:beforeAutospacing="off" w:after="0" w:afterAutospacing="off"/>
              <w:jc w:val="left"/>
              <w:rPr>
                <w:rFonts w:ascii="Arial" w:hAnsi="Arial" w:eastAsia="Arial" w:cs="Arial"/>
              </w:rPr>
            </w:pPr>
            <w:r w:rsidRPr="6CC00757" w:rsidR="7561A22C">
              <w:rPr>
                <w:rFonts w:ascii="Arial" w:hAnsi="Arial" w:eastAsia="Arial" w:cs="Arial"/>
              </w:rPr>
              <w:t>Cultural emphasis on reliability supports high levels of trust among existing customers; brand recognition and heritage remain significant assets</w:t>
            </w:r>
          </w:p>
        </w:tc>
        <w:tc>
          <w:tcPr>
            <w:tcW w:w="370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4C5D2255" w14:textId="4DD8CA64">
            <w:pPr>
              <w:spacing w:before="0" w:beforeAutospacing="off" w:after="0" w:afterAutospacing="off"/>
              <w:jc w:val="left"/>
              <w:rPr>
                <w:rFonts w:ascii="Arial" w:hAnsi="Arial" w:eastAsia="Arial" w:cs="Arial"/>
              </w:rPr>
            </w:pPr>
            <w:r w:rsidRPr="6CC00757" w:rsidR="7561A22C">
              <w:rPr>
                <w:rFonts w:ascii="Arial" w:hAnsi="Arial" w:eastAsia="Arial" w:cs="Arial"/>
              </w:rPr>
              <w:t>However, digital satisfaction scores lag behind newer entrants; branch accessibility concerns persist among vulnerable customers (CMA, 2024)</w:t>
            </w:r>
          </w:p>
        </w:tc>
      </w:tr>
      <w:tr w:rsidR="191047F2" w:rsidTr="6CC00757" w14:paraId="031D1621">
        <w:trPr>
          <w:trHeight w:val="300"/>
        </w:trPr>
        <w:tc>
          <w:tcPr>
            <w:tcW w:w="22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2ECF30FE" w14:textId="1B3AA4B0">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Employee Engagement &amp; Retention</w:t>
            </w:r>
          </w:p>
        </w:tc>
        <w:tc>
          <w:tcPr>
            <w:tcW w:w="338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79725783" w14:textId="20424003">
            <w:pPr>
              <w:spacing w:before="0" w:beforeAutospacing="off" w:after="0" w:afterAutospacing="off"/>
              <w:jc w:val="left"/>
              <w:rPr>
                <w:rFonts w:ascii="Arial" w:hAnsi="Arial" w:eastAsia="Arial" w:cs="Arial"/>
              </w:rPr>
            </w:pPr>
            <w:r w:rsidRPr="6CC00757" w:rsidR="7561A22C">
              <w:rPr>
                <w:rFonts w:ascii="Arial" w:hAnsi="Arial" w:eastAsia="Arial" w:cs="Arial"/>
              </w:rPr>
              <w:t>Clear structure and established norms provide security; however workload pressures and limited autonomy impact engagement scores</w:t>
            </w:r>
          </w:p>
        </w:tc>
        <w:tc>
          <w:tcPr>
            <w:tcW w:w="370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7ED023F4" w14:textId="6DB7710C">
            <w:pPr>
              <w:spacing w:before="0" w:beforeAutospacing="off" w:after="0" w:afterAutospacing="off"/>
              <w:jc w:val="left"/>
              <w:rPr>
                <w:rFonts w:ascii="Arial" w:hAnsi="Arial" w:eastAsia="Arial" w:cs="Arial"/>
              </w:rPr>
            </w:pPr>
            <w:r w:rsidRPr="6CC00757" w:rsidR="7561A22C">
              <w:rPr>
                <w:rFonts w:ascii="Arial" w:hAnsi="Arial" w:eastAsia="Arial" w:cs="Arial"/>
              </w:rPr>
              <w:t>Internal survey data indicates engagement at or slightly above financial sector averages, with variation by role and region (LBG, 2024)</w:t>
            </w:r>
          </w:p>
        </w:tc>
      </w:tr>
      <w:tr w:rsidR="191047F2" w:rsidTr="6CC00757" w14:paraId="085649E9">
        <w:trPr>
          <w:trHeight w:val="300"/>
        </w:trPr>
        <w:tc>
          <w:tcPr>
            <w:tcW w:w="22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7321B0EA" w14:textId="2231D739">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Innovation &amp; Agility</w:t>
            </w:r>
          </w:p>
        </w:tc>
        <w:tc>
          <w:tcPr>
            <w:tcW w:w="338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3F87544F" w14:textId="72AC2534">
            <w:pPr>
              <w:spacing w:before="0" w:beforeAutospacing="off" w:after="0" w:afterAutospacing="off"/>
              <w:jc w:val="left"/>
              <w:rPr>
                <w:rFonts w:ascii="Arial" w:hAnsi="Arial" w:eastAsia="Arial" w:cs="Arial"/>
              </w:rPr>
            </w:pPr>
            <w:r w:rsidRPr="6CC00757" w:rsidR="7561A22C">
              <w:rPr>
                <w:rFonts w:ascii="Arial" w:hAnsi="Arial" w:eastAsia="Arial" w:cs="Arial"/>
              </w:rPr>
              <w:t>Cultural caution protects against costly failures but delays adoption of customer-centric improvements; incremental change is preferred over transformation</w:t>
            </w:r>
          </w:p>
        </w:tc>
        <w:tc>
          <w:tcPr>
            <w:tcW w:w="370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0CE1CF17" w14:textId="53BECC8E">
            <w:pPr>
              <w:spacing w:before="0" w:beforeAutospacing="off" w:after="0" w:afterAutospacing="off"/>
              <w:jc w:val="left"/>
              <w:rPr>
                <w:rFonts w:ascii="Arial" w:hAnsi="Arial" w:eastAsia="Arial" w:cs="Arial"/>
              </w:rPr>
            </w:pPr>
            <w:r w:rsidRPr="6CC00757" w:rsidR="7561A22C">
              <w:rPr>
                <w:rFonts w:ascii="Arial" w:hAnsi="Arial" w:eastAsia="Arial" w:cs="Arial"/>
              </w:rPr>
              <w:t>Digital adoption figures are improving but trail leading competitors; internal innovation initiatives require extended approval cycles</w:t>
            </w:r>
          </w:p>
        </w:tc>
      </w:tr>
      <w:tr w:rsidR="191047F2" w:rsidTr="6CC00757" w14:paraId="7595CB21">
        <w:trPr>
          <w:trHeight w:val="300"/>
        </w:trPr>
        <w:tc>
          <w:tcPr>
            <w:tcW w:w="22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17CC1BA8" w14:textId="236153B3">
            <w:pPr>
              <w:spacing w:before="0" w:beforeAutospacing="off" w:after="0" w:afterAutospacing="off"/>
              <w:jc w:val="left"/>
              <w:rPr>
                <w:rFonts w:ascii="Arial" w:hAnsi="Arial" w:eastAsia="Arial" w:cs="Arial"/>
                <w:b w:val="1"/>
                <w:bCs w:val="1"/>
              </w:rPr>
            </w:pPr>
            <w:r w:rsidRPr="6CC00757" w:rsidR="7561A22C">
              <w:rPr>
                <w:rFonts w:ascii="Arial" w:hAnsi="Arial" w:eastAsia="Arial" w:cs="Arial"/>
                <w:b w:val="1"/>
                <w:bCs w:val="1"/>
              </w:rPr>
              <w:t>Reputational Risk Management</w:t>
            </w:r>
          </w:p>
        </w:tc>
        <w:tc>
          <w:tcPr>
            <w:tcW w:w="338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0E54CDEF" w14:textId="3BDA4C67">
            <w:pPr>
              <w:spacing w:before="0" w:beforeAutospacing="off" w:after="0" w:afterAutospacing="off"/>
              <w:jc w:val="left"/>
              <w:rPr>
                <w:rFonts w:ascii="Arial" w:hAnsi="Arial" w:eastAsia="Arial" w:cs="Arial"/>
              </w:rPr>
            </w:pPr>
            <w:r w:rsidRPr="6CC00757" w:rsidR="7561A22C">
              <w:rPr>
                <w:rFonts w:ascii="Arial" w:hAnsi="Arial" w:eastAsia="Arial" w:cs="Arial"/>
              </w:rPr>
              <w:t>Cultural sensitivity to reputation minimises scandals; however public expectations continue rising — particularly around financial inclusion, branch access and climate action</w:t>
            </w:r>
          </w:p>
        </w:tc>
        <w:tc>
          <w:tcPr>
            <w:tcW w:w="370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91047F2" w:rsidP="191047F2" w:rsidRDefault="191047F2" w14:paraId="595829FA" w14:textId="4B60CCA2">
            <w:pPr>
              <w:spacing w:before="0" w:beforeAutospacing="off" w:after="0" w:afterAutospacing="off"/>
              <w:jc w:val="left"/>
              <w:rPr>
                <w:rFonts w:ascii="Arial" w:hAnsi="Arial" w:eastAsia="Arial" w:cs="Arial"/>
              </w:rPr>
            </w:pPr>
            <w:r w:rsidRPr="6CC00757" w:rsidR="7561A22C">
              <w:rPr>
                <w:rFonts w:ascii="Arial" w:hAnsi="Arial" w:eastAsia="Arial" w:cs="Arial"/>
              </w:rPr>
              <w:t>Positive standing overall, though criticism persists regarding branch closures and lending practices in underserved communities (NAO, 2023)</w:t>
            </w:r>
          </w:p>
        </w:tc>
      </w:tr>
    </w:tbl>
    <w:p w:rsidR="191047F2" w:rsidP="191047F2" w:rsidRDefault="191047F2" w14:paraId="7ED095E6" w14:textId="49ABBC14">
      <w:pPr>
        <w:pStyle w:val="Normal"/>
        <w:jc w:val="left"/>
        <w:rPr>
          <w:rFonts w:ascii="Arial" w:hAnsi="Arial" w:eastAsia="Arial" w:cs="Arial"/>
          <w:noProof w:val="0"/>
          <w:sz w:val="24"/>
          <w:szCs w:val="24"/>
          <w:lang w:val="en-US"/>
        </w:rPr>
      </w:pPr>
    </w:p>
    <w:p w:rsidR="6CC00757" w:rsidP="6CC00757" w:rsidRDefault="6CC00757" w14:paraId="49C4B7FD" w14:textId="4E2512AE">
      <w:pPr>
        <w:pStyle w:val="Normal"/>
        <w:jc w:val="left"/>
        <w:rPr>
          <w:rFonts w:ascii="Arial" w:hAnsi="Arial" w:eastAsia="Arial" w:cs="Arial"/>
          <w:b w:val="1"/>
          <w:bCs w:val="1"/>
          <w:noProof w:val="0"/>
          <w:sz w:val="24"/>
          <w:szCs w:val="24"/>
          <w:lang w:val="en-US"/>
        </w:rPr>
      </w:pPr>
    </w:p>
    <w:p w:rsidR="6CC00757" w:rsidP="6CC00757" w:rsidRDefault="6CC00757" w14:paraId="617810F3" w14:textId="0D50696B">
      <w:pPr>
        <w:pStyle w:val="Normal"/>
        <w:jc w:val="left"/>
        <w:rPr>
          <w:rFonts w:ascii="Arial" w:hAnsi="Arial" w:eastAsia="Arial" w:cs="Arial"/>
          <w:b w:val="1"/>
          <w:bCs w:val="1"/>
          <w:noProof w:val="0"/>
          <w:sz w:val="24"/>
          <w:szCs w:val="24"/>
          <w:lang w:val="en-US"/>
        </w:rPr>
      </w:pPr>
    </w:p>
    <w:p w:rsidR="76DF0389" w:rsidP="191047F2" w:rsidRDefault="76DF0389" w14:paraId="28919F06" w14:textId="7DE1EB49">
      <w:pPr>
        <w:pStyle w:val="Normal"/>
        <w:jc w:val="left"/>
        <w:rPr>
          <w:rFonts w:ascii="Arial" w:hAnsi="Arial" w:eastAsia="Arial" w:cs="Arial"/>
          <w:b w:val="1"/>
          <w:bCs w:val="1"/>
          <w:noProof w:val="0"/>
          <w:sz w:val="24"/>
          <w:szCs w:val="24"/>
          <w:lang w:val="en-US"/>
        </w:rPr>
      </w:pPr>
      <w:r w:rsidRPr="6CC00757" w:rsidR="76DF0389">
        <w:rPr>
          <w:rFonts w:ascii="Arial" w:hAnsi="Arial" w:eastAsia="Arial" w:cs="Arial"/>
          <w:b w:val="1"/>
          <w:bCs w:val="1"/>
          <w:noProof w:val="0"/>
          <w:sz w:val="24"/>
          <w:szCs w:val="24"/>
          <w:lang w:val="en-US"/>
        </w:rPr>
        <w:t>Recommendation 1: Distinguish 'Prudence' from 'Inaction' — Refine the Risk Cul</w:t>
      </w:r>
      <w:r w:rsidRPr="6CC00757" w:rsidR="76DF0389">
        <w:rPr>
          <w:rFonts w:ascii="Arial" w:hAnsi="Arial" w:eastAsia="Arial" w:cs="Arial"/>
          <w:b w:val="1"/>
          <w:bCs w:val="1"/>
          <w:noProof w:val="0"/>
          <w:sz w:val="24"/>
          <w:szCs w:val="24"/>
          <w:lang w:val="en-US"/>
        </w:rPr>
        <w:t>ture</w:t>
      </w:r>
    </w:p>
    <w:p w:rsidR="76DF0389" w:rsidP="6CC00757" w:rsidRDefault="76DF0389" w14:paraId="195699A8" w14:textId="313345B1">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76DF0389">
        <w:rPr>
          <w:rFonts w:ascii="Arial" w:hAnsi="Arial" w:eastAsia="Arial" w:cs="Arial"/>
          <w:b w:val="0"/>
          <w:bCs w:val="0"/>
          <w:i w:val="0"/>
          <w:iCs w:val="0"/>
          <w:noProof w:val="0"/>
          <w:color w:val="000000" w:themeColor="text1" w:themeTint="FF" w:themeShade="FF"/>
          <w:sz w:val="24"/>
          <w:szCs w:val="24"/>
          <w:lang w:val="en-US"/>
        </w:rPr>
        <w:t>Issue: Cultural risk aversion conflates necessary caution with avoidance of all uncertainty, slowing innovation and decision speed</w:t>
      </w:r>
    </w:p>
    <w:p w:rsidR="76DF0389" w:rsidP="6CC00757" w:rsidRDefault="76DF0389" w14:paraId="4AF57DD7" w14:textId="467491CB">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76DF0389">
        <w:rPr>
          <w:rFonts w:ascii="Arial" w:hAnsi="Arial" w:eastAsia="Arial" w:cs="Arial"/>
          <w:b w:val="0"/>
          <w:bCs w:val="0"/>
          <w:i w:val="0"/>
          <w:iCs w:val="0"/>
          <w:noProof w:val="0"/>
          <w:color w:val="000000" w:themeColor="text1" w:themeTint="FF" w:themeShade="FF"/>
          <w:sz w:val="24"/>
          <w:szCs w:val="24"/>
          <w:lang w:val="en-US"/>
        </w:rPr>
        <w:t>Action: Develop and embed a clear framework distinguishing acceptable from unacceptable risk. Define risk appetite explicitly by activity and business area. Train leaders to model constructive decision-making — demonstrating that thoughtful proposals will be supported even if outcomes are uncertain</w:t>
      </w:r>
    </w:p>
    <w:p w:rsidR="76DF0389" w:rsidP="6CC00757" w:rsidRDefault="76DF0389" w14:paraId="48C2506D" w14:textId="16C0E4D0">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76DF0389">
        <w:rPr>
          <w:rFonts w:ascii="Arial" w:hAnsi="Arial" w:eastAsia="Arial" w:cs="Arial"/>
          <w:b w:val="0"/>
          <w:bCs w:val="0"/>
          <w:i w:val="0"/>
          <w:iCs w:val="0"/>
          <w:noProof w:val="0"/>
          <w:color w:val="000000" w:themeColor="text1" w:themeTint="FF" w:themeShade="FF"/>
          <w:sz w:val="24"/>
          <w:szCs w:val="24"/>
          <w:lang w:val="en-US"/>
        </w:rPr>
        <w:t>Theoretical Basis: Handy’s Role Culture can evolve towards greater flexibility without losing essential controls if boundaries are clearly defined. Schein (2010) advises that cultural change begins with identifying and discussing shared assumptions — making the implicit explicit</w:t>
      </w:r>
    </w:p>
    <w:p w:rsidR="76DF0389" w:rsidP="6CC00757" w:rsidRDefault="76DF0389" w14:paraId="23169591" w14:textId="7957F3E0">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76DF0389">
        <w:rPr>
          <w:rFonts w:ascii="Arial" w:hAnsi="Arial" w:eastAsia="Arial" w:cs="Arial"/>
          <w:b w:val="0"/>
          <w:bCs w:val="0"/>
          <w:i w:val="0"/>
          <w:iCs w:val="0"/>
          <w:noProof w:val="0"/>
          <w:color w:val="000000" w:themeColor="text1" w:themeTint="FF" w:themeShade="FF"/>
          <w:sz w:val="24"/>
          <w:szCs w:val="24"/>
          <w:lang w:val="en-US"/>
        </w:rPr>
        <w:t>Expected Outcomes: Decisions made closer to the customer; balanced innovation; reduced decision bottlenecks; culture of 'intelligent caution' rather than avoidance</w:t>
      </w:r>
    </w:p>
    <w:p w:rsidR="191047F2" w:rsidP="191047F2" w:rsidRDefault="191047F2" w14:paraId="7D045540" w14:textId="4F4659E2">
      <w:pPr>
        <w:pStyle w:val="Normal"/>
        <w:jc w:val="left"/>
        <w:rPr>
          <w:rFonts w:ascii="Arial" w:hAnsi="Arial" w:eastAsia="Arial" w:cs="Arial"/>
          <w:b w:val="1"/>
          <w:bCs w:val="1"/>
          <w:noProof w:val="0"/>
          <w:sz w:val="24"/>
          <w:szCs w:val="24"/>
          <w:lang w:val="en-US"/>
        </w:rPr>
      </w:pPr>
    </w:p>
    <w:p w:rsidR="191047F2" w:rsidP="191047F2" w:rsidRDefault="191047F2" w14:paraId="05237D6B" w14:textId="7F2AF534">
      <w:pPr>
        <w:pStyle w:val="Normal"/>
        <w:jc w:val="left"/>
        <w:rPr>
          <w:rFonts w:ascii="Arial" w:hAnsi="Arial" w:eastAsia="Arial" w:cs="Arial"/>
          <w:b w:val="1"/>
          <w:bCs w:val="1"/>
          <w:noProof w:val="0"/>
          <w:sz w:val="24"/>
          <w:szCs w:val="24"/>
          <w:lang w:val="en-US"/>
        </w:rPr>
      </w:pPr>
    </w:p>
    <w:p w:rsidR="191047F2" w:rsidP="191047F2" w:rsidRDefault="191047F2" w14:paraId="1930798D" w14:textId="572B5BA2">
      <w:pPr>
        <w:pStyle w:val="Normal"/>
        <w:jc w:val="left"/>
        <w:rPr>
          <w:rFonts w:ascii="Arial" w:hAnsi="Arial" w:eastAsia="Arial" w:cs="Arial"/>
          <w:b w:val="1"/>
          <w:bCs w:val="1"/>
          <w:noProof w:val="0"/>
          <w:sz w:val="24"/>
          <w:szCs w:val="24"/>
          <w:lang w:val="en-US"/>
        </w:rPr>
      </w:pPr>
    </w:p>
    <w:p w:rsidR="191047F2" w:rsidP="191047F2" w:rsidRDefault="191047F2" w14:paraId="6E0F89EF" w14:textId="290A5147">
      <w:pPr>
        <w:pStyle w:val="Normal"/>
        <w:jc w:val="left"/>
        <w:rPr>
          <w:rFonts w:ascii="Arial" w:hAnsi="Arial" w:eastAsia="Arial" w:cs="Arial"/>
          <w:b w:val="1"/>
          <w:bCs w:val="1"/>
          <w:noProof w:val="0"/>
          <w:sz w:val="24"/>
          <w:szCs w:val="24"/>
          <w:lang w:val="en-US"/>
        </w:rPr>
      </w:pPr>
    </w:p>
    <w:p w:rsidR="191047F2" w:rsidP="191047F2" w:rsidRDefault="191047F2" w14:paraId="69A0391C" w14:textId="7203AD1C">
      <w:pPr>
        <w:pStyle w:val="Normal"/>
        <w:jc w:val="left"/>
        <w:rPr>
          <w:rFonts w:ascii="Arial" w:hAnsi="Arial" w:eastAsia="Arial" w:cs="Arial"/>
          <w:b w:val="1"/>
          <w:bCs w:val="1"/>
          <w:noProof w:val="0"/>
          <w:sz w:val="24"/>
          <w:szCs w:val="24"/>
          <w:lang w:val="en-US"/>
        </w:rPr>
      </w:pPr>
    </w:p>
    <w:p w:rsidR="191047F2" w:rsidP="191047F2" w:rsidRDefault="191047F2" w14:paraId="1737BF97" w14:textId="63DE90DE">
      <w:pPr>
        <w:pStyle w:val="Normal"/>
        <w:jc w:val="left"/>
        <w:rPr>
          <w:rFonts w:ascii="Arial" w:hAnsi="Arial" w:eastAsia="Arial" w:cs="Arial"/>
          <w:b w:val="1"/>
          <w:bCs w:val="1"/>
          <w:noProof w:val="0"/>
          <w:sz w:val="24"/>
          <w:szCs w:val="24"/>
          <w:lang w:val="en-US"/>
        </w:rPr>
      </w:pPr>
    </w:p>
    <w:p w:rsidR="191047F2" w:rsidP="191047F2" w:rsidRDefault="191047F2" w14:paraId="48F8E7D8" w14:textId="7F7A6A29">
      <w:pPr>
        <w:pStyle w:val="Normal"/>
        <w:jc w:val="left"/>
        <w:rPr>
          <w:rFonts w:ascii="Arial" w:hAnsi="Arial" w:eastAsia="Arial" w:cs="Arial"/>
          <w:b w:val="1"/>
          <w:bCs w:val="1"/>
          <w:noProof w:val="0"/>
          <w:sz w:val="24"/>
          <w:szCs w:val="24"/>
          <w:lang w:val="en-US"/>
        </w:rPr>
      </w:pPr>
    </w:p>
    <w:p w:rsidR="6CC00757" w:rsidP="6CC00757" w:rsidRDefault="6CC00757" w14:paraId="7CB90496" w14:textId="708CDC79">
      <w:pPr>
        <w:pStyle w:val="Normal"/>
        <w:jc w:val="left"/>
        <w:rPr>
          <w:rFonts w:ascii="Arial" w:hAnsi="Arial" w:eastAsia="Arial" w:cs="Arial"/>
          <w:b w:val="1"/>
          <w:bCs w:val="1"/>
          <w:i w:val="0"/>
          <w:iCs w:val="0"/>
          <w:caps w:val="0"/>
          <w:smallCaps w:val="0"/>
          <w:noProof w:val="0"/>
          <w:color w:val="000000" w:themeColor="text1" w:themeTint="FF" w:themeShade="FF"/>
          <w:sz w:val="28"/>
          <w:szCs w:val="28"/>
          <w:lang w:val="en-US"/>
        </w:rPr>
      </w:pPr>
    </w:p>
    <w:p w:rsidR="76DF0389" w:rsidP="6CC00757" w:rsidRDefault="76DF0389" w14:paraId="742972FF" w14:textId="0F8F5A25">
      <w:pPr>
        <w:pStyle w:val="Normal"/>
        <w:jc w:val="left"/>
        <w:rPr>
          <w:rFonts w:ascii="Arial" w:hAnsi="Arial" w:eastAsia="Arial" w:cs="Arial"/>
          <w:b w:val="1"/>
          <w:bCs w:val="1"/>
          <w:i w:val="0"/>
          <w:iCs w:val="0"/>
          <w:caps w:val="0"/>
          <w:smallCaps w:val="0"/>
          <w:noProof w:val="0"/>
          <w:color w:val="000000" w:themeColor="text1" w:themeTint="FF" w:themeShade="FF"/>
          <w:sz w:val="28"/>
          <w:szCs w:val="28"/>
          <w:lang w:val="en-US"/>
        </w:rPr>
      </w:pPr>
      <w:r w:rsidRPr="6CC00757" w:rsidR="76DF0389">
        <w:rPr>
          <w:rFonts w:ascii="Arial" w:hAnsi="Arial" w:eastAsia="Arial" w:cs="Arial"/>
          <w:b w:val="1"/>
          <w:bCs w:val="1"/>
          <w:i w:val="0"/>
          <w:iCs w:val="0"/>
          <w:caps w:val="0"/>
          <w:smallCaps w:val="0"/>
          <w:noProof w:val="0"/>
          <w:color w:val="000000" w:themeColor="text1" w:themeTint="FF" w:themeShade="FF"/>
          <w:sz w:val="28"/>
          <w:szCs w:val="28"/>
          <w:lang w:val="en-US"/>
        </w:rPr>
        <w:t>Recommendation 2: Bridge the Hierarchy — Strengthen Upward Communication Channels</w:t>
      </w:r>
    </w:p>
    <w:p w:rsidR="2755E7C1" w:rsidP="6CC00757" w:rsidRDefault="2755E7C1" w14:paraId="6146C924" w14:textId="3C3A9424">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Issue: Cultural deference to status and position means valuable frontline insight does not consistently reach decision-makers</w:t>
      </w:r>
    </w:p>
    <w:p w:rsidR="2755E7C1" w:rsidP="6CC00757" w:rsidRDefault="2755E7C1" w14:paraId="5E3613B5" w14:textId="373E6BCD">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Action: Establish structured, culturally safe channels for frontline employees to identify process improvements and customer concerns without needing line manager approval. Implement periodic 'cultural audits' — independent, anonymous surveys that ask specifically where stated values conflict with daily practice. Ensure feedback visibly influences decisions</w:t>
      </w:r>
    </w:p>
    <w:p w:rsidR="2755E7C1" w:rsidP="6CC00757" w:rsidRDefault="2755E7C1" w14:paraId="7358CD9D" w14:textId="7EE24C2F">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Theoretical Basis: Hierarchy cultures naturally restrict vertical communication; creating alternative channels addresses this limitation directly (Argyris, 2010). Feedback mechanisms surface the gaps between espoused values and actual practice identified in Schein’s model</w:t>
      </w:r>
    </w:p>
    <w:p w:rsidR="2755E7C1" w:rsidP="6CC00757" w:rsidRDefault="2755E7C1" w14:paraId="4CC2E828" w14:textId="4046B67A">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Expected Outcomes: Problems identified earlier; customer experience improved from the bottom up; employees feel heard; policies reflect real operational conditions</w:t>
      </w:r>
    </w:p>
    <w:p w:rsidR="191047F2" w:rsidP="6CC00757" w:rsidRDefault="191047F2" w14:paraId="320983DC" w14:textId="482FF125">
      <w:pPr>
        <w:pStyle w:val="Normal"/>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p>
    <w:p w:rsidR="6CC00757" w:rsidP="6CC00757" w:rsidRDefault="6CC00757" w14:paraId="59DA0F5A" w14:textId="343729A1">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7FA4A060" w14:textId="70DA0215">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1D1A1917" w14:textId="6944BF89">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1931AAE6" w14:textId="4290CE3B">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19C0FBC8" w14:textId="68EA3188">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0EA7C518" w14:textId="06CB39DB">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7CBBD523" w14:textId="01441B85">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35EA5D67" w14:textId="5207BEA8">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46560636" w14:textId="106863DA">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1CA3D05D" w14:textId="1AA404D6">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2755E7C1" w:rsidP="6CC00757" w:rsidRDefault="2755E7C1" w14:paraId="7D137BFF" w14:textId="170AE5C9">
      <w:pPr>
        <w:pStyle w:val="Normal"/>
        <w:spacing w:before="0" w:beforeAutospacing="off" w:after="0" w:afterAutospacing="off" w:line="360" w:lineRule="auto"/>
        <w:jc w:val="left"/>
        <w:rPr>
          <w:rFonts w:ascii="Arial" w:hAnsi="Arial" w:eastAsia="Arial" w:cs="Arial"/>
          <w:b w:val="1"/>
          <w:bCs w:val="1"/>
          <w:noProof w:val="0"/>
          <w:sz w:val="28"/>
          <w:szCs w:val="28"/>
          <w:lang w:val="en-US"/>
        </w:rPr>
      </w:pPr>
      <w:r w:rsidRPr="6CC00757" w:rsidR="2755E7C1">
        <w:rPr>
          <w:rFonts w:ascii="Arial" w:hAnsi="Arial" w:eastAsia="Arial" w:cs="Arial"/>
          <w:b w:val="1"/>
          <w:bCs w:val="1"/>
          <w:noProof w:val="0"/>
          <w:sz w:val="28"/>
          <w:szCs w:val="28"/>
          <w:lang w:val="en-US"/>
        </w:rPr>
        <w:t>Recommendation 3: Develop a 'Dual Capability' Culture — Stability and Agility</w:t>
      </w:r>
    </w:p>
    <w:p w:rsidR="2755E7C1" w:rsidP="6CC00757" w:rsidRDefault="2755E7C1" w14:paraId="76F3AE46" w14:textId="0178F9E3">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Issue: Traditional cultural strengths — consistency, caution, thoroughness — are becoming constraints in an increasingly digital marketplace</w:t>
      </w:r>
    </w:p>
    <w:p w:rsidR="2755E7C1" w:rsidP="6CC00757" w:rsidRDefault="2755E7C1" w14:paraId="48E54274" w14:textId="41196C4A">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Action: Explicitly articulate that two types of success are valued: reliable execution </w:t>
      </w:r>
      <w:r w:rsidRPr="6CC00757" w:rsidR="2755E7C1">
        <w:rPr>
          <w:rFonts w:ascii="Arial" w:hAnsi="Arial" w:eastAsia="Arial" w:cs="Arial"/>
          <w:b w:val="0"/>
          <w:bCs w:val="0"/>
          <w:i w:val="1"/>
          <w:iCs w:val="1"/>
          <w:noProof w:val="0"/>
          <w:color w:val="000000" w:themeColor="text1" w:themeTint="FF" w:themeShade="FF"/>
          <w:sz w:val="24"/>
          <w:szCs w:val="24"/>
          <w:lang w:val="en-US"/>
        </w:rPr>
        <w:t>and</w:t>
      </w:r>
      <w:r w:rsidRPr="6CC00757" w:rsidR="2755E7C1">
        <w:rPr>
          <w:rFonts w:ascii="Arial" w:hAnsi="Arial" w:eastAsia="Arial" w:cs="Arial"/>
          <w:b w:val="0"/>
          <w:bCs w:val="0"/>
          <w:i w:val="0"/>
          <w:iCs w:val="0"/>
          <w:noProof w:val="0"/>
          <w:color w:val="000000" w:themeColor="text1" w:themeTint="FF" w:themeShade="FF"/>
          <w:sz w:val="24"/>
          <w:szCs w:val="24"/>
          <w:lang w:val="en-US"/>
        </w:rPr>
        <w:t xml:space="preserve"> thoughtful experimentation. Create protected spaces — innovation labs, pilot programmes — where different cultural norms apply: faster decision-making, tolerance for small failures, cross-functional collaboration. Communicate this distinction clearly throughout the organisation</w:t>
      </w:r>
    </w:p>
    <w:p w:rsidR="2755E7C1" w:rsidP="6CC00757" w:rsidRDefault="2755E7C1" w14:paraId="48E3F764" w14:textId="42377D51">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Theoretical Basis: Cameron and Quinn (2011) suggest organisations can successfully hold competing cultural values if these are made explicit and appropriately bounded — creating a 'hybrid culture' suited to complex environments</w:t>
      </w:r>
    </w:p>
    <w:p w:rsidR="2755E7C1" w:rsidP="6CC00757" w:rsidRDefault="2755E7C1" w14:paraId="14E2FD8B" w14:textId="15885EE5">
      <w:pPr>
        <w:pStyle w:val="ListParagraph"/>
        <w:numPr>
          <w:ilvl w:val="0"/>
          <w:numId w:val="2"/>
        </w:num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Expected Outcomes: Faster adaptation to technological change; better balance between digital innovation and trusted human service; culture evolves rather than being replaced</w:t>
      </w:r>
    </w:p>
    <w:p w:rsidR="191047F2" w:rsidP="191047F2" w:rsidRDefault="191047F2" w14:paraId="4397D5AA" w14:textId="3EBD1F34">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144CC12C" w14:textId="3A19DE2A">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61F4A3B1" w14:textId="5F30CD54">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482DFA2E" w14:textId="066BE6B3">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79CDF344" w14:textId="047EEC52">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70099B41" w14:textId="5A10EB5A">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36BFE44A" w14:textId="12603588">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2B55CE9F" w14:textId="743175E0">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6E19E221" w14:textId="54FA7600">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059F9C32" w14:textId="2EAE4DBB">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2C62A0BF" w14:textId="16922A61">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6CC00757" w:rsidP="6CC00757" w:rsidRDefault="6CC00757" w14:paraId="0762582E" w14:textId="6E473065">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2755E7C1" w:rsidP="6CC00757" w:rsidRDefault="2755E7C1" w14:paraId="4092046E" w14:textId="413EFF96">
      <w:pPr>
        <w:pStyle w:val="Normal"/>
        <w:spacing w:before="0" w:beforeAutospacing="off" w:after="0" w:afterAutospacing="off" w:line="360" w:lineRule="auto"/>
        <w:jc w:val="left"/>
        <w:rPr>
          <w:rFonts w:ascii="Arial" w:hAnsi="Arial" w:eastAsia="Arial" w:cs="Arial"/>
          <w:b w:val="1"/>
          <w:bCs w:val="1"/>
          <w:noProof w:val="0"/>
          <w:sz w:val="28"/>
          <w:szCs w:val="28"/>
          <w:lang w:val="en-US"/>
        </w:rPr>
      </w:pPr>
      <w:r w:rsidRPr="6CC00757" w:rsidR="2755E7C1">
        <w:rPr>
          <w:rFonts w:ascii="Arial" w:hAnsi="Arial" w:eastAsia="Arial" w:cs="Arial"/>
          <w:b w:val="1"/>
          <w:bCs w:val="1"/>
          <w:noProof w:val="0"/>
          <w:sz w:val="28"/>
          <w:szCs w:val="28"/>
          <w:lang w:val="en-US"/>
        </w:rPr>
        <w:t>Conclusion</w:t>
      </w:r>
    </w:p>
    <w:p w:rsidR="2755E7C1" w:rsidP="6CC00757" w:rsidRDefault="2755E7C1" w14:paraId="296A817D" w14:textId="2464573E">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Mullins and Christy (2016) argue that culture pervades every aspect of organisational life, shaping decisions, structures, behaviour and ultimately performance. Analysis of Lloyds Bank confirms this proposition. The organisation’s predominantly Role Culture — built on prudence, reliability, hierarchy and compliance — has been historically essential to its identity and success, particularly following the 2008 financial crisis and subsequent regulatory reforms. This culture enables strong regulatory adherence, consistent service delivery, organisational stability and enduring customer trust — significant competitive advantages in a sector where confidence is the foundation of business.</w:t>
      </w:r>
    </w:p>
    <w:p w:rsidR="2755E7C1" w:rsidP="6CC00757" w:rsidRDefault="2755E7C1" w14:paraId="002C1513" w14:textId="4493E77E">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However, the analysis also reveals that culture is double-edged. The same traits that ensure stability can hinder agility; the caution that protects against risk can also suppress innovation; the hierarchy that ensures accountability can also isolate decision-makers from operational realities. The external environment — technological change, evolving customer expectations, regulatory shifts and new competition — increasingly demands both continuity and adaptation. Lloyds’ challenge is not to abandon its existing culture but to expand it: preserving the essential values of trust, responsibility and reliability while integrating agility, innovation and empowerment.</w:t>
      </w:r>
    </w:p>
    <w:p w:rsidR="2755E7C1" w:rsidP="6CC00757" w:rsidRDefault="2755E7C1" w14:paraId="69A1D13F" w14:textId="569B96F4">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The recommendations proposed — clarifying risk boundaries, strengthening upward communication and developing dual capabilities — aim to evolve rather than replace Lloyds’ culture. Cultural improvement is incremental and requires consistent leadership, sustained investment and recognition that deeply embedded assumptions change slowly. Organisational culture is not a project to be completed but a living aspect of the organisation that requires ongoing attention. As the external environment continues to evolve, the capacity to maintain core identity while remaining open to necessary change will be central to Lloyds Bank’s continued relevance and success.</w:t>
      </w:r>
    </w:p>
    <w:p w:rsidR="191047F2" w:rsidP="6CC00757" w:rsidRDefault="191047F2" w14:paraId="09A9C6FB" w14:textId="3D949895">
      <w:pPr>
        <w:spacing w:before="0" w:beforeAutospacing="off" w:after="0" w:afterAutospacing="off" w:line="360" w:lineRule="auto"/>
        <w:jc w:val="left"/>
        <w:rPr>
          <w:rFonts w:ascii="Arial" w:hAnsi="Arial" w:eastAsia="Arial" w:cs="Arial"/>
          <w:b w:val="1"/>
          <w:bCs w:val="1"/>
          <w:i w:val="0"/>
          <w:iCs w:val="0"/>
          <w:noProof w:val="0"/>
          <w:color w:val="000000" w:themeColor="text1" w:themeTint="FF" w:themeShade="FF"/>
          <w:sz w:val="24"/>
          <w:szCs w:val="24"/>
          <w:lang w:val="en-US"/>
        </w:rPr>
      </w:pPr>
    </w:p>
    <w:p w:rsidR="6CC00757" w:rsidP="6CC00757" w:rsidRDefault="6CC00757" w14:paraId="35F8437B" w14:textId="6B07C74A">
      <w:pPr>
        <w:spacing w:before="0" w:beforeAutospacing="off" w:after="0" w:afterAutospacing="off" w:line="360" w:lineRule="auto"/>
        <w:jc w:val="left"/>
        <w:rPr>
          <w:rFonts w:ascii="Arial" w:hAnsi="Arial" w:eastAsia="Arial" w:cs="Arial"/>
          <w:b w:val="1"/>
          <w:bCs w:val="1"/>
          <w:i w:val="0"/>
          <w:iCs w:val="0"/>
          <w:noProof w:val="0"/>
          <w:color w:val="000000" w:themeColor="text1" w:themeTint="FF" w:themeShade="FF"/>
          <w:sz w:val="24"/>
          <w:szCs w:val="24"/>
          <w:lang w:val="en-US"/>
        </w:rPr>
      </w:pPr>
    </w:p>
    <w:p w:rsidR="6CC00757" w:rsidP="6CC00757" w:rsidRDefault="6CC00757" w14:paraId="391CAF28" w14:textId="0E25FE4F">
      <w:pPr>
        <w:spacing w:before="0" w:beforeAutospacing="off" w:after="0" w:afterAutospacing="off" w:line="360" w:lineRule="auto"/>
        <w:jc w:val="left"/>
        <w:rPr>
          <w:rFonts w:ascii="Arial" w:hAnsi="Arial" w:eastAsia="Arial" w:cs="Arial"/>
          <w:b w:val="1"/>
          <w:bCs w:val="1"/>
          <w:i w:val="0"/>
          <w:iCs w:val="0"/>
          <w:noProof w:val="0"/>
          <w:color w:val="000000" w:themeColor="text1" w:themeTint="FF" w:themeShade="FF"/>
          <w:sz w:val="24"/>
          <w:szCs w:val="24"/>
          <w:lang w:val="en-US"/>
        </w:rPr>
      </w:pPr>
    </w:p>
    <w:p w:rsidR="6CC00757" w:rsidP="6CC00757" w:rsidRDefault="6CC00757" w14:paraId="60691DF7" w14:textId="78BC101A">
      <w:pPr>
        <w:spacing w:before="0" w:beforeAutospacing="off" w:after="0" w:afterAutospacing="off" w:line="360" w:lineRule="auto"/>
        <w:jc w:val="left"/>
        <w:rPr>
          <w:rFonts w:ascii="Arial" w:hAnsi="Arial" w:eastAsia="Arial" w:cs="Arial"/>
          <w:b w:val="1"/>
          <w:bCs w:val="1"/>
          <w:i w:val="0"/>
          <w:iCs w:val="0"/>
          <w:noProof w:val="0"/>
          <w:color w:val="000000" w:themeColor="text1" w:themeTint="FF" w:themeShade="FF"/>
          <w:sz w:val="24"/>
          <w:szCs w:val="24"/>
          <w:lang w:val="en-US"/>
        </w:rPr>
      </w:pPr>
    </w:p>
    <w:p w:rsidR="2755E7C1" w:rsidP="6CC00757" w:rsidRDefault="2755E7C1" w14:paraId="0A475DA0" w14:textId="1CB19A26">
      <w:pPr>
        <w:spacing w:before="0" w:beforeAutospacing="off" w:after="0" w:afterAutospacing="off" w:line="360" w:lineRule="auto"/>
        <w:jc w:val="left"/>
        <w:rPr>
          <w:rFonts w:ascii="Arial" w:hAnsi="Arial" w:eastAsia="Arial" w:cs="Arial"/>
          <w:b w:val="1"/>
          <w:bCs w:val="1"/>
          <w:i w:val="0"/>
          <w:iCs w:val="0"/>
          <w:noProof w:val="0"/>
          <w:color w:val="000000" w:themeColor="text1" w:themeTint="FF" w:themeShade="FF"/>
          <w:sz w:val="24"/>
          <w:szCs w:val="24"/>
          <w:lang w:val="en-US"/>
        </w:rPr>
      </w:pPr>
      <w:r w:rsidRPr="6CC00757" w:rsidR="2755E7C1">
        <w:rPr>
          <w:rFonts w:ascii="Arial" w:hAnsi="Arial" w:eastAsia="Arial" w:cs="Arial"/>
          <w:b w:val="1"/>
          <w:bCs w:val="1"/>
          <w:i w:val="0"/>
          <w:iCs w:val="0"/>
          <w:noProof w:val="0"/>
          <w:color w:val="000000" w:themeColor="text1" w:themeTint="FF" w:themeShade="FF"/>
          <w:sz w:val="24"/>
          <w:szCs w:val="24"/>
          <w:lang w:val="en-US"/>
        </w:rPr>
        <w:t>References</w:t>
      </w:r>
    </w:p>
    <w:p w:rsidR="6CC00757" w:rsidP="6CC00757" w:rsidRDefault="6CC00757" w14:paraId="719F4513" w14:textId="1858992A">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p>
    <w:p w:rsidR="2755E7C1" w:rsidP="6CC00757" w:rsidRDefault="2755E7C1" w14:paraId="697ED43B" w14:textId="52447F47">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Alvesson, M. (2016). </w:t>
      </w:r>
      <w:r w:rsidRPr="6CC00757" w:rsidR="2755E7C1">
        <w:rPr>
          <w:rFonts w:ascii="Arial" w:hAnsi="Arial" w:eastAsia="Arial" w:cs="Arial"/>
          <w:b w:val="0"/>
          <w:bCs w:val="0"/>
          <w:i w:val="1"/>
          <w:iCs w:val="1"/>
          <w:noProof w:val="0"/>
          <w:color w:val="000000" w:themeColor="text1" w:themeTint="FF" w:themeShade="FF"/>
          <w:sz w:val="24"/>
          <w:szCs w:val="24"/>
          <w:lang w:val="en-US"/>
        </w:rPr>
        <w:t>Understanding Organizational Culture</w:t>
      </w:r>
      <w:r w:rsidRPr="6CC00757" w:rsidR="2755E7C1">
        <w:rPr>
          <w:rFonts w:ascii="Arial" w:hAnsi="Arial" w:eastAsia="Arial" w:cs="Arial"/>
          <w:b w:val="0"/>
          <w:bCs w:val="0"/>
          <w:i w:val="0"/>
          <w:iCs w:val="0"/>
          <w:noProof w:val="0"/>
          <w:color w:val="000000" w:themeColor="text1" w:themeTint="FF" w:themeShade="FF"/>
          <w:sz w:val="24"/>
          <w:szCs w:val="24"/>
          <w:lang w:val="en-US"/>
        </w:rPr>
        <w:t>. 2nd ed. SAGE Publications.</w:t>
      </w:r>
    </w:p>
    <w:p w:rsidR="2755E7C1" w:rsidP="6CC00757" w:rsidRDefault="2755E7C1" w14:paraId="03A5B267" w14:textId="79ED4D7F">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Argyris, C. (2010). </w:t>
      </w:r>
      <w:r w:rsidRPr="6CC00757" w:rsidR="2755E7C1">
        <w:rPr>
          <w:rFonts w:ascii="Arial" w:hAnsi="Arial" w:eastAsia="Arial" w:cs="Arial"/>
          <w:b w:val="0"/>
          <w:bCs w:val="0"/>
          <w:i w:val="1"/>
          <w:iCs w:val="1"/>
          <w:noProof w:val="0"/>
          <w:color w:val="000000" w:themeColor="text1" w:themeTint="FF" w:themeShade="FF"/>
          <w:sz w:val="24"/>
          <w:szCs w:val="24"/>
          <w:lang w:val="en-US"/>
        </w:rPr>
        <w:t>Organizational Traps: Leadership, Culture, and Organizational Design</w:t>
      </w:r>
      <w:r w:rsidRPr="6CC00757" w:rsidR="2755E7C1">
        <w:rPr>
          <w:rFonts w:ascii="Arial" w:hAnsi="Arial" w:eastAsia="Arial" w:cs="Arial"/>
          <w:b w:val="0"/>
          <w:bCs w:val="0"/>
          <w:i w:val="0"/>
          <w:iCs w:val="0"/>
          <w:noProof w:val="0"/>
          <w:color w:val="000000" w:themeColor="text1" w:themeTint="FF" w:themeShade="FF"/>
          <w:sz w:val="24"/>
          <w:szCs w:val="24"/>
          <w:lang w:val="en-US"/>
        </w:rPr>
        <w:t>. Oxford University Press.</w:t>
      </w:r>
    </w:p>
    <w:p w:rsidR="2755E7C1" w:rsidP="6CC00757" w:rsidRDefault="2755E7C1" w14:paraId="2CF9E759" w14:textId="70DD7C81">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Cameron, K.S. and Quinn, R.E. (2011). </w:t>
      </w:r>
      <w:r w:rsidRPr="6CC00757" w:rsidR="2755E7C1">
        <w:rPr>
          <w:rFonts w:ascii="Arial" w:hAnsi="Arial" w:eastAsia="Arial" w:cs="Arial"/>
          <w:b w:val="0"/>
          <w:bCs w:val="0"/>
          <w:i w:val="1"/>
          <w:iCs w:val="1"/>
          <w:noProof w:val="0"/>
          <w:color w:val="000000" w:themeColor="text1" w:themeTint="FF" w:themeShade="FF"/>
          <w:sz w:val="24"/>
          <w:szCs w:val="24"/>
          <w:lang w:val="en-US"/>
        </w:rPr>
        <w:t>Diagnosing and Changing Organizational Culture: Based on the Competing Values Framework</w:t>
      </w:r>
      <w:r w:rsidRPr="6CC00757" w:rsidR="2755E7C1">
        <w:rPr>
          <w:rFonts w:ascii="Arial" w:hAnsi="Arial" w:eastAsia="Arial" w:cs="Arial"/>
          <w:b w:val="0"/>
          <w:bCs w:val="0"/>
          <w:i w:val="0"/>
          <w:iCs w:val="0"/>
          <w:noProof w:val="0"/>
          <w:color w:val="000000" w:themeColor="text1" w:themeTint="FF" w:themeShade="FF"/>
          <w:sz w:val="24"/>
          <w:szCs w:val="24"/>
          <w:lang w:val="en-US"/>
        </w:rPr>
        <w:t>. 3rd ed. Jossey-Bass.</w:t>
      </w:r>
    </w:p>
    <w:p w:rsidR="2755E7C1" w:rsidP="6CC00757" w:rsidRDefault="2755E7C1" w14:paraId="6BB0F4AA" w14:textId="6A522DF8">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Competition and Markets Authority (2024). </w:t>
      </w:r>
      <w:r w:rsidRPr="6CC00757" w:rsidR="2755E7C1">
        <w:rPr>
          <w:rFonts w:ascii="Arial" w:hAnsi="Arial" w:eastAsia="Arial" w:cs="Arial"/>
          <w:b w:val="0"/>
          <w:bCs w:val="0"/>
          <w:i w:val="1"/>
          <w:iCs w:val="1"/>
          <w:noProof w:val="0"/>
          <w:color w:val="000000" w:themeColor="text1" w:themeTint="FF" w:themeShade="FF"/>
          <w:sz w:val="24"/>
          <w:szCs w:val="24"/>
          <w:lang w:val="en-US"/>
        </w:rPr>
        <w:t>Retail Banking Services in the UK: Market Study Update</w:t>
      </w:r>
      <w:r w:rsidRPr="6CC00757" w:rsidR="2755E7C1">
        <w:rPr>
          <w:rFonts w:ascii="Arial" w:hAnsi="Arial" w:eastAsia="Arial" w:cs="Arial"/>
          <w:b w:val="0"/>
          <w:bCs w:val="0"/>
          <w:i w:val="0"/>
          <w:iCs w:val="0"/>
          <w:noProof w:val="0"/>
          <w:color w:val="000000" w:themeColor="text1" w:themeTint="FF" w:themeShade="FF"/>
          <w:sz w:val="24"/>
          <w:szCs w:val="24"/>
          <w:lang w:val="en-US"/>
        </w:rPr>
        <w:t>. CMA.</w:t>
      </w:r>
    </w:p>
    <w:p w:rsidR="2755E7C1" w:rsidP="6CC00757" w:rsidRDefault="2755E7C1" w14:paraId="0AD1F28D" w14:textId="7E7A7659">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Financial Conduct Authority (2023). </w:t>
      </w:r>
      <w:r w:rsidRPr="6CC00757" w:rsidR="2755E7C1">
        <w:rPr>
          <w:rFonts w:ascii="Arial" w:hAnsi="Arial" w:eastAsia="Arial" w:cs="Arial"/>
          <w:b w:val="0"/>
          <w:bCs w:val="0"/>
          <w:i w:val="1"/>
          <w:iCs w:val="1"/>
          <w:noProof w:val="0"/>
          <w:color w:val="000000" w:themeColor="text1" w:themeTint="FF" w:themeShade="FF"/>
          <w:sz w:val="24"/>
          <w:szCs w:val="24"/>
          <w:lang w:val="en-US"/>
        </w:rPr>
        <w:t>The Consumer Duty: One Year On</w:t>
      </w:r>
      <w:r w:rsidRPr="6CC00757" w:rsidR="2755E7C1">
        <w:rPr>
          <w:rFonts w:ascii="Arial" w:hAnsi="Arial" w:eastAsia="Arial" w:cs="Arial"/>
          <w:b w:val="0"/>
          <w:bCs w:val="0"/>
          <w:i w:val="0"/>
          <w:iCs w:val="0"/>
          <w:noProof w:val="0"/>
          <w:color w:val="000000" w:themeColor="text1" w:themeTint="FF" w:themeShade="FF"/>
          <w:sz w:val="24"/>
          <w:szCs w:val="24"/>
          <w:lang w:val="en-US"/>
        </w:rPr>
        <w:t>. FCA.</w:t>
      </w:r>
    </w:p>
    <w:p w:rsidR="2755E7C1" w:rsidP="6CC00757" w:rsidRDefault="2755E7C1" w14:paraId="7683E19A" w14:textId="2192388E">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Handy, C.B. (1993). </w:t>
      </w:r>
      <w:r w:rsidRPr="6CC00757" w:rsidR="2755E7C1">
        <w:rPr>
          <w:rFonts w:ascii="Arial" w:hAnsi="Arial" w:eastAsia="Arial" w:cs="Arial"/>
          <w:b w:val="0"/>
          <w:bCs w:val="0"/>
          <w:i w:val="1"/>
          <w:iCs w:val="1"/>
          <w:noProof w:val="0"/>
          <w:color w:val="000000" w:themeColor="text1" w:themeTint="FF" w:themeShade="FF"/>
          <w:sz w:val="24"/>
          <w:szCs w:val="24"/>
          <w:lang w:val="en-US"/>
        </w:rPr>
        <w:t>Understanding Organizations</w:t>
      </w:r>
      <w:r w:rsidRPr="6CC00757" w:rsidR="2755E7C1">
        <w:rPr>
          <w:rFonts w:ascii="Arial" w:hAnsi="Arial" w:eastAsia="Arial" w:cs="Arial"/>
          <w:b w:val="0"/>
          <w:bCs w:val="0"/>
          <w:i w:val="0"/>
          <w:iCs w:val="0"/>
          <w:noProof w:val="0"/>
          <w:color w:val="000000" w:themeColor="text1" w:themeTint="FF" w:themeShade="FF"/>
          <w:sz w:val="24"/>
          <w:szCs w:val="24"/>
          <w:lang w:val="en-US"/>
        </w:rPr>
        <w:t>. 4th ed. Penguin Books.</w:t>
      </w:r>
    </w:p>
    <w:p w:rsidR="2755E7C1" w:rsidP="6CC00757" w:rsidRDefault="2755E7C1" w14:paraId="253ADD5D" w14:textId="406AE495">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Hofstede, G. (2001). </w:t>
      </w:r>
      <w:r w:rsidRPr="6CC00757" w:rsidR="2755E7C1">
        <w:rPr>
          <w:rFonts w:ascii="Arial" w:hAnsi="Arial" w:eastAsia="Arial" w:cs="Arial"/>
          <w:b w:val="0"/>
          <w:bCs w:val="0"/>
          <w:i w:val="1"/>
          <w:iCs w:val="1"/>
          <w:noProof w:val="0"/>
          <w:color w:val="000000" w:themeColor="text1" w:themeTint="FF" w:themeShade="FF"/>
          <w:sz w:val="24"/>
          <w:szCs w:val="24"/>
          <w:lang w:val="en-US"/>
        </w:rPr>
        <w:t>Culture’s Consequences: Comparing Values, Behaviors, Institutions and Organizations Across Nations</w:t>
      </w:r>
      <w:r w:rsidRPr="6CC00757" w:rsidR="2755E7C1">
        <w:rPr>
          <w:rFonts w:ascii="Arial" w:hAnsi="Arial" w:eastAsia="Arial" w:cs="Arial"/>
          <w:b w:val="0"/>
          <w:bCs w:val="0"/>
          <w:i w:val="0"/>
          <w:iCs w:val="0"/>
          <w:noProof w:val="0"/>
          <w:color w:val="000000" w:themeColor="text1" w:themeTint="FF" w:themeShade="FF"/>
          <w:sz w:val="24"/>
          <w:szCs w:val="24"/>
          <w:lang w:val="en-US"/>
        </w:rPr>
        <w:t>. 2nd ed. Sage Publications.</w:t>
      </w:r>
    </w:p>
    <w:p w:rsidR="2755E7C1" w:rsidP="6CC00757" w:rsidRDefault="2755E7C1" w14:paraId="5C01AED9" w14:textId="30769521">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Hofstede, G., Hofstede, G.J. and Minkov, M. (2010). </w:t>
      </w:r>
      <w:r w:rsidRPr="6CC00757" w:rsidR="2755E7C1">
        <w:rPr>
          <w:rFonts w:ascii="Arial" w:hAnsi="Arial" w:eastAsia="Arial" w:cs="Arial"/>
          <w:b w:val="0"/>
          <w:bCs w:val="0"/>
          <w:i w:val="1"/>
          <w:iCs w:val="1"/>
          <w:noProof w:val="0"/>
          <w:color w:val="000000" w:themeColor="text1" w:themeTint="FF" w:themeShade="FF"/>
          <w:sz w:val="24"/>
          <w:szCs w:val="24"/>
          <w:lang w:val="en-US"/>
        </w:rPr>
        <w:t>Cultures and Organizations: Software of the Mind</w:t>
      </w:r>
      <w:r w:rsidRPr="6CC00757" w:rsidR="2755E7C1">
        <w:rPr>
          <w:rFonts w:ascii="Arial" w:hAnsi="Arial" w:eastAsia="Arial" w:cs="Arial"/>
          <w:b w:val="0"/>
          <w:bCs w:val="0"/>
          <w:i w:val="0"/>
          <w:iCs w:val="0"/>
          <w:noProof w:val="0"/>
          <w:color w:val="000000" w:themeColor="text1" w:themeTint="FF" w:themeShade="FF"/>
          <w:sz w:val="24"/>
          <w:szCs w:val="24"/>
          <w:lang w:val="en-US"/>
        </w:rPr>
        <w:t>. 3rd ed. McGraw-Hill.</w:t>
      </w:r>
    </w:p>
    <w:p w:rsidR="2755E7C1" w:rsidP="6CC00757" w:rsidRDefault="2755E7C1" w14:paraId="79475B8B" w14:textId="302B4451">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Huczynski, A. and Buchanan, D. (2019). </w:t>
      </w:r>
      <w:r w:rsidRPr="6CC00757" w:rsidR="2755E7C1">
        <w:rPr>
          <w:rFonts w:ascii="Arial" w:hAnsi="Arial" w:eastAsia="Arial" w:cs="Arial"/>
          <w:b w:val="0"/>
          <w:bCs w:val="0"/>
          <w:i w:val="1"/>
          <w:iCs w:val="1"/>
          <w:noProof w:val="0"/>
          <w:color w:val="000000" w:themeColor="text1" w:themeTint="FF" w:themeShade="FF"/>
          <w:sz w:val="24"/>
          <w:szCs w:val="24"/>
          <w:lang w:val="en-US"/>
        </w:rPr>
        <w:t>Organizational Behaviour</w:t>
      </w:r>
      <w:r w:rsidRPr="6CC00757" w:rsidR="2755E7C1">
        <w:rPr>
          <w:rFonts w:ascii="Arial" w:hAnsi="Arial" w:eastAsia="Arial" w:cs="Arial"/>
          <w:b w:val="0"/>
          <w:bCs w:val="0"/>
          <w:i w:val="0"/>
          <w:iCs w:val="0"/>
          <w:noProof w:val="0"/>
          <w:color w:val="000000" w:themeColor="text1" w:themeTint="FF" w:themeShade="FF"/>
          <w:sz w:val="24"/>
          <w:szCs w:val="24"/>
          <w:lang w:val="en-US"/>
        </w:rPr>
        <w:t>. 10th ed. Pearson Education.</w:t>
      </w:r>
    </w:p>
    <w:p w:rsidR="2755E7C1" w:rsidP="6CC00757" w:rsidRDefault="2755E7C1" w14:paraId="2A77738A" w14:textId="3998C9E4">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Johnson, G., Whittington, R., Scholes, K., Angwin, D. and Regnér, P. (2017). </w:t>
      </w:r>
      <w:r w:rsidRPr="6CC00757" w:rsidR="2755E7C1">
        <w:rPr>
          <w:rFonts w:ascii="Arial" w:hAnsi="Arial" w:eastAsia="Arial" w:cs="Arial"/>
          <w:b w:val="0"/>
          <w:bCs w:val="0"/>
          <w:i w:val="1"/>
          <w:iCs w:val="1"/>
          <w:noProof w:val="0"/>
          <w:color w:val="000000" w:themeColor="text1" w:themeTint="FF" w:themeShade="FF"/>
          <w:sz w:val="24"/>
          <w:szCs w:val="24"/>
          <w:lang w:val="en-US"/>
        </w:rPr>
        <w:t>Exploring Strategy</w:t>
      </w:r>
      <w:r w:rsidRPr="6CC00757" w:rsidR="2755E7C1">
        <w:rPr>
          <w:rFonts w:ascii="Arial" w:hAnsi="Arial" w:eastAsia="Arial" w:cs="Arial"/>
          <w:b w:val="0"/>
          <w:bCs w:val="0"/>
          <w:i w:val="0"/>
          <w:iCs w:val="0"/>
          <w:noProof w:val="0"/>
          <w:color w:val="000000" w:themeColor="text1" w:themeTint="FF" w:themeShade="FF"/>
          <w:sz w:val="24"/>
          <w:szCs w:val="24"/>
          <w:lang w:val="en-US"/>
        </w:rPr>
        <w:t>. 11th ed. Pearson Education.</w:t>
      </w:r>
    </w:p>
    <w:p w:rsidR="2755E7C1" w:rsidP="6CC00757" w:rsidRDefault="2755E7C1" w14:paraId="4A091EE7" w14:textId="2E0C2F19">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Lloyds Banking Group (2024). </w:t>
      </w:r>
      <w:r w:rsidRPr="6CC00757" w:rsidR="2755E7C1">
        <w:rPr>
          <w:rFonts w:ascii="Arial" w:hAnsi="Arial" w:eastAsia="Arial" w:cs="Arial"/>
          <w:b w:val="0"/>
          <w:bCs w:val="0"/>
          <w:i w:val="1"/>
          <w:iCs w:val="1"/>
          <w:noProof w:val="0"/>
          <w:color w:val="000000" w:themeColor="text1" w:themeTint="FF" w:themeShade="FF"/>
          <w:sz w:val="24"/>
          <w:szCs w:val="24"/>
          <w:lang w:val="en-US"/>
        </w:rPr>
        <w:t>Annual Report and Accounts 2024</w:t>
      </w:r>
      <w:r w:rsidRPr="6CC00757" w:rsidR="2755E7C1">
        <w:rPr>
          <w:rFonts w:ascii="Arial" w:hAnsi="Arial" w:eastAsia="Arial" w:cs="Arial"/>
          <w:b w:val="0"/>
          <w:bCs w:val="0"/>
          <w:i w:val="0"/>
          <w:iCs w:val="0"/>
          <w:noProof w:val="0"/>
          <w:color w:val="000000" w:themeColor="text1" w:themeTint="FF" w:themeShade="FF"/>
          <w:sz w:val="24"/>
          <w:szCs w:val="24"/>
          <w:lang w:val="en-US"/>
        </w:rPr>
        <w:t>. Lloyds Banking Group PLC.</w:t>
      </w:r>
    </w:p>
    <w:p w:rsidR="2755E7C1" w:rsidP="191047F2" w:rsidRDefault="2755E7C1" w14:paraId="3537C244" w14:textId="7BA5B1C3">
      <w:pPr>
        <w:spacing w:before="0" w:beforeAutospacing="off" w:after="0" w:afterAutospacing="off" w:line="360" w:lineRule="auto"/>
        <w:jc w:val="left"/>
        <w:rPr>
          <w:rFonts w:ascii="Arial" w:hAnsi="Arial" w:eastAsia="Arial" w:cs="Arial"/>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Lloyds Banking Group (2025). </w:t>
      </w:r>
      <w:r w:rsidRPr="6CC00757" w:rsidR="2755E7C1">
        <w:rPr>
          <w:rFonts w:ascii="Arial" w:hAnsi="Arial" w:eastAsia="Arial" w:cs="Arial"/>
          <w:b w:val="0"/>
          <w:bCs w:val="0"/>
          <w:i w:val="1"/>
          <w:iCs w:val="1"/>
          <w:noProof w:val="0"/>
          <w:color w:val="000000" w:themeColor="text1" w:themeTint="FF" w:themeShade="FF"/>
          <w:sz w:val="24"/>
          <w:szCs w:val="24"/>
          <w:lang w:val="en-US"/>
        </w:rPr>
        <w:t>About Us — Our Purpose, Values and Strategy</w:t>
      </w:r>
      <w:r w:rsidRPr="6CC00757" w:rsidR="2755E7C1">
        <w:rPr>
          <w:rFonts w:ascii="Arial" w:hAnsi="Arial" w:eastAsia="Arial" w:cs="Arial"/>
          <w:b w:val="0"/>
          <w:bCs w:val="0"/>
          <w:i w:val="0"/>
          <w:iCs w:val="0"/>
          <w:noProof w:val="0"/>
          <w:color w:val="000000" w:themeColor="text1" w:themeTint="FF" w:themeShade="FF"/>
          <w:sz w:val="24"/>
          <w:szCs w:val="24"/>
          <w:lang w:val="en-US"/>
        </w:rPr>
        <w:t xml:space="preserve">. Retrieved from: </w:t>
      </w:r>
      <w:hyperlink r:id="Rfa97370cf44b49fc">
        <w:r w:rsidRPr="6CC00757" w:rsidR="2755E7C1">
          <w:rPr>
            <w:rStyle w:val="Hyperlink"/>
            <w:rFonts w:ascii="Arial" w:hAnsi="Arial" w:eastAsia="Arial" w:cs="Arial"/>
            <w:b w:val="0"/>
            <w:bCs w:val="0"/>
            <w:i w:val="0"/>
            <w:iCs w:val="0"/>
            <w:noProof w:val="0"/>
            <w:color w:val="0057FF"/>
            <w:lang w:val="en-US"/>
          </w:rPr>
          <w:t>lloydsbankinggroup.com</w:t>
        </w:r>
      </w:hyperlink>
    </w:p>
    <w:p w:rsidR="2755E7C1" w:rsidP="6CC00757" w:rsidRDefault="2755E7C1" w14:paraId="24B8B87F" w14:textId="0025F1FF">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McSweeney, B. (2002). 'Hofstede's model of national cultural differences and their consequences: a triumph of faith — a failure of analysis', </w:t>
      </w:r>
      <w:r w:rsidRPr="6CC00757" w:rsidR="2755E7C1">
        <w:rPr>
          <w:rFonts w:ascii="Arial" w:hAnsi="Arial" w:eastAsia="Arial" w:cs="Arial"/>
          <w:b w:val="0"/>
          <w:bCs w:val="0"/>
          <w:i w:val="1"/>
          <w:iCs w:val="1"/>
          <w:noProof w:val="0"/>
          <w:color w:val="000000" w:themeColor="text1" w:themeTint="FF" w:themeShade="FF"/>
          <w:sz w:val="24"/>
          <w:szCs w:val="24"/>
          <w:lang w:val="en-US"/>
        </w:rPr>
        <w:t>Human Relations</w:t>
      </w:r>
      <w:r w:rsidRPr="6CC00757" w:rsidR="2755E7C1">
        <w:rPr>
          <w:rFonts w:ascii="Arial" w:hAnsi="Arial" w:eastAsia="Arial" w:cs="Arial"/>
          <w:b w:val="0"/>
          <w:bCs w:val="0"/>
          <w:i w:val="0"/>
          <w:iCs w:val="0"/>
          <w:noProof w:val="0"/>
          <w:color w:val="000000" w:themeColor="text1" w:themeTint="FF" w:themeShade="FF"/>
          <w:sz w:val="24"/>
          <w:szCs w:val="24"/>
          <w:lang w:val="en-US"/>
        </w:rPr>
        <w:t>, 55(1), pp. 89–118.</w:t>
      </w:r>
    </w:p>
    <w:p w:rsidR="2755E7C1" w:rsidP="6CC00757" w:rsidRDefault="2755E7C1" w14:paraId="3784966F" w14:textId="32DEC36D">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Mullins, L. and Christy, G. (2016). </w:t>
      </w:r>
      <w:r w:rsidRPr="6CC00757" w:rsidR="2755E7C1">
        <w:rPr>
          <w:rFonts w:ascii="Arial" w:hAnsi="Arial" w:eastAsia="Arial" w:cs="Arial"/>
          <w:b w:val="0"/>
          <w:bCs w:val="0"/>
          <w:i w:val="1"/>
          <w:iCs w:val="1"/>
          <w:noProof w:val="0"/>
          <w:color w:val="000000" w:themeColor="text1" w:themeTint="FF" w:themeShade="FF"/>
          <w:sz w:val="24"/>
          <w:szCs w:val="24"/>
          <w:lang w:val="en-US"/>
        </w:rPr>
        <w:t>Management and Organisational Behaviour</w:t>
      </w:r>
      <w:r w:rsidRPr="6CC00757" w:rsidR="2755E7C1">
        <w:rPr>
          <w:rFonts w:ascii="Arial" w:hAnsi="Arial" w:eastAsia="Arial" w:cs="Arial"/>
          <w:b w:val="0"/>
          <w:bCs w:val="0"/>
          <w:i w:val="0"/>
          <w:iCs w:val="0"/>
          <w:noProof w:val="0"/>
          <w:color w:val="000000" w:themeColor="text1" w:themeTint="FF" w:themeShade="FF"/>
          <w:sz w:val="24"/>
          <w:szCs w:val="24"/>
          <w:lang w:val="en-US"/>
        </w:rPr>
        <w:t>. 11th ed. Pearson Education Limited.</w:t>
      </w:r>
    </w:p>
    <w:p w:rsidR="2755E7C1" w:rsidP="6CC00757" w:rsidRDefault="2755E7C1" w14:paraId="4C78ECB0" w14:textId="5BEE561D">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National Audit Office (2023). </w:t>
      </w:r>
      <w:r w:rsidRPr="6CC00757" w:rsidR="2755E7C1">
        <w:rPr>
          <w:rFonts w:ascii="Arial" w:hAnsi="Arial" w:eastAsia="Arial" w:cs="Arial"/>
          <w:b w:val="0"/>
          <w:bCs w:val="0"/>
          <w:i w:val="1"/>
          <w:iCs w:val="1"/>
          <w:noProof w:val="0"/>
          <w:color w:val="000000" w:themeColor="text1" w:themeTint="FF" w:themeShade="FF"/>
          <w:sz w:val="24"/>
          <w:szCs w:val="24"/>
          <w:lang w:val="en-US"/>
        </w:rPr>
        <w:t>Access to Cash and Banking Services</w:t>
      </w:r>
      <w:r w:rsidRPr="6CC00757" w:rsidR="2755E7C1">
        <w:rPr>
          <w:rFonts w:ascii="Arial" w:hAnsi="Arial" w:eastAsia="Arial" w:cs="Arial"/>
          <w:b w:val="0"/>
          <w:bCs w:val="0"/>
          <w:i w:val="0"/>
          <w:iCs w:val="0"/>
          <w:noProof w:val="0"/>
          <w:color w:val="000000" w:themeColor="text1" w:themeTint="FF" w:themeShade="FF"/>
          <w:sz w:val="24"/>
          <w:szCs w:val="24"/>
          <w:lang w:val="en-US"/>
        </w:rPr>
        <w:t>. NAO.</w:t>
      </w:r>
    </w:p>
    <w:p w:rsidR="2755E7C1" w:rsidP="6CC00757" w:rsidRDefault="2755E7C1" w14:paraId="25D52744" w14:textId="31FA8EBF">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Schein, E.H. (2010). </w:t>
      </w:r>
      <w:r w:rsidRPr="6CC00757" w:rsidR="2755E7C1">
        <w:rPr>
          <w:rFonts w:ascii="Arial" w:hAnsi="Arial" w:eastAsia="Arial" w:cs="Arial"/>
          <w:b w:val="0"/>
          <w:bCs w:val="0"/>
          <w:i w:val="1"/>
          <w:iCs w:val="1"/>
          <w:noProof w:val="0"/>
          <w:color w:val="000000" w:themeColor="text1" w:themeTint="FF" w:themeShade="FF"/>
          <w:sz w:val="24"/>
          <w:szCs w:val="24"/>
          <w:lang w:val="en-US"/>
        </w:rPr>
        <w:t>Organizational Culture and Leadership</w:t>
      </w:r>
      <w:r w:rsidRPr="6CC00757" w:rsidR="2755E7C1">
        <w:rPr>
          <w:rFonts w:ascii="Arial" w:hAnsi="Arial" w:eastAsia="Arial" w:cs="Arial"/>
          <w:b w:val="0"/>
          <w:bCs w:val="0"/>
          <w:i w:val="0"/>
          <w:iCs w:val="0"/>
          <w:noProof w:val="0"/>
          <w:color w:val="000000" w:themeColor="text1" w:themeTint="FF" w:themeShade="FF"/>
          <w:sz w:val="24"/>
          <w:szCs w:val="24"/>
          <w:lang w:val="en-US"/>
        </w:rPr>
        <w:t>. 4th ed. Jossey-Bass.</w:t>
      </w:r>
    </w:p>
    <w:p w:rsidR="2755E7C1" w:rsidP="6CC00757" w:rsidRDefault="2755E7C1" w14:paraId="6FEC9BC4" w14:textId="2D6B8B8A">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Schneider, B., Ehrhart, M.G. and Macey, W.H. (2013). 'Organizational climate and culture', </w:t>
      </w:r>
      <w:r w:rsidRPr="6CC00757" w:rsidR="2755E7C1">
        <w:rPr>
          <w:rFonts w:ascii="Arial" w:hAnsi="Arial" w:eastAsia="Arial" w:cs="Arial"/>
          <w:b w:val="0"/>
          <w:bCs w:val="0"/>
          <w:i w:val="1"/>
          <w:iCs w:val="1"/>
          <w:noProof w:val="0"/>
          <w:color w:val="000000" w:themeColor="text1" w:themeTint="FF" w:themeShade="FF"/>
          <w:sz w:val="24"/>
          <w:szCs w:val="24"/>
          <w:lang w:val="en-US"/>
        </w:rPr>
        <w:t>Annual Review of Psychology</w:t>
      </w:r>
      <w:r w:rsidRPr="6CC00757" w:rsidR="2755E7C1">
        <w:rPr>
          <w:rFonts w:ascii="Arial" w:hAnsi="Arial" w:eastAsia="Arial" w:cs="Arial"/>
          <w:b w:val="0"/>
          <w:bCs w:val="0"/>
          <w:i w:val="0"/>
          <w:iCs w:val="0"/>
          <w:noProof w:val="0"/>
          <w:color w:val="000000" w:themeColor="text1" w:themeTint="FF" w:themeShade="FF"/>
          <w:sz w:val="24"/>
          <w:szCs w:val="24"/>
          <w:lang w:val="en-US"/>
        </w:rPr>
        <w:t>, 64, pp. 361–388.</w:t>
      </w:r>
    </w:p>
    <w:p w:rsidR="2755E7C1" w:rsidP="6CC00757" w:rsidRDefault="2755E7C1" w14:paraId="6BFAB4EA" w14:textId="784EC8BB">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6CC00757" w:rsidR="2755E7C1">
        <w:rPr>
          <w:rFonts w:ascii="Arial" w:hAnsi="Arial" w:eastAsia="Arial" w:cs="Arial"/>
          <w:b w:val="0"/>
          <w:bCs w:val="0"/>
          <w:i w:val="0"/>
          <w:iCs w:val="0"/>
          <w:noProof w:val="0"/>
          <w:color w:val="000000" w:themeColor="text1" w:themeTint="FF" w:themeShade="FF"/>
          <w:sz w:val="24"/>
          <w:szCs w:val="24"/>
          <w:lang w:val="en-US"/>
        </w:rPr>
        <w:t xml:space="preserve">Senior, B. and Swailes, S. (2011). </w:t>
      </w:r>
      <w:r w:rsidRPr="6CC00757" w:rsidR="2755E7C1">
        <w:rPr>
          <w:rFonts w:ascii="Arial" w:hAnsi="Arial" w:eastAsia="Arial" w:cs="Arial"/>
          <w:b w:val="0"/>
          <w:bCs w:val="0"/>
          <w:i w:val="1"/>
          <w:iCs w:val="1"/>
          <w:noProof w:val="0"/>
          <w:color w:val="000000" w:themeColor="text1" w:themeTint="FF" w:themeShade="FF"/>
          <w:sz w:val="24"/>
          <w:szCs w:val="24"/>
          <w:lang w:val="en-US"/>
        </w:rPr>
        <w:t>Organisational Change</w:t>
      </w:r>
      <w:r w:rsidRPr="6CC00757" w:rsidR="2755E7C1">
        <w:rPr>
          <w:rFonts w:ascii="Arial" w:hAnsi="Arial" w:eastAsia="Arial" w:cs="Arial"/>
          <w:b w:val="0"/>
          <w:bCs w:val="0"/>
          <w:i w:val="0"/>
          <w:iCs w:val="0"/>
          <w:noProof w:val="0"/>
          <w:color w:val="000000" w:themeColor="text1" w:themeTint="FF" w:themeShade="FF"/>
          <w:sz w:val="24"/>
          <w:szCs w:val="24"/>
          <w:lang w:val="en-US"/>
        </w:rPr>
        <w:t>. 5th ed. Pearson Education.</w:t>
      </w:r>
    </w:p>
    <w:p w:rsidR="191047F2" w:rsidP="6CC00757" w:rsidRDefault="191047F2" w14:paraId="4591BE9F" w14:textId="57D145E3">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p>
    <w:p w:rsidR="191047F2" w:rsidP="191047F2" w:rsidRDefault="191047F2" w14:paraId="0F59BBCD" w14:textId="590752AB">
      <w:pPr>
        <w:pStyle w:val="Normal"/>
        <w:spacing w:before="0" w:beforeAutospacing="off" w:after="0" w:afterAutospacing="off" w:line="360" w:lineRule="auto"/>
        <w:jc w:val="left"/>
        <w:rPr>
          <w:rFonts w:ascii="Arial" w:hAnsi="Arial" w:eastAsia="Arial" w:cs="Arial"/>
          <w:b w:val="1"/>
          <w:bCs w:val="1"/>
          <w:noProof w:val="0"/>
          <w:sz w:val="28"/>
          <w:szCs w:val="28"/>
          <w:lang w:val="en-US"/>
        </w:rPr>
      </w:pPr>
    </w:p>
    <w:p w:rsidR="191047F2" w:rsidP="191047F2" w:rsidRDefault="191047F2" w14:paraId="4890F65E" w14:textId="0D534FD4">
      <w:pPr>
        <w:pStyle w:val="Normal"/>
        <w:jc w:val="left"/>
        <w:rPr>
          <w:rFonts w:ascii="Arial" w:hAnsi="Arial" w:eastAsia="Arial" w:cs="Arial"/>
          <w:b w:val="1"/>
          <w:bCs w:val="1"/>
          <w:i w:val="0"/>
          <w:iCs w:val="0"/>
          <w:caps w:val="0"/>
          <w:smallCaps w:val="0"/>
          <w:noProof w:val="0"/>
          <w:color w:val="000000" w:themeColor="text1" w:themeTint="FF" w:themeShade="FF"/>
          <w:sz w:val="28"/>
          <w:szCs w:val="28"/>
          <w:lang w:val="en-US"/>
        </w:rPr>
      </w:pPr>
    </w:p>
    <w:sectPr>
      <w:pgSz w:w="12240" w:h="15840" w:orient="portrait"/>
      <w:pgMar w:top="1440" w:right="1440" w:bottom="1440" w:left="1440" w:header="720" w:footer="720" w:gutter="0"/>
      <w:cols w:space="720"/>
      <w:docGrid w:linePitch="360"/>
      <w:headerReference w:type="default" r:id="R76d6c018a37c4f61"/>
      <w:footerReference w:type="default" r:id="Rac3f32223c424b5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91047F2" w:rsidTr="191047F2" w14:paraId="6460D6B1">
      <w:trPr>
        <w:trHeight w:val="300"/>
      </w:trPr>
      <w:tc>
        <w:tcPr>
          <w:tcW w:w="3120" w:type="dxa"/>
          <w:tcMar/>
        </w:tcPr>
        <w:p w:rsidR="191047F2" w:rsidP="191047F2" w:rsidRDefault="191047F2" w14:paraId="51645100" w14:textId="2F830605">
          <w:pPr>
            <w:pStyle w:val="Header"/>
            <w:bidi w:val="0"/>
            <w:ind w:left="-115"/>
            <w:jc w:val="left"/>
          </w:pPr>
        </w:p>
      </w:tc>
      <w:tc>
        <w:tcPr>
          <w:tcW w:w="3120" w:type="dxa"/>
          <w:tcMar/>
        </w:tcPr>
        <w:p w:rsidR="191047F2" w:rsidP="191047F2" w:rsidRDefault="191047F2" w14:paraId="2FD2DDD7" w14:textId="71CC1238">
          <w:pPr>
            <w:pStyle w:val="Header"/>
            <w:bidi w:val="0"/>
            <w:jc w:val="center"/>
          </w:pPr>
        </w:p>
      </w:tc>
      <w:tc>
        <w:tcPr>
          <w:tcW w:w="3120" w:type="dxa"/>
          <w:tcMar/>
        </w:tcPr>
        <w:p w:rsidR="191047F2" w:rsidP="191047F2" w:rsidRDefault="191047F2" w14:paraId="60F6D22C" w14:textId="3E6C00C8">
          <w:pPr>
            <w:pStyle w:val="Header"/>
            <w:bidi w:val="0"/>
            <w:ind w:right="-115"/>
            <w:jc w:val="right"/>
          </w:pPr>
        </w:p>
      </w:tc>
    </w:tr>
  </w:tbl>
  <w:p w:rsidR="191047F2" w:rsidP="191047F2" w:rsidRDefault="191047F2" w14:paraId="23C9357D" w14:textId="3021D26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jc w:val="center"/>
      <w:tblLook w:val="06A0" w:firstRow="1" w:lastRow="0" w:firstColumn="1" w:lastColumn="0" w:noHBand="1" w:noVBand="1"/>
    </w:tblPr>
    <w:tblGrid>
      <w:gridCol w:w="3120"/>
      <w:gridCol w:w="3120"/>
      <w:gridCol w:w="3120"/>
    </w:tblGrid>
    <w:tr w:rsidR="191047F2" w:rsidTr="191047F2" w14:paraId="3B7B2AAF">
      <w:trPr>
        <w:trHeight w:val="300"/>
      </w:trPr>
      <w:tc>
        <w:tcPr>
          <w:tcW w:w="3120" w:type="dxa"/>
          <w:tcMar/>
        </w:tcPr>
        <w:p w:rsidR="191047F2" w:rsidP="191047F2" w:rsidRDefault="191047F2" w14:paraId="640CED23" w14:textId="2C9DFC4C">
          <w:pPr>
            <w:pStyle w:val="Header"/>
            <w:bidi w:val="0"/>
            <w:ind w:left="-115"/>
            <w:jc w:val="center"/>
          </w:pPr>
          <w:r w:rsidR="191047F2">
            <w:rPr/>
            <w:t>Gavrila-Mihail Calin</w:t>
          </w:r>
        </w:p>
        <w:p w:rsidR="191047F2" w:rsidP="191047F2" w:rsidRDefault="191047F2" w14:paraId="16FB2DD3" w14:textId="56DB154C">
          <w:pPr>
            <w:pStyle w:val="Header"/>
            <w:bidi w:val="0"/>
            <w:ind w:left="-115"/>
            <w:jc w:val="center"/>
          </w:pPr>
          <w:r w:rsidR="191047F2">
            <w:rPr/>
            <w:t>2420083</w:t>
          </w:r>
        </w:p>
      </w:tc>
      <w:tc>
        <w:tcPr>
          <w:tcW w:w="3120" w:type="dxa"/>
          <w:tcMar/>
        </w:tcPr>
        <w:p w:rsidR="191047F2" w:rsidP="191047F2" w:rsidRDefault="191047F2" w14:paraId="3E072294" w14:textId="0F44BB38">
          <w:pPr>
            <w:pStyle w:val="Header"/>
            <w:bidi w:val="0"/>
            <w:jc w:val="center"/>
          </w:pPr>
          <w:r w:rsidR="191047F2">
            <w:rPr/>
            <w:t xml:space="preserve">BA </w:t>
          </w:r>
          <w:bookmarkStart w:name="_Int_TaUuVKHi" w:id="1836769044"/>
          <w:r w:rsidR="191047F2">
            <w:rPr/>
            <w:t>( HONS</w:t>
          </w:r>
          <w:bookmarkEnd w:id="1836769044"/>
          <w:r w:rsidR="191047F2">
            <w:rPr/>
            <w:t xml:space="preserve"> ) Leadership and Management Skills for the Workplace </w:t>
          </w:r>
        </w:p>
      </w:tc>
      <w:tc>
        <w:tcPr>
          <w:tcW w:w="3120" w:type="dxa"/>
          <w:tcMar/>
        </w:tcPr>
        <w:p w:rsidR="191047F2" w:rsidP="191047F2" w:rsidRDefault="191047F2" w14:paraId="6BA5000D" w14:textId="1A2D3E85">
          <w:pPr>
            <w:pStyle w:val="Header"/>
            <w:bidi w:val="0"/>
            <w:ind w:right="-115"/>
            <w:jc w:val="center"/>
            <w:rPr>
              <w:b w:val="0"/>
              <w:bCs w:val="0"/>
              <w:noProof w:val="0"/>
              <w:lang w:val="en-US"/>
            </w:rPr>
          </w:pPr>
          <w:r w:rsidRPr="191047F2" w:rsidR="191047F2">
            <w:rPr>
              <w:rFonts w:ascii="Segoe UI" w:hAnsi="Segoe UI" w:eastAsia="Segoe UI" w:cs="Segoe UI"/>
              <w:b w:val="0"/>
              <w:bCs w:val="0"/>
              <w:i w:val="0"/>
              <w:iCs w:val="0"/>
              <w:caps w:val="0"/>
              <w:smallCaps w:val="0"/>
              <w:noProof w:val="0"/>
              <w:color w:val="1D2125"/>
              <w:sz w:val="22"/>
              <w:szCs w:val="22"/>
              <w:lang w:val="en-US"/>
            </w:rPr>
            <w:t>Taonga Kaonga Sobere-Snithens</w:t>
          </w:r>
        </w:p>
      </w:tc>
    </w:tr>
  </w:tbl>
  <w:p w:rsidR="191047F2" w:rsidP="191047F2" w:rsidRDefault="191047F2" w14:paraId="6A866C8E" w14:textId="4769CB99">
    <w:pPr>
      <w:pStyle w:val="Header"/>
      <w:bidi w:val="0"/>
    </w:pPr>
  </w:p>
</w:hdr>
</file>

<file path=word/intelligence2.xml><?xml version="1.0" encoding="utf-8"?>
<int2:intelligence xmlns:int2="http://schemas.microsoft.com/office/intelligence/2020/intelligence">
  <int2:observations>
    <int2:textHash int2:hashCode="8hUSl4ax77Emy2" int2:id="Kjxct5j6">
      <int2:state int2:type="spell" int2:value="Rejected"/>
    </int2:textHash>
    <int2:bookmark int2:bookmarkName="_Int_TaUuVKHi" int2:invalidationBookmarkName="" int2:hashCode="Fn2uIqy4jND84O" int2:id="5qT0hcop">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cb249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da40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b874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7203EE"/>
    <w:rsid w:val="05806B75"/>
    <w:rsid w:val="069B20BA"/>
    <w:rsid w:val="079E58EB"/>
    <w:rsid w:val="07CBE4D4"/>
    <w:rsid w:val="07CBE4D4"/>
    <w:rsid w:val="0833075D"/>
    <w:rsid w:val="0AD03B5B"/>
    <w:rsid w:val="0C86805F"/>
    <w:rsid w:val="0D95F356"/>
    <w:rsid w:val="0E16070D"/>
    <w:rsid w:val="0E1CDD46"/>
    <w:rsid w:val="10448D21"/>
    <w:rsid w:val="10536E52"/>
    <w:rsid w:val="1057323F"/>
    <w:rsid w:val="1057323F"/>
    <w:rsid w:val="11E2C23B"/>
    <w:rsid w:val="12376EF4"/>
    <w:rsid w:val="1554E29B"/>
    <w:rsid w:val="1554E29B"/>
    <w:rsid w:val="16CFEF8F"/>
    <w:rsid w:val="16E15955"/>
    <w:rsid w:val="17409550"/>
    <w:rsid w:val="18284259"/>
    <w:rsid w:val="18889BDF"/>
    <w:rsid w:val="189B5C3F"/>
    <w:rsid w:val="18E981D8"/>
    <w:rsid w:val="18E981D8"/>
    <w:rsid w:val="18F21616"/>
    <w:rsid w:val="191047F2"/>
    <w:rsid w:val="1A58DA8A"/>
    <w:rsid w:val="1D380B9F"/>
    <w:rsid w:val="1EA05F57"/>
    <w:rsid w:val="20085FF7"/>
    <w:rsid w:val="20EB00BC"/>
    <w:rsid w:val="215F96E8"/>
    <w:rsid w:val="218EF43C"/>
    <w:rsid w:val="2277BABE"/>
    <w:rsid w:val="2440716B"/>
    <w:rsid w:val="254DB7F8"/>
    <w:rsid w:val="269238E3"/>
    <w:rsid w:val="269238E3"/>
    <w:rsid w:val="2755E7C1"/>
    <w:rsid w:val="293DBA01"/>
    <w:rsid w:val="2A72A04D"/>
    <w:rsid w:val="2B1CD3BA"/>
    <w:rsid w:val="2BA2CC9A"/>
    <w:rsid w:val="2D98F745"/>
    <w:rsid w:val="2E179AC8"/>
    <w:rsid w:val="2F7203EE"/>
    <w:rsid w:val="3052EABF"/>
    <w:rsid w:val="30AA7A6D"/>
    <w:rsid w:val="3136E7F0"/>
    <w:rsid w:val="32B273F1"/>
    <w:rsid w:val="35295AFE"/>
    <w:rsid w:val="3671A1FB"/>
    <w:rsid w:val="37793132"/>
    <w:rsid w:val="37793132"/>
    <w:rsid w:val="37A5F2B0"/>
    <w:rsid w:val="39020747"/>
    <w:rsid w:val="39CE474C"/>
    <w:rsid w:val="3A666006"/>
    <w:rsid w:val="3BE53E8A"/>
    <w:rsid w:val="3CA0E2B5"/>
    <w:rsid w:val="3D142A5D"/>
    <w:rsid w:val="40F44497"/>
    <w:rsid w:val="40F44497"/>
    <w:rsid w:val="4125F717"/>
    <w:rsid w:val="427A4E58"/>
    <w:rsid w:val="42BADBE8"/>
    <w:rsid w:val="43402950"/>
    <w:rsid w:val="43C56A38"/>
    <w:rsid w:val="43C7FEEB"/>
    <w:rsid w:val="44076095"/>
    <w:rsid w:val="44076095"/>
    <w:rsid w:val="44162D12"/>
    <w:rsid w:val="4C2BB9FD"/>
    <w:rsid w:val="4D41CD29"/>
    <w:rsid w:val="4DC67C55"/>
    <w:rsid w:val="4E40E3AA"/>
    <w:rsid w:val="50D94DF2"/>
    <w:rsid w:val="514B033C"/>
    <w:rsid w:val="51DBF358"/>
    <w:rsid w:val="520FBBFC"/>
    <w:rsid w:val="52207D21"/>
    <w:rsid w:val="55ED892C"/>
    <w:rsid w:val="560B5AF8"/>
    <w:rsid w:val="56973C1C"/>
    <w:rsid w:val="5B39F600"/>
    <w:rsid w:val="5C63B5DF"/>
    <w:rsid w:val="5EB5A721"/>
    <w:rsid w:val="5EB6BD2B"/>
    <w:rsid w:val="624FA568"/>
    <w:rsid w:val="62C7BAC3"/>
    <w:rsid w:val="62F627FC"/>
    <w:rsid w:val="65B28975"/>
    <w:rsid w:val="6603E933"/>
    <w:rsid w:val="66761966"/>
    <w:rsid w:val="66761966"/>
    <w:rsid w:val="68B0DA79"/>
    <w:rsid w:val="69816FB0"/>
    <w:rsid w:val="69F3835D"/>
    <w:rsid w:val="6A961BE5"/>
    <w:rsid w:val="6B3CBCB9"/>
    <w:rsid w:val="6BEB8389"/>
    <w:rsid w:val="6CC00757"/>
    <w:rsid w:val="6EBB7E97"/>
    <w:rsid w:val="723680AE"/>
    <w:rsid w:val="7561A22C"/>
    <w:rsid w:val="76505EC1"/>
    <w:rsid w:val="76505EC1"/>
    <w:rsid w:val="76DF0389"/>
    <w:rsid w:val="775164BA"/>
    <w:rsid w:val="7A87F5F0"/>
    <w:rsid w:val="7B6C4A27"/>
    <w:rsid w:val="7E260786"/>
    <w:rsid w:val="7E2607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A57BB"/>
  <w15:chartTrackingRefBased/>
  <w15:docId w15:val="{D0FA330B-B075-4852-A4D7-D9C0C9C7C6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91047F2"/>
    <w:pPr>
      <w:tabs>
        <w:tab w:val="center" w:leader="none" w:pos="4680"/>
        <w:tab w:val="right" w:leader="none" w:pos="9360"/>
      </w:tabs>
      <w:spacing w:after="0" w:line="240" w:lineRule="auto"/>
    </w:pPr>
  </w:style>
  <w:style w:type="paragraph" w:styleId="Footer">
    <w:uiPriority w:val="99"/>
    <w:name w:val="footer"/>
    <w:basedOn w:val="Normal"/>
    <w:unhideWhenUsed/>
    <w:rsid w:val="191047F2"/>
    <w:pPr>
      <w:tabs>
        <w:tab w:val="center" w:leader="none" w:pos="4680"/>
        <w:tab w:val="right" w:leader="none" w:pos="9360"/>
      </w:tabs>
      <w:spacing w:after="0" w:line="240" w:lineRule="auto"/>
    </w:pPr>
  </w:style>
  <w:style w:type="paragraph" w:styleId="ListParagraph">
    <w:uiPriority w:val="34"/>
    <w:name w:val="List Paragraph"/>
    <w:basedOn w:val="Normal"/>
    <w:qFormat/>
    <w:rsid w:val="191047F2"/>
    <w:pPr>
      <w:spacing/>
      <w:ind w:left="720"/>
      <w:contextualSpacing/>
    </w:pPr>
  </w:style>
  <w:style w:type="paragraph" w:styleId="Heading3">
    <w:uiPriority w:val="9"/>
    <w:name w:val="heading 3"/>
    <w:basedOn w:val="Normal"/>
    <w:next w:val="Normal"/>
    <w:unhideWhenUsed/>
    <w:qFormat/>
    <w:rsid w:val="191047F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91047F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6d6c018a37c4f61" /><Relationship Type="http://schemas.openxmlformats.org/officeDocument/2006/relationships/footer" Target="footer.xml" Id="Rac3f32223c424b5b" /><Relationship Type="http://schemas.microsoft.com/office/2020/10/relationships/intelligence" Target="intelligence2.xml" Id="R0facf78feafc40b9" /><Relationship Type="http://schemas.openxmlformats.org/officeDocument/2006/relationships/numbering" Target="numbering.xml" Id="R92a4d06fd79b41cf" /><Relationship Type="http://schemas.openxmlformats.org/officeDocument/2006/relationships/hyperlink" Target="https://lloydsbankinggroup.com/" TargetMode="External" Id="Rfa97370cf44b49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2026-10-12T09:12:07.0679288Z</dcterms:created>
  <dcterms:modified xsi:type="dcterms:W3CDTF">2026-10-26T09:43:00.0087597Z</dcterms:modified>
  <dc:creator>Gavrila-Mihail Calin (2420083)</dc:creator>
  <lastModifiedBy>Gavrila-Mihail Calin (2420083)</lastModifiedBy>
</coreProperties>
</file>