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90" w:after="90" w:line="360"/>
        <w:ind w:right="0" w:left="0" w:firstLine="0"/>
        <w:jc w:val="center"/>
        <w:rPr>
          <w:rFonts w:ascii="Arial" w:hAnsi="Arial" w:cs="Arial" w:eastAsia="Arial"/>
          <w:b/>
          <w:color w:val="222222"/>
          <w:spacing w:val="0"/>
          <w:position w:val="0"/>
          <w:sz w:val="24"/>
          <w:shd w:fill="FFFFFF" w:val="clear"/>
        </w:rPr>
      </w:pPr>
    </w:p>
    <w:p>
      <w:pPr>
        <w:spacing w:before="90" w:after="90" w:line="360"/>
        <w:ind w:right="0" w:left="0" w:firstLine="0"/>
        <w:jc w:val="center"/>
        <w:rPr>
          <w:rFonts w:ascii="Arial" w:hAnsi="Arial" w:cs="Arial" w:eastAsia="Arial"/>
          <w:b/>
          <w:color w:val="222222"/>
          <w:spacing w:val="0"/>
          <w:position w:val="0"/>
          <w:sz w:val="24"/>
          <w:shd w:fill="FFFFFF"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The marketing plan is written for</w:t>
      </w: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Hilton Hotel</w:t>
      </w: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Danut Gheorghe Muzicantu</w:t>
      </w: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ID number:</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2233416</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Count Word :1250</w:t>
      </w: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Marketing Essentials BMIH4005</w:t>
      </w: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Lecturer</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Chris Wilkin</w:t>
      </w:r>
    </w:p>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Introduction</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Hilton is a multinational hospitality company that franchises and manages a diversified portfolio of resorts and hotels across the globe (</w:t>
      </w:r>
      <w:r>
        <w:rPr>
          <w:rFonts w:ascii="Arial" w:hAnsi="Arial" w:cs="Arial" w:eastAsia="Arial"/>
          <w:color w:val="auto"/>
          <w:spacing w:val="0"/>
          <w:position w:val="0"/>
          <w:sz w:val="24"/>
          <w:shd w:fill="FFFFFF" w:val="clear"/>
        </w:rPr>
        <w:t xml:space="preserve">Hilton, 2023)</w:t>
      </w:r>
      <w:r>
        <w:rPr>
          <w:rFonts w:ascii="Arial" w:hAnsi="Arial" w:cs="Arial" w:eastAsia="Arial"/>
          <w:color w:val="222222"/>
          <w:spacing w:val="0"/>
          <w:position w:val="0"/>
          <w:sz w:val="24"/>
          <w:shd w:fill="FFFFFF" w:val="clear"/>
        </w:rPr>
        <w:t xml:space="preserve">. With the following marketing plan, the focus will be on using different frameworks and tools for evaluating the environment the company is operating. Some of the major frameworks used in the essay include SOSTAC, the 4 Ps of marketing, the Bowmen strategy clock and the Ansoff matrix.  </w:t>
      </w:r>
    </w:p>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Situation Analysis</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5 'C's</w:t>
      </w:r>
    </w:p>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keepNext w:val="true"/>
        <w:spacing w:before="90" w:after="90" w:line="360"/>
        <w:ind w:right="0" w:left="0" w:firstLine="0"/>
        <w:jc w:val="center"/>
        <w:rPr>
          <w:rFonts w:ascii="Arial" w:hAnsi="Arial" w:cs="Arial" w:eastAsia="Arial"/>
          <w:color w:val="auto"/>
          <w:spacing w:val="0"/>
          <w:position w:val="0"/>
          <w:sz w:val="24"/>
          <w:shd w:fill="FFFFFF" w:val="clear"/>
        </w:rPr>
      </w:pPr>
      <w:r>
        <w:object w:dxaOrig="3423" w:dyaOrig="3412">
          <v:rect xmlns:o="urn:schemas-microsoft-com:office:office" xmlns:v="urn:schemas-microsoft-com:vml" id="rectole0000000000" style="width:171.150000pt;height:170.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center"/>
        <w:rPr>
          <w:rFonts w:ascii="Arial" w:hAnsi="Arial" w:cs="Arial" w:eastAsia="Arial"/>
          <w:i/>
          <w:color w:val="44546A"/>
          <w:spacing w:val="0"/>
          <w:position w:val="0"/>
          <w:sz w:val="24"/>
          <w:shd w:fill="auto" w:val="clear"/>
        </w:rPr>
      </w:pPr>
      <w:r>
        <w:rPr>
          <w:rFonts w:ascii="Arial" w:hAnsi="Arial" w:cs="Arial" w:eastAsia="Arial"/>
          <w:i/>
          <w:color w:val="44546A"/>
          <w:spacing w:val="0"/>
          <w:position w:val="0"/>
          <w:sz w:val="24"/>
          <w:shd w:fill="auto" w:val="clear"/>
        </w:rPr>
        <w:t xml:space="preserve">Figure 1 SOSTAC model</w:t>
      </w:r>
    </w:p>
    <w:p>
      <w:pPr>
        <w:spacing w:before="0" w:after="160" w:line="259"/>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Model: (</w:t>
      </w:r>
      <w:r>
        <w:rPr>
          <w:rFonts w:ascii="Arial" w:hAnsi="Arial" w:cs="Arial" w:eastAsia="Arial"/>
          <w:color w:val="222222"/>
          <w:spacing w:val="0"/>
          <w:position w:val="0"/>
          <w:sz w:val="24"/>
          <w:shd w:fill="FFFFFF" w:val="clear"/>
        </w:rPr>
        <w:t xml:space="preserve">Reed FIDM 2014)</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Company</w:t>
      </w:r>
      <w:r>
        <w:rPr>
          <w:rFonts w:ascii="Arial" w:hAnsi="Arial" w:cs="Arial" w:eastAsia="Arial"/>
          <w:color w:val="222222"/>
          <w:spacing w:val="0"/>
          <w:position w:val="0"/>
          <w:sz w:val="24"/>
          <w:shd w:fill="FFFFFF" w:val="clear"/>
        </w:rPr>
        <w:t xml:space="preserve"> </w:t>
      </w:r>
    </w:p>
    <w:tbl>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b/>
                <w:color w:val="222222"/>
                <w:spacing w:val="0"/>
                <w:position w:val="0"/>
                <w:sz w:val="24"/>
                <w:shd w:fill="auto" w:val="clear"/>
              </w:rPr>
              <w:t xml:space="preserve">Strengths</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b/>
                <w:color w:val="222222"/>
                <w:spacing w:val="0"/>
                <w:position w:val="0"/>
                <w:sz w:val="24"/>
                <w:shd w:fill="auto" w:val="clear"/>
              </w:rPr>
              <w:t xml:space="preserve">Weaknesses</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4"/>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Among the largest global hotelier brands</w:t>
            </w:r>
          </w:p>
          <w:p>
            <w:pPr>
              <w:numPr>
                <w:ilvl w:val="0"/>
                <w:numId w:val="14"/>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Global brand presence (</w:t>
            </w:r>
            <w:r>
              <w:rPr>
                <w:rFonts w:ascii="Arial" w:hAnsi="Arial" w:cs="Arial" w:eastAsia="Arial"/>
                <w:color w:val="222222"/>
                <w:spacing w:val="0"/>
                <w:position w:val="0"/>
                <w:sz w:val="24"/>
                <w:shd w:fill="FFFFFF" w:val="clear"/>
              </w:rPr>
              <w:t xml:space="preserve">Linxi 2021). </w:t>
            </w:r>
          </w:p>
          <w:p>
            <w:pPr>
              <w:numPr>
                <w:ilvl w:val="0"/>
                <w:numId w:val="14"/>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Large customer base</w:t>
            </w:r>
          </w:p>
          <w:p>
            <w:pPr>
              <w:numPr>
                <w:ilvl w:val="0"/>
                <w:numId w:val="14"/>
              </w:numPr>
              <w:spacing w:before="90" w:after="90" w:line="360"/>
              <w:ind w:right="0" w:left="720" w:hanging="360"/>
              <w:jc w:val="both"/>
              <w:rPr>
                <w:spacing w:val="0"/>
                <w:position w:val="0"/>
              </w:rPr>
            </w:pPr>
            <w:r>
              <w:rPr>
                <w:rFonts w:ascii="Arial" w:hAnsi="Arial" w:cs="Arial" w:eastAsia="Arial"/>
                <w:color w:val="222222"/>
                <w:spacing w:val="0"/>
                <w:position w:val="0"/>
                <w:sz w:val="24"/>
                <w:shd w:fill="auto" w:val="clear"/>
              </w:rPr>
              <w:t xml:space="preserve">Diversified brand portfolio</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4"/>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Dependence on the US market</w:t>
            </w:r>
          </w:p>
          <w:p>
            <w:pPr>
              <w:numPr>
                <w:ilvl w:val="0"/>
                <w:numId w:val="14"/>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Limited market share</w:t>
            </w:r>
          </w:p>
          <w:p>
            <w:pPr>
              <w:numPr>
                <w:ilvl w:val="0"/>
                <w:numId w:val="14"/>
              </w:numPr>
              <w:spacing w:before="90" w:after="90" w:line="360"/>
              <w:ind w:right="0" w:left="720" w:hanging="360"/>
              <w:jc w:val="both"/>
              <w:rPr>
                <w:spacing w:val="0"/>
                <w:position w:val="0"/>
              </w:rPr>
            </w:pPr>
            <w:r>
              <w:rPr>
                <w:rFonts w:ascii="Arial" w:hAnsi="Arial" w:cs="Arial" w:eastAsia="Arial"/>
                <w:color w:val="222222"/>
                <w:spacing w:val="0"/>
                <w:position w:val="0"/>
                <w:sz w:val="24"/>
                <w:shd w:fill="auto" w:val="clear"/>
              </w:rPr>
              <w:t xml:space="preserve">Inadequate performance in managing operations (</w:t>
            </w:r>
            <w:r>
              <w:rPr>
                <w:rFonts w:ascii="Arial" w:hAnsi="Arial" w:cs="Arial" w:eastAsia="Arial"/>
                <w:color w:val="222222"/>
                <w:spacing w:val="0"/>
                <w:position w:val="0"/>
                <w:sz w:val="24"/>
                <w:shd w:fill="FFFFFF" w:val="clear"/>
              </w:rPr>
              <w:t xml:space="preserve">Kopuz. and Bal, 2023)</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b/>
                <w:color w:val="222222"/>
                <w:spacing w:val="0"/>
                <w:position w:val="0"/>
                <w:sz w:val="24"/>
                <w:shd w:fill="auto" w:val="clear"/>
              </w:rPr>
              <w:t xml:space="preserve">Opportunities</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b/>
                <w:color w:val="222222"/>
                <w:spacing w:val="0"/>
                <w:position w:val="0"/>
                <w:sz w:val="24"/>
                <w:shd w:fill="auto" w:val="clear"/>
              </w:rPr>
              <w:t xml:space="preserve">Threats</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Market expansion</w:t>
            </w:r>
          </w:p>
          <w:p>
            <w:pPr>
              <w:numPr>
                <w:ilvl w:val="0"/>
                <w:numId w:val="1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Development of strategic alliances</w:t>
            </w:r>
          </w:p>
          <w:p>
            <w:pPr>
              <w:numPr>
                <w:ilvl w:val="0"/>
                <w:numId w:val="1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Introducing mid-level budget options </w:t>
            </w:r>
          </w:p>
          <w:p>
            <w:pPr>
              <w:numPr>
                <w:ilvl w:val="0"/>
                <w:numId w:val="18"/>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Focuses on merger and acquisitions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Intense competition</w:t>
            </w:r>
          </w:p>
          <w:p>
            <w:pPr>
              <w:numPr>
                <w:ilvl w:val="0"/>
                <w:numId w:val="1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Entry of different international brand  </w:t>
            </w:r>
          </w:p>
          <w:p>
            <w:pPr>
              <w:numPr>
                <w:ilvl w:val="0"/>
                <w:numId w:val="1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Stagnated growth</w:t>
            </w:r>
          </w:p>
          <w:p>
            <w:pPr>
              <w:numPr>
                <w:ilvl w:val="0"/>
                <w:numId w:val="18"/>
              </w:numPr>
              <w:spacing w:before="90" w:after="90" w:line="360"/>
              <w:ind w:right="0" w:left="720" w:hanging="360"/>
              <w:jc w:val="both"/>
              <w:rPr>
                <w:spacing w:val="0"/>
                <w:position w:val="0"/>
              </w:rPr>
            </w:pPr>
            <w:r>
              <w:rPr>
                <w:rFonts w:ascii="Arial" w:hAnsi="Arial" w:cs="Arial" w:eastAsia="Arial"/>
                <w:color w:val="222222"/>
                <w:spacing w:val="0"/>
                <w:position w:val="0"/>
                <w:sz w:val="24"/>
                <w:shd w:fill="auto" w:val="clear"/>
              </w:rPr>
              <w:t xml:space="preserve">Political and economic turbulence in many countries due to Covid (</w:t>
            </w:r>
            <w:r>
              <w:rPr>
                <w:rFonts w:ascii="Arial" w:hAnsi="Arial" w:cs="Arial" w:eastAsia="Arial"/>
                <w:color w:val="auto"/>
                <w:spacing w:val="0"/>
                <w:position w:val="0"/>
                <w:sz w:val="24"/>
                <w:shd w:fill="FFFFFF" w:val="clear"/>
              </w:rPr>
              <w:t xml:space="preserve">Santoki and Parekh 2020). </w:t>
            </w:r>
          </w:p>
        </w:tc>
      </w:tr>
    </w:tbl>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Customers:</w:t>
      </w:r>
      <w:r>
        <w:rPr>
          <w:rFonts w:ascii="Arial" w:hAnsi="Arial" w:cs="Arial" w:eastAsia="Arial"/>
          <w:color w:val="222222"/>
          <w:spacing w:val="0"/>
          <w:position w:val="0"/>
          <w:sz w:val="24"/>
          <w:shd w:fill="FFFFFF" w:val="clear"/>
        </w:rPr>
        <w:t xml:space="preserve"> </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The process of market segmentation is referred to as the process where the target market is divided into groups or segments (Dolnicar 2020). </w:t>
      </w: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Geographic segmentation</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The strategy related to geographic segmentation of Hilton majorly emphasises building the hotels, especially in those locations which are popular among the target market. Taking into consideration London, the brand is found in prevalent travel and business locations, including Trafalgar Square, Canary Wharf and Tower Bridge. </w:t>
      </w: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Demographic segmentation</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Hilton targets customers from a high-level and upper-social class; business professionals are the specific demographic segment on which the brand focuses. Moreover, the brand targets customers that prefer a luxury lifestyle and are willing to pay premium prices for the products and services (KHAN, HAKEEM and NAUMOV 2018). </w:t>
      </w: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Psychographic Segmentation</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The primary nature of the psychographic segment used by the brand involves pargeting ambitious individuals who are pursuing expressing their high status and achievement by staying in a luxury hotel. Moreover, people who prefer high-quality services and luxurious stays are the targeted market for the brand.  </w:t>
      </w:r>
    </w:p>
    <w:p>
      <w:pPr>
        <w:spacing w:before="0" w:after="160" w:line="259"/>
        <w:ind w:right="0" w:left="0" w:firstLine="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 </w:t>
      </w:r>
    </w:p>
    <w:p>
      <w:pPr>
        <w:spacing w:before="0" w:after="160" w:line="259"/>
        <w:ind w:right="0" w:left="0" w:firstLine="0"/>
        <w:jc w:val="both"/>
        <w:rPr>
          <w:rFonts w:ascii="Arial" w:hAnsi="Arial" w:cs="Arial" w:eastAsia="Arial"/>
          <w:color w:val="222222"/>
          <w:spacing w:val="0"/>
          <w:position w:val="0"/>
          <w:sz w:val="24"/>
          <w:shd w:fill="auto" w:val="clear"/>
        </w:rPr>
      </w:pP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Competitors</w:t>
      </w:r>
    </w:p>
    <w:p>
      <w:pPr>
        <w:spacing w:before="90" w:after="90" w:line="360"/>
        <w:ind w:right="0" w:left="0" w:firstLine="0"/>
        <w:jc w:val="both"/>
        <w:rPr>
          <w:rFonts w:ascii="Arial" w:hAnsi="Arial" w:cs="Arial" w:eastAsia="Arial"/>
          <w:color w:val="222222"/>
          <w:spacing w:val="0"/>
          <w:position w:val="0"/>
          <w:sz w:val="24"/>
          <w:shd w:fill="FFFFFF" w:val="clear"/>
        </w:rPr>
      </w:pPr>
      <w:r>
        <w:object w:dxaOrig="8664" w:dyaOrig="4581">
          <v:rect xmlns:o="urn:schemas-microsoft-com:office:office" xmlns:v="urn:schemas-microsoft-com:vml" id="rectole0000000001" style="width:433.200000pt;height:229.0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tbl>
      <w:tblPr/>
      <w:tblGrid>
        <w:gridCol w:w="3563"/>
        <w:gridCol w:w="5453"/>
      </w:tblGrid>
      <w:tr>
        <w:trPr>
          <w:trHeight w:val="1" w:hRule="atLeast"/>
          <w:jc w:val="left"/>
        </w:trPr>
        <w:tc>
          <w:tcPr>
            <w:tcW w:w="35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right" w:pos="3153" w:leader="none"/>
              </w:tabs>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Bargaining power of buyers</w:t>
              <w:tab/>
              <w:t xml:space="preserve"> (High)</w:t>
            </w:r>
          </w:p>
        </w:tc>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Various options are available</w:t>
            </w:r>
          </w:p>
          <w:p>
            <w:pPr>
              <w:numPr>
                <w:ilvl w:val="0"/>
                <w:numId w:val="25"/>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Switching cost is low</w:t>
            </w:r>
          </w:p>
          <w:p>
            <w:pPr>
              <w:numPr>
                <w:ilvl w:val="0"/>
                <w:numId w:val="25"/>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Easy availability of cheap hotels and motels </w:t>
            </w:r>
          </w:p>
        </w:tc>
      </w:tr>
      <w:tr>
        <w:trPr>
          <w:trHeight w:val="1" w:hRule="atLeast"/>
          <w:jc w:val="left"/>
        </w:trPr>
        <w:tc>
          <w:tcPr>
            <w:tcW w:w="35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Bargaining power of suppliers (Low)</w:t>
            </w:r>
          </w:p>
        </w:tc>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Several suppliers are present</w:t>
            </w:r>
          </w:p>
          <w:p>
            <w:pPr>
              <w:numPr>
                <w:ilvl w:val="0"/>
                <w:numId w:val="29"/>
              </w:numPr>
              <w:spacing w:before="90" w:after="90" w:line="360"/>
              <w:ind w:right="0" w:left="720" w:hanging="360"/>
              <w:jc w:val="both"/>
              <w:rPr>
                <w:spacing w:val="0"/>
                <w:position w:val="0"/>
              </w:rPr>
            </w:pPr>
            <w:r>
              <w:rPr>
                <w:rFonts w:ascii="Arial" w:hAnsi="Arial" w:cs="Arial" w:eastAsia="Arial"/>
                <w:color w:val="222222"/>
                <w:spacing w:val="0"/>
                <w:position w:val="0"/>
                <w:sz w:val="24"/>
                <w:shd w:fill="auto" w:val="clear"/>
              </w:rPr>
              <w:t xml:space="preserve">The hotel industry does not require unique items (</w:t>
            </w:r>
            <w:r>
              <w:rPr>
                <w:rFonts w:ascii="Arial" w:hAnsi="Arial" w:cs="Arial" w:eastAsia="Arial"/>
                <w:color w:val="222222"/>
                <w:spacing w:val="0"/>
                <w:position w:val="0"/>
                <w:sz w:val="24"/>
                <w:shd w:fill="FFFFFF" w:val="clear"/>
              </w:rPr>
              <w:t xml:space="preserve">Arifin et al., 2019). </w:t>
            </w:r>
          </w:p>
        </w:tc>
      </w:tr>
      <w:tr>
        <w:trPr>
          <w:trHeight w:val="1" w:hRule="atLeast"/>
          <w:jc w:val="left"/>
        </w:trPr>
        <w:tc>
          <w:tcPr>
            <w:tcW w:w="35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The threat of substitute products (High)</w:t>
            </w:r>
          </w:p>
        </w:tc>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Various budget-friendly options are present</w:t>
            </w:r>
          </w:p>
          <w:p>
            <w:pPr>
              <w:numPr>
                <w:ilvl w:val="0"/>
                <w:numId w:val="32"/>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The majority of the players offer similar services (</w:t>
            </w:r>
            <w:r>
              <w:rPr>
                <w:rFonts w:ascii="Arial" w:hAnsi="Arial" w:cs="Arial" w:eastAsia="Arial"/>
                <w:color w:val="auto"/>
                <w:spacing w:val="0"/>
                <w:position w:val="0"/>
                <w:sz w:val="24"/>
                <w:shd w:fill="auto" w:val="clear"/>
              </w:rPr>
              <w:t xml:space="preserve">Yoong and Lian 2019)</w:t>
            </w:r>
          </w:p>
        </w:tc>
      </w:tr>
      <w:tr>
        <w:trPr>
          <w:trHeight w:val="1" w:hRule="atLeast"/>
          <w:jc w:val="left"/>
        </w:trPr>
        <w:tc>
          <w:tcPr>
            <w:tcW w:w="35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The threat of new entrants (Low)</w:t>
            </w:r>
          </w:p>
        </w:tc>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5"/>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Huge capital required </w:t>
            </w:r>
          </w:p>
          <w:p>
            <w:pPr>
              <w:numPr>
                <w:ilvl w:val="0"/>
                <w:numId w:val="35"/>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Existing players increase challenges</w:t>
            </w:r>
          </w:p>
          <w:p>
            <w:pPr>
              <w:numPr>
                <w:ilvl w:val="0"/>
                <w:numId w:val="35"/>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Relatively challenging to achieve economy of scale</w:t>
            </w:r>
          </w:p>
        </w:tc>
      </w:tr>
      <w:tr>
        <w:trPr>
          <w:trHeight w:val="1" w:hRule="atLeast"/>
          <w:jc w:val="left"/>
        </w:trPr>
        <w:tc>
          <w:tcPr>
            <w:tcW w:w="35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Rivalry among the existing firms (High)</w:t>
            </w:r>
          </w:p>
        </w:tc>
        <w:tc>
          <w:tcPr>
            <w:tcW w:w="54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Intense competition present </w:t>
            </w:r>
          </w:p>
          <w:p>
            <w:pPr>
              <w:numPr>
                <w:ilvl w:val="0"/>
                <w:numId w:val="38"/>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Low product differentiation costs</w:t>
            </w:r>
          </w:p>
          <w:p>
            <w:pPr>
              <w:numPr>
                <w:ilvl w:val="0"/>
                <w:numId w:val="38"/>
              </w:numPr>
              <w:spacing w:before="90" w:after="90" w:line="360"/>
              <w:ind w:right="0" w:left="720" w:hanging="360"/>
              <w:jc w:val="both"/>
              <w:rPr>
                <w:spacing w:val="0"/>
                <w:position w:val="0"/>
              </w:rPr>
            </w:pPr>
            <w:r>
              <w:rPr>
                <w:rFonts w:ascii="Arial" w:hAnsi="Arial" w:cs="Arial" w:eastAsia="Arial"/>
                <w:color w:val="222222"/>
                <w:spacing w:val="0"/>
                <w:position w:val="0"/>
                <w:sz w:val="24"/>
                <w:shd w:fill="auto" w:val="clear"/>
              </w:rPr>
              <w:t xml:space="preserve">The loyal customer base for already existing players (</w:t>
            </w:r>
            <w:r>
              <w:rPr>
                <w:rFonts w:ascii="Arial" w:hAnsi="Arial" w:cs="Arial" w:eastAsia="Arial"/>
                <w:color w:val="222222"/>
                <w:spacing w:val="0"/>
                <w:position w:val="0"/>
                <w:sz w:val="24"/>
                <w:shd w:fill="FFFFFF" w:val="clear"/>
              </w:rPr>
              <w:t xml:space="preserve">Cheng 2019).</w:t>
            </w:r>
            <w:r>
              <w:rPr>
                <w:rFonts w:ascii="Arial" w:hAnsi="Arial" w:cs="Arial" w:eastAsia="Arial"/>
                <w:color w:val="222222"/>
                <w:spacing w:val="0"/>
                <w:position w:val="0"/>
                <w:sz w:val="24"/>
                <w:shd w:fill="auto" w:val="clear"/>
              </w:rPr>
              <w:t xml:space="preserve"> </w:t>
            </w:r>
          </w:p>
        </w:tc>
      </w:tr>
    </w:tbl>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Perceptual positioning map</w:t>
      </w: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0" w:after="160" w:line="259"/>
        <w:ind w:right="0" w:left="0" w:firstLine="0"/>
        <w:jc w:val="both"/>
        <w:rPr>
          <w:rFonts w:ascii="Arial" w:hAnsi="Arial" w:cs="Arial" w:eastAsia="Arial"/>
          <w:b/>
          <w:color w:val="222222"/>
          <w:spacing w:val="0"/>
          <w:position w:val="0"/>
          <w:sz w:val="24"/>
          <w:shd w:fill="auto" w:val="clear"/>
        </w:rPr>
      </w:pPr>
      <w:r>
        <w:object w:dxaOrig="1123" w:dyaOrig="762">
          <v:rect xmlns:o="urn:schemas-microsoft-com:office:office" xmlns:v="urn:schemas-microsoft-com:vml" id="rectole0000000002" style="width:56.150000pt;height:38.1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object w:dxaOrig="1390" w:dyaOrig="782">
          <v:rect xmlns:o="urn:schemas-microsoft-com:office:office" xmlns:v="urn:schemas-microsoft-com:vml" id="rectole0000000003" style="width:69.500000pt;height:39.1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object w:dxaOrig="1141" w:dyaOrig="474">
          <v:rect xmlns:o="urn:schemas-microsoft-com:office:office" xmlns:v="urn:schemas-microsoft-com:vml" id="rectole0000000004" style="width:57.050000pt;height:23.7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r>
        <w:rPr>
          <w:rFonts w:ascii="Arial" w:hAnsi="Arial" w:cs="Arial" w:eastAsia="Arial"/>
          <w:b/>
          <w:color w:val="222222"/>
          <w:spacing w:val="0"/>
          <w:position w:val="0"/>
          <w:sz w:val="24"/>
          <w:shd w:fill="auto" w:val="clear"/>
        </w:rPr>
        <w:t xml:space="preserve"> </w:t>
      </w:r>
    </w:p>
    <w:p>
      <w:pPr>
        <w:spacing w:before="0" w:after="160" w:line="259"/>
        <w:ind w:right="0" w:left="0" w:firstLine="0"/>
        <w:jc w:val="both"/>
        <w:rPr>
          <w:rFonts w:ascii="Arial" w:hAnsi="Arial" w:cs="Arial" w:eastAsia="Arial"/>
          <w:b/>
          <w:color w:val="222222"/>
          <w:spacing w:val="0"/>
          <w:position w:val="0"/>
          <w:sz w:val="24"/>
          <w:shd w:fill="auto" w:val="clear"/>
        </w:rPr>
      </w:pPr>
    </w:p>
    <w:p>
      <w:pPr>
        <w:spacing w:before="0" w:after="160" w:line="259"/>
        <w:ind w:right="0" w:left="0" w:firstLine="0"/>
        <w:jc w:val="both"/>
        <w:rPr>
          <w:rFonts w:ascii="Arial" w:hAnsi="Arial" w:cs="Arial" w:eastAsia="Arial"/>
          <w:b/>
          <w:color w:val="222222"/>
          <w:spacing w:val="0"/>
          <w:position w:val="0"/>
          <w:sz w:val="24"/>
          <w:shd w:fill="auto" w:val="clear"/>
        </w:rPr>
      </w:pPr>
      <w:r>
        <w:rPr>
          <w:rFonts w:ascii="Arial" w:hAnsi="Arial" w:cs="Arial" w:eastAsia="Arial"/>
          <w:b/>
          <w:color w:val="222222"/>
          <w:spacing w:val="0"/>
          <w:position w:val="0"/>
          <w:sz w:val="24"/>
          <w:shd w:fill="auto" w:val="clear"/>
        </w:rPr>
        <w:t xml:space="preserve">Bowman's strategy clock</w:t>
      </w:r>
    </w:p>
    <w:p>
      <w:pPr>
        <w:spacing w:before="0" w:after="160" w:line="259"/>
        <w:ind w:right="0" w:left="0" w:firstLine="0"/>
        <w:jc w:val="both"/>
        <w:rPr>
          <w:rFonts w:ascii="Arial" w:hAnsi="Arial" w:cs="Arial" w:eastAsia="Arial"/>
          <w:color w:val="auto"/>
          <w:spacing w:val="0"/>
          <w:position w:val="0"/>
          <w:sz w:val="24"/>
          <w:shd w:fill="auto" w:val="clear"/>
        </w:rPr>
      </w:pPr>
    </w:p>
    <w:p>
      <w:pPr>
        <w:keepNext w:val="true"/>
        <w:spacing w:before="0" w:after="160" w:line="259"/>
        <w:ind w:right="0" w:left="0" w:firstLine="0"/>
        <w:jc w:val="center"/>
        <w:rPr>
          <w:rFonts w:ascii="Arial" w:hAnsi="Arial" w:cs="Arial" w:eastAsia="Arial"/>
          <w:color w:val="auto"/>
          <w:spacing w:val="0"/>
          <w:position w:val="0"/>
          <w:sz w:val="24"/>
          <w:shd w:fill="auto" w:val="clear"/>
        </w:rPr>
      </w:pPr>
      <w:r>
        <w:object w:dxaOrig="820" w:dyaOrig="557">
          <v:rect xmlns:o="urn:schemas-microsoft-com:office:office" xmlns:v="urn:schemas-microsoft-com:vml" id="rectole0000000005" style="width:41.000000pt;height:27.8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r>
        <w:object w:dxaOrig="7281" w:dyaOrig="5603">
          <v:rect xmlns:o="urn:schemas-microsoft-com:office:office" xmlns:v="urn:schemas-microsoft-com:vml" id="rectole0000000006" style="width:364.050000pt;height:280.1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240"/>
        <w:ind w:right="0" w:left="0" w:firstLine="0"/>
        <w:jc w:val="center"/>
        <w:rPr>
          <w:rFonts w:ascii="Arial" w:hAnsi="Arial" w:cs="Arial" w:eastAsia="Arial"/>
          <w:i/>
          <w:color w:val="44546A"/>
          <w:spacing w:val="0"/>
          <w:position w:val="0"/>
          <w:sz w:val="24"/>
          <w:shd w:fill="auto" w:val="clear"/>
        </w:rPr>
      </w:pPr>
      <w:r>
        <w:rPr>
          <w:rFonts w:ascii="Arial" w:hAnsi="Arial" w:cs="Arial" w:eastAsia="Arial"/>
          <w:i/>
          <w:color w:val="44546A"/>
          <w:spacing w:val="0"/>
          <w:position w:val="0"/>
          <w:sz w:val="24"/>
          <w:shd w:fill="auto" w:val="clear"/>
        </w:rPr>
        <w:t xml:space="preserve">Figure 2 Bowmen strategy clock</w:t>
      </w:r>
    </w:p>
    <w:p>
      <w:pPr>
        <w:spacing w:before="0" w:after="160" w:line="259"/>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Source: </w:t>
      </w:r>
      <w:r>
        <w:rPr>
          <w:rFonts w:ascii="Arial" w:hAnsi="Arial" w:cs="Arial" w:eastAsia="Arial"/>
          <w:color w:val="222222"/>
          <w:spacing w:val="0"/>
          <w:position w:val="0"/>
          <w:sz w:val="24"/>
          <w:shd w:fill="FFFFFF" w:val="clear"/>
        </w:rPr>
        <w:t xml:space="preserve">Echchakoui (2018)</w:t>
      </w:r>
    </w:p>
    <w:p>
      <w:pPr>
        <w:spacing w:before="0" w:after="160" w:line="259"/>
        <w:ind w:right="0" w:left="0" w:firstLine="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Referring to the Bowmen strategy clock Hilton in Cardiff adopted focused differentiation; with this, the core focus is on combining high value and high prices. With this strategy, the company is making a high profit and achieving a strong brand image. </w:t>
      </w:r>
    </w:p>
    <w:p>
      <w:pPr>
        <w:spacing w:before="0" w:after="160" w:line="259"/>
        <w:ind w:right="0" w:left="0" w:firstLine="0"/>
        <w:jc w:val="both"/>
        <w:rPr>
          <w:rFonts w:ascii="Arial" w:hAnsi="Arial" w:cs="Arial" w:eastAsia="Arial"/>
          <w:color w:val="222222"/>
          <w:spacing w:val="0"/>
          <w:position w:val="0"/>
          <w:sz w:val="24"/>
          <w:shd w:fill="auto" w:val="clear"/>
        </w:rPr>
      </w:pPr>
      <w:r>
        <w:rPr>
          <w:rFonts w:ascii="Arial" w:hAnsi="Arial" w:cs="Arial" w:eastAsia="Arial"/>
          <w:b/>
          <w:color w:val="222222"/>
          <w:spacing w:val="0"/>
          <w:position w:val="0"/>
          <w:sz w:val="24"/>
          <w:shd w:fill="auto" w:val="clear"/>
        </w:rPr>
        <w:t xml:space="preserve">Collaborators:</w:t>
      </w:r>
    </w:p>
    <w:p>
      <w:pPr>
        <w:spacing w:before="0" w:after="160" w:line="259"/>
        <w:ind w:right="0" w:left="0" w:firstLine="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Hotel has collaborated with different travel agents to make sure that customers should be provided with ease of booking. This is helpful in providing high-quality customer service and engagement. </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-Climate:</w:t>
      </w:r>
      <w:r>
        <w:rPr>
          <w:rFonts w:ascii="Arial" w:hAnsi="Arial" w:cs="Arial" w:eastAsia="Arial"/>
          <w:color w:val="222222"/>
          <w:spacing w:val="0"/>
          <w:position w:val="0"/>
          <w:sz w:val="24"/>
          <w:shd w:fill="FFFFFF" w:val="clear"/>
        </w:rPr>
        <w:t xml:space="preserve"> </w:t>
      </w:r>
    </w:p>
    <w:tbl>
      <w:tblPr/>
      <w:tblGrid>
        <w:gridCol w:w="3010"/>
        <w:gridCol w:w="6006"/>
      </w:tblGrid>
      <w:tr>
        <w:trPr>
          <w:trHeight w:val="1" w:hRule="atLeast"/>
          <w:jc w:val="left"/>
        </w:trPr>
        <w:tc>
          <w:tcPr>
            <w:tcW w:w="30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Political factors</w:t>
            </w:r>
          </w:p>
        </w:tc>
        <w:tc>
          <w:tcPr>
            <w:tcW w:w="60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9"/>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Stable political environment</w:t>
            </w:r>
          </w:p>
          <w:p>
            <w:pPr>
              <w:numPr>
                <w:ilvl w:val="0"/>
                <w:numId w:val="49"/>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Increases in taxes impacted the industry</w:t>
            </w:r>
          </w:p>
          <w:p>
            <w:pPr>
              <w:numPr>
                <w:ilvl w:val="0"/>
                <w:numId w:val="49"/>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Support from the government. </w:t>
            </w:r>
          </w:p>
        </w:tc>
      </w:tr>
      <w:tr>
        <w:trPr>
          <w:trHeight w:val="1" w:hRule="atLeast"/>
          <w:jc w:val="left"/>
        </w:trPr>
        <w:tc>
          <w:tcPr>
            <w:tcW w:w="30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Economic factors</w:t>
            </w:r>
          </w:p>
        </w:tc>
        <w:tc>
          <w:tcPr>
            <w:tcW w:w="60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Challenges due to economic recession because of pandemic</w:t>
            </w:r>
          </w:p>
          <w:p>
            <w:pPr>
              <w:numPr>
                <w:ilvl w:val="0"/>
                <w:numId w:val="53"/>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Stable economic environment </w:t>
            </w:r>
          </w:p>
        </w:tc>
      </w:tr>
      <w:tr>
        <w:trPr>
          <w:trHeight w:val="1" w:hRule="atLeast"/>
          <w:jc w:val="left"/>
        </w:trPr>
        <w:tc>
          <w:tcPr>
            <w:tcW w:w="30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Social factors</w:t>
            </w:r>
          </w:p>
        </w:tc>
        <w:tc>
          <w:tcPr>
            <w:tcW w:w="60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6"/>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Increase in travelling (</w:t>
            </w:r>
            <w:r>
              <w:rPr>
                <w:rFonts w:ascii="Arial" w:hAnsi="Arial" w:cs="Arial" w:eastAsia="Arial"/>
                <w:color w:val="222222"/>
                <w:spacing w:val="0"/>
                <w:position w:val="0"/>
                <w:sz w:val="24"/>
                <w:shd w:fill="FFFFFF" w:val="clear"/>
              </w:rPr>
              <w:t xml:space="preserve">Roy and Chowdhury 2021).</w:t>
            </w:r>
          </w:p>
          <w:p>
            <w:pPr>
              <w:numPr>
                <w:ilvl w:val="0"/>
                <w:numId w:val="56"/>
              </w:numPr>
              <w:spacing w:before="90" w:after="90" w:line="360"/>
              <w:ind w:right="0" w:left="720" w:hanging="360"/>
              <w:jc w:val="both"/>
              <w:rPr>
                <w:spacing w:val="0"/>
                <w:position w:val="0"/>
              </w:rPr>
            </w:pPr>
            <w:r>
              <w:rPr>
                <w:rFonts w:ascii="Arial" w:hAnsi="Arial" w:cs="Arial" w:eastAsia="Arial"/>
                <w:color w:val="222222"/>
                <w:spacing w:val="0"/>
                <w:position w:val="0"/>
                <w:sz w:val="24"/>
                <w:shd w:fill="auto" w:val="clear"/>
              </w:rPr>
              <w:t xml:space="preserve">Seeking a budget-friendly hotel</w:t>
            </w:r>
          </w:p>
        </w:tc>
      </w:tr>
      <w:tr>
        <w:trPr>
          <w:trHeight w:val="1" w:hRule="atLeast"/>
          <w:jc w:val="left"/>
        </w:trPr>
        <w:tc>
          <w:tcPr>
            <w:tcW w:w="30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Technological factors</w:t>
            </w:r>
          </w:p>
        </w:tc>
        <w:tc>
          <w:tcPr>
            <w:tcW w:w="60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9"/>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Increase in the adaptation of advanced technology</w:t>
            </w:r>
          </w:p>
          <w:p>
            <w:pPr>
              <w:numPr>
                <w:ilvl w:val="0"/>
                <w:numId w:val="59"/>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Emphasising providing innovative services </w:t>
            </w:r>
          </w:p>
          <w:p>
            <w:pPr>
              <w:numPr>
                <w:ilvl w:val="0"/>
                <w:numId w:val="59"/>
              </w:numPr>
              <w:spacing w:before="90" w:after="90" w:line="360"/>
              <w:ind w:right="0" w:left="720" w:hanging="360"/>
              <w:jc w:val="both"/>
              <w:rPr>
                <w:spacing w:val="0"/>
                <w:position w:val="0"/>
              </w:rPr>
            </w:pPr>
            <w:r>
              <w:rPr>
                <w:rFonts w:ascii="Arial" w:hAnsi="Arial" w:cs="Arial" w:eastAsia="Arial"/>
                <w:color w:val="222222"/>
                <w:spacing w:val="0"/>
                <w:position w:val="0"/>
                <w:sz w:val="24"/>
                <w:shd w:fill="auto" w:val="clear"/>
              </w:rPr>
              <w:t xml:space="preserve">Customers expect technology-based services (</w:t>
            </w:r>
            <w:r>
              <w:rPr>
                <w:rFonts w:ascii="Arial" w:hAnsi="Arial" w:cs="Arial" w:eastAsia="Arial"/>
                <w:color w:val="222222"/>
                <w:spacing w:val="0"/>
                <w:position w:val="0"/>
                <w:sz w:val="24"/>
                <w:shd w:fill="FFFFFF" w:val="clear"/>
              </w:rPr>
              <w:t xml:space="preserve">Reidhead 2020). </w:t>
            </w:r>
            <w:r>
              <w:rPr>
                <w:rFonts w:ascii="Arial" w:hAnsi="Arial" w:cs="Arial" w:eastAsia="Arial"/>
                <w:color w:val="222222"/>
                <w:spacing w:val="0"/>
                <w:position w:val="0"/>
                <w:sz w:val="24"/>
                <w:shd w:fill="auto" w:val="clear"/>
              </w:rPr>
              <w:t xml:space="preserve"> </w:t>
            </w:r>
          </w:p>
        </w:tc>
      </w:tr>
      <w:tr>
        <w:trPr>
          <w:trHeight w:val="1" w:hRule="atLeast"/>
          <w:jc w:val="left"/>
        </w:trPr>
        <w:tc>
          <w:tcPr>
            <w:tcW w:w="30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Legal factors</w:t>
            </w:r>
          </w:p>
        </w:tc>
        <w:tc>
          <w:tcPr>
            <w:tcW w:w="60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2"/>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Compliance with government regulations </w:t>
            </w:r>
          </w:p>
          <w:p>
            <w:pPr>
              <w:numPr>
                <w:ilvl w:val="0"/>
                <w:numId w:val="62"/>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Devotion towards environmental regulations</w:t>
            </w:r>
          </w:p>
        </w:tc>
      </w:tr>
      <w:tr>
        <w:trPr>
          <w:trHeight w:val="1" w:hRule="atLeast"/>
          <w:jc w:val="left"/>
        </w:trPr>
        <w:tc>
          <w:tcPr>
            <w:tcW w:w="30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90" w:after="90" w:line="360"/>
              <w:ind w:right="0" w:left="0" w:firstLine="0"/>
              <w:jc w:val="both"/>
              <w:rPr>
                <w:spacing w:val="0"/>
                <w:position w:val="0"/>
                <w:shd w:fill="auto" w:val="clear"/>
              </w:rPr>
            </w:pPr>
            <w:r>
              <w:rPr>
                <w:rFonts w:ascii="Arial" w:hAnsi="Arial" w:cs="Arial" w:eastAsia="Arial"/>
                <w:color w:val="222222"/>
                <w:spacing w:val="0"/>
                <w:position w:val="0"/>
                <w:sz w:val="24"/>
                <w:shd w:fill="auto" w:val="clear"/>
              </w:rPr>
              <w:t xml:space="preserve">Environmental factors </w:t>
            </w:r>
          </w:p>
        </w:tc>
        <w:tc>
          <w:tcPr>
            <w:tcW w:w="60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65"/>
              </w:numPr>
              <w:spacing w:before="90" w:after="90" w:line="360"/>
              <w:ind w:right="0" w:left="720" w:hanging="360"/>
              <w:jc w:val="both"/>
              <w:rPr>
                <w:rFonts w:ascii="Arial" w:hAnsi="Arial" w:cs="Arial" w:eastAsia="Arial"/>
                <w:color w:val="222222"/>
                <w:spacing w:val="0"/>
                <w:position w:val="0"/>
                <w:sz w:val="24"/>
                <w:shd w:fill="auto" w:val="clear"/>
              </w:rPr>
            </w:pPr>
            <w:r>
              <w:rPr>
                <w:rFonts w:ascii="Arial" w:hAnsi="Arial" w:cs="Arial" w:eastAsia="Arial"/>
                <w:color w:val="222222"/>
                <w:spacing w:val="0"/>
                <w:position w:val="0"/>
                <w:sz w:val="24"/>
                <w:shd w:fill="auto" w:val="clear"/>
              </w:rPr>
              <w:t xml:space="preserve">Increase in carbon footprint </w:t>
            </w:r>
          </w:p>
          <w:p>
            <w:pPr>
              <w:numPr>
                <w:ilvl w:val="0"/>
                <w:numId w:val="65"/>
              </w:numPr>
              <w:spacing w:before="90" w:after="90" w:line="360"/>
              <w:ind w:right="0" w:left="720" w:hanging="360"/>
              <w:jc w:val="both"/>
              <w:rPr>
                <w:spacing w:val="0"/>
                <w:position w:val="0"/>
                <w:shd w:fill="auto" w:val="clear"/>
              </w:rPr>
            </w:pPr>
            <w:r>
              <w:rPr>
                <w:rFonts w:ascii="Arial" w:hAnsi="Arial" w:cs="Arial" w:eastAsia="Arial"/>
                <w:color w:val="222222"/>
                <w:spacing w:val="0"/>
                <w:position w:val="0"/>
                <w:sz w:val="24"/>
                <w:shd w:fill="auto" w:val="clear"/>
              </w:rPr>
              <w:t xml:space="preserve">Shift towards using biodegradable items</w:t>
            </w:r>
          </w:p>
        </w:tc>
      </w:tr>
    </w:tbl>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Objectives</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SMART target:</w:t>
      </w:r>
      <w:r>
        <w:rPr>
          <w:rFonts w:ascii="Arial" w:hAnsi="Arial" w:cs="Arial" w:eastAsia="Arial"/>
          <w:color w:val="222222"/>
          <w:spacing w:val="0"/>
          <w:position w:val="0"/>
          <w:sz w:val="24"/>
          <w:shd w:fill="FFFFFF" w:val="clear"/>
        </w:rPr>
        <w:t xml:space="preserve"> </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The fundamental focus of the marketing plan is to increase the customer base alongside attracting new customers. Below mentioned are the objectives which shall be accomplished through the marketing plan.</w:t>
      </w:r>
    </w:p>
    <w:p>
      <w:pPr>
        <w:numPr>
          <w:ilvl w:val="0"/>
          <w:numId w:val="68"/>
        </w:numPr>
        <w:spacing w:before="90" w:after="9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Increase in existing customer base by 15% by Nov. 2023.</w:t>
      </w:r>
    </w:p>
    <w:p>
      <w:pPr>
        <w:numPr>
          <w:ilvl w:val="0"/>
          <w:numId w:val="68"/>
        </w:numPr>
        <w:spacing w:before="90" w:after="9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Improve customer engagement by 10% by Aug. 2023.</w:t>
      </w:r>
    </w:p>
    <w:p>
      <w:pPr>
        <w:numPr>
          <w:ilvl w:val="0"/>
          <w:numId w:val="68"/>
        </w:numPr>
        <w:spacing w:before="90" w:after="90" w:line="360"/>
        <w:ind w:right="0" w:left="720" w:hanging="36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Increase the global expansion of the brand by 3% by 2025. </w:t>
      </w:r>
    </w:p>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Strategy</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The value proposition is defined as the statement that is helpful in communicating the benefits of the products or services to the customers. In the case of Hilton Cardiff, the value proposition focuses on providing high-quality and exceptional hospitality and personalised services to its customers. For example, Guests who stay at Hilton hotels receive points and special privileges through the loyalty programme Hilton Honors. The program's goal is to reward and recognise devoted consumers with additional benefits. Moreover, Hilton Cardiff is constantly investing in technology to enhance the guest experience. This includes features like digital check-in and keyless room entry.</w:t>
      </w:r>
    </w:p>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Tactics</w:t>
      </w: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(350 Words)</w:t>
      </w:r>
    </w:p>
    <w:p>
      <w:pPr>
        <w:spacing w:before="100" w:after="10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Product </w:t>
      </w:r>
    </w:p>
    <w:p>
      <w:pPr>
        <w:spacing w:before="100" w:after="1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Hilton, as a global brand, provides its services across the globe of them, including Oman, San Francisco, the United Arab Emirates, Dallas and New Orleans. Hilton, as a well-renowned hotel, focuses on providing high-quality service to guests. That focus is on providing a diversified range of services that includes special event services, swimming pools, lounges, gyms, bars and gift shops. With that, membership discounts and other facilities are also provided. </w:t>
      </w:r>
    </w:p>
    <w:p>
      <w:pPr>
        <w:spacing w:before="100" w:after="10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Place (Distribution) </w:t>
      </w:r>
    </w:p>
    <w:p>
      <w:pPr>
        <w:spacing w:before="100" w:after="1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Hilton hotel in Cardiff can be easily located by the tourist, it has been made sure that the location should be easily accessible not only by the locals but by the international tourists as well. Along with this, information related to the location can also be accessible through the official website alongside the social media pages of the brand.</w:t>
      </w:r>
    </w:p>
    <w:p>
      <w:pPr>
        <w:spacing w:before="100" w:after="10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Price </w:t>
      </w:r>
    </w:p>
    <w:p>
      <w:pPr>
        <w:spacing w:before="100" w:after="1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Hilton Cardiff adopted a premium pricing strategy because of the fact that its products and services are perceived as of high quality. In order to increase the existing customer base, the focus will be given to providing budget-friendly services to the target audience; therefore, competitive pricing will be adopted.</w:t>
      </w:r>
    </w:p>
    <w:p>
      <w:pPr>
        <w:spacing w:before="100" w:after="10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Promotion </w:t>
      </w:r>
    </w:p>
    <w:p>
      <w:pPr>
        <w:spacing w:before="100" w:after="1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Promotion is considered a crucial component of the marketing mix. In the case of Hilton Cardiff, the core emphasis will be on using social media platforms for advertising related to the services and products of the brand. In addition to that, premium magazines will also be used for advertising the brand among the target audience. </w:t>
      </w:r>
    </w:p>
    <w:p>
      <w:pPr>
        <w:spacing w:before="100" w:after="10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Action</w:t>
      </w: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color w:val="222222"/>
          <w:spacing w:val="0"/>
          <w:position w:val="0"/>
          <w:sz w:val="24"/>
          <w:shd w:fill="FFFFFF" w:val="clear"/>
        </w:rPr>
      </w:pPr>
      <w:r>
        <w:object w:dxaOrig="9392" w:dyaOrig="3384">
          <v:rect xmlns:o="urn:schemas-microsoft-com:office:office" xmlns:v="urn:schemas-microsoft-com:vml" id="rectole0000000007" style="width:469.600000pt;height:169.2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Control</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Control in the marketing plan is considered important because it is helpful in enhancing the performance of the company alongside also is helpful in accomplishing the set goals and objectives (Ferrell, Hartline and Hochstein 2021). In the case of the current marketing plan, KPIs will be set, which will be helpful in monitoring the success of the plan. With that, it will be made sure that online traffic on the website and different social media platform will be monitored. Furthermore, the return on investment will also be evaluated to assess the success of the plan. </w:t>
      </w:r>
    </w:p>
    <w:p>
      <w:pPr>
        <w:spacing w:before="90" w:after="9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Conclusion</w:t>
      </w:r>
    </w:p>
    <w:p>
      <w:pPr>
        <w:spacing w:before="100" w:after="1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With the aforementioned discussion, it is identified that the developed marketing plan would be effective for the brand in increasing its performance. With this, it is suggested that focus needs to be given to the effective use of social media in order to accomplish the objectives of increasing the existing customer base. </w:t>
      </w:r>
    </w:p>
    <w:p>
      <w:pPr>
        <w:spacing w:before="100" w:after="100" w:line="360"/>
        <w:ind w:right="0" w:left="0" w:firstLine="0"/>
        <w:jc w:val="both"/>
        <w:rPr>
          <w:rFonts w:ascii="Arial" w:hAnsi="Arial" w:cs="Arial" w:eastAsia="Arial"/>
          <w:color w:val="222222"/>
          <w:spacing w:val="0"/>
          <w:position w:val="0"/>
          <w:sz w:val="24"/>
          <w:shd w:fill="FFFFFF" w:val="clear"/>
        </w:rPr>
      </w:pPr>
    </w:p>
    <w:p>
      <w:pPr>
        <w:spacing w:before="100" w:after="100" w:line="360"/>
        <w:ind w:right="0" w:left="0" w:firstLine="0"/>
        <w:jc w:val="both"/>
        <w:rPr>
          <w:rFonts w:ascii="Arial" w:hAnsi="Arial" w:cs="Arial" w:eastAsia="Arial"/>
          <w:color w:val="222222"/>
          <w:spacing w:val="0"/>
          <w:position w:val="0"/>
          <w:sz w:val="24"/>
          <w:shd w:fill="FFFFFF" w:val="clear"/>
        </w:rPr>
      </w:pP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References</w:t>
      </w:r>
    </w:p>
    <w:p>
      <w:pPr>
        <w:spacing w:before="0" w:after="160" w:line="360"/>
        <w:ind w:right="0" w:left="720" w:hanging="720"/>
        <w:jc w:val="both"/>
        <w:rPr>
          <w:rFonts w:ascii="Arial" w:hAnsi="Arial" w:cs="Arial" w:eastAsia="Arial"/>
          <w:color w:val="auto"/>
          <w:spacing w:val="0"/>
          <w:position w:val="0"/>
          <w:sz w:val="24"/>
          <w:shd w:fill="auto" w:val="clear"/>
        </w:rPr>
      </w:pP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Arifin, F.A.S., Syah, T.Y.R., Indradewa, R. and Pusaka, S., 2019. Sales and Marketing Strategies Duck Nugget Product Using Porter's Five Forces and SWOT Analysis. </w:t>
      </w:r>
      <w:r>
        <w:rPr>
          <w:rFonts w:ascii="Arial" w:hAnsi="Arial" w:cs="Arial" w:eastAsia="Arial"/>
          <w:i/>
          <w:color w:val="222222"/>
          <w:spacing w:val="0"/>
          <w:position w:val="0"/>
          <w:sz w:val="24"/>
          <w:shd w:fill="FFFFFF" w:val="clear"/>
        </w:rPr>
        <w:t xml:space="preserve">Journal of Multidisciplinary Academic</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3</w:t>
      </w:r>
      <w:r>
        <w:rPr>
          <w:rFonts w:ascii="Arial" w:hAnsi="Arial" w:cs="Arial" w:eastAsia="Arial"/>
          <w:color w:val="222222"/>
          <w:spacing w:val="0"/>
          <w:position w:val="0"/>
          <w:sz w:val="24"/>
          <w:shd w:fill="FFFFFF" w:val="clear"/>
        </w:rPr>
        <w:t xml:space="preserve">(4), pp.71-75.</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Cheng, J., 2019. Research and Suggestions on Declining Market Shares of Ibis Budget Hotels. </w:t>
      </w:r>
      <w:r>
        <w:rPr>
          <w:rFonts w:ascii="Arial" w:hAnsi="Arial" w:cs="Arial" w:eastAsia="Arial"/>
          <w:i/>
          <w:color w:val="222222"/>
          <w:spacing w:val="0"/>
          <w:position w:val="0"/>
          <w:sz w:val="24"/>
          <w:shd w:fill="FFFFFF" w:val="clear"/>
        </w:rPr>
        <w:t xml:space="preserve">Open Journal of Social Sciences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8</w:t>
      </w:r>
      <w:r>
        <w:rPr>
          <w:rFonts w:ascii="Arial" w:hAnsi="Arial" w:cs="Arial" w:eastAsia="Arial"/>
          <w:color w:val="222222"/>
          <w:spacing w:val="0"/>
          <w:position w:val="0"/>
          <w:sz w:val="24"/>
          <w:shd w:fill="FFFFFF" w:val="clear"/>
        </w:rPr>
        <w:t xml:space="preserve">(1), pp.253-261.</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Dolnicar, S., 2020. Market segmentation for e-tourism. </w:t>
      </w:r>
      <w:r>
        <w:rPr>
          <w:rFonts w:ascii="Arial" w:hAnsi="Arial" w:cs="Arial" w:eastAsia="Arial"/>
          <w:i/>
          <w:color w:val="222222"/>
          <w:spacing w:val="0"/>
          <w:position w:val="0"/>
          <w:sz w:val="24"/>
          <w:shd w:fill="FFFFFF" w:val="clear"/>
        </w:rPr>
        <w:t xml:space="preserve">Handbook of e-Tourism</w:t>
      </w:r>
      <w:r>
        <w:rPr>
          <w:rFonts w:ascii="Arial" w:hAnsi="Arial" w:cs="Arial" w:eastAsia="Arial"/>
          <w:color w:val="222222"/>
          <w:spacing w:val="0"/>
          <w:position w:val="0"/>
          <w:sz w:val="24"/>
          <w:shd w:fill="FFFFFF" w:val="clear"/>
        </w:rPr>
        <w:t xml:space="preserve">, pp.1-15.</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Echchakoui, S., 2018. An analytical model that links customer-perceived value and competitive strategies. </w:t>
      </w:r>
      <w:r>
        <w:rPr>
          <w:rFonts w:ascii="Arial" w:hAnsi="Arial" w:cs="Arial" w:eastAsia="Arial"/>
          <w:i/>
          <w:color w:val="222222"/>
          <w:spacing w:val="0"/>
          <w:position w:val="0"/>
          <w:sz w:val="24"/>
          <w:shd w:fill="FFFFFF" w:val="clear"/>
        </w:rPr>
        <w:t xml:space="preserve">Journal of Marketing Analytics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6</w:t>
      </w:r>
      <w:r>
        <w:rPr>
          <w:rFonts w:ascii="Arial" w:hAnsi="Arial" w:cs="Arial" w:eastAsia="Arial"/>
          <w:color w:val="222222"/>
          <w:spacing w:val="0"/>
          <w:position w:val="0"/>
          <w:sz w:val="24"/>
          <w:shd w:fill="FFFFFF" w:val="clear"/>
        </w:rPr>
        <w:t xml:space="preserve">, pp.138-149.</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Ferrell, O.C., Hartline, M. and Hochstein, B.W., 2021. </w:t>
      </w:r>
      <w:r>
        <w:rPr>
          <w:rFonts w:ascii="Arial" w:hAnsi="Arial" w:cs="Arial" w:eastAsia="Arial"/>
          <w:i/>
          <w:color w:val="222222"/>
          <w:spacing w:val="0"/>
          <w:position w:val="0"/>
          <w:sz w:val="24"/>
          <w:shd w:fill="FFFFFF" w:val="clear"/>
        </w:rPr>
        <w:t xml:space="preserve">Marketing strategy</w:t>
      </w:r>
      <w:r>
        <w:rPr>
          <w:rFonts w:ascii="Arial" w:hAnsi="Arial" w:cs="Arial" w:eastAsia="Arial"/>
          <w:color w:val="222222"/>
          <w:spacing w:val="0"/>
          <w:position w:val="0"/>
          <w:sz w:val="24"/>
          <w:shd w:fill="FFFFFF" w:val="clear"/>
        </w:rPr>
        <w:t xml:space="preserve">. Cengage Learning.</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2023. About us. [Online]. Available at &lt; </w:t>
      </w:r>
      <w:hyperlink xmlns:r="http://schemas.openxmlformats.org/officeDocument/2006/relationships" r:id="docRId16">
        <w:r>
          <w:rPr>
            <w:rFonts w:ascii="Arial" w:hAnsi="Arial" w:cs="Arial" w:eastAsia="Arial"/>
            <w:color w:val="0000FF"/>
            <w:spacing w:val="0"/>
            <w:position w:val="0"/>
            <w:sz w:val="24"/>
            <w:u w:val="single"/>
            <w:shd w:fill="auto" w:val="clear"/>
          </w:rPr>
          <w:t xml:space="preserve">https://www.hilton.com/en/locations/</w:t>
        </w:r>
      </w:hyperlink>
      <w:r>
        <w:rPr>
          <w:rFonts w:ascii="Arial" w:hAnsi="Arial" w:cs="Arial" w:eastAsia="Arial"/>
          <w:color w:val="auto"/>
          <w:spacing w:val="0"/>
          <w:position w:val="0"/>
          <w:sz w:val="24"/>
          <w:shd w:fill="auto" w:val="clear"/>
        </w:rPr>
        <w:t xml:space="preserve">&gt;. [Accessed on 5 March. 2023]. </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KHAN, YH, HAKEEM, SMA and NAUMOV, N., 2018. The use of branding and market segmentation in hotel marketing: A Conceptual Review. </w:t>
      </w:r>
      <w:r>
        <w:rPr>
          <w:rFonts w:ascii="Arial" w:hAnsi="Arial" w:cs="Arial" w:eastAsia="Arial"/>
          <w:i/>
          <w:color w:val="222222"/>
          <w:spacing w:val="0"/>
          <w:position w:val="0"/>
          <w:sz w:val="24"/>
          <w:shd w:fill="FFFFFF" w:val="clear"/>
        </w:rPr>
        <w:t xml:space="preserve">Journal of tourism intelligence and smartness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w:t>
      </w:r>
      <w:r>
        <w:rPr>
          <w:rFonts w:ascii="Arial" w:hAnsi="Arial" w:cs="Arial" w:eastAsia="Arial"/>
          <w:color w:val="222222"/>
          <w:spacing w:val="0"/>
          <w:position w:val="0"/>
          <w:sz w:val="24"/>
          <w:shd w:fill="FFFFFF" w:val="clear"/>
        </w:rPr>
        <w:t xml:space="preserve">(2), pp.12-23.</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Kopuz, A.D. and Bal, A., 2023. The conservation of modern architectural heritage buildings in Turkey: </w:t>
      </w:r>
      <w:r>
        <w:rPr>
          <w:rFonts w:ascii="Arial" w:hAnsi="Arial" w:cs="Arial" w:eastAsia="Arial"/>
          <w:color w:val="222222"/>
          <w:spacing w:val="0"/>
          <w:position w:val="0"/>
          <w:sz w:val="24"/>
          <w:shd w:fill="FFFFFF" w:val="clear"/>
        </w:rPr>
        <w:t xml:space="preserve">İstanbul Hilton and İstanbul </w:t>
      </w:r>
      <w:r>
        <w:rPr>
          <w:rFonts w:ascii="Arial" w:hAnsi="Arial" w:cs="Arial" w:eastAsia="Arial"/>
          <w:color w:val="222222"/>
          <w:spacing w:val="0"/>
          <w:position w:val="0"/>
          <w:sz w:val="24"/>
          <w:shd w:fill="FFFFFF" w:val="clear"/>
        </w:rPr>
        <w:t xml:space="preserve">Ç</w:t>
      </w:r>
      <w:r>
        <w:rPr>
          <w:rFonts w:ascii="Arial" w:hAnsi="Arial" w:cs="Arial" w:eastAsia="Arial"/>
          <w:color w:val="222222"/>
          <w:spacing w:val="0"/>
          <w:position w:val="0"/>
          <w:sz w:val="24"/>
          <w:shd w:fill="FFFFFF" w:val="clear"/>
        </w:rPr>
        <w:t xml:space="preserve">ınar Hotel as a case study. </w:t>
      </w:r>
      <w:r>
        <w:rPr>
          <w:rFonts w:ascii="Arial" w:hAnsi="Arial" w:cs="Arial" w:eastAsia="Arial"/>
          <w:i/>
          <w:color w:val="222222"/>
          <w:spacing w:val="0"/>
          <w:position w:val="0"/>
          <w:sz w:val="24"/>
          <w:shd w:fill="FFFFFF" w:val="clear"/>
        </w:rPr>
        <w:t xml:space="preserve">Ain Shams Engineering Journal</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14</w:t>
      </w:r>
      <w:r>
        <w:rPr>
          <w:rFonts w:ascii="Arial" w:hAnsi="Arial" w:cs="Arial" w:eastAsia="Arial"/>
          <w:color w:val="222222"/>
          <w:spacing w:val="0"/>
          <w:position w:val="0"/>
          <w:sz w:val="24"/>
          <w:shd w:fill="FFFFFF" w:val="clear"/>
        </w:rPr>
        <w:t xml:space="preserve">(4), p.101918.</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Linxi, X., 2021. The Digital Transformation Strategy of Hilton During COVID-19. In </w:t>
      </w:r>
      <w:r>
        <w:rPr>
          <w:rFonts w:ascii="Arial" w:hAnsi="Arial" w:cs="Arial" w:eastAsia="Arial"/>
          <w:i/>
          <w:color w:val="222222"/>
          <w:spacing w:val="0"/>
          <w:position w:val="0"/>
          <w:sz w:val="24"/>
          <w:shd w:fill="FFFFFF" w:val="clear"/>
        </w:rPr>
        <w:t xml:space="preserve">2021 International Conference on Financial Management and Economic Transition (FMET 2021)</w:t>
      </w:r>
      <w:r>
        <w:rPr>
          <w:rFonts w:ascii="Arial" w:hAnsi="Arial" w:cs="Arial" w:eastAsia="Arial"/>
          <w:color w:val="222222"/>
          <w:spacing w:val="0"/>
          <w:position w:val="0"/>
          <w:sz w:val="24"/>
          <w:shd w:fill="FFFFFF" w:val="clear"/>
        </w:rPr>
        <w:t xml:space="preserve"> (pp. 317-321).</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Reed FIDM, D., 2014. SOSTAC: The guide to the perfect digital marketing plan. </w:t>
      </w:r>
      <w:r>
        <w:rPr>
          <w:rFonts w:ascii="Arial" w:hAnsi="Arial" w:cs="Arial" w:eastAsia="Arial"/>
          <w:i/>
          <w:color w:val="222222"/>
          <w:spacing w:val="0"/>
          <w:position w:val="0"/>
          <w:sz w:val="24"/>
          <w:shd w:fill="FFFFFF" w:val="clear"/>
        </w:rPr>
        <w:t xml:space="preserve">Journal of Direct, Data and Digital Marketing Practice</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16</w:t>
      </w:r>
      <w:r>
        <w:rPr>
          <w:rFonts w:ascii="Arial" w:hAnsi="Arial" w:cs="Arial" w:eastAsia="Arial"/>
          <w:color w:val="222222"/>
          <w:spacing w:val="0"/>
          <w:position w:val="0"/>
          <w:sz w:val="24"/>
          <w:shd w:fill="FFFFFF" w:val="clear"/>
        </w:rPr>
        <w:t xml:space="preserve">(2), pp.146-147.</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Reidhead, C., 2020. Impact of organisational culture on employee satisfaction: A case of Hilton hotel, United Kingdom. </w:t>
      </w:r>
      <w:r>
        <w:rPr>
          <w:rFonts w:ascii="Arial" w:hAnsi="Arial" w:cs="Arial" w:eastAsia="Arial"/>
          <w:i/>
          <w:color w:val="222222"/>
          <w:spacing w:val="0"/>
          <w:position w:val="0"/>
          <w:sz w:val="24"/>
          <w:shd w:fill="FFFFFF" w:val="clear"/>
        </w:rPr>
        <w:t xml:space="preserve">Journal of Economics and Business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3</w:t>
      </w:r>
      <w:r>
        <w:rPr>
          <w:rFonts w:ascii="Arial" w:hAnsi="Arial" w:cs="Arial" w:eastAsia="Arial"/>
          <w:color w:val="222222"/>
          <w:spacing w:val="0"/>
          <w:position w:val="0"/>
          <w:sz w:val="24"/>
          <w:shd w:fill="FFFFFF" w:val="clear"/>
        </w:rPr>
        <w:t xml:space="preserve">(1).</w:t>
      </w:r>
    </w:p>
    <w:p>
      <w:pPr>
        <w:spacing w:before="0" w:after="16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Roy, M. and Chowdhury, S., 2021. Ecotourism and hospitality in Bangladesh: the application of PESTEL analysis and determining the internal factors. </w:t>
      </w:r>
      <w:r>
        <w:rPr>
          <w:rFonts w:ascii="Arial" w:hAnsi="Arial" w:cs="Arial" w:eastAsia="Arial"/>
          <w:i/>
          <w:color w:val="222222"/>
          <w:spacing w:val="0"/>
          <w:position w:val="0"/>
          <w:sz w:val="24"/>
          <w:shd w:fill="FFFFFF" w:val="clear"/>
        </w:rPr>
        <w:t xml:space="preserve">Tourism Products and Services in Bangladesh: Concept Analysis and Development Suggestions</w:t>
      </w:r>
      <w:r>
        <w:rPr>
          <w:rFonts w:ascii="Arial" w:hAnsi="Arial" w:cs="Arial" w:eastAsia="Arial"/>
          <w:color w:val="222222"/>
          <w:spacing w:val="0"/>
          <w:position w:val="0"/>
          <w:sz w:val="24"/>
          <w:shd w:fill="FFFFFF" w:val="clear"/>
        </w:rPr>
        <w:t xml:space="preserve">, pp.181-215.</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Santoki, A. and Parekh, M., 2020. Marketing strategies during COVID-19. Journal of Critical Reviews, 7(14), pp.2309-2315. </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Similar Web 2023. Hilton. [Online] Available at </w:t>
      </w:r>
      <w:hyperlink xmlns:r="http://schemas.openxmlformats.org/officeDocument/2006/relationships" r:id="docRId17">
        <w:r>
          <w:rPr>
            <w:rFonts w:ascii="Arial" w:hAnsi="Arial" w:cs="Arial" w:eastAsia="Arial"/>
            <w:color w:val="0000FF"/>
            <w:spacing w:val="0"/>
            <w:position w:val="0"/>
            <w:sz w:val="24"/>
            <w:u w:val="single"/>
            <w:shd w:fill="auto" w:val="clear"/>
          </w:rPr>
          <w:t xml:space="preserve">https://www.similarweb.com/website/hilton.com/#demographics</w:t>
        </w:r>
      </w:hyperlink>
      <w:r>
        <w:rPr>
          <w:rFonts w:ascii="Arial" w:hAnsi="Arial" w:cs="Arial" w:eastAsia="Arial"/>
          <w:color w:val="auto"/>
          <w:spacing w:val="0"/>
          <w:position w:val="0"/>
          <w:sz w:val="24"/>
          <w:shd w:fill="auto" w:val="clear"/>
        </w:rPr>
        <w:t xml:space="preserve"> [Accessed on 6 March 2023]</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Yoong, L.C. and Lian, S.B., 2019. Customer engagement in social media and purchase intentions in the hotel industry. International Journal of academic research in business and social sciences, 9(1), pp.54-68.</w:t>
      </w:r>
    </w:p>
    <w:p>
      <w:pPr>
        <w:spacing w:before="100" w:after="10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0" w:after="160" w:line="259"/>
        <w:ind w:right="0" w:left="0" w:firstLine="0"/>
        <w:jc w:val="left"/>
        <w:rPr>
          <w:rFonts w:ascii="Arial" w:hAnsi="Arial" w:cs="Arial" w:eastAsia="Arial"/>
          <w:b/>
          <w:color w:val="222222"/>
          <w:spacing w:val="0"/>
          <w:position w:val="0"/>
          <w:sz w:val="24"/>
          <w:shd w:fill="auto" w:val="clear"/>
        </w:rPr>
      </w:pPr>
      <w:r>
        <w:rPr>
          <w:rFonts w:ascii="Arial" w:hAnsi="Arial" w:cs="Arial" w:eastAsia="Arial"/>
          <w:b/>
          <w:color w:val="222222"/>
          <w:spacing w:val="0"/>
          <w:position w:val="0"/>
          <w:sz w:val="24"/>
          <w:shd w:fill="auto" w:val="clear"/>
        </w:rPr>
        <w:t xml:space="preserve"> </w:t>
      </w:r>
    </w:p>
    <w:p>
      <w:pPr>
        <w:spacing w:before="0" w:after="160" w:line="259"/>
        <w:ind w:right="0" w:left="0" w:firstLine="0"/>
        <w:jc w:val="left"/>
        <w:rPr>
          <w:rFonts w:ascii="Arial" w:hAnsi="Arial" w:cs="Arial" w:eastAsia="Arial"/>
          <w:b/>
          <w:color w:val="222222"/>
          <w:spacing w:val="0"/>
          <w:position w:val="0"/>
          <w:sz w:val="24"/>
          <w:shd w:fill="auto" w:val="clear"/>
        </w:rPr>
      </w:pPr>
    </w:p>
    <w:p>
      <w:pPr>
        <w:spacing w:before="90" w:after="90" w:line="360"/>
        <w:ind w:right="0" w:left="0" w:firstLine="0"/>
        <w:jc w:val="both"/>
        <w:rPr>
          <w:rFonts w:ascii="Arial" w:hAnsi="Arial" w:cs="Arial" w:eastAsia="Arial"/>
          <w:b/>
          <w:color w:val="222222"/>
          <w:spacing w:val="0"/>
          <w:position w:val="0"/>
          <w:sz w:val="24"/>
          <w:shd w:fill="FFFFFF" w:val="clear"/>
        </w:rPr>
      </w:pPr>
    </w:p>
    <w:p>
      <w:pPr>
        <w:spacing w:before="90" w:after="90" w:line="360"/>
        <w:ind w:right="0" w:left="0" w:firstLine="0"/>
        <w:jc w:val="both"/>
        <w:rPr>
          <w:rFonts w:ascii="Arial" w:hAnsi="Arial" w:cs="Arial" w:eastAsia="Arial"/>
          <w:color w:val="222222"/>
          <w:spacing w:val="0"/>
          <w:position w:val="0"/>
          <w:sz w:val="24"/>
          <w:shd w:fill="FFFFFF" w:val="clear"/>
        </w:rPr>
      </w:pPr>
      <w:r>
        <w:rPr>
          <w:rFonts w:ascii="Arial" w:hAnsi="Arial" w:cs="Arial" w:eastAsia="Arial"/>
          <w:b/>
          <w:color w:val="222222"/>
          <w:spacing w:val="0"/>
          <w:position w:val="0"/>
          <w:sz w:val="24"/>
          <w:shd w:fill="FFFFFF" w:val="clear"/>
        </w:rPr>
        <w:t xml:space="preserve">Appendices</w:t>
      </w:r>
    </w:p>
    <w:p>
      <w:pPr>
        <w:spacing w:before="0" w:after="160" w:line="360"/>
        <w:ind w:right="0" w:left="0" w:firstLine="0"/>
        <w:jc w:val="both"/>
        <w:rPr>
          <w:rFonts w:ascii="Arial" w:hAnsi="Arial" w:cs="Arial" w:eastAsia="Arial"/>
          <w:color w:val="auto"/>
          <w:spacing w:val="0"/>
          <w:position w:val="0"/>
          <w:sz w:val="24"/>
          <w:shd w:fill="auto" w:val="clear"/>
        </w:rPr>
      </w:pPr>
      <w:r>
        <w:object w:dxaOrig="1123" w:dyaOrig="762">
          <v:rect xmlns:o="urn:schemas-microsoft-com:office:office" xmlns:v="urn:schemas-microsoft-com:vml" id="rectole0000000008" style="width:56.150000pt;height:38.1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8" ShapeID="rectole0000000008" r:id="docRId18"/>
        </w:object>
      </w:r>
      <w:r>
        <w:object w:dxaOrig="8664" w:dyaOrig="3305">
          <v:rect xmlns:o="urn:schemas-microsoft-com:office:office" xmlns:v="urn:schemas-microsoft-com:vml" id="rectole0000000009" style="width:433.200000pt;height:165.2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09" ShapeID="rectole0000000009" r:id="docRId20"/>
        </w:object>
      </w:r>
    </w:p>
    <w:p>
      <w:pPr>
        <w:spacing w:before="0" w:after="160" w:line="360"/>
        <w:ind w:right="0" w:left="0" w:firstLine="0"/>
        <w:jc w:val="both"/>
        <w:rPr>
          <w:rFonts w:ascii="Arial" w:hAnsi="Arial" w:cs="Arial" w:eastAsia="Arial"/>
          <w:color w:val="auto"/>
          <w:spacing w:val="0"/>
          <w:position w:val="0"/>
          <w:sz w:val="24"/>
          <w:shd w:fill="auto" w:val="clear"/>
        </w:rPr>
      </w:pPr>
      <w:r>
        <w:object w:dxaOrig="8664" w:dyaOrig="7186">
          <v:rect xmlns:o="urn:schemas-microsoft-com:office:office" xmlns:v="urn:schemas-microsoft-com:vml" id="rectole0000000010" style="width:433.200000pt;height:359.3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0" ShapeID="rectole0000000010" r:id="docRId22"/>
        </w:object>
      </w: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num w:numId="14">
    <w:abstractNumId w:val="78"/>
  </w:num>
  <w:num w:numId="18">
    <w:abstractNumId w:val="72"/>
  </w:num>
  <w:num w:numId="25">
    <w:abstractNumId w:val="66"/>
  </w:num>
  <w:num w:numId="29">
    <w:abstractNumId w:val="60"/>
  </w:num>
  <w:num w:numId="32">
    <w:abstractNumId w:val="54"/>
  </w:num>
  <w:num w:numId="35">
    <w:abstractNumId w:val="48"/>
  </w:num>
  <w:num w:numId="38">
    <w:abstractNumId w:val="42"/>
  </w:num>
  <w:num w:numId="49">
    <w:abstractNumId w:val="36"/>
  </w:num>
  <w:num w:numId="53">
    <w:abstractNumId w:val="30"/>
  </w:num>
  <w:num w:numId="56">
    <w:abstractNumId w:val="24"/>
  </w:num>
  <w:num w:numId="59">
    <w:abstractNumId w:val="18"/>
  </w:num>
  <w:num w:numId="62">
    <w:abstractNumId w:val="12"/>
  </w:num>
  <w:num w:numId="65">
    <w:abstractNumId w:val="6"/>
  </w:num>
  <w:num w:numId="6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similarweb.com/website/hilton.com/#demographics" Id="docRId17" Type="http://schemas.openxmlformats.org/officeDocument/2006/relationships/hyperlink" /><Relationship Target="numbering.xml" Id="docRId24" Type="http://schemas.openxmlformats.org/officeDocument/2006/relationships/numbering" /><Relationship Target="media/image3.wmf" Id="docRId7" Type="http://schemas.openxmlformats.org/officeDocument/2006/relationships/image" /><Relationship Target="embeddings/oleObject7.bin" Id="docRId14" Type="http://schemas.openxmlformats.org/officeDocument/2006/relationships/oleObject" /><Relationship Target="media/image10.wmf" Id="docRId23"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embeddings/oleObject10.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Mode="External" Target="https://www.hilton.com/en/locations/" Id="docRId16" Type="http://schemas.openxmlformats.org/officeDocument/2006/relationships/hyperlink" /><Relationship Target="media/image9.wmf" Id="docRId21" Type="http://schemas.openxmlformats.org/officeDocument/2006/relationships/image" /><Relationship Target="styles.xml" Id="docRId25" Type="http://schemas.openxmlformats.org/officeDocument/2006/relationships/styles"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embeddings/oleObject9.bin" Id="docRId20"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8.bin" Id="docRId18" Type="http://schemas.openxmlformats.org/officeDocument/2006/relationships/oleObject" /><Relationship Target="embeddings/oleObject1.bin" Id="docRId2" Type="http://schemas.openxmlformats.org/officeDocument/2006/relationships/oleObject" /><Relationship Target="media/image5.wmf" Id="docRId11" Type="http://schemas.openxmlformats.org/officeDocument/2006/relationships/image" /><Relationship Target="media/image8.wmf" Id="docRId19" Type="http://schemas.openxmlformats.org/officeDocument/2006/relationships/image" /><Relationship Target="media/image2.wmf" Id="docRId5" Type="http://schemas.openxmlformats.org/officeDocument/2006/relationships/image" /></Relationships>
</file>