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167E57" w14:textId="77777777" w:rsidR="001B2C25" w:rsidRPr="00954304" w:rsidRDefault="001B2C25" w:rsidP="00954304">
      <w:pPr>
        <w:spacing w:before="100" w:beforeAutospacing="1" w:after="100" w:afterAutospacing="1" w:line="360" w:lineRule="auto"/>
        <w:jc w:val="center"/>
        <w:outlineLvl w:val="0"/>
        <w:rPr>
          <w:rFonts w:ascii="Arial" w:eastAsia="Times New Roman" w:hAnsi="Arial" w:cs="Arial"/>
          <w:b/>
          <w:bCs/>
          <w:kern w:val="36"/>
          <w:lang w:eastAsia="en-GB"/>
          <w14:ligatures w14:val="none"/>
        </w:rPr>
      </w:pPr>
      <w:r w:rsidRPr="00954304">
        <w:rPr>
          <w:rFonts w:ascii="Arial" w:eastAsia="Times New Roman" w:hAnsi="Arial" w:cs="Arial"/>
          <w:b/>
          <w:bCs/>
          <w:kern w:val="36"/>
          <w:lang w:eastAsia="en-GB"/>
          <w14:ligatures w14:val="none"/>
        </w:rPr>
        <w:t>UNIVERSITY OF WALES TRINITY SAINT DAVID (UWTSD)</w:t>
      </w:r>
    </w:p>
    <w:p w14:paraId="3FCC7261" w14:textId="77777777" w:rsidR="001B2C25" w:rsidRPr="00954304" w:rsidRDefault="001B2C25" w:rsidP="00954304">
      <w:pPr>
        <w:spacing w:before="100" w:beforeAutospacing="1" w:after="100" w:afterAutospacing="1" w:line="360" w:lineRule="auto"/>
        <w:jc w:val="center"/>
        <w:outlineLvl w:val="0"/>
        <w:rPr>
          <w:rFonts w:ascii="Arial" w:eastAsia="Times New Roman" w:hAnsi="Arial" w:cs="Arial"/>
          <w:b/>
          <w:bCs/>
          <w:kern w:val="36"/>
          <w:lang w:eastAsia="en-GB"/>
          <w14:ligatures w14:val="none"/>
        </w:rPr>
      </w:pPr>
    </w:p>
    <w:p w14:paraId="1BD43963" w14:textId="77777777" w:rsidR="001B2C25" w:rsidRPr="00954304" w:rsidRDefault="001B2C25" w:rsidP="00954304">
      <w:pPr>
        <w:spacing w:before="100" w:beforeAutospacing="1" w:after="100" w:afterAutospacing="1" w:line="360" w:lineRule="auto"/>
        <w:jc w:val="center"/>
        <w:outlineLvl w:val="0"/>
        <w:rPr>
          <w:rFonts w:ascii="Arial" w:eastAsia="Times New Roman" w:hAnsi="Arial" w:cs="Arial"/>
          <w:b/>
          <w:bCs/>
          <w:kern w:val="36"/>
          <w:lang w:eastAsia="en-GB"/>
          <w14:ligatures w14:val="none"/>
        </w:rPr>
      </w:pPr>
    </w:p>
    <w:p w14:paraId="1A88F6F3" w14:textId="77777777" w:rsidR="001B2C25" w:rsidRPr="00954304" w:rsidRDefault="001B2C25" w:rsidP="00954304">
      <w:pPr>
        <w:spacing w:before="100" w:beforeAutospacing="1" w:after="100" w:afterAutospacing="1" w:line="360" w:lineRule="auto"/>
        <w:jc w:val="center"/>
        <w:outlineLvl w:val="0"/>
        <w:rPr>
          <w:rFonts w:ascii="Arial" w:eastAsia="Times New Roman" w:hAnsi="Arial" w:cs="Arial"/>
          <w:b/>
          <w:bCs/>
          <w:kern w:val="36"/>
          <w:lang w:eastAsia="en-GB"/>
          <w14:ligatures w14:val="none"/>
        </w:rPr>
      </w:pPr>
    </w:p>
    <w:p w14:paraId="42C9F48B" w14:textId="77777777" w:rsidR="001B2C25" w:rsidRPr="00954304" w:rsidRDefault="001B2C25" w:rsidP="00954304">
      <w:pPr>
        <w:spacing w:before="100" w:beforeAutospacing="1" w:after="100" w:afterAutospacing="1" w:line="360" w:lineRule="auto"/>
        <w:jc w:val="center"/>
        <w:outlineLvl w:val="0"/>
        <w:rPr>
          <w:rFonts w:ascii="Arial" w:eastAsia="Times New Roman" w:hAnsi="Arial" w:cs="Arial"/>
          <w:b/>
          <w:bCs/>
          <w:kern w:val="36"/>
          <w:lang w:eastAsia="en-GB"/>
          <w14:ligatures w14:val="none"/>
        </w:rPr>
      </w:pPr>
    </w:p>
    <w:p w14:paraId="3BFA6D64" w14:textId="77777777" w:rsidR="001B2C25" w:rsidRPr="00954304" w:rsidRDefault="001B2C25" w:rsidP="00954304">
      <w:pPr>
        <w:spacing w:before="100" w:beforeAutospacing="1" w:after="100" w:afterAutospacing="1" w:line="360" w:lineRule="auto"/>
        <w:jc w:val="center"/>
        <w:outlineLvl w:val="0"/>
        <w:rPr>
          <w:rFonts w:ascii="Arial" w:eastAsia="Times New Roman" w:hAnsi="Arial" w:cs="Arial"/>
          <w:b/>
          <w:bCs/>
          <w:kern w:val="36"/>
          <w:lang w:eastAsia="en-GB"/>
          <w14:ligatures w14:val="none"/>
        </w:rPr>
      </w:pPr>
    </w:p>
    <w:p w14:paraId="74F99DC1" w14:textId="77777777" w:rsidR="001B2C25" w:rsidRPr="00954304" w:rsidRDefault="001B2C25" w:rsidP="00954304">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954304">
        <w:rPr>
          <w:rFonts w:ascii="Arial" w:eastAsia="Times New Roman" w:hAnsi="Arial" w:cs="Arial"/>
          <w:b/>
          <w:bCs/>
          <w:kern w:val="0"/>
          <w:lang w:eastAsia="en-GB"/>
          <w14:ligatures w14:val="none"/>
        </w:rPr>
        <w:t>Design Thinking Portfolio: Developing an AI-Powered Digital Commerce Solution for UK SMEs Using the Design Thinking Process</w:t>
      </w:r>
    </w:p>
    <w:p w14:paraId="64D88AC6" w14:textId="77777777" w:rsidR="001B2C25" w:rsidRPr="00954304" w:rsidRDefault="001B2C25" w:rsidP="00954304">
      <w:pPr>
        <w:spacing w:before="100" w:beforeAutospacing="1" w:after="100" w:afterAutospacing="1" w:line="360" w:lineRule="auto"/>
        <w:jc w:val="center"/>
        <w:outlineLvl w:val="1"/>
        <w:rPr>
          <w:rFonts w:ascii="Arial" w:eastAsia="Times New Roman" w:hAnsi="Arial" w:cs="Arial"/>
          <w:b/>
          <w:bCs/>
          <w:kern w:val="0"/>
          <w:lang w:eastAsia="en-GB"/>
          <w14:ligatures w14:val="none"/>
        </w:rPr>
      </w:pPr>
    </w:p>
    <w:p w14:paraId="4DED2375" w14:textId="77777777" w:rsidR="001B2C25" w:rsidRPr="00954304" w:rsidRDefault="001B2C25" w:rsidP="00954304">
      <w:pPr>
        <w:spacing w:before="100" w:beforeAutospacing="1" w:after="100" w:afterAutospacing="1" w:line="360" w:lineRule="auto"/>
        <w:jc w:val="center"/>
        <w:outlineLvl w:val="1"/>
        <w:rPr>
          <w:rFonts w:ascii="Arial" w:eastAsia="Times New Roman" w:hAnsi="Arial" w:cs="Arial"/>
          <w:b/>
          <w:bCs/>
          <w:kern w:val="0"/>
          <w:lang w:eastAsia="en-GB"/>
          <w14:ligatures w14:val="none"/>
        </w:rPr>
      </w:pPr>
    </w:p>
    <w:p w14:paraId="5923FAB4" w14:textId="77777777" w:rsidR="001B2C25" w:rsidRPr="00954304" w:rsidRDefault="001B2C25" w:rsidP="00954304">
      <w:pPr>
        <w:spacing w:before="100" w:beforeAutospacing="1" w:after="100" w:afterAutospacing="1" w:line="360" w:lineRule="auto"/>
        <w:jc w:val="center"/>
        <w:outlineLvl w:val="1"/>
        <w:rPr>
          <w:rFonts w:ascii="Arial" w:eastAsia="Times New Roman" w:hAnsi="Arial" w:cs="Arial"/>
          <w:b/>
          <w:bCs/>
          <w:kern w:val="0"/>
          <w:lang w:eastAsia="en-GB"/>
          <w14:ligatures w14:val="none"/>
        </w:rPr>
      </w:pPr>
    </w:p>
    <w:p w14:paraId="7934261D" w14:textId="77777777" w:rsidR="001B2C25" w:rsidRPr="00954304" w:rsidRDefault="001B2C25" w:rsidP="00954304">
      <w:pPr>
        <w:spacing w:before="100" w:beforeAutospacing="1" w:after="100" w:afterAutospacing="1" w:line="360" w:lineRule="auto"/>
        <w:jc w:val="center"/>
        <w:outlineLvl w:val="1"/>
        <w:rPr>
          <w:rFonts w:ascii="Arial" w:eastAsia="Times New Roman" w:hAnsi="Arial" w:cs="Arial"/>
          <w:b/>
          <w:bCs/>
          <w:kern w:val="0"/>
          <w:lang w:eastAsia="en-GB"/>
          <w14:ligatures w14:val="none"/>
        </w:rPr>
      </w:pPr>
    </w:p>
    <w:p w14:paraId="06667F58" w14:textId="77777777" w:rsidR="001B2C25" w:rsidRPr="00954304" w:rsidRDefault="001B2C25" w:rsidP="00954304">
      <w:pPr>
        <w:spacing w:before="100" w:beforeAutospacing="1" w:after="100" w:afterAutospacing="1" w:line="360" w:lineRule="auto"/>
        <w:jc w:val="center"/>
        <w:outlineLvl w:val="1"/>
        <w:rPr>
          <w:rFonts w:ascii="Arial" w:eastAsia="Times New Roman" w:hAnsi="Arial" w:cs="Arial"/>
          <w:b/>
          <w:bCs/>
          <w:kern w:val="0"/>
          <w:lang w:eastAsia="en-GB"/>
          <w14:ligatures w14:val="none"/>
        </w:rPr>
      </w:pPr>
    </w:p>
    <w:p w14:paraId="2725E043" w14:textId="77777777" w:rsidR="001B2C25" w:rsidRPr="00954304" w:rsidRDefault="001B2C25" w:rsidP="00954304">
      <w:pPr>
        <w:spacing w:before="100" w:beforeAutospacing="1" w:after="100" w:afterAutospacing="1" w:line="360" w:lineRule="auto"/>
        <w:jc w:val="center"/>
        <w:outlineLvl w:val="2"/>
        <w:rPr>
          <w:rFonts w:ascii="Arial" w:eastAsia="Times New Roman" w:hAnsi="Arial" w:cs="Arial"/>
          <w:b/>
          <w:bCs/>
          <w:kern w:val="0"/>
          <w:lang w:eastAsia="en-GB"/>
          <w14:ligatures w14:val="none"/>
        </w:rPr>
      </w:pPr>
      <w:r w:rsidRPr="00954304">
        <w:rPr>
          <w:rFonts w:ascii="Arial" w:eastAsia="Times New Roman" w:hAnsi="Arial" w:cs="Arial"/>
          <w:b/>
          <w:bCs/>
          <w:kern w:val="0"/>
          <w:lang w:eastAsia="en-GB"/>
          <w14:ligatures w14:val="none"/>
        </w:rPr>
        <w:t>Module: LCLM6002 – Design Thinking and Innovation</w:t>
      </w:r>
    </w:p>
    <w:p w14:paraId="73193A96" w14:textId="77777777" w:rsidR="001B2C25" w:rsidRPr="00954304" w:rsidRDefault="001B2C25" w:rsidP="00954304">
      <w:pPr>
        <w:spacing w:before="100" w:beforeAutospacing="1" w:after="100" w:afterAutospacing="1" w:line="360" w:lineRule="auto"/>
        <w:jc w:val="center"/>
        <w:rPr>
          <w:rFonts w:ascii="Arial" w:eastAsia="Times New Roman" w:hAnsi="Arial" w:cs="Arial"/>
          <w:kern w:val="0"/>
          <w:lang w:eastAsia="en-GB"/>
          <w14:ligatures w14:val="none"/>
        </w:rPr>
      </w:pPr>
      <w:r w:rsidRPr="00954304">
        <w:rPr>
          <w:rFonts w:ascii="Arial" w:eastAsia="Times New Roman" w:hAnsi="Arial" w:cs="Arial"/>
          <w:b/>
          <w:bCs/>
          <w:kern w:val="0"/>
          <w:lang w:eastAsia="en-GB"/>
          <w14:ligatures w14:val="none"/>
        </w:rPr>
        <w:t>Student Name:</w:t>
      </w:r>
      <w:r w:rsidRPr="00954304">
        <w:rPr>
          <w:rFonts w:ascii="Arial" w:eastAsia="Times New Roman" w:hAnsi="Arial" w:cs="Arial"/>
          <w:kern w:val="0"/>
          <w:lang w:eastAsia="en-GB"/>
          <w14:ligatures w14:val="none"/>
        </w:rPr>
        <w:t xml:space="preserve"> Galyna Vovk</w:t>
      </w:r>
    </w:p>
    <w:p w14:paraId="29E97AF0" w14:textId="77777777" w:rsidR="001B2C25" w:rsidRPr="00954304" w:rsidRDefault="001B2C25" w:rsidP="00954304">
      <w:pPr>
        <w:spacing w:before="100" w:beforeAutospacing="1" w:after="100" w:afterAutospacing="1" w:line="360" w:lineRule="auto"/>
        <w:jc w:val="center"/>
        <w:rPr>
          <w:rFonts w:ascii="Arial" w:eastAsia="Times New Roman" w:hAnsi="Arial" w:cs="Arial"/>
          <w:kern w:val="0"/>
          <w:lang w:eastAsia="en-GB"/>
          <w14:ligatures w14:val="none"/>
        </w:rPr>
      </w:pPr>
      <w:r w:rsidRPr="00954304">
        <w:rPr>
          <w:rFonts w:ascii="Arial" w:eastAsia="Times New Roman" w:hAnsi="Arial" w:cs="Arial"/>
          <w:b/>
          <w:bCs/>
          <w:kern w:val="0"/>
          <w:lang w:eastAsia="en-GB"/>
          <w14:ligatures w14:val="none"/>
        </w:rPr>
        <w:t>Student Number:</w:t>
      </w:r>
      <w:r w:rsidRPr="00954304">
        <w:rPr>
          <w:rFonts w:ascii="Arial" w:eastAsia="Times New Roman" w:hAnsi="Arial" w:cs="Arial"/>
          <w:kern w:val="0"/>
          <w:lang w:eastAsia="en-GB"/>
          <w14:ligatures w14:val="none"/>
        </w:rPr>
        <w:t xml:space="preserve"> 2337083</w:t>
      </w:r>
    </w:p>
    <w:p w14:paraId="7D1E1922" w14:textId="77777777" w:rsidR="001B2C25" w:rsidRPr="00954304" w:rsidRDefault="001B2C25" w:rsidP="00954304">
      <w:pPr>
        <w:spacing w:before="100" w:beforeAutospacing="1" w:after="100" w:afterAutospacing="1" w:line="360" w:lineRule="auto"/>
        <w:jc w:val="center"/>
        <w:rPr>
          <w:rFonts w:ascii="Arial" w:eastAsia="Times New Roman" w:hAnsi="Arial" w:cs="Arial"/>
          <w:kern w:val="0"/>
          <w:lang w:eastAsia="en-GB"/>
          <w14:ligatures w14:val="none"/>
        </w:rPr>
      </w:pPr>
      <w:r w:rsidRPr="00954304">
        <w:rPr>
          <w:rFonts w:ascii="Arial" w:eastAsia="Times New Roman" w:hAnsi="Arial" w:cs="Arial"/>
          <w:b/>
          <w:bCs/>
          <w:kern w:val="0"/>
          <w:lang w:eastAsia="en-GB"/>
          <w14:ligatures w14:val="none"/>
        </w:rPr>
        <w:t>Module Leader:</w:t>
      </w:r>
      <w:r w:rsidRPr="00954304">
        <w:rPr>
          <w:rFonts w:ascii="Arial" w:eastAsia="Times New Roman" w:hAnsi="Arial" w:cs="Arial"/>
          <w:kern w:val="0"/>
          <w:lang w:eastAsia="en-GB"/>
          <w14:ligatures w14:val="none"/>
        </w:rPr>
        <w:t xml:space="preserve"> Rexon Nting</w:t>
      </w:r>
    </w:p>
    <w:p w14:paraId="24971DE7" w14:textId="77777777" w:rsidR="001B2C25" w:rsidRPr="00954304" w:rsidRDefault="001B2C25" w:rsidP="00954304">
      <w:pPr>
        <w:spacing w:before="100" w:beforeAutospacing="1" w:after="100" w:afterAutospacing="1" w:line="360" w:lineRule="auto"/>
        <w:outlineLvl w:val="0"/>
        <w:rPr>
          <w:rFonts w:ascii="Arial" w:eastAsia="Times New Roman" w:hAnsi="Arial" w:cs="Arial"/>
          <w:b/>
          <w:bCs/>
          <w:kern w:val="36"/>
          <w:lang w:eastAsia="en-GB"/>
          <w14:ligatures w14:val="none"/>
        </w:rPr>
      </w:pPr>
    </w:p>
    <w:p w14:paraId="7507054F" w14:textId="77777777" w:rsidR="001B2C25" w:rsidRPr="00954304" w:rsidRDefault="001B2C25" w:rsidP="00954304">
      <w:pPr>
        <w:spacing w:before="100" w:beforeAutospacing="1" w:after="100" w:afterAutospacing="1" w:line="360" w:lineRule="auto"/>
        <w:outlineLvl w:val="0"/>
        <w:rPr>
          <w:rFonts w:ascii="Arial" w:eastAsia="Times New Roman" w:hAnsi="Arial" w:cs="Arial"/>
          <w:b/>
          <w:bCs/>
          <w:kern w:val="36"/>
          <w:lang w:eastAsia="en-GB"/>
          <w14:ligatures w14:val="none"/>
        </w:rPr>
      </w:pPr>
    </w:p>
    <w:p w14:paraId="6EEAFD90" w14:textId="77777777" w:rsidR="001B2C25" w:rsidRPr="00954304" w:rsidRDefault="001B2C25" w:rsidP="00954304">
      <w:pPr>
        <w:spacing w:before="100" w:beforeAutospacing="1" w:after="100" w:afterAutospacing="1" w:line="360" w:lineRule="auto"/>
        <w:outlineLvl w:val="0"/>
        <w:rPr>
          <w:rFonts w:ascii="Arial" w:eastAsia="Times New Roman" w:hAnsi="Arial" w:cs="Arial"/>
          <w:b/>
          <w:bCs/>
          <w:kern w:val="36"/>
          <w:lang w:eastAsia="en-GB"/>
          <w14:ligatures w14:val="none"/>
        </w:rPr>
      </w:pPr>
    </w:p>
    <w:p w14:paraId="6BD5C699" w14:textId="77777777" w:rsidR="001B2C25" w:rsidRPr="00954304" w:rsidRDefault="001B2C25" w:rsidP="00954304">
      <w:pPr>
        <w:spacing w:before="100" w:beforeAutospacing="1" w:after="100" w:afterAutospacing="1" w:line="360" w:lineRule="auto"/>
        <w:outlineLvl w:val="0"/>
        <w:rPr>
          <w:rFonts w:ascii="Arial" w:eastAsia="Times New Roman" w:hAnsi="Arial" w:cs="Arial"/>
          <w:b/>
          <w:bCs/>
          <w:kern w:val="36"/>
          <w:lang w:eastAsia="en-GB"/>
          <w14:ligatures w14:val="none"/>
        </w:rPr>
      </w:pPr>
    </w:p>
    <w:p w14:paraId="1CEA2DFC" w14:textId="77777777" w:rsidR="001B2C25" w:rsidRPr="00954304" w:rsidRDefault="001B2C25" w:rsidP="00954304">
      <w:pPr>
        <w:spacing w:before="100" w:beforeAutospacing="1" w:after="100" w:afterAutospacing="1" w:line="360" w:lineRule="auto"/>
        <w:outlineLvl w:val="0"/>
        <w:rPr>
          <w:rFonts w:ascii="Arial" w:eastAsia="Times New Roman" w:hAnsi="Arial" w:cs="Arial"/>
          <w:b/>
          <w:bCs/>
          <w:kern w:val="36"/>
          <w:lang w:eastAsia="en-GB"/>
          <w14:ligatures w14:val="none"/>
        </w:rPr>
      </w:pPr>
    </w:p>
    <w:p w14:paraId="2FC4D428" w14:textId="77777777" w:rsidR="00954304" w:rsidRPr="00954304" w:rsidRDefault="00954304" w:rsidP="00954304">
      <w:pPr>
        <w:spacing w:before="100" w:beforeAutospacing="1" w:after="100" w:afterAutospacing="1" w:line="360" w:lineRule="auto"/>
        <w:outlineLvl w:val="0"/>
        <w:rPr>
          <w:rFonts w:ascii="Arial" w:eastAsia="Times New Roman" w:hAnsi="Arial" w:cs="Arial"/>
          <w:b/>
          <w:bCs/>
          <w:kern w:val="36"/>
          <w:lang w:eastAsia="en-GB"/>
          <w14:ligatures w14:val="none"/>
        </w:rPr>
      </w:pPr>
      <w:r w:rsidRPr="00954304">
        <w:rPr>
          <w:rFonts w:ascii="Arial" w:eastAsia="Times New Roman" w:hAnsi="Arial" w:cs="Arial"/>
          <w:b/>
          <w:bCs/>
          <w:kern w:val="36"/>
          <w:lang w:eastAsia="en-GB"/>
          <w14:ligatures w14:val="none"/>
        </w:rPr>
        <w:lastRenderedPageBreak/>
        <w:t>Table of Contents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400"/>
        <w:gridCol w:w="320"/>
      </w:tblGrid>
      <w:tr w:rsidR="00954304" w:rsidRPr="00954304" w14:paraId="399B3487" w14:textId="77777777">
        <w:trPr>
          <w:tblCellSpacing w:w="15" w:type="dxa"/>
        </w:trPr>
        <w:tc>
          <w:tcPr>
            <w:tcW w:w="0" w:type="auto"/>
            <w:vAlign w:val="center"/>
            <w:hideMark/>
          </w:tcPr>
          <w:p w14:paraId="1D305A8C" w14:textId="77777777" w:rsidR="00954304" w:rsidRPr="00954304" w:rsidRDefault="00954304" w:rsidP="00954304">
            <w:pPr>
              <w:spacing w:after="0" w:line="360" w:lineRule="auto"/>
              <w:rPr>
                <w:rFonts w:ascii="Arial" w:eastAsia="Times New Roman" w:hAnsi="Arial" w:cs="Arial"/>
                <w:kern w:val="0"/>
                <w:lang w:eastAsia="en-GB"/>
                <w14:ligatures w14:val="none"/>
              </w:rPr>
            </w:pPr>
            <w:r w:rsidRPr="00954304">
              <w:rPr>
                <w:rFonts w:ascii="Arial" w:eastAsia="Times New Roman" w:hAnsi="Arial" w:cs="Arial"/>
                <w:b/>
                <w:bCs/>
                <w:kern w:val="0"/>
                <w:lang w:eastAsia="en-GB"/>
                <w14:ligatures w14:val="none"/>
              </w:rPr>
              <w:t>Introduction</w:t>
            </w:r>
          </w:p>
        </w:tc>
        <w:tc>
          <w:tcPr>
            <w:tcW w:w="0" w:type="auto"/>
            <w:vAlign w:val="center"/>
            <w:hideMark/>
          </w:tcPr>
          <w:p w14:paraId="630E608F" w14:textId="01447D3B" w:rsidR="00954304" w:rsidRPr="00954304" w:rsidRDefault="00954304" w:rsidP="00954304">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3</w:t>
            </w:r>
          </w:p>
        </w:tc>
      </w:tr>
      <w:tr w:rsidR="00954304" w:rsidRPr="00954304" w14:paraId="21761505" w14:textId="77777777">
        <w:trPr>
          <w:tblCellSpacing w:w="15" w:type="dxa"/>
        </w:trPr>
        <w:tc>
          <w:tcPr>
            <w:tcW w:w="0" w:type="auto"/>
            <w:vAlign w:val="center"/>
            <w:hideMark/>
          </w:tcPr>
          <w:p w14:paraId="123AEC13" w14:textId="77777777" w:rsidR="00954304" w:rsidRPr="00954304" w:rsidRDefault="00954304" w:rsidP="00954304">
            <w:pPr>
              <w:spacing w:after="0" w:line="360" w:lineRule="auto"/>
              <w:rPr>
                <w:rFonts w:ascii="Arial" w:eastAsia="Times New Roman" w:hAnsi="Arial" w:cs="Arial"/>
                <w:kern w:val="0"/>
                <w:lang w:eastAsia="en-GB"/>
                <w14:ligatures w14:val="none"/>
              </w:rPr>
            </w:pPr>
            <w:r w:rsidRPr="00954304">
              <w:rPr>
                <w:rFonts w:ascii="Arial" w:eastAsia="Times New Roman" w:hAnsi="Arial" w:cs="Arial"/>
                <w:b/>
                <w:bCs/>
                <w:kern w:val="0"/>
                <w:lang w:eastAsia="en-GB"/>
                <w14:ligatures w14:val="none"/>
              </w:rPr>
              <w:t>Task 1: Opportunity Identification and Evaluation</w:t>
            </w:r>
          </w:p>
        </w:tc>
        <w:tc>
          <w:tcPr>
            <w:tcW w:w="0" w:type="auto"/>
            <w:vAlign w:val="center"/>
            <w:hideMark/>
          </w:tcPr>
          <w:p w14:paraId="797F3DE3" w14:textId="763A7FAF" w:rsidR="00954304" w:rsidRPr="00954304" w:rsidRDefault="00954304" w:rsidP="00954304">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4</w:t>
            </w:r>
          </w:p>
        </w:tc>
      </w:tr>
      <w:tr w:rsidR="00954304" w:rsidRPr="00954304" w14:paraId="18947904" w14:textId="77777777">
        <w:trPr>
          <w:tblCellSpacing w:w="15" w:type="dxa"/>
        </w:trPr>
        <w:tc>
          <w:tcPr>
            <w:tcW w:w="0" w:type="auto"/>
            <w:vAlign w:val="center"/>
            <w:hideMark/>
          </w:tcPr>
          <w:p w14:paraId="4A11157E" w14:textId="77777777" w:rsidR="00954304" w:rsidRPr="00954304" w:rsidRDefault="00954304" w:rsidP="00954304">
            <w:pPr>
              <w:spacing w:after="0" w:line="360" w:lineRule="auto"/>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1.1 Opportunity Area 1: Affordable AI-Powered Digital Commerce for SMEs</w:t>
            </w:r>
          </w:p>
        </w:tc>
        <w:tc>
          <w:tcPr>
            <w:tcW w:w="0" w:type="auto"/>
            <w:vAlign w:val="center"/>
            <w:hideMark/>
          </w:tcPr>
          <w:p w14:paraId="0C7250DA" w14:textId="0EC7D919" w:rsidR="00954304" w:rsidRPr="00954304" w:rsidRDefault="00954304" w:rsidP="00954304">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4</w:t>
            </w:r>
          </w:p>
        </w:tc>
      </w:tr>
      <w:tr w:rsidR="00954304" w:rsidRPr="00954304" w14:paraId="567100F1" w14:textId="77777777">
        <w:trPr>
          <w:tblCellSpacing w:w="15" w:type="dxa"/>
        </w:trPr>
        <w:tc>
          <w:tcPr>
            <w:tcW w:w="0" w:type="auto"/>
            <w:vAlign w:val="center"/>
            <w:hideMark/>
          </w:tcPr>
          <w:p w14:paraId="12F33C50" w14:textId="77777777" w:rsidR="00954304" w:rsidRPr="00954304" w:rsidRDefault="00954304" w:rsidP="00954304">
            <w:pPr>
              <w:spacing w:after="0" w:line="360" w:lineRule="auto"/>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1.2 Opportunity Area 2: AI-Powered Personalised Customer Experience</w:t>
            </w:r>
          </w:p>
        </w:tc>
        <w:tc>
          <w:tcPr>
            <w:tcW w:w="0" w:type="auto"/>
            <w:vAlign w:val="center"/>
            <w:hideMark/>
          </w:tcPr>
          <w:p w14:paraId="185D82D6" w14:textId="2FFE17E7" w:rsidR="00954304" w:rsidRPr="00954304" w:rsidRDefault="00954304" w:rsidP="00954304">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5</w:t>
            </w:r>
          </w:p>
        </w:tc>
      </w:tr>
      <w:tr w:rsidR="00954304" w:rsidRPr="00954304" w14:paraId="14C92C5C" w14:textId="77777777">
        <w:trPr>
          <w:tblCellSpacing w:w="15" w:type="dxa"/>
        </w:trPr>
        <w:tc>
          <w:tcPr>
            <w:tcW w:w="0" w:type="auto"/>
            <w:vAlign w:val="center"/>
            <w:hideMark/>
          </w:tcPr>
          <w:p w14:paraId="483DF60A" w14:textId="77777777" w:rsidR="00954304" w:rsidRPr="00954304" w:rsidRDefault="00954304" w:rsidP="00954304">
            <w:pPr>
              <w:spacing w:after="0" w:line="360" w:lineRule="auto"/>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1.3 Opportunity Area 3: Smart Last-Mile Delivery Solutions</w:t>
            </w:r>
          </w:p>
        </w:tc>
        <w:tc>
          <w:tcPr>
            <w:tcW w:w="0" w:type="auto"/>
            <w:vAlign w:val="center"/>
            <w:hideMark/>
          </w:tcPr>
          <w:p w14:paraId="0C14CB55" w14:textId="77777777" w:rsidR="00954304" w:rsidRPr="00954304" w:rsidRDefault="00954304" w:rsidP="00954304">
            <w:pPr>
              <w:spacing w:after="0" w:line="360" w:lineRule="auto"/>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6</w:t>
            </w:r>
          </w:p>
        </w:tc>
      </w:tr>
      <w:tr w:rsidR="00954304" w:rsidRPr="00954304" w14:paraId="332EB845" w14:textId="77777777">
        <w:trPr>
          <w:tblCellSpacing w:w="15" w:type="dxa"/>
        </w:trPr>
        <w:tc>
          <w:tcPr>
            <w:tcW w:w="0" w:type="auto"/>
            <w:vAlign w:val="center"/>
            <w:hideMark/>
          </w:tcPr>
          <w:p w14:paraId="04B78CE8" w14:textId="77777777" w:rsidR="00954304" w:rsidRPr="00954304" w:rsidRDefault="00954304" w:rsidP="00954304">
            <w:pPr>
              <w:spacing w:after="0" w:line="360" w:lineRule="auto"/>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1.4 Opportunity Area 4: Data-Driven Business Decision Support</w:t>
            </w:r>
          </w:p>
        </w:tc>
        <w:tc>
          <w:tcPr>
            <w:tcW w:w="0" w:type="auto"/>
            <w:vAlign w:val="center"/>
            <w:hideMark/>
          </w:tcPr>
          <w:p w14:paraId="10A55EB3" w14:textId="764DC57B" w:rsidR="00954304" w:rsidRPr="00954304" w:rsidRDefault="00954304" w:rsidP="00954304">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6</w:t>
            </w:r>
          </w:p>
        </w:tc>
      </w:tr>
      <w:tr w:rsidR="00954304" w:rsidRPr="00954304" w14:paraId="0CFB91F5" w14:textId="77777777">
        <w:trPr>
          <w:tblCellSpacing w:w="15" w:type="dxa"/>
        </w:trPr>
        <w:tc>
          <w:tcPr>
            <w:tcW w:w="0" w:type="auto"/>
            <w:vAlign w:val="center"/>
            <w:hideMark/>
          </w:tcPr>
          <w:p w14:paraId="225FEE3C" w14:textId="77777777" w:rsidR="00954304" w:rsidRPr="00954304" w:rsidRDefault="00954304" w:rsidP="00954304">
            <w:pPr>
              <w:spacing w:after="0" w:line="360" w:lineRule="auto"/>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1.5 Critical Evaluation of the Opportunity Areas</w:t>
            </w:r>
          </w:p>
        </w:tc>
        <w:tc>
          <w:tcPr>
            <w:tcW w:w="0" w:type="auto"/>
            <w:vAlign w:val="center"/>
            <w:hideMark/>
          </w:tcPr>
          <w:p w14:paraId="55432BFE" w14:textId="05672DD2" w:rsidR="00954304" w:rsidRPr="00954304" w:rsidRDefault="00954304" w:rsidP="00954304">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7</w:t>
            </w:r>
          </w:p>
        </w:tc>
      </w:tr>
      <w:tr w:rsidR="00954304" w:rsidRPr="00954304" w14:paraId="7E498917" w14:textId="77777777">
        <w:trPr>
          <w:tblCellSpacing w:w="15" w:type="dxa"/>
        </w:trPr>
        <w:tc>
          <w:tcPr>
            <w:tcW w:w="0" w:type="auto"/>
            <w:vAlign w:val="center"/>
            <w:hideMark/>
          </w:tcPr>
          <w:p w14:paraId="2A1B1FF3" w14:textId="77777777" w:rsidR="00954304" w:rsidRPr="00954304" w:rsidRDefault="00954304" w:rsidP="00954304">
            <w:pPr>
              <w:spacing w:after="0" w:line="360" w:lineRule="auto"/>
              <w:rPr>
                <w:rFonts w:ascii="Arial" w:eastAsia="Times New Roman" w:hAnsi="Arial" w:cs="Arial"/>
                <w:kern w:val="0"/>
                <w:lang w:eastAsia="en-GB"/>
                <w14:ligatures w14:val="none"/>
              </w:rPr>
            </w:pPr>
            <w:r w:rsidRPr="00954304">
              <w:rPr>
                <w:rFonts w:ascii="Arial" w:eastAsia="Times New Roman" w:hAnsi="Arial" w:cs="Arial"/>
                <w:b/>
                <w:bCs/>
                <w:kern w:val="0"/>
                <w:lang w:eastAsia="en-GB"/>
                <w14:ligatures w14:val="none"/>
              </w:rPr>
              <w:t>Task 2: Applying the Design Thinking Process</w:t>
            </w:r>
          </w:p>
        </w:tc>
        <w:tc>
          <w:tcPr>
            <w:tcW w:w="0" w:type="auto"/>
            <w:vAlign w:val="center"/>
            <w:hideMark/>
          </w:tcPr>
          <w:p w14:paraId="6DA56CBD" w14:textId="1450462F" w:rsidR="00954304" w:rsidRPr="00954304" w:rsidRDefault="00954304" w:rsidP="00954304">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9</w:t>
            </w:r>
          </w:p>
        </w:tc>
      </w:tr>
      <w:tr w:rsidR="00954304" w:rsidRPr="00954304" w14:paraId="3FFC41F5" w14:textId="77777777">
        <w:trPr>
          <w:tblCellSpacing w:w="15" w:type="dxa"/>
        </w:trPr>
        <w:tc>
          <w:tcPr>
            <w:tcW w:w="0" w:type="auto"/>
            <w:vAlign w:val="center"/>
            <w:hideMark/>
          </w:tcPr>
          <w:p w14:paraId="661D3010" w14:textId="77777777" w:rsidR="00954304" w:rsidRPr="00954304" w:rsidRDefault="00954304" w:rsidP="00954304">
            <w:pPr>
              <w:spacing w:after="0" w:line="360" w:lineRule="auto"/>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2.1 Empathise</w:t>
            </w:r>
          </w:p>
        </w:tc>
        <w:tc>
          <w:tcPr>
            <w:tcW w:w="0" w:type="auto"/>
            <w:vAlign w:val="center"/>
            <w:hideMark/>
          </w:tcPr>
          <w:p w14:paraId="08C9C7A2" w14:textId="13AB7B56" w:rsidR="00954304" w:rsidRPr="00954304" w:rsidRDefault="00954304" w:rsidP="00954304">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9</w:t>
            </w:r>
          </w:p>
        </w:tc>
      </w:tr>
      <w:tr w:rsidR="00954304" w:rsidRPr="00954304" w14:paraId="2C161D1E" w14:textId="77777777">
        <w:trPr>
          <w:tblCellSpacing w:w="15" w:type="dxa"/>
        </w:trPr>
        <w:tc>
          <w:tcPr>
            <w:tcW w:w="0" w:type="auto"/>
            <w:vAlign w:val="center"/>
            <w:hideMark/>
          </w:tcPr>
          <w:p w14:paraId="4B7B1F02" w14:textId="77777777" w:rsidR="00954304" w:rsidRPr="00954304" w:rsidRDefault="00954304" w:rsidP="00954304">
            <w:pPr>
              <w:spacing w:after="0" w:line="360" w:lineRule="auto"/>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2.2 Define</w:t>
            </w:r>
          </w:p>
        </w:tc>
        <w:tc>
          <w:tcPr>
            <w:tcW w:w="0" w:type="auto"/>
            <w:vAlign w:val="center"/>
            <w:hideMark/>
          </w:tcPr>
          <w:p w14:paraId="4D6162BF" w14:textId="7FF93238" w:rsidR="00954304" w:rsidRPr="00954304" w:rsidRDefault="00954304" w:rsidP="00954304">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10</w:t>
            </w:r>
          </w:p>
        </w:tc>
      </w:tr>
      <w:tr w:rsidR="00954304" w:rsidRPr="00954304" w14:paraId="35C84680" w14:textId="77777777">
        <w:trPr>
          <w:tblCellSpacing w:w="15" w:type="dxa"/>
        </w:trPr>
        <w:tc>
          <w:tcPr>
            <w:tcW w:w="0" w:type="auto"/>
            <w:vAlign w:val="center"/>
            <w:hideMark/>
          </w:tcPr>
          <w:p w14:paraId="6767D8AB" w14:textId="77777777" w:rsidR="00954304" w:rsidRPr="00954304" w:rsidRDefault="00954304" w:rsidP="00954304">
            <w:pPr>
              <w:spacing w:after="0" w:line="360" w:lineRule="auto"/>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2.3 Ideate</w:t>
            </w:r>
          </w:p>
        </w:tc>
        <w:tc>
          <w:tcPr>
            <w:tcW w:w="0" w:type="auto"/>
            <w:vAlign w:val="center"/>
            <w:hideMark/>
          </w:tcPr>
          <w:p w14:paraId="15F010FC" w14:textId="639BC839" w:rsidR="00954304" w:rsidRPr="00954304" w:rsidRDefault="00954304" w:rsidP="00954304">
            <w:pPr>
              <w:spacing w:after="0" w:line="360" w:lineRule="auto"/>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1</w:t>
            </w:r>
            <w:r>
              <w:rPr>
                <w:rFonts w:ascii="Arial" w:eastAsia="Times New Roman" w:hAnsi="Arial" w:cs="Arial"/>
                <w:kern w:val="0"/>
                <w:lang w:eastAsia="en-GB"/>
                <w14:ligatures w14:val="none"/>
              </w:rPr>
              <w:t>1</w:t>
            </w:r>
          </w:p>
        </w:tc>
      </w:tr>
      <w:tr w:rsidR="00954304" w:rsidRPr="00954304" w14:paraId="156F1D4D" w14:textId="77777777">
        <w:trPr>
          <w:tblCellSpacing w:w="15" w:type="dxa"/>
        </w:trPr>
        <w:tc>
          <w:tcPr>
            <w:tcW w:w="0" w:type="auto"/>
            <w:vAlign w:val="center"/>
            <w:hideMark/>
          </w:tcPr>
          <w:p w14:paraId="5F4563C1" w14:textId="77777777" w:rsidR="00954304" w:rsidRPr="00954304" w:rsidRDefault="00954304" w:rsidP="00954304">
            <w:pPr>
              <w:spacing w:after="0" w:line="360" w:lineRule="auto"/>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2.4 Prototype</w:t>
            </w:r>
          </w:p>
        </w:tc>
        <w:tc>
          <w:tcPr>
            <w:tcW w:w="0" w:type="auto"/>
            <w:vAlign w:val="center"/>
            <w:hideMark/>
          </w:tcPr>
          <w:p w14:paraId="0410D95B" w14:textId="4A339F5C" w:rsidR="00954304" w:rsidRPr="00954304" w:rsidRDefault="00954304" w:rsidP="00954304">
            <w:pPr>
              <w:spacing w:after="0" w:line="360" w:lineRule="auto"/>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1</w:t>
            </w:r>
            <w:r>
              <w:rPr>
                <w:rFonts w:ascii="Arial" w:eastAsia="Times New Roman" w:hAnsi="Arial" w:cs="Arial"/>
                <w:kern w:val="0"/>
                <w:lang w:eastAsia="en-GB"/>
                <w14:ligatures w14:val="none"/>
              </w:rPr>
              <w:t>2</w:t>
            </w:r>
          </w:p>
        </w:tc>
      </w:tr>
      <w:tr w:rsidR="00954304" w:rsidRPr="00954304" w14:paraId="76A396BF" w14:textId="77777777">
        <w:trPr>
          <w:tblCellSpacing w:w="15" w:type="dxa"/>
        </w:trPr>
        <w:tc>
          <w:tcPr>
            <w:tcW w:w="0" w:type="auto"/>
            <w:vAlign w:val="center"/>
            <w:hideMark/>
          </w:tcPr>
          <w:p w14:paraId="62C3D103" w14:textId="77777777" w:rsidR="00954304" w:rsidRPr="00954304" w:rsidRDefault="00954304" w:rsidP="00954304">
            <w:pPr>
              <w:spacing w:after="0" w:line="360" w:lineRule="auto"/>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2.5 Test and Refine</w:t>
            </w:r>
          </w:p>
        </w:tc>
        <w:tc>
          <w:tcPr>
            <w:tcW w:w="0" w:type="auto"/>
            <w:vAlign w:val="center"/>
            <w:hideMark/>
          </w:tcPr>
          <w:p w14:paraId="0D364938" w14:textId="7CCCA425" w:rsidR="00954304" w:rsidRPr="00954304" w:rsidRDefault="00954304" w:rsidP="00954304">
            <w:pPr>
              <w:spacing w:after="0" w:line="360" w:lineRule="auto"/>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1</w:t>
            </w:r>
            <w:r>
              <w:rPr>
                <w:rFonts w:ascii="Arial" w:eastAsia="Times New Roman" w:hAnsi="Arial" w:cs="Arial"/>
                <w:kern w:val="0"/>
                <w:lang w:eastAsia="en-GB"/>
                <w14:ligatures w14:val="none"/>
              </w:rPr>
              <w:t>3</w:t>
            </w:r>
          </w:p>
        </w:tc>
      </w:tr>
      <w:tr w:rsidR="00954304" w:rsidRPr="00954304" w14:paraId="07D6DB3A" w14:textId="77777777">
        <w:trPr>
          <w:tblCellSpacing w:w="15" w:type="dxa"/>
        </w:trPr>
        <w:tc>
          <w:tcPr>
            <w:tcW w:w="0" w:type="auto"/>
            <w:vAlign w:val="center"/>
            <w:hideMark/>
          </w:tcPr>
          <w:p w14:paraId="7CDB206F" w14:textId="77777777" w:rsidR="00954304" w:rsidRPr="00954304" w:rsidRDefault="00954304" w:rsidP="00954304">
            <w:pPr>
              <w:spacing w:after="0" w:line="360" w:lineRule="auto"/>
              <w:rPr>
                <w:rFonts w:ascii="Arial" w:eastAsia="Times New Roman" w:hAnsi="Arial" w:cs="Arial"/>
                <w:kern w:val="0"/>
                <w:lang w:eastAsia="en-GB"/>
                <w14:ligatures w14:val="none"/>
              </w:rPr>
            </w:pPr>
            <w:r w:rsidRPr="00954304">
              <w:rPr>
                <w:rFonts w:ascii="Arial" w:eastAsia="Times New Roman" w:hAnsi="Arial" w:cs="Arial"/>
                <w:b/>
                <w:bCs/>
                <w:kern w:val="0"/>
                <w:lang w:eastAsia="en-GB"/>
                <w14:ligatures w14:val="none"/>
              </w:rPr>
              <w:t>Conclusion</w:t>
            </w:r>
          </w:p>
        </w:tc>
        <w:tc>
          <w:tcPr>
            <w:tcW w:w="0" w:type="auto"/>
            <w:vAlign w:val="center"/>
            <w:hideMark/>
          </w:tcPr>
          <w:p w14:paraId="7D7836AF" w14:textId="2E435D3A" w:rsidR="00954304" w:rsidRPr="00954304" w:rsidRDefault="00954304" w:rsidP="00954304">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15</w:t>
            </w:r>
          </w:p>
        </w:tc>
      </w:tr>
      <w:tr w:rsidR="00954304" w:rsidRPr="00954304" w14:paraId="08F4BDB5" w14:textId="77777777">
        <w:trPr>
          <w:tblCellSpacing w:w="15" w:type="dxa"/>
        </w:trPr>
        <w:tc>
          <w:tcPr>
            <w:tcW w:w="0" w:type="auto"/>
            <w:vAlign w:val="center"/>
            <w:hideMark/>
          </w:tcPr>
          <w:p w14:paraId="58A4F917" w14:textId="77777777" w:rsidR="00954304" w:rsidRPr="00954304" w:rsidRDefault="00954304" w:rsidP="00954304">
            <w:pPr>
              <w:spacing w:after="0" w:line="360" w:lineRule="auto"/>
              <w:rPr>
                <w:rFonts w:ascii="Arial" w:eastAsia="Times New Roman" w:hAnsi="Arial" w:cs="Arial"/>
                <w:kern w:val="0"/>
                <w:lang w:eastAsia="en-GB"/>
                <w14:ligatures w14:val="none"/>
              </w:rPr>
            </w:pPr>
            <w:r w:rsidRPr="00954304">
              <w:rPr>
                <w:rFonts w:ascii="Arial" w:eastAsia="Times New Roman" w:hAnsi="Arial" w:cs="Arial"/>
                <w:b/>
                <w:bCs/>
                <w:kern w:val="0"/>
                <w:lang w:eastAsia="en-GB"/>
                <w14:ligatures w14:val="none"/>
              </w:rPr>
              <w:t>References</w:t>
            </w:r>
          </w:p>
        </w:tc>
        <w:tc>
          <w:tcPr>
            <w:tcW w:w="0" w:type="auto"/>
            <w:vAlign w:val="center"/>
            <w:hideMark/>
          </w:tcPr>
          <w:p w14:paraId="4BF4C9F6" w14:textId="05745EF8" w:rsidR="00954304" w:rsidRPr="00954304" w:rsidRDefault="00954304" w:rsidP="00954304">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16</w:t>
            </w:r>
          </w:p>
        </w:tc>
      </w:tr>
    </w:tbl>
    <w:p w14:paraId="6000B881" w14:textId="77777777" w:rsidR="001B2C25" w:rsidRPr="00954304" w:rsidRDefault="001B2C25" w:rsidP="00954304">
      <w:pPr>
        <w:spacing w:before="100" w:beforeAutospacing="1" w:after="100" w:afterAutospacing="1" w:line="360" w:lineRule="auto"/>
        <w:outlineLvl w:val="1"/>
        <w:rPr>
          <w:rFonts w:ascii="Arial" w:eastAsia="Times New Roman" w:hAnsi="Arial" w:cs="Arial"/>
          <w:b/>
          <w:bCs/>
          <w:kern w:val="0"/>
          <w:lang w:eastAsia="en-GB"/>
          <w14:ligatures w14:val="none"/>
        </w:rPr>
      </w:pPr>
    </w:p>
    <w:p w14:paraId="6C254D09" w14:textId="77777777" w:rsidR="00C37C9C" w:rsidRPr="00954304" w:rsidRDefault="00C37C9C" w:rsidP="00954304">
      <w:pPr>
        <w:spacing w:before="100" w:beforeAutospacing="1" w:after="100" w:afterAutospacing="1" w:line="360" w:lineRule="auto"/>
        <w:outlineLvl w:val="1"/>
        <w:rPr>
          <w:rFonts w:ascii="Arial" w:eastAsia="Times New Roman" w:hAnsi="Arial" w:cs="Arial"/>
          <w:b/>
          <w:bCs/>
          <w:kern w:val="0"/>
          <w:lang w:eastAsia="en-GB"/>
          <w14:ligatures w14:val="none"/>
        </w:rPr>
      </w:pPr>
    </w:p>
    <w:p w14:paraId="3608764D" w14:textId="77777777" w:rsidR="00954304" w:rsidRDefault="00954304" w:rsidP="00954304">
      <w:pPr>
        <w:pStyle w:val="pdq2pgselectionanchorcontainer"/>
        <w:spacing w:line="360" w:lineRule="auto"/>
        <w:rPr>
          <w:rFonts w:ascii="Arial" w:hAnsi="Arial" w:cs="Arial"/>
          <w:sz w:val="22"/>
          <w:szCs w:val="22"/>
        </w:rPr>
      </w:pPr>
    </w:p>
    <w:p w14:paraId="488DADF3" w14:textId="77777777" w:rsidR="00954304" w:rsidRDefault="00954304" w:rsidP="00954304">
      <w:pPr>
        <w:pStyle w:val="pdq2pgselectionanchorcontainer"/>
        <w:spacing w:line="360" w:lineRule="auto"/>
        <w:rPr>
          <w:rFonts w:ascii="Arial" w:hAnsi="Arial" w:cs="Arial"/>
          <w:sz w:val="22"/>
          <w:szCs w:val="22"/>
        </w:rPr>
      </w:pPr>
    </w:p>
    <w:p w14:paraId="6DC8A7CB" w14:textId="77777777" w:rsidR="00954304" w:rsidRDefault="00954304" w:rsidP="00954304">
      <w:pPr>
        <w:pStyle w:val="pdq2pgselectionanchorcontainer"/>
        <w:spacing w:line="360" w:lineRule="auto"/>
        <w:rPr>
          <w:rFonts w:ascii="Arial" w:hAnsi="Arial" w:cs="Arial"/>
          <w:sz w:val="22"/>
          <w:szCs w:val="22"/>
        </w:rPr>
      </w:pPr>
    </w:p>
    <w:p w14:paraId="598FC6F5" w14:textId="77777777" w:rsidR="00954304" w:rsidRDefault="00954304" w:rsidP="00954304">
      <w:pPr>
        <w:pStyle w:val="pdq2pgselectionanchorcontainer"/>
        <w:spacing w:line="360" w:lineRule="auto"/>
        <w:rPr>
          <w:rFonts w:ascii="Arial" w:hAnsi="Arial" w:cs="Arial"/>
          <w:sz w:val="22"/>
          <w:szCs w:val="22"/>
        </w:rPr>
      </w:pPr>
    </w:p>
    <w:p w14:paraId="081D9BF7" w14:textId="77777777" w:rsidR="00954304" w:rsidRDefault="00954304" w:rsidP="00954304">
      <w:pPr>
        <w:pStyle w:val="pdq2pgselectionanchorcontainer"/>
        <w:spacing w:line="360" w:lineRule="auto"/>
        <w:rPr>
          <w:rFonts w:ascii="Arial" w:hAnsi="Arial" w:cs="Arial"/>
          <w:sz w:val="22"/>
          <w:szCs w:val="22"/>
        </w:rPr>
      </w:pPr>
    </w:p>
    <w:p w14:paraId="3BF93C91" w14:textId="77777777" w:rsidR="00954304" w:rsidRDefault="00954304" w:rsidP="00954304">
      <w:pPr>
        <w:pStyle w:val="pdq2pgselectionanchorcontainer"/>
        <w:spacing w:line="360" w:lineRule="auto"/>
        <w:rPr>
          <w:rFonts w:ascii="Arial" w:hAnsi="Arial" w:cs="Arial"/>
          <w:sz w:val="22"/>
          <w:szCs w:val="22"/>
        </w:rPr>
      </w:pPr>
    </w:p>
    <w:p w14:paraId="72AA9062" w14:textId="77777777" w:rsidR="00954304" w:rsidRDefault="00954304" w:rsidP="00954304">
      <w:pPr>
        <w:pStyle w:val="pdq2pgselectionanchorcontainer"/>
        <w:spacing w:line="360" w:lineRule="auto"/>
        <w:rPr>
          <w:rFonts w:ascii="Arial" w:hAnsi="Arial" w:cs="Arial"/>
          <w:sz w:val="22"/>
          <w:szCs w:val="22"/>
        </w:rPr>
      </w:pPr>
    </w:p>
    <w:p w14:paraId="73D41A90" w14:textId="77777777" w:rsidR="00954304" w:rsidRDefault="00954304" w:rsidP="00954304">
      <w:pPr>
        <w:pStyle w:val="pdq2pgselectionanchorcontainer"/>
        <w:spacing w:line="360" w:lineRule="auto"/>
        <w:rPr>
          <w:rFonts w:ascii="Arial" w:hAnsi="Arial" w:cs="Arial"/>
          <w:sz w:val="22"/>
          <w:szCs w:val="22"/>
        </w:rPr>
      </w:pPr>
    </w:p>
    <w:p w14:paraId="16496A04" w14:textId="6FF0F294" w:rsidR="00C37C9C" w:rsidRPr="00954304" w:rsidRDefault="00C37C9C" w:rsidP="00954304">
      <w:pPr>
        <w:pStyle w:val="pdq2pgselectionanchorcontainer"/>
        <w:spacing w:line="360" w:lineRule="auto"/>
        <w:jc w:val="center"/>
        <w:rPr>
          <w:rFonts w:ascii="Arial" w:hAnsi="Arial" w:cs="Arial"/>
          <w:b/>
          <w:bCs/>
          <w:sz w:val="22"/>
          <w:szCs w:val="22"/>
        </w:rPr>
      </w:pPr>
      <w:r w:rsidRPr="00954304">
        <w:rPr>
          <w:rFonts w:ascii="Arial" w:hAnsi="Arial" w:cs="Arial"/>
          <w:b/>
          <w:bCs/>
          <w:sz w:val="22"/>
          <w:szCs w:val="22"/>
        </w:rPr>
        <w:lastRenderedPageBreak/>
        <w:t>Introduction</w:t>
      </w:r>
    </w:p>
    <w:p w14:paraId="0F6777BD" w14:textId="77EF9368" w:rsidR="00C37C9C" w:rsidRPr="00954304" w:rsidRDefault="00C37C9C" w:rsidP="00954304">
      <w:pPr>
        <w:pStyle w:val="pdq2pgselectionanchorcontainer"/>
        <w:spacing w:line="360" w:lineRule="auto"/>
        <w:ind w:firstLine="720"/>
        <w:rPr>
          <w:rFonts w:ascii="Arial" w:hAnsi="Arial" w:cs="Arial"/>
          <w:sz w:val="22"/>
          <w:szCs w:val="22"/>
        </w:rPr>
      </w:pPr>
      <w:r w:rsidRPr="00954304">
        <w:rPr>
          <w:rFonts w:ascii="Arial" w:hAnsi="Arial" w:cs="Arial"/>
          <w:sz w:val="22"/>
          <w:szCs w:val="22"/>
        </w:rPr>
        <w:t>Digital transformation is reshaping how organisations create value, compete and respond to changing customer expectations. For UK small and medium-sized enterprises (SMEs), adopting digital technologies has become increasingly important for improving efficiency, strengthening competitiveness and supporting long-term growth. However, many SMEs continue to face barriers including limited financial resources, fragmented digital systems and a lack of specialist expertise, making the successful adoption of advanced technologies particularly challenging (Department for Business and Trade, 2025). Consequently, there is a growing need for practical and affordable digital solutions that address these operational constraints.</w:t>
      </w:r>
    </w:p>
    <w:p w14:paraId="0F695080" w14:textId="77777777" w:rsidR="00C37C9C" w:rsidRPr="00954304" w:rsidRDefault="00C37C9C" w:rsidP="00954304">
      <w:pPr>
        <w:pStyle w:val="NormalWeb"/>
        <w:spacing w:line="360" w:lineRule="auto"/>
        <w:ind w:firstLine="720"/>
        <w:rPr>
          <w:rFonts w:ascii="Arial" w:hAnsi="Arial" w:cs="Arial"/>
          <w:sz w:val="22"/>
          <w:szCs w:val="22"/>
        </w:rPr>
      </w:pPr>
      <w:r w:rsidRPr="00954304">
        <w:rPr>
          <w:rFonts w:ascii="Arial" w:hAnsi="Arial" w:cs="Arial"/>
          <w:sz w:val="22"/>
          <w:szCs w:val="22"/>
        </w:rPr>
        <w:t>This portfolio applies the principles of Design Thinking to identify and develop an innovation opportunity that responds to these challenges. Brown (2009) argues that Design Thinking places users at the centre of innovation by balancing desirability, feasibility and viability to create solutions that are both practical and commercially sustainable. Adopting this approach enables innovation to be guided by user needs rather than technology alone.</w:t>
      </w:r>
    </w:p>
    <w:p w14:paraId="5641F2E0" w14:textId="77777777" w:rsidR="00C37C9C" w:rsidRPr="00954304" w:rsidRDefault="00C37C9C" w:rsidP="00954304">
      <w:pPr>
        <w:pStyle w:val="NormalWeb"/>
        <w:spacing w:line="360" w:lineRule="auto"/>
        <w:ind w:firstLine="720"/>
        <w:rPr>
          <w:rFonts w:ascii="Arial" w:hAnsi="Arial" w:cs="Arial"/>
          <w:sz w:val="22"/>
          <w:szCs w:val="22"/>
        </w:rPr>
      </w:pPr>
      <w:r w:rsidRPr="00954304">
        <w:rPr>
          <w:rFonts w:ascii="Arial" w:hAnsi="Arial" w:cs="Arial"/>
          <w:sz w:val="22"/>
          <w:szCs w:val="22"/>
        </w:rPr>
        <w:t xml:space="preserve">The portfolio is divided into two interconnected tasks. </w:t>
      </w:r>
      <w:r w:rsidRPr="00954304">
        <w:rPr>
          <w:rStyle w:val="Strong"/>
          <w:rFonts w:ascii="Arial" w:eastAsiaTheme="majorEastAsia" w:hAnsi="Arial" w:cs="Arial"/>
          <w:sz w:val="22"/>
          <w:szCs w:val="22"/>
        </w:rPr>
        <w:t>Task 1</w:t>
      </w:r>
      <w:r w:rsidRPr="00954304">
        <w:rPr>
          <w:rFonts w:ascii="Arial" w:hAnsi="Arial" w:cs="Arial"/>
          <w:sz w:val="22"/>
          <w:szCs w:val="22"/>
        </w:rPr>
        <w:t xml:space="preserve"> identifies and critically evaluates four innovation opportunities relevant to UK SMEs by considering user needs, market demand, technological feasibility and long-term scalability. Based on this evaluation, the most suitable opportunity is selected for further development. </w:t>
      </w:r>
      <w:r w:rsidRPr="00954304">
        <w:rPr>
          <w:rStyle w:val="Strong"/>
          <w:rFonts w:ascii="Arial" w:eastAsiaTheme="majorEastAsia" w:hAnsi="Arial" w:cs="Arial"/>
          <w:sz w:val="22"/>
          <w:szCs w:val="22"/>
        </w:rPr>
        <w:t>Task 2</w:t>
      </w:r>
      <w:r w:rsidRPr="00954304">
        <w:rPr>
          <w:rFonts w:ascii="Arial" w:hAnsi="Arial" w:cs="Arial"/>
          <w:sz w:val="22"/>
          <w:szCs w:val="22"/>
        </w:rPr>
        <w:t xml:space="preserve"> applies the five stages of the Design Thinking process—Empathise, Define, Ideate, Prototype and Test—to develop </w:t>
      </w:r>
      <w:r w:rsidRPr="00954304">
        <w:rPr>
          <w:rStyle w:val="Strong"/>
          <w:rFonts w:ascii="Arial" w:eastAsiaTheme="majorEastAsia" w:hAnsi="Arial" w:cs="Arial"/>
          <w:sz w:val="22"/>
          <w:szCs w:val="22"/>
        </w:rPr>
        <w:t>AI Commerce Hub</w:t>
      </w:r>
      <w:r w:rsidRPr="00954304">
        <w:rPr>
          <w:rFonts w:ascii="Arial" w:hAnsi="Arial" w:cs="Arial"/>
          <w:sz w:val="22"/>
          <w:szCs w:val="22"/>
        </w:rPr>
        <w:t>, an affordable AI-powered Software-as-a-Service (SaaS) platform that integrates essential business functions within a single user-friendly system. Together, these tasks demonstrate how Design Thinking can support the development of innovative, user-centred and commercially viable digital solutions for UK SMEs.</w:t>
      </w:r>
    </w:p>
    <w:p w14:paraId="2F8EBCBF" w14:textId="77777777" w:rsidR="00C37C9C" w:rsidRPr="00954304" w:rsidRDefault="00C37C9C" w:rsidP="00954304">
      <w:pPr>
        <w:spacing w:before="100" w:beforeAutospacing="1" w:after="100" w:afterAutospacing="1" w:line="360" w:lineRule="auto"/>
        <w:outlineLvl w:val="1"/>
        <w:rPr>
          <w:rFonts w:ascii="Arial" w:eastAsia="Times New Roman" w:hAnsi="Arial" w:cs="Arial"/>
          <w:b/>
          <w:bCs/>
          <w:kern w:val="0"/>
          <w:lang w:eastAsia="en-GB"/>
          <w14:ligatures w14:val="none"/>
        </w:rPr>
      </w:pPr>
    </w:p>
    <w:p w14:paraId="0279EE20" w14:textId="77777777" w:rsidR="00954304" w:rsidRDefault="00954304" w:rsidP="00954304">
      <w:pPr>
        <w:spacing w:before="100" w:beforeAutospacing="1" w:after="100" w:afterAutospacing="1" w:line="360" w:lineRule="auto"/>
        <w:outlineLvl w:val="1"/>
        <w:rPr>
          <w:rFonts w:ascii="Arial" w:eastAsia="Times New Roman" w:hAnsi="Arial" w:cs="Arial"/>
          <w:b/>
          <w:bCs/>
          <w:kern w:val="0"/>
          <w:lang w:eastAsia="en-GB"/>
          <w14:ligatures w14:val="none"/>
        </w:rPr>
      </w:pPr>
    </w:p>
    <w:p w14:paraId="0EE078D8" w14:textId="77777777" w:rsidR="00954304" w:rsidRDefault="00954304" w:rsidP="00954304">
      <w:pPr>
        <w:spacing w:before="100" w:beforeAutospacing="1" w:after="100" w:afterAutospacing="1" w:line="360" w:lineRule="auto"/>
        <w:outlineLvl w:val="1"/>
        <w:rPr>
          <w:rFonts w:ascii="Arial" w:eastAsia="Times New Roman" w:hAnsi="Arial" w:cs="Arial"/>
          <w:b/>
          <w:bCs/>
          <w:kern w:val="0"/>
          <w:lang w:eastAsia="en-GB"/>
          <w14:ligatures w14:val="none"/>
        </w:rPr>
      </w:pPr>
    </w:p>
    <w:p w14:paraId="18938A1C" w14:textId="77777777" w:rsidR="00954304" w:rsidRDefault="00954304" w:rsidP="00954304">
      <w:pPr>
        <w:spacing w:before="100" w:beforeAutospacing="1" w:after="100" w:afterAutospacing="1" w:line="360" w:lineRule="auto"/>
        <w:outlineLvl w:val="1"/>
        <w:rPr>
          <w:rFonts w:ascii="Arial" w:eastAsia="Times New Roman" w:hAnsi="Arial" w:cs="Arial"/>
          <w:b/>
          <w:bCs/>
          <w:kern w:val="0"/>
          <w:lang w:eastAsia="en-GB"/>
          <w14:ligatures w14:val="none"/>
        </w:rPr>
      </w:pPr>
    </w:p>
    <w:p w14:paraId="204E04FF" w14:textId="77777777" w:rsidR="00954304" w:rsidRDefault="00954304" w:rsidP="00954304">
      <w:pPr>
        <w:spacing w:before="100" w:beforeAutospacing="1" w:after="100" w:afterAutospacing="1" w:line="360" w:lineRule="auto"/>
        <w:outlineLvl w:val="1"/>
        <w:rPr>
          <w:rFonts w:ascii="Arial" w:eastAsia="Times New Roman" w:hAnsi="Arial" w:cs="Arial"/>
          <w:b/>
          <w:bCs/>
          <w:kern w:val="0"/>
          <w:lang w:eastAsia="en-GB"/>
          <w14:ligatures w14:val="none"/>
        </w:rPr>
      </w:pPr>
    </w:p>
    <w:p w14:paraId="013BA546" w14:textId="77777777" w:rsidR="00954304" w:rsidRDefault="00954304" w:rsidP="00954304">
      <w:pPr>
        <w:spacing w:before="100" w:beforeAutospacing="1" w:after="100" w:afterAutospacing="1" w:line="360" w:lineRule="auto"/>
        <w:outlineLvl w:val="1"/>
        <w:rPr>
          <w:rFonts w:ascii="Arial" w:eastAsia="Times New Roman" w:hAnsi="Arial" w:cs="Arial"/>
          <w:b/>
          <w:bCs/>
          <w:kern w:val="0"/>
          <w:lang w:eastAsia="en-GB"/>
          <w14:ligatures w14:val="none"/>
        </w:rPr>
      </w:pPr>
    </w:p>
    <w:p w14:paraId="5F9C0BCC" w14:textId="1EC2897A" w:rsidR="006B72E3" w:rsidRPr="00954304" w:rsidRDefault="00A46A57" w:rsidP="00954304">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954304">
        <w:rPr>
          <w:rFonts w:ascii="Arial" w:eastAsia="Times New Roman" w:hAnsi="Arial" w:cs="Arial"/>
          <w:b/>
          <w:bCs/>
          <w:kern w:val="0"/>
          <w:lang w:eastAsia="en-GB"/>
          <w14:ligatures w14:val="none"/>
        </w:rPr>
        <w:lastRenderedPageBreak/>
        <w:t xml:space="preserve">Task </w:t>
      </w:r>
      <w:r w:rsidR="006B72E3" w:rsidRPr="00954304">
        <w:rPr>
          <w:rFonts w:ascii="Arial" w:eastAsia="Times New Roman" w:hAnsi="Arial" w:cs="Arial"/>
          <w:b/>
          <w:bCs/>
          <w:kern w:val="0"/>
          <w:lang w:eastAsia="en-GB"/>
          <w14:ligatures w14:val="none"/>
        </w:rPr>
        <w:t>1</w:t>
      </w:r>
      <w:r w:rsidR="00954304">
        <w:rPr>
          <w:rFonts w:ascii="Arial" w:eastAsia="Times New Roman" w:hAnsi="Arial" w:cs="Arial"/>
          <w:b/>
          <w:bCs/>
          <w:kern w:val="0"/>
          <w:lang w:eastAsia="en-GB"/>
          <w14:ligatures w14:val="none"/>
        </w:rPr>
        <w:t>.</w:t>
      </w:r>
      <w:r w:rsidR="002A2996" w:rsidRPr="00954304">
        <w:rPr>
          <w:rFonts w:ascii="Arial" w:eastAsia="Times New Roman" w:hAnsi="Arial" w:cs="Arial"/>
          <w:b/>
          <w:bCs/>
          <w:kern w:val="0"/>
          <w:lang w:eastAsia="en-GB"/>
          <w14:ligatures w14:val="none"/>
        </w:rPr>
        <w:t xml:space="preserve"> Opportunity Identification and Evaluation</w:t>
      </w:r>
    </w:p>
    <w:p w14:paraId="1962B934" w14:textId="1E70751A" w:rsidR="00A46A57" w:rsidRPr="00954304" w:rsidRDefault="00954304" w:rsidP="00954304">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1.1 </w:t>
      </w:r>
      <w:r w:rsidR="00A46A57" w:rsidRPr="00954304">
        <w:rPr>
          <w:rFonts w:ascii="Arial" w:eastAsia="Times New Roman" w:hAnsi="Arial" w:cs="Arial"/>
          <w:b/>
          <w:bCs/>
          <w:kern w:val="0"/>
          <w:lang w:eastAsia="en-GB"/>
          <w14:ligatures w14:val="none"/>
        </w:rPr>
        <w:t xml:space="preserve">Opportunity Area </w:t>
      </w:r>
      <w:r>
        <w:rPr>
          <w:rFonts w:ascii="Arial" w:eastAsia="Times New Roman" w:hAnsi="Arial" w:cs="Arial"/>
          <w:b/>
          <w:bCs/>
          <w:kern w:val="0"/>
          <w:lang w:eastAsia="en-GB"/>
          <w14:ligatures w14:val="none"/>
        </w:rPr>
        <w:t>1</w:t>
      </w:r>
      <w:r w:rsidR="00A46A57" w:rsidRPr="00954304">
        <w:rPr>
          <w:rFonts w:ascii="Arial" w:eastAsia="Times New Roman" w:hAnsi="Arial" w:cs="Arial"/>
          <w:b/>
          <w:bCs/>
          <w:kern w:val="0"/>
          <w:lang w:eastAsia="en-GB"/>
          <w14:ligatures w14:val="none"/>
        </w:rPr>
        <w:t>: Affordable AI-Powered Digital Commerce for SMEs</w:t>
      </w:r>
    </w:p>
    <w:p w14:paraId="7B67BB75" w14:textId="77777777" w:rsidR="00A46A57" w:rsidRPr="00954304" w:rsidRDefault="00A46A57"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Affordable AI-powered digital commerce presents a significant opportunity to strengthen the competitiveness of UK small and medium-sized enterprises (SMEs) as digital technologies become increasingly central to everyday business operations. While these technologies can improve efficiency, customer engagement and organisational resilience, many SMEs continue to face financial constraints, limited digital expertise and restricted access to advanced digital solutions (Department for Business and Trade, 2025). Brown (2009) argues that innovation should begin by understanding users' needs, whereas Verhoef et al. (2021) emphasise that digital transformation creates value only when technological change aligns with organisational capabilities. Together, these perspectives suggest that successful innovation depends not simply on introducing new technologies but on ensuring they are practical for the organisations expected to use them.</w:t>
      </w:r>
    </w:p>
    <w:p w14:paraId="558F60DA" w14:textId="77777777" w:rsidR="00A46A57" w:rsidRPr="00954304" w:rsidRDefault="00A46A57"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In practice, many SMEs still rely on separate applications for inventory management, online sales, customer relationship management and marketing. As these systems often operate independently, employees repeatedly transfer information, duplicate routine tasks and manually verify business records. Beyond reducing efficiency, fragmented systems also limit operational visibility and make it more difficult to deliver a consistent customer experience. Addressing these issues therefore requires more than adding another digital tool; it calls for greater integration across everyday business activities.</w:t>
      </w:r>
    </w:p>
    <w:p w14:paraId="78837404" w14:textId="77777777" w:rsidR="00A46A57" w:rsidRPr="00954304" w:rsidRDefault="00A46A57"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Existing platforms such as Shopify and WooCommerce offer extensive functionality, but many SMEs still depend on multiple third-party integrations, subscription-based add-ons and technical knowledge to achieve a fully integrated system. For businesses operating with limited resources, these requirements may reduce both affordability and usability. An accessible platform combining AI-powered automation, customer relationship management and business analytics within a single interface is therefore likely to reflect the operational realities of smaller firms more effectively. This view is supported by OECD (2021), which identifies affordability, digital capability and organisational readiness as persistent barriers to SME digitalisation. Vial (2019) similarly argues that technology generates sustainable value only when organisations possess the skills and processes required to use it effectively.</w:t>
      </w:r>
    </w:p>
    <w:p w14:paraId="6606C213" w14:textId="77777777" w:rsidR="00A46A57" w:rsidRPr="00954304" w:rsidRDefault="00A46A57"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 xml:space="preserve">Recent advances in cloud computing, generative AI and application programming interfaces (APIs) have made integrated digital platforms increasingly achievable. However, technological availability alone does not guarantee successful adoption. Without appropriate </w:t>
      </w:r>
      <w:r w:rsidRPr="00954304">
        <w:rPr>
          <w:rFonts w:ascii="Arial" w:eastAsia="Times New Roman" w:hAnsi="Arial" w:cs="Arial"/>
          <w:kern w:val="0"/>
          <w:lang w:eastAsia="en-GB"/>
          <w14:ligatures w14:val="none"/>
        </w:rPr>
        <w:lastRenderedPageBreak/>
        <w:t>onboarding, training and ongoing support, business owners may struggle to interpret AI-generated recommendations or integrate them into routine decision-making. Consequently, long-term success depends on balancing technological capability with usability, affordability and organisational readiness. Considered together, these factors make affordable AI-powered digital commerce the strongest opportunity to progress into Task 2.</w:t>
      </w:r>
    </w:p>
    <w:p w14:paraId="6B7B5AD0" w14:textId="0E46622C" w:rsidR="002747A8" w:rsidRPr="00954304" w:rsidRDefault="00954304" w:rsidP="00954304">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1.2 </w:t>
      </w:r>
      <w:r w:rsidR="002747A8" w:rsidRPr="00954304">
        <w:rPr>
          <w:rFonts w:ascii="Arial" w:eastAsia="Times New Roman" w:hAnsi="Arial" w:cs="Arial"/>
          <w:b/>
          <w:bCs/>
          <w:kern w:val="0"/>
          <w:lang w:eastAsia="en-GB"/>
          <w14:ligatures w14:val="none"/>
        </w:rPr>
        <w:t>Opportunity Area 2: AI-Powered Personalised Customer Experience</w:t>
      </w:r>
    </w:p>
    <w:p w14:paraId="7657CF9A" w14:textId="77777777" w:rsidR="002747A8" w:rsidRPr="00954304" w:rsidRDefault="002747A8"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AI-powered personalisation represents a valuable opportunity for organisations seeking to strengthen customer relationships and remain competitive in an increasingly digital marketplace. As customers expect more relevant products, services and communications across multiple digital channels, businesses are under growing pressure to deliver personalised experiences. For many SMEs, however, limited financial resources, restricted analytical capability and a lack of specialist expertise continue to make advanced personalisation difficult to implement. Brown (2009) argues that innovation should be driven by users' needs, while Huang and Rust (2021) demonstrate that artificial intelligence creates the greatest value when it enhances customer interactions rather than simply automating them. Considered together, these perspectives suggest that effective personalisation depends as much on understanding customers as on the technology itself.</w:t>
      </w:r>
    </w:p>
    <w:p w14:paraId="21C43278" w14:textId="77777777" w:rsidR="002747A8" w:rsidRPr="00954304" w:rsidRDefault="002747A8"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Artificial intelligence enables SMEs to analyse customer behaviour, segment audiences and generate tailored recommendations that improve marketing relevance and customer engagement. These capabilities can strengthen customer satisfaction, encourage repeat purchases and support more targeted communication as preferences evolve. Nevertheless, the benefits of AI-driven personalisation depend heavily on the quality and availability of customer data rather than technological capability alone.</w:t>
      </w:r>
    </w:p>
    <w:p w14:paraId="7ED0F23E" w14:textId="77777777" w:rsidR="002747A8" w:rsidRPr="00954304" w:rsidRDefault="002747A8"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Many SMEs possess relatively small or fragmented datasets, limiting the accuracy of AI-generated recommendations and reducing the effectiveness of predictive models. At the same time, organisations must manage personal information responsibly to maintain customer trust and comply with the UK General Data Protection Regulation (UK GDPR). Meeting these legal and ethical responsibilities may require additional investment in data governance and staff capability, which can present a further challenge for resource-constrained businesses. Consequently, although AI-powered personalisation demonstrates strong commercial potential and increasing technological feasibility through cloud-based AI services, its long-term value depends on balancing intelligent automation with responsible data management and sustained customer trust.</w:t>
      </w:r>
    </w:p>
    <w:p w14:paraId="59D19329" w14:textId="0297288D" w:rsidR="002747A8" w:rsidRPr="00954304" w:rsidRDefault="00954304" w:rsidP="00954304">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lastRenderedPageBreak/>
        <w:t xml:space="preserve">1.3 </w:t>
      </w:r>
      <w:r w:rsidR="002747A8" w:rsidRPr="00954304">
        <w:rPr>
          <w:rFonts w:ascii="Arial" w:eastAsia="Times New Roman" w:hAnsi="Arial" w:cs="Arial"/>
          <w:b/>
          <w:bCs/>
          <w:kern w:val="0"/>
          <w:lang w:eastAsia="en-GB"/>
          <w14:ligatures w14:val="none"/>
        </w:rPr>
        <w:t>Opportunity Area 3: Smart Last-Mile Delivery Solutions</w:t>
      </w:r>
    </w:p>
    <w:p w14:paraId="58077A0A" w14:textId="77777777" w:rsidR="002747A8" w:rsidRPr="00954304" w:rsidRDefault="002747A8"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Smart last-mile delivery represents a significant opportunity for innovation as customer expectations continue to shift towards faster, more reliable and flexible delivery services. The rapid growth of e-commerce has intensified pressure on businesses to improve logistics performance, yet many SMEs struggle to meet these expectations because of high delivery costs and limited operational resources. Brown (2009) argues that innovation should respond to genuine user problems, while Porter and Heppelmann (2014) suggest that digital technologies create competitive advantage when they improve both operational performance and customer value. Taken together, these perspectives indicate that logistics innovation should focus on solving practical business challenges rather than adopting technology simply because it is available.</w:t>
      </w:r>
    </w:p>
    <w:p w14:paraId="31E1ABEC" w14:textId="77777777" w:rsidR="002747A8" w:rsidRPr="00954304" w:rsidRDefault="002747A8"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Technologies such as artificial intelligence, route optimisation software and real-time tracking systems can help businesses reduce travel distances, lower fuel consumption and provide customers with more accurate delivery information. In addition to improving service quality, these capabilities can increase operational efficiency and reduce long-term logistics costs. Advances in cloud-based logistics platforms have also made these technologies more accessible to SMEs than was previously the case, lowering some of the barriers to adoption.</w:t>
      </w:r>
    </w:p>
    <w:p w14:paraId="398D51DB" w14:textId="77777777" w:rsidR="002747A8" w:rsidRPr="00954304" w:rsidRDefault="002747A8"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Despite these advantages, implementation remains far from straightforward. Many SMEs continue to rely on third-party logistics providers, meaning that improvements often depend on external partners rather than internal capabilities alone. Initial investment costs, system integration and employee training may further reduce the short-term benefits of adoption, particularly for businesses with limited financial and technical resources. As Vial (2019) argues, successful digital transformation depends on organisational readiness as much as technological capability. Consequently, although smart last-mile delivery offers clear commercial potential, its dependence on external infrastructure and coordination makes it less attractive than an integrated AI-powered digital commerce platform, which addresses a broader range of operational challenges faced by UK SMEs.</w:t>
      </w:r>
    </w:p>
    <w:p w14:paraId="16A16869" w14:textId="1FD7D6D8" w:rsidR="002747A8" w:rsidRPr="00954304" w:rsidRDefault="00954304" w:rsidP="00954304">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1.4 </w:t>
      </w:r>
      <w:r w:rsidR="002747A8" w:rsidRPr="00954304">
        <w:rPr>
          <w:rFonts w:ascii="Arial" w:eastAsia="Times New Roman" w:hAnsi="Arial" w:cs="Arial"/>
          <w:b/>
          <w:bCs/>
          <w:kern w:val="0"/>
          <w:lang w:eastAsia="en-GB"/>
          <w14:ligatures w14:val="none"/>
        </w:rPr>
        <w:t>Opportunity Area 4: Data-Driven Business Decision Support</w:t>
      </w:r>
    </w:p>
    <w:p w14:paraId="492F41CF" w14:textId="77777777" w:rsidR="002747A8" w:rsidRPr="00954304" w:rsidRDefault="002747A8"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 xml:space="preserve">The growing volume of digital information generated by SMEs creates valuable opportunities to improve business decision-making through accessible analytics. Although organisations routinely collect operational, financial and customer data, many smaller businesses continue to rely on intuition because they lack the analytical capability and digital tools needed to convert raw information into meaningful insights. Brown (2009) argues that </w:t>
      </w:r>
      <w:r w:rsidRPr="00954304">
        <w:rPr>
          <w:rFonts w:ascii="Arial" w:eastAsia="Times New Roman" w:hAnsi="Arial" w:cs="Arial"/>
          <w:kern w:val="0"/>
          <w:lang w:eastAsia="en-GB"/>
          <w14:ligatures w14:val="none"/>
        </w:rPr>
        <w:lastRenderedPageBreak/>
        <w:t>innovation should begin by understanding users' needs, while Davenport and Harris (2017) demonstrate that analytics create strategic value only when they become part of everyday decision-making rather than functioning as an isolated technology. Together, these perspectives suggest that data has little value unless it supports decisions that users can confidently understand and apply.</w:t>
      </w:r>
    </w:p>
    <w:p w14:paraId="34FC8ED9" w14:textId="77777777" w:rsidR="002747A8" w:rsidRPr="00954304" w:rsidRDefault="002747A8"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AI-enabled business intelligence platforms allow SMEs to combine information from multiple systems into interactive dashboards, providing real-time visibility of sales performance, customer behaviour and operational efficiency. Access to these insights can help business owners recognise emerging trends, allocate resources more effectively and respond more quickly to changing market conditions. The increasing availability of cloud computing and Software-as-a-Service (SaaS) solutions has also reduced implementation costs, making advanced analytics more attainable for smaller organisations than in the past.</w:t>
      </w:r>
    </w:p>
    <w:p w14:paraId="5800DCD8" w14:textId="77777777" w:rsidR="002747A8" w:rsidRPr="00954304" w:rsidRDefault="002747A8"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 xml:space="preserve">Even so, technology alone cannot guarantee better decisions. Poor-quality data, fragmented information systems and limited analytical capability may produce misleading insights, reducing the value of even the most sophisticated analytical tools. Organisations may also underestimate the time and organisational change required to establish effective data governance and improve employees' confidence in interpreting analytical outputs. Consequently, while this opportunity demonstrates strong desirability, technological feasibility and commercial potential, its long-term success depends on organisational maturity and reliable data management. Compared with Opportunity Area 1, these requirements make widespread adoption more demanding for many UK SMEs, reinforcing the integrated AI-powered digital commerce platform as the stronger strategic choice. </w:t>
      </w:r>
    </w:p>
    <w:p w14:paraId="3C6C4D89" w14:textId="6418972A" w:rsidR="002747A8" w:rsidRPr="00954304" w:rsidRDefault="00954304" w:rsidP="00954304">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1.</w:t>
      </w:r>
      <w:r w:rsidR="002747A8" w:rsidRPr="00954304">
        <w:rPr>
          <w:rFonts w:ascii="Arial" w:eastAsia="Times New Roman" w:hAnsi="Arial" w:cs="Arial"/>
          <w:b/>
          <w:bCs/>
          <w:kern w:val="0"/>
          <w:lang w:eastAsia="en-GB"/>
          <w14:ligatures w14:val="none"/>
        </w:rPr>
        <w:t>Critical Evaluation of the Opportunity Areas</w:t>
      </w:r>
    </w:p>
    <w:p w14:paraId="21E745A1" w14:textId="77777777" w:rsidR="002747A8" w:rsidRPr="00954304" w:rsidRDefault="002747A8"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The four opportunity areas identified through the Design Thinking process each address genuine challenges facing UK SMEs. However, their overall strategic value differs when evaluated against Brown's (2009) principles of desirability, feasibility and viability. Assessing innovation opportunities therefore requires more than identifying market demand; it also involves considering whether organisations possess the financial resources, digital capability and operational readiness needed to adopt and sustain new solutions successfully.</w:t>
      </w:r>
    </w:p>
    <w:p w14:paraId="4067088E" w14:textId="77777777" w:rsidR="002747A8" w:rsidRPr="00954304" w:rsidRDefault="002747A8"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 xml:space="preserve">Among the four opportunities, affordable AI-powered digital commerce provides the strongest balance across these criteria. Many SMEs continue to manage inventory, customer relationships and business operations through disconnected systems, creating </w:t>
      </w:r>
      <w:r w:rsidRPr="00954304">
        <w:rPr>
          <w:rFonts w:ascii="Arial" w:eastAsia="Times New Roman" w:hAnsi="Arial" w:cs="Arial"/>
          <w:kern w:val="0"/>
          <w:lang w:eastAsia="en-GB"/>
          <w14:ligatures w14:val="none"/>
        </w:rPr>
        <w:lastRenderedPageBreak/>
        <w:t>duplicated work, inconsistent information and unnecessary administrative effort. Rather than addressing a single operational issue, an integrated platform combines several essential business functions within one solution, enabling improvements across multiple areas simultaneously. This aligns with Verhoef et al. (2021), who argue that digital transformation generates lasting value only when technological innovation complements organisational capabilities, reinforcing Brown's (2009) view that innovation should respond to real user needs instead of prioritising technology itself. Although implementation would still require employee engagement, onboarding and adjustments to existing workflows, these challenges are relatively manageable when compared with the broader operational benefits.</w:t>
      </w:r>
    </w:p>
    <w:p w14:paraId="4BC00BF9" w14:textId="77777777" w:rsidR="002747A8" w:rsidRPr="00954304" w:rsidRDefault="002747A8"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AI-powered personalisation also offers considerable commercial potential by enabling businesses to deliver more relevant customer experiences. Nevertheless, its effectiveness depends heavily on the availability of reliable customer data and organisations' ability to manage that data responsibly. Huang and Rust (2021) demonstrate how AI can enhance customer value, yet many SMEs lack the volume or quality of information needed to generate consistently accurate recommendations. Furthermore, meeting UK GDPR requirements may increase both implementation costs and managerial complexity, potentially reducing accessibility for smaller businesses despite the technology's growing availability.</w:t>
      </w:r>
    </w:p>
    <w:p w14:paraId="219827E0" w14:textId="77777777" w:rsidR="002747A8" w:rsidRPr="00954304" w:rsidRDefault="002747A8"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Smart last-mile delivery improves logistics performance through route optimisation, real-time tracking and more efficient resource utilisation. However, its success often relies on external logistics providers and compatible infrastructure, reducing the level of control that SMEs have over implementation. Porter and Heppelmann (2014) argue that connected technologies strengthen competitiveness when they become fully integrated into business operations, but dependence on external partners means that expected benefits may not always be realised in practice.</w:t>
      </w:r>
    </w:p>
    <w:p w14:paraId="653E7CBD" w14:textId="77777777" w:rsidR="002747A8" w:rsidRPr="00954304" w:rsidRDefault="002747A8"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Similarly, data-driven decision support can strengthen strategic planning by transforming business information into actionable insights. Yet sophisticated analytical tools provide limited value if organisations lack reliable data, effective governance or the capability to interpret analytical outputs. Davenport and Harris (2017) emphasise that competitive advantage comes not from analytics alone but from an organisation's ability to apply those insights effectively.</w:t>
      </w:r>
    </w:p>
    <w:p w14:paraId="294439A0" w14:textId="77777777" w:rsidR="002747A8" w:rsidRPr="00954304" w:rsidRDefault="002747A8"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 xml:space="preserve">Overall, affordable AI-powered digital commerce offers the most balanced combination of user value, practical implementation and long-term scalability. By addressing multiple operational challenges within a single integrated platform, it provides a stronger </w:t>
      </w:r>
      <w:r w:rsidRPr="00954304">
        <w:rPr>
          <w:rFonts w:ascii="Arial" w:eastAsia="Times New Roman" w:hAnsi="Arial" w:cs="Arial"/>
          <w:kern w:val="0"/>
          <w:lang w:eastAsia="en-GB"/>
          <w14:ligatures w14:val="none"/>
        </w:rPr>
        <w:lastRenderedPageBreak/>
        <w:t>strategic foundation for the venture concept developed in Task 2 than the other opportunities considered.</w:t>
      </w:r>
    </w:p>
    <w:p w14:paraId="66558931" w14:textId="77777777" w:rsidR="00954304" w:rsidRDefault="00954304" w:rsidP="00954304">
      <w:pPr>
        <w:spacing w:before="100" w:beforeAutospacing="1" w:after="100" w:afterAutospacing="1" w:line="360" w:lineRule="auto"/>
        <w:outlineLvl w:val="1"/>
        <w:rPr>
          <w:rFonts w:ascii="Arial" w:eastAsia="Times New Roman" w:hAnsi="Arial" w:cs="Arial"/>
          <w:b/>
          <w:bCs/>
          <w:kern w:val="0"/>
          <w:lang w:eastAsia="en-GB"/>
          <w14:ligatures w14:val="none"/>
        </w:rPr>
      </w:pPr>
    </w:p>
    <w:p w14:paraId="6A57D2D4" w14:textId="13B37328" w:rsidR="006B72E3" w:rsidRPr="00954304" w:rsidRDefault="002F5741" w:rsidP="00954304">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954304">
        <w:rPr>
          <w:rFonts w:ascii="Arial" w:eastAsia="Times New Roman" w:hAnsi="Arial" w:cs="Arial"/>
          <w:b/>
          <w:bCs/>
          <w:kern w:val="0"/>
          <w:lang w:eastAsia="en-GB"/>
          <w14:ligatures w14:val="none"/>
        </w:rPr>
        <w:t xml:space="preserve">Task 2 </w:t>
      </w:r>
      <w:r w:rsidR="002A2996" w:rsidRPr="00954304">
        <w:rPr>
          <w:rFonts w:ascii="Arial" w:eastAsia="Times New Roman" w:hAnsi="Arial" w:cs="Arial"/>
          <w:b/>
          <w:bCs/>
          <w:kern w:val="0"/>
          <w:lang w:eastAsia="en-GB"/>
          <w14:ligatures w14:val="none"/>
        </w:rPr>
        <w:t xml:space="preserve"> Applying the Design Thinking Process</w:t>
      </w:r>
    </w:p>
    <w:p w14:paraId="615E43B0" w14:textId="6E3CE686" w:rsidR="002F5741" w:rsidRPr="00954304" w:rsidRDefault="00954304" w:rsidP="00954304">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2.1 </w:t>
      </w:r>
      <w:r w:rsidR="002F5741" w:rsidRPr="00954304">
        <w:rPr>
          <w:rFonts w:ascii="Arial" w:eastAsia="Times New Roman" w:hAnsi="Arial" w:cs="Arial"/>
          <w:b/>
          <w:bCs/>
          <w:kern w:val="0"/>
          <w:lang w:eastAsia="en-GB"/>
          <w14:ligatures w14:val="none"/>
        </w:rPr>
        <w:t>Empathise</w:t>
      </w:r>
    </w:p>
    <w:p w14:paraId="78578F80" w14:textId="77777777" w:rsidR="002F5741" w:rsidRPr="00954304" w:rsidRDefault="002F5741"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The empathise stage focuses on developing a thorough understanding of users before any solution is designed. Rather than treating technology as the starting point for innovation, Design Thinking encourages organisations to explore how people work, the challenges they experience and the support they genuinely require in their daily activities. Brown (2009) argues that innovation is more likely to succeed when it is grounded in users' experiences rather than assumptions. Accordingly, this portfolio concentrates on UK small and medium-sized enterprises (SMEs), particularly independent retailers, cafés, boutiques and service-based businesses that often operate with small teams, limited financial resources and little access to specialist technical expertise.</w:t>
      </w:r>
    </w:p>
    <w:p w14:paraId="5229162A" w14:textId="77777777" w:rsidR="002F5741" w:rsidRPr="00954304" w:rsidRDefault="002F5741"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As highlighted in Task 1, SMEs are under increasing pressure to adopt digital technologies in order to remain competitive. However, the transition is rarely straightforward. Many businesses continue to rely on separate systems for inventory management, customer relationship management, marketing and sales reporting. Because these platforms often operate independently, employees repeatedly transfer information between systems, manually verify records and duplicate routine administrative tasks. The consequences extend beyond lower efficiency. Time that could be invested in strategic planning, customer relationships or business growth is instead consumed by repetitive operational activities.</w:t>
      </w:r>
    </w:p>
    <w:p w14:paraId="0D441C0F" w14:textId="77777777" w:rsidR="002F5741" w:rsidRPr="00954304" w:rsidRDefault="002F5741"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 xml:space="preserve">To understand these challenges, this stage draws on secondary evidence from academic literature and industry reports rather than primary research. Existing studies consistently show that financial constraints and limited digital capability remain significant barriers to AI adoption within SMEs (OECD, 2023). Huang and Rust (2021) similarly argue that many AI-powered business solutions have been developed with the needs of larger organisations in mind, making them unnecessarily complex and costly for smaller firms. Considered together, these sources suggest that the principal challenge is not a lack of technology but the absence of solutions that reflect SMEs' scale, resources and everyday working practices. At the same time, reliance on secondary evidence means that differences </w:t>
      </w:r>
      <w:r w:rsidRPr="00954304">
        <w:rPr>
          <w:rFonts w:ascii="Arial" w:eastAsia="Times New Roman" w:hAnsi="Arial" w:cs="Arial"/>
          <w:kern w:val="0"/>
          <w:lang w:eastAsia="en-GB"/>
          <w14:ligatures w14:val="none"/>
        </w:rPr>
        <w:lastRenderedPageBreak/>
        <w:t>between industries, organisational cultures and levels of digital maturity cannot be fully captured, highlighting an important limitation of the analysis.</w:t>
      </w:r>
    </w:p>
    <w:p w14:paraId="08F513EA" w14:textId="77777777" w:rsidR="002F5741" w:rsidRPr="00954304" w:rsidRDefault="002F5741"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These findings are illustrated through the development of a user persona. Sarah owns a small clothing boutique in London and employs six members of staff. She manages inventory, customer information and marketing through separate software applications that are poorly integrated. Consequently, she spends considerable time re-entering information, checking data accuracy and completing routine administrative work. Given her limited budget and technical confidence, investing in enterprise-level digital platforms is unrealistic. Instead, she requires an affordable, intuitive solution capable of supporting daily business activities without extensive training or dedicated IT support.</w:t>
      </w:r>
    </w:p>
    <w:p w14:paraId="3D09AEC8" w14:textId="77777777" w:rsidR="002F5741" w:rsidRPr="00954304" w:rsidRDefault="002F5741"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 xml:space="preserve">Overall, the empathise stage demonstrates that successful digital transformation depends on more than introducing AI into existing business processes. Verhoef et al. (2021) argue that technological innovation delivers the greatest value when it aligns with organisational capabilities and users' needs. This understanding provides a clear foundation for defining the central problem addressed in the next stage of the Design Thinking process. </w:t>
      </w:r>
    </w:p>
    <w:p w14:paraId="04EF7993" w14:textId="3AE7F96E" w:rsidR="002F5741" w:rsidRPr="00954304" w:rsidRDefault="00954304" w:rsidP="00954304">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2.2 </w:t>
      </w:r>
      <w:r w:rsidR="002F5741" w:rsidRPr="00954304">
        <w:rPr>
          <w:rFonts w:ascii="Arial" w:eastAsia="Times New Roman" w:hAnsi="Arial" w:cs="Arial"/>
          <w:b/>
          <w:bCs/>
          <w:kern w:val="0"/>
          <w:lang w:eastAsia="en-GB"/>
          <w14:ligatures w14:val="none"/>
        </w:rPr>
        <w:t>Define</w:t>
      </w:r>
    </w:p>
    <w:p w14:paraId="7217A3E3" w14:textId="77777777" w:rsidR="002F5741" w:rsidRPr="00954304" w:rsidRDefault="002F5741"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The empathise stage demonstrated that the main challenge facing UK SMEs is not the lack of digital technologies but the absence of solutions that are affordable, integrated and aligned with everyday business operations. Many organisations continue to manage inventory, customer relationships, marketing activities and sales reporting through separate software applications. Working across disconnected systems increases duplicated tasks, creates inconsistencies in business information and slows decision-making, placing additional administrative pressure on business owners and small teams.</w:t>
      </w:r>
    </w:p>
    <w:p w14:paraId="0FF7311B" w14:textId="77777777" w:rsidR="002F5741" w:rsidRPr="00954304" w:rsidRDefault="002F5741"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This challenge extends beyond technology itself. Although AI-powered platforms provide increasingly sophisticated functionality, many have been designed for larger organisations with greater financial resources, dedicated IT support and higher levels of digital maturity (Huang and Rust, 2021). As Vial (2019) argues, digital transformation is most successful when technological capabilities align with an organisation's resources, operational processes and ability to manage change. Viewed together, these perspectives suggest that advanced features offer little practical value if SMEs cannot adopt or use them effectively within their daily operations.</w:t>
      </w:r>
    </w:p>
    <w:p w14:paraId="1923932E" w14:textId="77777777" w:rsidR="002F5741" w:rsidRPr="00954304" w:rsidRDefault="002F5741" w:rsidP="00954304">
      <w:pPr>
        <w:spacing w:before="100" w:beforeAutospacing="1" w:after="100" w:afterAutospacing="1" w:line="360" w:lineRule="auto"/>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Based on these findings, the central problem is defined as follows:</w:t>
      </w:r>
    </w:p>
    <w:p w14:paraId="04D2124C" w14:textId="77777777" w:rsidR="002F5741" w:rsidRPr="00954304" w:rsidRDefault="002F5741" w:rsidP="00954304">
      <w:pPr>
        <w:spacing w:before="100" w:beforeAutospacing="1" w:after="100" w:afterAutospacing="1" w:line="360" w:lineRule="auto"/>
        <w:rPr>
          <w:rFonts w:ascii="Arial" w:eastAsia="Times New Roman" w:hAnsi="Arial" w:cs="Arial"/>
          <w:kern w:val="0"/>
          <w:lang w:eastAsia="en-GB"/>
          <w14:ligatures w14:val="none"/>
        </w:rPr>
      </w:pPr>
      <w:r w:rsidRPr="00954304">
        <w:rPr>
          <w:rFonts w:ascii="Arial" w:eastAsia="Times New Roman" w:hAnsi="Arial" w:cs="Arial"/>
          <w:b/>
          <w:bCs/>
          <w:kern w:val="0"/>
          <w:lang w:eastAsia="en-GB"/>
          <w14:ligatures w14:val="none"/>
        </w:rPr>
        <w:lastRenderedPageBreak/>
        <w:t>UK SMEs require an affordable, integrated AI-powered platform that simplifies everyday operations, improves business efficiency and supports informed decision-making without requiring advanced technical expertise.</w:t>
      </w:r>
    </w:p>
    <w:p w14:paraId="0A14A523" w14:textId="77777777" w:rsidR="002F5741" w:rsidRPr="00954304" w:rsidRDefault="002F5741"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Although this problem statement is informed by secondary research rather than direct engagement with SME owners, it reflects the recurring challenges identified during the empathise stage and provides a focused foundation for generating, evaluating and refining solutions throughout the remaining stages of the Design Thinking process.</w:t>
      </w:r>
    </w:p>
    <w:p w14:paraId="111893D1" w14:textId="0A63F7D6" w:rsidR="002F5741" w:rsidRPr="00954304" w:rsidRDefault="00954304" w:rsidP="00954304">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2.3 </w:t>
      </w:r>
      <w:r w:rsidR="002F5741" w:rsidRPr="00954304">
        <w:rPr>
          <w:rFonts w:ascii="Arial" w:eastAsia="Times New Roman" w:hAnsi="Arial" w:cs="Arial"/>
          <w:b/>
          <w:bCs/>
          <w:kern w:val="0"/>
          <w:lang w:eastAsia="en-GB"/>
          <w14:ligatures w14:val="none"/>
        </w:rPr>
        <w:t>Ideate</w:t>
      </w:r>
    </w:p>
    <w:p w14:paraId="76EB6F05" w14:textId="77777777" w:rsidR="002F5741" w:rsidRPr="00954304" w:rsidRDefault="002F5741"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The ideate stage explores a range of possible solutions before selecting the concept that best addresses the problem identified during the empathise and define stages. Rather than accepting the first promising idea, Design Thinking encourages organisations to generate, compare and refine alternative concepts so that the final solution reflects both users' needs and the practical realities of implementation (Brown, 2009). Guided by this principle, three potential approaches were evaluated to support the digital transformation of UK SMEs.</w:t>
      </w:r>
    </w:p>
    <w:p w14:paraId="410F1890" w14:textId="77777777" w:rsidR="002F5741" w:rsidRPr="00954304" w:rsidRDefault="002F5741"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The first concept proposed an AI-powered chatbot capable of responding to customer enquiries automatically and providing support beyond normal business hours. This solution could improve response times, increase service availability and reduce the workload associated with routine customer interactions. However, its overall impact would remain relatively limited. Although customer communication might become more efficient, the fragmented software systems and duplicated administrative processes identified in the earlier stages would continue to affect day-to-day business operations.</w:t>
      </w:r>
    </w:p>
    <w:p w14:paraId="7B2E2EFD" w14:textId="77777777" w:rsidR="002F5741" w:rsidRPr="00954304" w:rsidRDefault="002F5741"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The second concept focused on an AI-driven analytics dashboard designed to monitor sales performance, analyse customer behaviour and identify emerging business trends. Access to real-time insights could support more informed operational and strategic decision-making. Nevertheless, the effectiveness of advanced analytics depends on the availability of accurate, integrated and reliable business data. As many SMEs continue to operate across disconnected digital systems, analytical capability alone is unlikely to generate meaningful value unless data integration is addressed simultaneously. This highlights that business intelligence is only as effective as the quality and consistency of the information on which it depends.</w:t>
      </w:r>
    </w:p>
    <w:p w14:paraId="35CDA895" w14:textId="77777777" w:rsidR="002F5741" w:rsidRPr="00954304" w:rsidRDefault="002F5741"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lastRenderedPageBreak/>
        <w:t xml:space="preserve">The third concept proposed </w:t>
      </w:r>
      <w:r w:rsidRPr="00954304">
        <w:rPr>
          <w:rFonts w:ascii="Arial" w:eastAsia="Times New Roman" w:hAnsi="Arial" w:cs="Arial"/>
          <w:b/>
          <w:bCs/>
          <w:kern w:val="0"/>
          <w:lang w:eastAsia="en-GB"/>
          <w14:ligatures w14:val="none"/>
        </w:rPr>
        <w:t>AI Commerce Hub</w:t>
      </w:r>
      <w:r w:rsidRPr="00954304">
        <w:rPr>
          <w:rFonts w:ascii="Arial" w:eastAsia="Times New Roman" w:hAnsi="Arial" w:cs="Arial"/>
          <w:kern w:val="0"/>
          <w:lang w:eastAsia="en-GB"/>
          <w14:ligatures w14:val="none"/>
        </w:rPr>
        <w:t>, a cloud-based platform integrating inventory management, customer relationship management (CRM), sales reporting and AI-powered business insights within a single system. Compared with the previous alternatives, this solution responds more directly to the needs identified during the empathise and define stages because it addresses the underlying causes of operational inefficiency rather than improving a single business function. Bringing essential processes together could reduce duplicated work, improve data consistency and simplify everyday operations while enabling faster and better-informed decision-making. At the same time, successful adoption would still require employee engagement, effective onboarding and a willingness to adapt established working practices, meaning that technology alone cannot ensure positive outcomes.</w:t>
      </w:r>
    </w:p>
    <w:p w14:paraId="2DC91B98" w14:textId="77777777" w:rsidR="002F5741" w:rsidRPr="00954304" w:rsidRDefault="002F5741"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 xml:space="preserve">Following this comparison, </w:t>
      </w:r>
      <w:r w:rsidRPr="00954304">
        <w:rPr>
          <w:rFonts w:ascii="Arial" w:eastAsia="Times New Roman" w:hAnsi="Arial" w:cs="Arial"/>
          <w:b/>
          <w:bCs/>
          <w:kern w:val="0"/>
          <w:lang w:eastAsia="en-GB"/>
          <w14:ligatures w14:val="none"/>
        </w:rPr>
        <w:t>AI Commerce Hub</w:t>
      </w:r>
      <w:r w:rsidRPr="00954304">
        <w:rPr>
          <w:rFonts w:ascii="Arial" w:eastAsia="Times New Roman" w:hAnsi="Arial" w:cs="Arial"/>
          <w:kern w:val="0"/>
          <w:lang w:eastAsia="en-GB"/>
          <w14:ligatures w14:val="none"/>
        </w:rPr>
        <w:t xml:space="preserve"> emerged as the strongest solution because it resolves several interconnected business challenges rather than offering isolated improvements. This reflects Liedtka's (2018) view that Design Thinking should evaluate ideas according to how effectively they solve users' problems, while Verhoef et al. (2021) similarly argue that digital transformation is most successful when technological innovation aligns with organisational capabilities and business needs. Although the platform cannot eliminate every challenge associated with digital transformation, its affordable SaaS model provides a practical, scalable and accessible foundation for supporting the continued digital development of UK SMEs.</w:t>
      </w:r>
    </w:p>
    <w:p w14:paraId="38382A03" w14:textId="333CE4E6" w:rsidR="002F5741" w:rsidRPr="00954304" w:rsidRDefault="00954304" w:rsidP="00954304">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2.4 </w:t>
      </w:r>
      <w:r w:rsidR="002F5741" w:rsidRPr="00954304">
        <w:rPr>
          <w:rFonts w:ascii="Arial" w:eastAsia="Times New Roman" w:hAnsi="Arial" w:cs="Arial"/>
          <w:b/>
          <w:bCs/>
          <w:kern w:val="0"/>
          <w:lang w:eastAsia="en-GB"/>
          <w14:ligatures w14:val="none"/>
        </w:rPr>
        <w:t>Prototype</w:t>
      </w:r>
    </w:p>
    <w:p w14:paraId="5DB09286" w14:textId="77777777" w:rsidR="002F5741" w:rsidRPr="00954304" w:rsidRDefault="002F5741"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 xml:space="preserve">The prototype stage transforms the selected concept into a practical solution that users can evaluate before full-scale development begins. Rather than producing a finished product, Design Thinking encourages the creation of an early version that allows assumptions to be tested, weaknesses to be identified and improvements to emerge through user feedback (Brown, 2009). Following this principle, the proposed prototype is </w:t>
      </w:r>
      <w:r w:rsidRPr="00954304">
        <w:rPr>
          <w:rFonts w:ascii="Arial" w:eastAsia="Times New Roman" w:hAnsi="Arial" w:cs="Arial"/>
          <w:b/>
          <w:bCs/>
          <w:kern w:val="0"/>
          <w:lang w:eastAsia="en-GB"/>
          <w14:ligatures w14:val="none"/>
        </w:rPr>
        <w:t>AI Commerce Hub</w:t>
      </w:r>
      <w:r w:rsidRPr="00954304">
        <w:rPr>
          <w:rFonts w:ascii="Arial" w:eastAsia="Times New Roman" w:hAnsi="Arial" w:cs="Arial"/>
          <w:kern w:val="0"/>
          <w:lang w:eastAsia="en-GB"/>
          <w14:ligatures w14:val="none"/>
        </w:rPr>
        <w:t>, a cloud-based Software-as-a-Service (SaaS) platform developed specifically to address the operational needs of UK SMEs.</w:t>
      </w:r>
    </w:p>
    <w:p w14:paraId="59F20BED" w14:textId="77777777" w:rsidR="002F5741" w:rsidRPr="00954304" w:rsidRDefault="002F5741"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 xml:space="preserve">The prototype integrates inventory management, customer relationship management (CRM), sales reporting, marketing automation and AI-powered business insights within a single digital environment. Instead of switching between multiple software applications, users can access essential business functions through one intuitive interface. This integrated approach reduces repetitive administrative work, improves data consistency and provides a clearer overview of day-to-day operations. AI-generated recommendations further support </w:t>
      </w:r>
      <w:r w:rsidRPr="00954304">
        <w:rPr>
          <w:rFonts w:ascii="Arial" w:eastAsia="Times New Roman" w:hAnsi="Arial" w:cs="Arial"/>
          <w:kern w:val="0"/>
          <w:lang w:eastAsia="en-GB"/>
          <w14:ligatures w14:val="none"/>
        </w:rPr>
        <w:lastRenderedPageBreak/>
        <w:t>inventory forecasting, sales analysis and customer engagement, enabling business owners to make more informed decisions without requiring advanced technical expertise.</w:t>
      </w:r>
    </w:p>
    <w:p w14:paraId="35C0567E" w14:textId="77777777" w:rsidR="002F5741" w:rsidRPr="00954304" w:rsidRDefault="002F5741"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To encourage adoption across SMEs with different levels of digital capability, the prototype prioritises simplicity alongside functionality. A clear dashboard, intuitive navigation and guided onboarding are designed to reduce the learning curve and improve users' confidence during the early stages of adoption. Delivering the platform through a cloud-based SaaS model also lowers hardware requirements and upfront investment, making the solution more accessible for businesses with limited financial resources. However, usability alone is unlikely to guarantee successful implementation. Employees may be reluctant to replace familiar working practices, while incomplete or inconsistent business data could reduce the reliability of AI-generated insights. In addition, organisations may underestimate the time needed for staff training and process adjustment, slowing the transition even where the technology itself performs effectively.</w:t>
      </w:r>
    </w:p>
    <w:p w14:paraId="2EC2FFFC" w14:textId="77777777" w:rsidR="002F5741" w:rsidRPr="00954304" w:rsidRDefault="002F5741"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 xml:space="preserve">The prototype therefore represents the beginning of an iterative learning process rather than a finished solution. Ries (2011) argues that prototypes should generate validated learning instead of seeking perfection, while Brown (2009) similarly views prototyping as a means of reducing uncertainty through repeated refinement. Considered together, these perspectives suggest that the initial version of </w:t>
      </w:r>
      <w:r w:rsidRPr="00954304">
        <w:rPr>
          <w:rFonts w:ascii="Arial" w:eastAsia="Times New Roman" w:hAnsi="Arial" w:cs="Arial"/>
          <w:b/>
          <w:bCs/>
          <w:kern w:val="0"/>
          <w:lang w:eastAsia="en-GB"/>
          <w14:ligatures w14:val="none"/>
        </w:rPr>
        <w:t>AI Commerce Hub</w:t>
      </w:r>
      <w:r w:rsidRPr="00954304">
        <w:rPr>
          <w:rFonts w:ascii="Arial" w:eastAsia="Times New Roman" w:hAnsi="Arial" w:cs="Arial"/>
          <w:kern w:val="0"/>
          <w:lang w:eastAsia="en-GB"/>
          <w14:ligatures w14:val="none"/>
        </w:rPr>
        <w:t xml:space="preserve"> should be evaluated not only for its technical performance but also for how well it supports users' daily work and fits existing organisational practices. Feedback gathered during testing will guide future improvements, ensuring that subsequent development remains aligned with user needs, organisational capabilities and the practical realities of digital transformation.</w:t>
      </w:r>
    </w:p>
    <w:p w14:paraId="17BB850B" w14:textId="557E3750" w:rsidR="002F5741" w:rsidRPr="00954304" w:rsidRDefault="00954304" w:rsidP="00954304">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2.5 </w:t>
      </w:r>
      <w:r w:rsidR="002F5741" w:rsidRPr="00954304">
        <w:rPr>
          <w:rFonts w:ascii="Arial" w:eastAsia="Times New Roman" w:hAnsi="Arial" w:cs="Arial"/>
          <w:b/>
          <w:bCs/>
          <w:kern w:val="0"/>
          <w:lang w:eastAsia="en-GB"/>
          <w14:ligatures w14:val="none"/>
        </w:rPr>
        <w:t>Test and Refine</w:t>
      </w:r>
    </w:p>
    <w:p w14:paraId="0FEBC3E0" w14:textId="77777777" w:rsidR="002F5741" w:rsidRPr="00954304" w:rsidRDefault="002F5741"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 xml:space="preserve">The test and refine stage evaluates how effectively the proposed solution supports users' needs while identifying areas for improvement before wider implementation. Rather than treating the prototype as a finished product, Design Thinking views testing as an ongoing learning process in which user feedback informs continuous refinement (Brown, 2009). Consistent with this approach, the initial version of </w:t>
      </w:r>
      <w:r w:rsidRPr="00954304">
        <w:rPr>
          <w:rFonts w:ascii="Arial" w:eastAsia="Times New Roman" w:hAnsi="Arial" w:cs="Arial"/>
          <w:b/>
          <w:bCs/>
          <w:kern w:val="0"/>
          <w:lang w:eastAsia="en-GB"/>
          <w14:ligatures w14:val="none"/>
        </w:rPr>
        <w:t>AI Commerce Hub</w:t>
      </w:r>
      <w:r w:rsidRPr="00954304">
        <w:rPr>
          <w:rFonts w:ascii="Arial" w:eastAsia="Times New Roman" w:hAnsi="Arial" w:cs="Arial"/>
          <w:kern w:val="0"/>
          <w:lang w:eastAsia="en-GB"/>
          <w14:ligatures w14:val="none"/>
        </w:rPr>
        <w:t xml:space="preserve"> would be evaluated with a small group of UK SMEs from different sectors, including retail, hospitality and service-based businesses, to explore how the platform performs across a range of operational contexts.</w:t>
      </w:r>
    </w:p>
    <w:p w14:paraId="62C629C9" w14:textId="77777777" w:rsidR="002F5741" w:rsidRPr="00954304" w:rsidRDefault="002F5741"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 xml:space="preserve">During the trial period, participants would use the prototype to complete everyday activities such as managing inventory, maintaining customer records, reviewing sales </w:t>
      </w:r>
      <w:r w:rsidRPr="00954304">
        <w:rPr>
          <w:rFonts w:ascii="Arial" w:eastAsia="Times New Roman" w:hAnsi="Arial" w:cs="Arial"/>
          <w:kern w:val="0"/>
          <w:lang w:eastAsia="en-GB"/>
          <w14:ligatures w14:val="none"/>
        </w:rPr>
        <w:lastRenderedPageBreak/>
        <w:t>performance and accessing AI-generated business recommendations. Evidence would be gathered through observations, interviews, questionnaires and system usage data, combining qualitative and quantitative methods to develop a more comprehensive understanding of user experience. Relying on multiple forms of evidence recognises that usability cannot be evaluated through user opinions or system metrics alone; both perspectives are needed to understand how effectively the platform supports routine business operations.</w:t>
      </w:r>
    </w:p>
    <w:p w14:paraId="673DF3CF" w14:textId="77777777" w:rsidR="002F5741" w:rsidRPr="00954304" w:rsidRDefault="002F5741"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Several measurable indicators would be used to assess performance. Usability could be evaluated through the proportion of users able to complete key tasks independently, the average time required to perform routine activities and overall satisfaction ratings collected throughout the trial. Adoption would be explored by analysing how frequently participants used core platform functions, while structured interviews would examine whether users believed the system reduced administrative workload, improved decision-making or simplified day-to-day operations. Measuring these indicators over time would provide clearer evidence of which aspects of the prototype required further refinement instead of relying solely on general user feedback.</w:t>
      </w:r>
    </w:p>
    <w:p w14:paraId="4EBF4CB3" w14:textId="77777777" w:rsidR="002F5741" w:rsidRPr="00954304" w:rsidRDefault="002F5741"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Testing is also expected to reveal practical challenges that may not become apparent during the design stage. Some participants may experience difficulties importing existing business data, adapting established workflows or interpreting AI-generated recommendations with confidence. Others may identify the need for additional onboarding materials, simpler navigation or features tailored to the specific requirements of their industry. These findings should not be viewed as shortcomings of the concept but as valuable opportunities for improvement. Ries (2011) argues that early testing should generate validated learning that guides future development, while Brown (2009) similarly emphasises repeated refinement through ongoing engagement with users.</w:t>
      </w:r>
    </w:p>
    <w:p w14:paraId="1BEE5C93" w14:textId="77777777" w:rsidR="002F5741" w:rsidRPr="00954304" w:rsidRDefault="002F5741"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 xml:space="preserve">Insights gathered during testing would be used to improve the interface, strengthen onboarding, refine AI recommendations and address usability concerns before wider deployment. This iterative approach increases the likelihood that </w:t>
      </w:r>
      <w:r w:rsidRPr="00954304">
        <w:rPr>
          <w:rFonts w:ascii="Arial" w:eastAsia="Times New Roman" w:hAnsi="Arial" w:cs="Arial"/>
          <w:b/>
          <w:bCs/>
          <w:kern w:val="0"/>
          <w:lang w:eastAsia="en-GB"/>
          <w14:ligatures w14:val="none"/>
        </w:rPr>
        <w:t>AI Commerce Hub</w:t>
      </w:r>
      <w:r w:rsidRPr="00954304">
        <w:rPr>
          <w:rFonts w:ascii="Arial" w:eastAsia="Times New Roman" w:hAnsi="Arial" w:cs="Arial"/>
          <w:kern w:val="0"/>
          <w:lang w:eastAsia="en-GB"/>
          <w14:ligatures w14:val="none"/>
        </w:rPr>
        <w:t xml:space="preserve"> remains aligned with the capabilities, resource constraints and operational needs of UK SMEs. Ultimately, the success of the testing stage should be judged not only by technical performance but by the platform's ability to deliver practical value that businesses are both willing and able to adopt in the long term. </w:t>
      </w:r>
    </w:p>
    <w:p w14:paraId="09680790" w14:textId="77777777" w:rsidR="00954304" w:rsidRDefault="00954304" w:rsidP="00954304">
      <w:pPr>
        <w:spacing w:before="100" w:beforeAutospacing="1" w:after="100" w:afterAutospacing="1" w:line="360" w:lineRule="auto"/>
        <w:outlineLvl w:val="0"/>
        <w:rPr>
          <w:rFonts w:ascii="Arial" w:eastAsia="Times New Roman" w:hAnsi="Arial" w:cs="Arial"/>
          <w:b/>
          <w:bCs/>
          <w:kern w:val="0"/>
          <w:lang w:eastAsia="en-GB"/>
          <w14:ligatures w14:val="none"/>
        </w:rPr>
      </w:pPr>
    </w:p>
    <w:p w14:paraId="77D0355D" w14:textId="151CB568" w:rsidR="00C37C9C" w:rsidRPr="00954304" w:rsidRDefault="00C37C9C" w:rsidP="00954304">
      <w:pPr>
        <w:spacing w:before="100" w:beforeAutospacing="1" w:after="100" w:afterAutospacing="1" w:line="360" w:lineRule="auto"/>
        <w:jc w:val="center"/>
        <w:outlineLvl w:val="0"/>
        <w:rPr>
          <w:rFonts w:ascii="Arial" w:eastAsia="Times New Roman" w:hAnsi="Arial" w:cs="Arial"/>
          <w:b/>
          <w:bCs/>
          <w:kern w:val="36"/>
          <w:lang w:eastAsia="en-GB"/>
          <w14:ligatures w14:val="none"/>
        </w:rPr>
      </w:pPr>
      <w:r w:rsidRPr="00954304">
        <w:rPr>
          <w:rFonts w:ascii="Arial" w:eastAsia="Times New Roman" w:hAnsi="Arial" w:cs="Arial"/>
          <w:b/>
          <w:bCs/>
          <w:kern w:val="36"/>
          <w:lang w:eastAsia="en-GB"/>
          <w14:ligatures w14:val="none"/>
        </w:rPr>
        <w:lastRenderedPageBreak/>
        <w:t>Conclusion</w:t>
      </w:r>
    </w:p>
    <w:p w14:paraId="099C231F" w14:textId="77777777" w:rsidR="00C37C9C" w:rsidRPr="00954304" w:rsidRDefault="00C37C9C"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This portfolio demonstrated how Design Thinking can support the identification, evaluation and development of innovative solutions that respond to the challenges faced by UK small and medium-sized enterprises (SMEs). Through the systematic application of the Design Thinking process, the study moved from exploring market opportunities to developing a practical venture concept grounded in users' needs and organisational realities.</w:t>
      </w:r>
    </w:p>
    <w:p w14:paraId="45FC07A5" w14:textId="77777777" w:rsidR="00C37C9C" w:rsidRPr="00954304" w:rsidRDefault="00C37C9C"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 xml:space="preserve">The evaluation of four innovation opportunities indicated that affordable AI-powered digital commerce offered the strongest balance between desirability, feasibility and commercial viability. Unlike the alternative opportunities, it addressed multiple operational challenges simultaneously by integrating essential business functions within a single accessible platform. This provided a clear foundation for the development of </w:t>
      </w:r>
      <w:r w:rsidRPr="00954304">
        <w:rPr>
          <w:rFonts w:ascii="Arial" w:eastAsia="Times New Roman" w:hAnsi="Arial" w:cs="Arial"/>
          <w:b/>
          <w:bCs/>
          <w:kern w:val="0"/>
          <w:lang w:eastAsia="en-GB"/>
          <w14:ligatures w14:val="none"/>
        </w:rPr>
        <w:t>AI Commerce Hub</w:t>
      </w:r>
      <w:r w:rsidRPr="00954304">
        <w:rPr>
          <w:rFonts w:ascii="Arial" w:eastAsia="Times New Roman" w:hAnsi="Arial" w:cs="Arial"/>
          <w:kern w:val="0"/>
          <w:lang w:eastAsia="en-GB"/>
          <w14:ligatures w14:val="none"/>
        </w:rPr>
        <w:t>.</w:t>
      </w:r>
    </w:p>
    <w:p w14:paraId="70BE254C" w14:textId="77777777" w:rsidR="00C37C9C" w:rsidRPr="00954304" w:rsidRDefault="00C37C9C"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Applying the five stages of Design Thinking enabled the venture concept to evolve through understanding user needs, defining the core problem, generating alternative solutions, developing a prototype and evaluating the concept through iterative testing. Rather than treating technology as the objective, the process ensured that innovation remained focused on solving practical business problems while recognising the importance of organisational readiness, employee adoption and continuous improvement.</w:t>
      </w:r>
    </w:p>
    <w:p w14:paraId="49A9C514" w14:textId="77777777" w:rsidR="00C37C9C" w:rsidRPr="00954304" w:rsidRDefault="00C37C9C" w:rsidP="00954304">
      <w:pPr>
        <w:spacing w:before="100" w:beforeAutospacing="1" w:after="100" w:afterAutospacing="1" w:line="360" w:lineRule="auto"/>
        <w:ind w:firstLine="720"/>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 xml:space="preserve">Overall, </w:t>
      </w:r>
      <w:r w:rsidRPr="00954304">
        <w:rPr>
          <w:rFonts w:ascii="Arial" w:eastAsia="Times New Roman" w:hAnsi="Arial" w:cs="Arial"/>
          <w:b/>
          <w:bCs/>
          <w:kern w:val="0"/>
          <w:lang w:eastAsia="en-GB"/>
          <w14:ligatures w14:val="none"/>
        </w:rPr>
        <w:t>AI Commerce Hub</w:t>
      </w:r>
      <w:r w:rsidRPr="00954304">
        <w:rPr>
          <w:rFonts w:ascii="Arial" w:eastAsia="Times New Roman" w:hAnsi="Arial" w:cs="Arial"/>
          <w:kern w:val="0"/>
          <w:lang w:eastAsia="en-GB"/>
          <w14:ligatures w14:val="none"/>
        </w:rPr>
        <w:t xml:space="preserve"> represents a commercially viable and user-centred solution capable of supporting the ongoing digital transformation of UK SMEs. The portfolio demonstrates that successful innovation depends not only on technological capability but also on aligning digital solutions with users' needs, business resources and long-term organisational value.</w:t>
      </w:r>
    </w:p>
    <w:p w14:paraId="11FFC905" w14:textId="77777777" w:rsidR="00C37C9C" w:rsidRPr="00954304" w:rsidRDefault="00C37C9C" w:rsidP="00954304">
      <w:pPr>
        <w:spacing w:before="100" w:beforeAutospacing="1" w:after="100" w:afterAutospacing="1" w:line="360" w:lineRule="auto"/>
        <w:rPr>
          <w:rFonts w:ascii="Arial" w:eastAsia="Times New Roman" w:hAnsi="Arial" w:cs="Arial"/>
          <w:kern w:val="0"/>
          <w:lang w:eastAsia="en-GB"/>
          <w14:ligatures w14:val="none"/>
        </w:rPr>
      </w:pPr>
    </w:p>
    <w:p w14:paraId="4E236B08" w14:textId="77777777" w:rsidR="00694BD7" w:rsidRPr="00954304" w:rsidRDefault="00694BD7" w:rsidP="00954304">
      <w:pPr>
        <w:spacing w:before="100" w:beforeAutospacing="1" w:after="100" w:afterAutospacing="1" w:line="360" w:lineRule="auto"/>
        <w:rPr>
          <w:rFonts w:ascii="Arial" w:eastAsia="Times New Roman" w:hAnsi="Arial" w:cs="Arial"/>
          <w:kern w:val="0"/>
          <w:lang w:eastAsia="en-GB"/>
          <w14:ligatures w14:val="none"/>
        </w:rPr>
      </w:pPr>
    </w:p>
    <w:p w14:paraId="5C5DB317" w14:textId="77777777" w:rsidR="00694BD7" w:rsidRPr="00954304" w:rsidRDefault="00694BD7" w:rsidP="00954304">
      <w:pPr>
        <w:spacing w:before="100" w:beforeAutospacing="1" w:after="100" w:afterAutospacing="1" w:line="360" w:lineRule="auto"/>
        <w:rPr>
          <w:rFonts w:ascii="Arial" w:eastAsia="Times New Roman" w:hAnsi="Arial" w:cs="Arial"/>
          <w:kern w:val="0"/>
          <w:lang w:eastAsia="en-GB"/>
          <w14:ligatures w14:val="none"/>
        </w:rPr>
      </w:pPr>
    </w:p>
    <w:p w14:paraId="1A933BC1" w14:textId="77777777" w:rsidR="00694BD7" w:rsidRPr="00954304" w:rsidRDefault="00694BD7" w:rsidP="00954304">
      <w:pPr>
        <w:spacing w:before="100" w:beforeAutospacing="1" w:after="100" w:afterAutospacing="1" w:line="360" w:lineRule="auto"/>
        <w:rPr>
          <w:rFonts w:ascii="Arial" w:eastAsia="Times New Roman" w:hAnsi="Arial" w:cs="Arial"/>
          <w:kern w:val="0"/>
          <w:lang w:eastAsia="en-GB"/>
          <w14:ligatures w14:val="none"/>
        </w:rPr>
      </w:pPr>
    </w:p>
    <w:p w14:paraId="06BAB2B3" w14:textId="77777777" w:rsidR="00954304" w:rsidRDefault="00954304" w:rsidP="00954304">
      <w:pPr>
        <w:spacing w:before="100" w:beforeAutospacing="1" w:after="100" w:afterAutospacing="1" w:line="360" w:lineRule="auto"/>
        <w:outlineLvl w:val="1"/>
        <w:rPr>
          <w:rFonts w:ascii="Arial" w:eastAsia="Times New Roman" w:hAnsi="Arial" w:cs="Arial"/>
          <w:kern w:val="0"/>
          <w:lang w:eastAsia="en-GB"/>
          <w14:ligatures w14:val="none"/>
        </w:rPr>
      </w:pPr>
    </w:p>
    <w:p w14:paraId="776E70A1" w14:textId="77777777" w:rsidR="00954304" w:rsidRDefault="00954304" w:rsidP="00954304">
      <w:pPr>
        <w:spacing w:before="100" w:beforeAutospacing="1" w:after="100" w:afterAutospacing="1" w:line="360" w:lineRule="auto"/>
        <w:jc w:val="center"/>
        <w:outlineLvl w:val="1"/>
        <w:rPr>
          <w:rFonts w:ascii="Arial" w:eastAsia="Times New Roman" w:hAnsi="Arial" w:cs="Arial"/>
          <w:b/>
          <w:bCs/>
          <w:kern w:val="0"/>
          <w:lang w:eastAsia="en-GB"/>
          <w14:ligatures w14:val="none"/>
        </w:rPr>
      </w:pPr>
    </w:p>
    <w:p w14:paraId="6CC520D4" w14:textId="76F6DC4D" w:rsidR="006B72E3" w:rsidRPr="00954304" w:rsidRDefault="006B72E3" w:rsidP="00954304">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954304">
        <w:rPr>
          <w:rFonts w:ascii="Arial" w:eastAsia="Times New Roman" w:hAnsi="Arial" w:cs="Arial"/>
          <w:b/>
          <w:bCs/>
          <w:kern w:val="0"/>
          <w:lang w:eastAsia="en-GB"/>
          <w14:ligatures w14:val="none"/>
        </w:rPr>
        <w:lastRenderedPageBreak/>
        <w:t>References</w:t>
      </w:r>
    </w:p>
    <w:p w14:paraId="618957E1" w14:textId="77777777" w:rsidR="006B72E3" w:rsidRPr="00954304" w:rsidRDefault="006B72E3" w:rsidP="00954304">
      <w:pPr>
        <w:spacing w:before="100" w:beforeAutospacing="1" w:after="100" w:afterAutospacing="1" w:line="360" w:lineRule="auto"/>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 xml:space="preserve">Brown, T. (2009) </w:t>
      </w:r>
      <w:r w:rsidRPr="00954304">
        <w:rPr>
          <w:rFonts w:ascii="Arial" w:eastAsia="Times New Roman" w:hAnsi="Arial" w:cs="Arial"/>
          <w:i/>
          <w:iCs/>
          <w:kern w:val="0"/>
          <w:lang w:eastAsia="en-GB"/>
          <w14:ligatures w14:val="none"/>
        </w:rPr>
        <w:t>Change by Design: How Design Thinking Creates New Alternatives for Business and Society</w:t>
      </w:r>
      <w:r w:rsidRPr="00954304">
        <w:rPr>
          <w:rFonts w:ascii="Arial" w:eastAsia="Times New Roman" w:hAnsi="Arial" w:cs="Arial"/>
          <w:kern w:val="0"/>
          <w:lang w:eastAsia="en-GB"/>
          <w14:ligatures w14:val="none"/>
        </w:rPr>
        <w:t>. New York: Harper Business.</w:t>
      </w:r>
    </w:p>
    <w:p w14:paraId="6CFD3E1C" w14:textId="77777777" w:rsidR="006B72E3" w:rsidRPr="00954304" w:rsidRDefault="006B72E3" w:rsidP="00954304">
      <w:pPr>
        <w:spacing w:before="100" w:beforeAutospacing="1" w:after="100" w:afterAutospacing="1" w:line="360" w:lineRule="auto"/>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 xml:space="preserve">Davenport, T.H. and Harris, J.G. (2017) </w:t>
      </w:r>
      <w:r w:rsidRPr="00954304">
        <w:rPr>
          <w:rFonts w:ascii="Arial" w:eastAsia="Times New Roman" w:hAnsi="Arial" w:cs="Arial"/>
          <w:i/>
          <w:iCs/>
          <w:kern w:val="0"/>
          <w:lang w:eastAsia="en-GB"/>
          <w14:ligatures w14:val="none"/>
        </w:rPr>
        <w:t>Competing on Analytics: The New Science of Winning</w:t>
      </w:r>
      <w:r w:rsidRPr="00954304">
        <w:rPr>
          <w:rFonts w:ascii="Arial" w:eastAsia="Times New Roman" w:hAnsi="Arial" w:cs="Arial"/>
          <w:kern w:val="0"/>
          <w:lang w:eastAsia="en-GB"/>
          <w14:ligatures w14:val="none"/>
        </w:rPr>
        <w:t>. Updated edn. Boston: Harvard Business Review Press.</w:t>
      </w:r>
    </w:p>
    <w:p w14:paraId="4A449D2D" w14:textId="77777777" w:rsidR="006B72E3" w:rsidRPr="00954304" w:rsidRDefault="006B72E3" w:rsidP="00954304">
      <w:pPr>
        <w:spacing w:before="100" w:beforeAutospacing="1" w:after="100" w:afterAutospacing="1" w:line="360" w:lineRule="auto"/>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 xml:space="preserve">Department for Business and Trade (2025) </w:t>
      </w:r>
      <w:r w:rsidRPr="00954304">
        <w:rPr>
          <w:rFonts w:ascii="Arial" w:eastAsia="Times New Roman" w:hAnsi="Arial" w:cs="Arial"/>
          <w:i/>
          <w:iCs/>
          <w:kern w:val="0"/>
          <w:lang w:eastAsia="en-GB"/>
          <w14:ligatures w14:val="none"/>
        </w:rPr>
        <w:t>Longitudinal Small Business Survey 2024: SME Employers (Businesses with 1 to 249 Employees).</w:t>
      </w:r>
      <w:r w:rsidRPr="00954304">
        <w:rPr>
          <w:rFonts w:ascii="Arial" w:eastAsia="Times New Roman" w:hAnsi="Arial" w:cs="Arial"/>
          <w:kern w:val="0"/>
          <w:lang w:eastAsia="en-GB"/>
          <w14:ligatures w14:val="none"/>
        </w:rPr>
        <w:t xml:space="preserve"> London: Department for Business and Trade. Available at: </w:t>
      </w:r>
      <w:hyperlink r:id="rId7" w:tgtFrame="_blank" w:history="1">
        <w:r w:rsidRPr="00954304">
          <w:rPr>
            <w:rFonts w:ascii="Arial" w:eastAsia="Times New Roman" w:hAnsi="Arial" w:cs="Arial"/>
            <w:color w:val="0000FF"/>
            <w:kern w:val="0"/>
            <w:u w:val="single"/>
            <w:lang w:eastAsia="en-GB"/>
            <w14:ligatures w14:val="none"/>
          </w:rPr>
          <w:t>GOV.UK publication</w:t>
        </w:r>
      </w:hyperlink>
      <w:r w:rsidRPr="00954304">
        <w:rPr>
          <w:rFonts w:ascii="Arial" w:eastAsia="Times New Roman" w:hAnsi="Arial" w:cs="Arial"/>
          <w:kern w:val="0"/>
          <w:lang w:eastAsia="en-GB"/>
          <w14:ligatures w14:val="none"/>
        </w:rPr>
        <w:t xml:space="preserve"> </w:t>
      </w:r>
    </w:p>
    <w:p w14:paraId="454E9B7E" w14:textId="77777777" w:rsidR="006B72E3" w:rsidRPr="00954304" w:rsidRDefault="006B72E3" w:rsidP="00954304">
      <w:pPr>
        <w:spacing w:before="100" w:beforeAutospacing="1" w:after="100" w:afterAutospacing="1" w:line="360" w:lineRule="auto"/>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 xml:space="preserve">Huang, M.-H. and Rust, R.T. (2021) ‘A strategic framework for artificial intelligence in marketing’, </w:t>
      </w:r>
      <w:r w:rsidRPr="00954304">
        <w:rPr>
          <w:rFonts w:ascii="Arial" w:eastAsia="Times New Roman" w:hAnsi="Arial" w:cs="Arial"/>
          <w:i/>
          <w:iCs/>
          <w:kern w:val="0"/>
          <w:lang w:eastAsia="en-GB"/>
          <w14:ligatures w14:val="none"/>
        </w:rPr>
        <w:t>Journal of the Academy of Marketing Science</w:t>
      </w:r>
      <w:r w:rsidRPr="00954304">
        <w:rPr>
          <w:rFonts w:ascii="Arial" w:eastAsia="Times New Roman" w:hAnsi="Arial" w:cs="Arial"/>
          <w:kern w:val="0"/>
          <w:lang w:eastAsia="en-GB"/>
          <w14:ligatures w14:val="none"/>
        </w:rPr>
        <w:t xml:space="preserve">, 49(1), pp. 30–50. </w:t>
      </w:r>
      <w:hyperlink r:id="rId8" w:tgtFrame="_new" w:history="1">
        <w:r w:rsidRPr="00954304">
          <w:rPr>
            <w:rFonts w:ascii="Arial" w:eastAsia="Times New Roman" w:hAnsi="Arial" w:cs="Arial"/>
            <w:color w:val="0000FF"/>
            <w:kern w:val="0"/>
            <w:u w:val="single"/>
            <w:lang w:eastAsia="en-GB"/>
            <w14:ligatures w14:val="none"/>
          </w:rPr>
          <w:t>https://doi.org/10.1007/s11747-020-00749-9</w:t>
        </w:r>
      </w:hyperlink>
    </w:p>
    <w:p w14:paraId="73B009EF" w14:textId="77777777" w:rsidR="006B72E3" w:rsidRPr="00954304" w:rsidRDefault="006B72E3" w:rsidP="00954304">
      <w:pPr>
        <w:spacing w:before="100" w:beforeAutospacing="1" w:after="100" w:afterAutospacing="1" w:line="360" w:lineRule="auto"/>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 xml:space="preserve">Liedtka, J. (2018) ‘Why Design Thinking Works’, </w:t>
      </w:r>
      <w:r w:rsidRPr="00954304">
        <w:rPr>
          <w:rFonts w:ascii="Arial" w:eastAsia="Times New Roman" w:hAnsi="Arial" w:cs="Arial"/>
          <w:i/>
          <w:iCs/>
          <w:kern w:val="0"/>
          <w:lang w:eastAsia="en-GB"/>
          <w14:ligatures w14:val="none"/>
        </w:rPr>
        <w:t>Harvard Business Review</w:t>
      </w:r>
      <w:r w:rsidRPr="00954304">
        <w:rPr>
          <w:rFonts w:ascii="Arial" w:eastAsia="Times New Roman" w:hAnsi="Arial" w:cs="Arial"/>
          <w:kern w:val="0"/>
          <w:lang w:eastAsia="en-GB"/>
          <w14:ligatures w14:val="none"/>
        </w:rPr>
        <w:t>, 96(5), pp. 72–79.</w:t>
      </w:r>
    </w:p>
    <w:p w14:paraId="437A1BDF" w14:textId="77777777" w:rsidR="006B72E3" w:rsidRPr="00954304" w:rsidRDefault="006B72E3" w:rsidP="00954304">
      <w:pPr>
        <w:spacing w:before="100" w:beforeAutospacing="1" w:after="100" w:afterAutospacing="1" w:line="360" w:lineRule="auto"/>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 xml:space="preserve">OECD (2021) </w:t>
      </w:r>
      <w:r w:rsidRPr="00954304">
        <w:rPr>
          <w:rFonts w:ascii="Arial" w:eastAsia="Times New Roman" w:hAnsi="Arial" w:cs="Arial"/>
          <w:i/>
          <w:iCs/>
          <w:kern w:val="0"/>
          <w:lang w:eastAsia="en-GB"/>
          <w14:ligatures w14:val="none"/>
        </w:rPr>
        <w:t>The Digital Transformation of SMEs</w:t>
      </w:r>
      <w:r w:rsidRPr="00954304">
        <w:rPr>
          <w:rFonts w:ascii="Arial" w:eastAsia="Times New Roman" w:hAnsi="Arial" w:cs="Arial"/>
          <w:kern w:val="0"/>
          <w:lang w:eastAsia="en-GB"/>
          <w14:ligatures w14:val="none"/>
        </w:rPr>
        <w:t xml:space="preserve">. Paris: OECD Publishing. </w:t>
      </w:r>
      <w:hyperlink r:id="rId9" w:tgtFrame="_new" w:history="1">
        <w:r w:rsidRPr="00954304">
          <w:rPr>
            <w:rFonts w:ascii="Arial" w:eastAsia="Times New Roman" w:hAnsi="Arial" w:cs="Arial"/>
            <w:color w:val="0000FF"/>
            <w:kern w:val="0"/>
            <w:u w:val="single"/>
            <w:lang w:eastAsia="en-GB"/>
            <w14:ligatures w14:val="none"/>
          </w:rPr>
          <w:t>https://doi.org/10.1787/bdb9256a-en</w:t>
        </w:r>
      </w:hyperlink>
    </w:p>
    <w:p w14:paraId="3E8C1234" w14:textId="77777777" w:rsidR="006B72E3" w:rsidRPr="00954304" w:rsidRDefault="006B72E3" w:rsidP="00954304">
      <w:pPr>
        <w:spacing w:before="100" w:beforeAutospacing="1" w:after="100" w:afterAutospacing="1" w:line="360" w:lineRule="auto"/>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 xml:space="preserve">OECD (2023) </w:t>
      </w:r>
      <w:r w:rsidRPr="00954304">
        <w:rPr>
          <w:rFonts w:ascii="Arial" w:eastAsia="Times New Roman" w:hAnsi="Arial" w:cs="Arial"/>
          <w:i/>
          <w:iCs/>
          <w:kern w:val="0"/>
          <w:lang w:eastAsia="en-GB"/>
          <w14:ligatures w14:val="none"/>
        </w:rPr>
        <w:t>OECD SME and Entrepreneurship Outlook 2023</w:t>
      </w:r>
      <w:r w:rsidRPr="00954304">
        <w:rPr>
          <w:rFonts w:ascii="Arial" w:eastAsia="Times New Roman" w:hAnsi="Arial" w:cs="Arial"/>
          <w:kern w:val="0"/>
          <w:lang w:eastAsia="en-GB"/>
          <w14:ligatures w14:val="none"/>
        </w:rPr>
        <w:t xml:space="preserve">. Paris: OECD Publishing. </w:t>
      </w:r>
      <w:hyperlink r:id="rId10" w:tgtFrame="_new" w:history="1">
        <w:r w:rsidRPr="00954304">
          <w:rPr>
            <w:rFonts w:ascii="Arial" w:eastAsia="Times New Roman" w:hAnsi="Arial" w:cs="Arial"/>
            <w:color w:val="0000FF"/>
            <w:kern w:val="0"/>
            <w:u w:val="single"/>
            <w:lang w:eastAsia="en-GB"/>
            <w14:ligatures w14:val="none"/>
          </w:rPr>
          <w:t>https://doi.org/10.1787/342b8564-en</w:t>
        </w:r>
      </w:hyperlink>
    </w:p>
    <w:p w14:paraId="1EA326B7" w14:textId="77777777" w:rsidR="006B72E3" w:rsidRPr="00954304" w:rsidRDefault="006B72E3" w:rsidP="00954304">
      <w:pPr>
        <w:spacing w:before="100" w:beforeAutospacing="1" w:after="100" w:afterAutospacing="1" w:line="360" w:lineRule="auto"/>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 xml:space="preserve">Porter, M.E. and Heppelmann, J.E. (2014) ‘How Smart, Connected Products Are Transforming Competition’, </w:t>
      </w:r>
      <w:r w:rsidRPr="00954304">
        <w:rPr>
          <w:rFonts w:ascii="Arial" w:eastAsia="Times New Roman" w:hAnsi="Arial" w:cs="Arial"/>
          <w:i/>
          <w:iCs/>
          <w:kern w:val="0"/>
          <w:lang w:eastAsia="en-GB"/>
          <w14:ligatures w14:val="none"/>
        </w:rPr>
        <w:t>Harvard Business Review</w:t>
      </w:r>
      <w:r w:rsidRPr="00954304">
        <w:rPr>
          <w:rFonts w:ascii="Arial" w:eastAsia="Times New Roman" w:hAnsi="Arial" w:cs="Arial"/>
          <w:kern w:val="0"/>
          <w:lang w:eastAsia="en-GB"/>
          <w14:ligatures w14:val="none"/>
        </w:rPr>
        <w:t>, 92(11), pp. 64–88.</w:t>
      </w:r>
    </w:p>
    <w:p w14:paraId="7410FB71" w14:textId="77777777" w:rsidR="006B72E3" w:rsidRPr="00954304" w:rsidRDefault="006B72E3" w:rsidP="00954304">
      <w:pPr>
        <w:spacing w:before="100" w:beforeAutospacing="1" w:after="100" w:afterAutospacing="1" w:line="360" w:lineRule="auto"/>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 xml:space="preserve">Ries, E. (2011) </w:t>
      </w:r>
      <w:r w:rsidRPr="00954304">
        <w:rPr>
          <w:rFonts w:ascii="Arial" w:eastAsia="Times New Roman" w:hAnsi="Arial" w:cs="Arial"/>
          <w:i/>
          <w:iCs/>
          <w:kern w:val="0"/>
          <w:lang w:eastAsia="en-GB"/>
          <w14:ligatures w14:val="none"/>
        </w:rPr>
        <w:t>The Lean Startup: How Today's Entrepreneurs Use Continuous Innovation to Create Radically Successful Businesses</w:t>
      </w:r>
      <w:r w:rsidRPr="00954304">
        <w:rPr>
          <w:rFonts w:ascii="Arial" w:eastAsia="Times New Roman" w:hAnsi="Arial" w:cs="Arial"/>
          <w:kern w:val="0"/>
          <w:lang w:eastAsia="en-GB"/>
          <w14:ligatures w14:val="none"/>
        </w:rPr>
        <w:t>. New York: Crown Business.</w:t>
      </w:r>
    </w:p>
    <w:p w14:paraId="4A8B0A66" w14:textId="77777777" w:rsidR="006B72E3" w:rsidRPr="00954304" w:rsidRDefault="006B72E3" w:rsidP="00954304">
      <w:pPr>
        <w:spacing w:before="100" w:beforeAutospacing="1" w:after="100" w:afterAutospacing="1" w:line="360" w:lineRule="auto"/>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 xml:space="preserve">Statista (2024) </w:t>
      </w:r>
      <w:r w:rsidRPr="00954304">
        <w:rPr>
          <w:rFonts w:ascii="Arial" w:eastAsia="Times New Roman" w:hAnsi="Arial" w:cs="Arial"/>
          <w:i/>
          <w:iCs/>
          <w:kern w:val="0"/>
          <w:lang w:eastAsia="en-GB"/>
          <w14:ligatures w14:val="none"/>
        </w:rPr>
        <w:t>Artificial intelligence (AI) market size worldwide from 2020 to 2030</w:t>
      </w:r>
      <w:r w:rsidRPr="00954304">
        <w:rPr>
          <w:rFonts w:ascii="Arial" w:eastAsia="Times New Roman" w:hAnsi="Arial" w:cs="Arial"/>
          <w:kern w:val="0"/>
          <w:lang w:eastAsia="en-GB"/>
          <w14:ligatures w14:val="none"/>
        </w:rPr>
        <w:t xml:space="preserve">. Available at: </w:t>
      </w:r>
      <w:hyperlink r:id="rId11" w:tgtFrame="_new" w:history="1">
        <w:r w:rsidRPr="00954304">
          <w:rPr>
            <w:rFonts w:ascii="Arial" w:eastAsia="Times New Roman" w:hAnsi="Arial" w:cs="Arial"/>
            <w:color w:val="0000FF"/>
            <w:kern w:val="0"/>
            <w:u w:val="single"/>
            <w:lang w:eastAsia="en-GB"/>
            <w14:ligatures w14:val="none"/>
          </w:rPr>
          <w:t>https://www.statista.com/</w:t>
        </w:r>
      </w:hyperlink>
    </w:p>
    <w:p w14:paraId="531AB7B5" w14:textId="77777777" w:rsidR="006B72E3" w:rsidRPr="00954304" w:rsidRDefault="006B72E3" w:rsidP="00954304">
      <w:pPr>
        <w:spacing w:before="100" w:beforeAutospacing="1" w:after="100" w:afterAutospacing="1" w:line="360" w:lineRule="auto"/>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 xml:space="preserve">Verhoef, P.C., Broekhuizen, T., Bart, Y., Bhattacharya, A., Dong, J.Q., Fabian, N. and Haenlein, M. (2021) ‘Digital transformation: A multidisciplinary reflection and research agenda’, </w:t>
      </w:r>
      <w:r w:rsidRPr="00954304">
        <w:rPr>
          <w:rFonts w:ascii="Arial" w:eastAsia="Times New Roman" w:hAnsi="Arial" w:cs="Arial"/>
          <w:i/>
          <w:iCs/>
          <w:kern w:val="0"/>
          <w:lang w:eastAsia="en-GB"/>
          <w14:ligatures w14:val="none"/>
        </w:rPr>
        <w:t>Journal of Business Research</w:t>
      </w:r>
      <w:r w:rsidRPr="00954304">
        <w:rPr>
          <w:rFonts w:ascii="Arial" w:eastAsia="Times New Roman" w:hAnsi="Arial" w:cs="Arial"/>
          <w:kern w:val="0"/>
          <w:lang w:eastAsia="en-GB"/>
          <w14:ligatures w14:val="none"/>
        </w:rPr>
        <w:t xml:space="preserve">, 122, pp. 889–901. </w:t>
      </w:r>
      <w:hyperlink r:id="rId12" w:tgtFrame="_new" w:history="1">
        <w:r w:rsidRPr="00954304">
          <w:rPr>
            <w:rFonts w:ascii="Arial" w:eastAsia="Times New Roman" w:hAnsi="Arial" w:cs="Arial"/>
            <w:color w:val="0000FF"/>
            <w:kern w:val="0"/>
            <w:u w:val="single"/>
            <w:lang w:eastAsia="en-GB"/>
            <w14:ligatures w14:val="none"/>
          </w:rPr>
          <w:t>https://doi.org/10.1016/j.jbusres.2019.09.022</w:t>
        </w:r>
      </w:hyperlink>
    </w:p>
    <w:p w14:paraId="43066DA0" w14:textId="77777777" w:rsidR="006B72E3" w:rsidRPr="00954304" w:rsidRDefault="006B72E3" w:rsidP="00954304">
      <w:pPr>
        <w:spacing w:before="100" w:beforeAutospacing="1" w:after="100" w:afterAutospacing="1" w:line="360" w:lineRule="auto"/>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lastRenderedPageBreak/>
        <w:t xml:space="preserve">Vial, G. (2019) ‘Understanding digital transformation: A review and a research agenda’, </w:t>
      </w:r>
      <w:r w:rsidRPr="00954304">
        <w:rPr>
          <w:rFonts w:ascii="Arial" w:eastAsia="Times New Roman" w:hAnsi="Arial" w:cs="Arial"/>
          <w:i/>
          <w:iCs/>
          <w:kern w:val="0"/>
          <w:lang w:eastAsia="en-GB"/>
          <w14:ligatures w14:val="none"/>
        </w:rPr>
        <w:t>The Journal of Strategic Information Systems</w:t>
      </w:r>
      <w:r w:rsidRPr="00954304">
        <w:rPr>
          <w:rFonts w:ascii="Arial" w:eastAsia="Times New Roman" w:hAnsi="Arial" w:cs="Arial"/>
          <w:kern w:val="0"/>
          <w:lang w:eastAsia="en-GB"/>
          <w14:ligatures w14:val="none"/>
        </w:rPr>
        <w:t xml:space="preserve">, 28(2), pp. 118–144. </w:t>
      </w:r>
      <w:hyperlink r:id="rId13" w:tgtFrame="_new" w:history="1">
        <w:r w:rsidRPr="00954304">
          <w:rPr>
            <w:rFonts w:ascii="Arial" w:eastAsia="Times New Roman" w:hAnsi="Arial" w:cs="Arial"/>
            <w:color w:val="0000FF"/>
            <w:kern w:val="0"/>
            <w:u w:val="single"/>
            <w:lang w:eastAsia="en-GB"/>
            <w14:ligatures w14:val="none"/>
          </w:rPr>
          <w:t>https://doi.org/10.1016/j.jsis.2019.01.003</w:t>
        </w:r>
      </w:hyperlink>
    </w:p>
    <w:p w14:paraId="68A868EA" w14:textId="77777777" w:rsidR="006B72E3" w:rsidRPr="00954304" w:rsidRDefault="006B72E3" w:rsidP="00954304">
      <w:pPr>
        <w:spacing w:before="100" w:beforeAutospacing="1" w:after="100" w:afterAutospacing="1" w:line="360" w:lineRule="auto"/>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 xml:space="preserve">World Economic Forum (2023) </w:t>
      </w:r>
      <w:r w:rsidRPr="00954304">
        <w:rPr>
          <w:rFonts w:ascii="Arial" w:eastAsia="Times New Roman" w:hAnsi="Arial" w:cs="Arial"/>
          <w:i/>
          <w:iCs/>
          <w:kern w:val="0"/>
          <w:lang w:eastAsia="en-GB"/>
          <w14:ligatures w14:val="none"/>
        </w:rPr>
        <w:t>The Future of Jobs Report 2023</w:t>
      </w:r>
      <w:r w:rsidRPr="00954304">
        <w:rPr>
          <w:rFonts w:ascii="Arial" w:eastAsia="Times New Roman" w:hAnsi="Arial" w:cs="Arial"/>
          <w:kern w:val="0"/>
          <w:lang w:eastAsia="en-GB"/>
          <w14:ligatures w14:val="none"/>
        </w:rPr>
        <w:t>. Geneva: World Economic Forum.</w:t>
      </w:r>
    </w:p>
    <w:p w14:paraId="1FCDD863" w14:textId="77777777" w:rsidR="006B72E3" w:rsidRPr="00954304" w:rsidRDefault="006B72E3" w:rsidP="00954304">
      <w:pPr>
        <w:spacing w:before="100" w:beforeAutospacing="1" w:after="100" w:afterAutospacing="1" w:line="360" w:lineRule="auto"/>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 xml:space="preserve">Wirtz, J., Kunz, W.H., Hartley, M.A. and Tarbit, N. (2021) ‘Corporate digital responsibility in service firms and their ecosystems’, </w:t>
      </w:r>
      <w:r w:rsidRPr="00954304">
        <w:rPr>
          <w:rFonts w:ascii="Arial" w:eastAsia="Times New Roman" w:hAnsi="Arial" w:cs="Arial"/>
          <w:i/>
          <w:iCs/>
          <w:kern w:val="0"/>
          <w:lang w:eastAsia="en-GB"/>
          <w14:ligatures w14:val="none"/>
        </w:rPr>
        <w:t>Journal of Service Research</w:t>
      </w:r>
      <w:r w:rsidRPr="00954304">
        <w:rPr>
          <w:rFonts w:ascii="Arial" w:eastAsia="Times New Roman" w:hAnsi="Arial" w:cs="Arial"/>
          <w:kern w:val="0"/>
          <w:lang w:eastAsia="en-GB"/>
          <w14:ligatures w14:val="none"/>
        </w:rPr>
        <w:t>, 24(3), pp. 344–362.</w:t>
      </w:r>
    </w:p>
    <w:p w14:paraId="36F31FB6" w14:textId="77777777" w:rsidR="006B72E3" w:rsidRPr="00954304" w:rsidRDefault="006B72E3" w:rsidP="00954304">
      <w:pPr>
        <w:spacing w:before="100" w:beforeAutospacing="1" w:after="100" w:afterAutospacing="1" w:line="360" w:lineRule="auto"/>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 xml:space="preserve">Westerman, G., Bonnet, D. and McAfee, A. (2014) </w:t>
      </w:r>
      <w:r w:rsidRPr="00954304">
        <w:rPr>
          <w:rFonts w:ascii="Arial" w:eastAsia="Times New Roman" w:hAnsi="Arial" w:cs="Arial"/>
          <w:i/>
          <w:iCs/>
          <w:kern w:val="0"/>
          <w:lang w:eastAsia="en-GB"/>
          <w14:ligatures w14:val="none"/>
        </w:rPr>
        <w:t>Leading Digital: Turning Technology into Business Transformation</w:t>
      </w:r>
      <w:r w:rsidRPr="00954304">
        <w:rPr>
          <w:rFonts w:ascii="Arial" w:eastAsia="Times New Roman" w:hAnsi="Arial" w:cs="Arial"/>
          <w:kern w:val="0"/>
          <w:lang w:eastAsia="en-GB"/>
          <w14:ligatures w14:val="none"/>
        </w:rPr>
        <w:t>. Boston: Harvard Business Review Press.</w:t>
      </w:r>
    </w:p>
    <w:p w14:paraId="2814697A" w14:textId="77777777" w:rsidR="006B72E3" w:rsidRPr="00954304" w:rsidRDefault="006B72E3" w:rsidP="00954304">
      <w:pPr>
        <w:spacing w:before="100" w:beforeAutospacing="1" w:after="100" w:afterAutospacing="1" w:line="360" w:lineRule="auto"/>
        <w:rPr>
          <w:rFonts w:ascii="Arial" w:eastAsia="Times New Roman" w:hAnsi="Arial" w:cs="Arial"/>
          <w:kern w:val="0"/>
          <w:lang w:eastAsia="en-GB"/>
          <w14:ligatures w14:val="none"/>
        </w:rPr>
      </w:pPr>
      <w:r w:rsidRPr="00954304">
        <w:rPr>
          <w:rFonts w:ascii="Arial" w:eastAsia="Times New Roman" w:hAnsi="Arial" w:cs="Arial"/>
          <w:kern w:val="0"/>
          <w:lang w:eastAsia="en-GB"/>
          <w14:ligatures w14:val="none"/>
        </w:rPr>
        <w:t xml:space="preserve">Yin, R.K. (2018) </w:t>
      </w:r>
      <w:r w:rsidRPr="00954304">
        <w:rPr>
          <w:rFonts w:ascii="Arial" w:eastAsia="Times New Roman" w:hAnsi="Arial" w:cs="Arial"/>
          <w:i/>
          <w:iCs/>
          <w:kern w:val="0"/>
          <w:lang w:eastAsia="en-GB"/>
          <w14:ligatures w14:val="none"/>
        </w:rPr>
        <w:t>Case Study Research and Applications: Design and Methods</w:t>
      </w:r>
      <w:r w:rsidRPr="00954304">
        <w:rPr>
          <w:rFonts w:ascii="Arial" w:eastAsia="Times New Roman" w:hAnsi="Arial" w:cs="Arial"/>
          <w:kern w:val="0"/>
          <w:lang w:eastAsia="en-GB"/>
          <w14:ligatures w14:val="none"/>
        </w:rPr>
        <w:t>. 6th edn. Thousand Oaks, CA: Sage Publications.</w:t>
      </w:r>
    </w:p>
    <w:p w14:paraId="1069E674" w14:textId="77777777" w:rsidR="002F5741" w:rsidRPr="00954304" w:rsidRDefault="002F5741" w:rsidP="00954304">
      <w:pPr>
        <w:spacing w:line="360" w:lineRule="auto"/>
        <w:rPr>
          <w:rFonts w:ascii="Arial" w:hAnsi="Arial" w:cs="Arial"/>
        </w:rPr>
      </w:pPr>
    </w:p>
    <w:sectPr w:rsidR="002F5741" w:rsidRPr="00954304">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73BB22" w14:textId="77777777" w:rsidR="001B2C25" w:rsidRDefault="001B2C25" w:rsidP="001B2C25">
      <w:pPr>
        <w:spacing w:after="0" w:line="240" w:lineRule="auto"/>
      </w:pPr>
      <w:r>
        <w:separator/>
      </w:r>
    </w:p>
  </w:endnote>
  <w:endnote w:type="continuationSeparator" w:id="0">
    <w:p w14:paraId="5BB8E3B2" w14:textId="77777777" w:rsidR="001B2C25" w:rsidRDefault="001B2C25" w:rsidP="001B2C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8199081"/>
      <w:docPartObj>
        <w:docPartGallery w:val="Page Numbers (Bottom of Page)"/>
        <w:docPartUnique/>
      </w:docPartObj>
    </w:sdtPr>
    <w:sdtEndPr>
      <w:rPr>
        <w:noProof/>
      </w:rPr>
    </w:sdtEndPr>
    <w:sdtContent>
      <w:p w14:paraId="7CC6634F" w14:textId="08985080" w:rsidR="00C37C9C" w:rsidRDefault="00C37C9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6206D5" w14:textId="77777777" w:rsidR="001B2C25" w:rsidRPr="00C37C9C" w:rsidRDefault="001B2C25">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3C7916" w14:textId="77777777" w:rsidR="001B2C25" w:rsidRDefault="001B2C25" w:rsidP="001B2C25">
      <w:pPr>
        <w:spacing w:after="0" w:line="240" w:lineRule="auto"/>
      </w:pPr>
      <w:r>
        <w:separator/>
      </w:r>
    </w:p>
  </w:footnote>
  <w:footnote w:type="continuationSeparator" w:id="0">
    <w:p w14:paraId="36ABE34B" w14:textId="77777777" w:rsidR="001B2C25" w:rsidRDefault="001B2C25" w:rsidP="001B2C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6D5E41"/>
    <w:multiLevelType w:val="multilevel"/>
    <w:tmpl w:val="7BA03C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30882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02C"/>
    <w:rsid w:val="000375A3"/>
    <w:rsid w:val="00150EE8"/>
    <w:rsid w:val="001B2C25"/>
    <w:rsid w:val="001E3FFD"/>
    <w:rsid w:val="00205E1F"/>
    <w:rsid w:val="00240474"/>
    <w:rsid w:val="002747A8"/>
    <w:rsid w:val="002A2996"/>
    <w:rsid w:val="002F5741"/>
    <w:rsid w:val="00305503"/>
    <w:rsid w:val="00310100"/>
    <w:rsid w:val="00487B7A"/>
    <w:rsid w:val="004C4C88"/>
    <w:rsid w:val="005071FE"/>
    <w:rsid w:val="00510A2B"/>
    <w:rsid w:val="0051306E"/>
    <w:rsid w:val="00592AE9"/>
    <w:rsid w:val="00630082"/>
    <w:rsid w:val="00683458"/>
    <w:rsid w:val="00691328"/>
    <w:rsid w:val="00694BD7"/>
    <w:rsid w:val="006B72E3"/>
    <w:rsid w:val="006F379D"/>
    <w:rsid w:val="00711E37"/>
    <w:rsid w:val="00770E28"/>
    <w:rsid w:val="00871C35"/>
    <w:rsid w:val="008841FF"/>
    <w:rsid w:val="0092202C"/>
    <w:rsid w:val="00954304"/>
    <w:rsid w:val="0098642D"/>
    <w:rsid w:val="009A21CC"/>
    <w:rsid w:val="009F7194"/>
    <w:rsid w:val="00A30779"/>
    <w:rsid w:val="00A34DC7"/>
    <w:rsid w:val="00A46A57"/>
    <w:rsid w:val="00B150B1"/>
    <w:rsid w:val="00B22D5C"/>
    <w:rsid w:val="00BA71D2"/>
    <w:rsid w:val="00BC13A3"/>
    <w:rsid w:val="00C16CEE"/>
    <w:rsid w:val="00C37C9C"/>
    <w:rsid w:val="00CB60A3"/>
    <w:rsid w:val="00D31CAA"/>
    <w:rsid w:val="00DF6EDF"/>
    <w:rsid w:val="00E51CAF"/>
    <w:rsid w:val="00F525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7B286"/>
  <w15:chartTrackingRefBased/>
  <w15:docId w15:val="{08336D6C-52AA-402A-9998-D87435EB1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202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2202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2202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2202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2202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220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20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20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20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202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2202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2202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2202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2202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220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20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20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202C"/>
    <w:rPr>
      <w:rFonts w:eastAsiaTheme="majorEastAsia" w:cstheme="majorBidi"/>
      <w:color w:val="272727" w:themeColor="text1" w:themeTint="D8"/>
    </w:rPr>
  </w:style>
  <w:style w:type="paragraph" w:styleId="Title">
    <w:name w:val="Title"/>
    <w:basedOn w:val="Normal"/>
    <w:next w:val="Normal"/>
    <w:link w:val="TitleChar"/>
    <w:uiPriority w:val="10"/>
    <w:qFormat/>
    <w:rsid w:val="009220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20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20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20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202C"/>
    <w:pPr>
      <w:spacing w:before="160"/>
      <w:jc w:val="center"/>
    </w:pPr>
    <w:rPr>
      <w:i/>
      <w:iCs/>
      <w:color w:val="404040" w:themeColor="text1" w:themeTint="BF"/>
    </w:rPr>
  </w:style>
  <w:style w:type="character" w:customStyle="1" w:styleId="QuoteChar">
    <w:name w:val="Quote Char"/>
    <w:basedOn w:val="DefaultParagraphFont"/>
    <w:link w:val="Quote"/>
    <w:uiPriority w:val="29"/>
    <w:rsid w:val="0092202C"/>
    <w:rPr>
      <w:i/>
      <w:iCs/>
      <w:color w:val="404040" w:themeColor="text1" w:themeTint="BF"/>
    </w:rPr>
  </w:style>
  <w:style w:type="paragraph" w:styleId="ListParagraph">
    <w:name w:val="List Paragraph"/>
    <w:basedOn w:val="Normal"/>
    <w:uiPriority w:val="34"/>
    <w:qFormat/>
    <w:rsid w:val="0092202C"/>
    <w:pPr>
      <w:ind w:left="720"/>
      <w:contextualSpacing/>
    </w:pPr>
  </w:style>
  <w:style w:type="character" w:styleId="IntenseEmphasis">
    <w:name w:val="Intense Emphasis"/>
    <w:basedOn w:val="DefaultParagraphFont"/>
    <w:uiPriority w:val="21"/>
    <w:qFormat/>
    <w:rsid w:val="0092202C"/>
    <w:rPr>
      <w:i/>
      <w:iCs/>
      <w:color w:val="2F5496" w:themeColor="accent1" w:themeShade="BF"/>
    </w:rPr>
  </w:style>
  <w:style w:type="paragraph" w:styleId="IntenseQuote">
    <w:name w:val="Intense Quote"/>
    <w:basedOn w:val="Normal"/>
    <w:next w:val="Normal"/>
    <w:link w:val="IntenseQuoteChar"/>
    <w:uiPriority w:val="30"/>
    <w:qFormat/>
    <w:rsid w:val="0092202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2202C"/>
    <w:rPr>
      <w:i/>
      <w:iCs/>
      <w:color w:val="2F5496" w:themeColor="accent1" w:themeShade="BF"/>
    </w:rPr>
  </w:style>
  <w:style w:type="character" w:styleId="IntenseReference">
    <w:name w:val="Intense Reference"/>
    <w:basedOn w:val="DefaultParagraphFont"/>
    <w:uiPriority w:val="32"/>
    <w:qFormat/>
    <w:rsid w:val="0092202C"/>
    <w:rPr>
      <w:b/>
      <w:bCs/>
      <w:smallCaps/>
      <w:color w:val="2F5496" w:themeColor="accent1" w:themeShade="BF"/>
      <w:spacing w:val="5"/>
    </w:rPr>
  </w:style>
  <w:style w:type="paragraph" w:styleId="Header">
    <w:name w:val="header"/>
    <w:basedOn w:val="Normal"/>
    <w:link w:val="HeaderChar"/>
    <w:uiPriority w:val="99"/>
    <w:unhideWhenUsed/>
    <w:rsid w:val="001B2C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2C25"/>
  </w:style>
  <w:style w:type="paragraph" w:styleId="Footer">
    <w:name w:val="footer"/>
    <w:basedOn w:val="Normal"/>
    <w:link w:val="FooterChar"/>
    <w:uiPriority w:val="99"/>
    <w:unhideWhenUsed/>
    <w:rsid w:val="001B2C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2C25"/>
  </w:style>
  <w:style w:type="paragraph" w:customStyle="1" w:styleId="pdq2pgselectionanchorcontainer">
    <w:name w:val="pdq2pg_selectionanchorcontainer"/>
    <w:basedOn w:val="Normal"/>
    <w:rsid w:val="00C37C9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C37C9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37C9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1747-020-00749-9" TargetMode="External"/><Relationship Id="rId13" Type="http://schemas.openxmlformats.org/officeDocument/2006/relationships/hyperlink" Target="https://doi.org/10.1016/j.jsis.2019.01.003" TargetMode="External"/><Relationship Id="rId3" Type="http://schemas.openxmlformats.org/officeDocument/2006/relationships/settings" Target="settings.xml"/><Relationship Id="rId7" Type="http://schemas.openxmlformats.org/officeDocument/2006/relationships/hyperlink" Target="https://www.gov.uk/government/statistics/small-business-survey-2024-businesses-with-employees/longitudinal-small-business-survey-2024-sme-employers-businesses-with-1-to-249-employees?utm_source=chatgpt.com" TargetMode="External"/><Relationship Id="rId12" Type="http://schemas.openxmlformats.org/officeDocument/2006/relationships/hyperlink" Target="https://doi.org/10.1016/j.jbusres.2019.09.022"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tista.c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1787/342b8564-en" TargetMode="External"/><Relationship Id="rId4" Type="http://schemas.openxmlformats.org/officeDocument/2006/relationships/webSettings" Target="webSettings.xml"/><Relationship Id="rId9" Type="http://schemas.openxmlformats.org/officeDocument/2006/relationships/hyperlink" Target="https://doi.org/10.1787/bdb9256a-en"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TotalTime>
  <Pages>17</Pages>
  <Words>5534</Words>
  <Characters>31549</Characters>
  <Application>Microsoft Office Word</Application>
  <DocSecurity>0</DocSecurity>
  <Lines>262</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Ihor Vynnychuk</dc:creator>
  <cp:keywords/>
  <dc:description/>
  <cp:lastModifiedBy>Ihor Vynnychuk</cp:lastModifiedBy>
  <cp:revision>19</cp:revision>
  <dcterms:created xsi:type="dcterms:W3CDTF">2026-07-29T10:00:00Z</dcterms:created>
  <dcterms:modified xsi:type="dcterms:W3CDTF">2026-07-31T10:18:00Z</dcterms:modified>
</cp:coreProperties>
</file>