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6CBC" w:rsidRDefault="00CC6314">
      <w:pPr>
        <w:jc w:val="both"/>
        <w:rPr>
          <w:rFonts w:ascii="Times New Roman" w:hAnsi="Times New Roman"/>
        </w:rPr>
      </w:pPr>
      <w:r>
        <w:rPr>
          <w:rFonts w:ascii="Times New Roman" w:hAnsi="Times New Roman"/>
        </w:rPr>
        <w:t>Emma Rees 1805305</w:t>
      </w:r>
    </w:p>
    <w:p w:rsidR="00CC6314" w:rsidRPr="00CC6314" w:rsidRDefault="00CC6314">
      <w:pPr>
        <w:jc w:val="both"/>
        <w:rPr>
          <w:rFonts w:ascii="Times New Roman" w:hAnsi="Times New Roman"/>
        </w:rPr>
      </w:pPr>
      <w:bookmarkStart w:id="0" w:name="_GoBack"/>
      <w:bookmarkEnd w:id="0"/>
    </w:p>
    <w:p w:rsidR="001F64AE" w:rsidRPr="00404E1A" w:rsidRDefault="001F64AE">
      <w:pPr>
        <w:jc w:val="both"/>
        <w:rPr>
          <w:rFonts w:ascii="Times New Roman" w:hAnsi="Times New Roman"/>
          <w:b/>
        </w:rPr>
      </w:pPr>
    </w:p>
    <w:p w:rsidR="00995E27" w:rsidRDefault="00995E27" w:rsidP="00995E27">
      <w:pPr>
        <w:jc w:val="both"/>
      </w:pPr>
      <w:r>
        <w:t>The importance of numeracy was reinforced by the National Literacy and Numeracy Programmes launched in 2013, which set out to “improve pupil achievement and raise educational standards through improved and enhanced teaching practices in literacy and numeracy and changes in the use of assessment data to support teaching and learning.” (</w:t>
      </w:r>
      <w:r w:rsidR="009011CD">
        <w:t>Carr, C. et al. 2017,</w:t>
      </w:r>
      <w:r w:rsidR="00E06D19">
        <w:t xml:space="preserve"> p. 1</w:t>
      </w:r>
      <w:r>
        <w:t>)</w:t>
      </w:r>
      <w:r w:rsidR="00512A03">
        <w:t xml:space="preserve"> </w:t>
      </w:r>
      <w:r>
        <w:t>Whilst literacy skills are improving, research from the ‘Skills for Life Survey’ identified that attainment in numeracy is declining, with only 22% of the population (7.5 million adults) working at Level 2 or above in numeracy, roughly equivalent to A* to C grade at GCSE. A decrease from 26% (8.1 million adults).”</w:t>
      </w:r>
    </w:p>
    <w:p w:rsidR="00995E27" w:rsidRDefault="00995E27" w:rsidP="00995E27">
      <w:pPr>
        <w:jc w:val="both"/>
      </w:pPr>
      <w:r>
        <w:t>To improve both literacy and numeracy in Wales the “Literacy Numeracy Framework” (LNF) was developed by the Welsh Assembly Government “as an important curriculum planning tool that supports teachers to entrench literacy and numeracy in their teaching of the curriculum.” (</w:t>
      </w:r>
      <w:hyperlink r:id="rId7" w:history="1">
        <w:r>
          <w:rPr>
            <w:rStyle w:val="Hyperlink"/>
          </w:rPr>
          <w:t>www.wales.gov.uk/educationandskills</w:t>
        </w:r>
      </w:hyperlink>
      <w:r w:rsidR="00512A03">
        <w:t>).</w:t>
      </w:r>
      <w:r>
        <w:t xml:space="preserve"> The LNF aims to “bring about clear approaches to numeracy across the curriculum, advising teachers of all subjects, how they can deliver opportunities for learners to utilize numeracy across the curriculum.”</w:t>
      </w:r>
    </w:p>
    <w:p w:rsidR="00FA6CBC" w:rsidRDefault="00583D9F">
      <w:pPr>
        <w:jc w:val="both"/>
      </w:pPr>
      <w:r>
        <w:t>Numeracy or ‘numerical literacy can be defined in several different ways, including “the ability to use mathematics, or the application of mathematics in other areas of the curriculum.” (Compton</w:t>
      </w:r>
      <w:r w:rsidR="001E4CF3">
        <w:t>, Fielding</w:t>
      </w:r>
      <w:r>
        <w:t xml:space="preserve"> &amp; </w:t>
      </w:r>
      <w:r w:rsidR="001E4CF3">
        <w:t>Scott</w:t>
      </w:r>
      <w:r>
        <w:t>,</w:t>
      </w:r>
      <w:r w:rsidR="001E4CF3">
        <w:t xml:space="preserve"> </w:t>
      </w:r>
      <w:r w:rsidR="00296873">
        <w:t>2007,</w:t>
      </w:r>
      <w:r>
        <w:t xml:space="preserve"> P1.) The ability to apply numeracy in our day to day lives is an essential ‘life skill’ relevant to our work, personal and social lives, and the School Student and teachers’ network identifies numeracy “as being essential for the ability to be a reflective and active citizen, for example, making sense of charts and information reported in the media.” </w:t>
      </w:r>
      <w:r w:rsidR="00F07816">
        <w:t>(</w:t>
      </w:r>
      <w:hyperlink r:id="rId8" w:history="1">
        <w:r w:rsidR="00F07816" w:rsidRPr="00191400">
          <w:rPr>
            <w:rStyle w:val="Hyperlink"/>
          </w:rPr>
          <w:t>www.nationalnumeracy.org.uk</w:t>
        </w:r>
      </w:hyperlink>
      <w:r w:rsidR="00F07816">
        <w:t>.)</w:t>
      </w:r>
      <w:r>
        <w:t xml:space="preserve">For example, numeracy skills are required in cooking to accurately measure ingredients, or when planning a journey to effectively interrogate train timetables. </w:t>
      </w:r>
    </w:p>
    <w:p w:rsidR="00FA6CBC" w:rsidRDefault="00583D9F">
      <w:pPr>
        <w:jc w:val="both"/>
      </w:pPr>
      <w:r>
        <w:t>It is identified however that poor numeracy skills are a long-standing problem and a key issue both in education and wider society. The Cockcroft Repor</w:t>
      </w:r>
      <w:r w:rsidR="00296873">
        <w:t xml:space="preserve">t </w:t>
      </w:r>
      <w:r>
        <w:t>“used statistical analysis, international comparisons, observations and anecdotal evidence to arrive at a range of recommendations.”</w:t>
      </w:r>
      <w:r w:rsidR="001E4CF3">
        <w:t xml:space="preserve"> (</w:t>
      </w:r>
      <w:r w:rsidR="00296873">
        <w:t xml:space="preserve">Compton, Fielding &amp; Scott, 2006, </w:t>
      </w:r>
      <w:r w:rsidR="001C38E4">
        <w:t>p.</w:t>
      </w:r>
      <w:r w:rsidR="00296873">
        <w:t>13)</w:t>
      </w:r>
      <w:r>
        <w:t xml:space="preserve"> These included moving from a teacher centred instructional model, to a </w:t>
      </w:r>
      <w:r w:rsidR="00512A03">
        <w:t>student-centred</w:t>
      </w:r>
      <w:r>
        <w:t xml:space="preserve"> model. Shifting from teaching routine procedures to developing mathematical reasoning, and improved public recognition of the importance of mathematics in society. “Rather than merely identify problems, it charted a general course for the future and outlined a national strategy for pursuing that.” (A</w:t>
      </w:r>
      <w:r w:rsidR="00296873">
        <w:t>fzal, 2014</w:t>
      </w:r>
      <w:r w:rsidR="001C38E4">
        <w:t>,</w:t>
      </w:r>
      <w:r>
        <w:t xml:space="preserve"> </w:t>
      </w:r>
      <w:r w:rsidR="001C38E4">
        <w:t>p.10</w:t>
      </w:r>
      <w:r>
        <w:t>) A key feature of the report was the role of language in mathematics and identified that “mathematics lessons should include practical activities and discussion</w:t>
      </w:r>
      <w:r w:rsidR="001C38E4">
        <w:t>, and links should be made between related areas of mathematics through discussion since even able students do not notice these easily.</w:t>
      </w:r>
      <w:r>
        <w:t xml:space="preserve">” (Compton, Fielding and Scott, </w:t>
      </w:r>
      <w:r w:rsidR="001C38E4">
        <w:t>p.</w:t>
      </w:r>
      <w:r>
        <w:t>13)</w:t>
      </w:r>
    </w:p>
    <w:p w:rsidR="00FA6CBC" w:rsidRDefault="00583D9F">
      <w:pPr>
        <w:jc w:val="both"/>
      </w:pPr>
      <w:r>
        <w:t>The LNF is used to deliver clear indicators of progress to</w:t>
      </w:r>
      <w:r w:rsidR="004E0FCF">
        <w:t xml:space="preserve"> all</w:t>
      </w:r>
      <w:r>
        <w:t xml:space="preserve"> learners</w:t>
      </w:r>
      <w:r w:rsidR="004E0FCF">
        <w:t>, and those</w:t>
      </w:r>
      <w:r>
        <w:t xml:space="preserve"> with additional learning needs, broken down to each year group to both assist in determining learner progress in numeracy and offer annual reports to guardians, parents and carers based on teacher assessment, providing everyone involved with clear indicators of how learners are progressing and how best to move forward in the future. “Learners in every school are expected to apply and extend their numeracy skills across all subject areas, e.g. Map reading/making in geography, tracking progress in physical education, using perspective in visual arts.” (</w:t>
      </w:r>
      <w:hyperlink r:id="rId9" w:history="1">
        <w:r>
          <w:rPr>
            <w:rStyle w:val="Hyperlink"/>
          </w:rPr>
          <w:t>www.wales.gov.uk/educationandskills</w:t>
        </w:r>
      </w:hyperlink>
      <w:r>
        <w:t>.)</w:t>
      </w:r>
    </w:p>
    <w:p w:rsidR="00FA6CBC" w:rsidRDefault="00583D9F">
      <w:pPr>
        <w:jc w:val="both"/>
      </w:pPr>
      <w:r>
        <w:t>The LNF comprises four key interrelated st</w:t>
      </w:r>
      <w:r w:rsidR="0075390B">
        <w:t>r</w:t>
      </w:r>
      <w:r>
        <w:t>ands, each of which helps teachers to accurately reach the expected progress of these skills in the suitable age group</w:t>
      </w:r>
      <w:r w:rsidR="00E06D19">
        <w:t>.</w:t>
      </w:r>
      <w:r w:rsidR="0075390B">
        <w:t xml:space="preserve"> </w:t>
      </w:r>
      <w:r>
        <w:t xml:space="preserve">The first strand, ‘Developing Numerical Reasoning’ focusses on the skills required to answer real-life situations, identify processes and connections in order to explain that approach in their workings, and how to draw conclusions by </w:t>
      </w:r>
      <w:r>
        <w:lastRenderedPageBreak/>
        <w:t>reviewing their own processes and answers for reasonableness. (</w:t>
      </w:r>
      <w:hyperlink r:id="rId10" w:history="1">
        <w:r>
          <w:rPr>
            <w:rStyle w:val="Hyperlink"/>
          </w:rPr>
          <w:t>www.wales.gov.uk/educationandskills</w:t>
        </w:r>
      </w:hyperlink>
      <w:r>
        <w:t>.)</w:t>
      </w:r>
    </w:p>
    <w:p w:rsidR="00FA6CBC" w:rsidRDefault="00583D9F">
      <w:pPr>
        <w:jc w:val="both"/>
      </w:pPr>
      <w:r>
        <w:t>The second strand requires learners to ‘use number skills’ such as counting and learning to order numbers; concentrating on five elements, using number facts and relationships, ratio and percentages, decimals and fractions. This strand ensures that student</w:t>
      </w:r>
      <w:r w:rsidR="00E06D19">
        <w:t>s</w:t>
      </w:r>
      <w:r>
        <w:t xml:space="preserve"> understand the specific context of money and the importance of financial education.</w:t>
      </w:r>
    </w:p>
    <w:p w:rsidR="0075390B" w:rsidRDefault="00583D9F" w:rsidP="00F07816">
      <w:pPr>
        <w:jc w:val="both"/>
      </w:pPr>
      <w:r>
        <w:t>The third strand is ‘using measuring skills’ such as temperature, time, area and volume, weight, capacity and length; Including an understanding of what measurements to use and when to use them. The final strand considers the ‘data skills’ required by the learner to collect, record and present data, for example expressing the answer to a problem or using tables and charts to present the results</w:t>
      </w:r>
      <w:r w:rsidR="0075390B">
        <w:t>. (</w:t>
      </w:r>
      <w:hyperlink r:id="rId11" w:history="1">
        <w:r w:rsidR="0075390B" w:rsidRPr="00D168F7">
          <w:rPr>
            <w:rStyle w:val="Hyperlink"/>
          </w:rPr>
          <w:t>www.wales.gov.uk/educationandskills</w:t>
        </w:r>
      </w:hyperlink>
      <w:r w:rsidR="0075390B">
        <w:t>.)</w:t>
      </w:r>
    </w:p>
    <w:p w:rsidR="00E54B92" w:rsidRDefault="00583D9F" w:rsidP="00F07816">
      <w:pPr>
        <w:jc w:val="both"/>
      </w:pPr>
      <w:r>
        <w:t xml:space="preserve"> </w:t>
      </w:r>
      <w:r w:rsidR="007B2D9B">
        <w:t xml:space="preserve">An important feature of the LNF is that numeracy is embedded across the curriculum. “More teachers are now seeing the virtues of cross-curricular lessons and there are so many historical events and technological and scientific breakthroughs that can be linked to mathematics, which gives more context and relevance to the subject.” (The Guardian, 2019). There are clear connections between mathematics and science subjects and the “STEM initiative, which works to promote science technology, engineering and mathematics is now playing a big role in education.” (The Guardian, 2019). </w:t>
      </w:r>
    </w:p>
    <w:p w:rsidR="00E54B92" w:rsidRDefault="00E54B92">
      <w:pPr>
        <w:jc w:val="both"/>
      </w:pPr>
      <w:r>
        <w:t>An example of using a cross curricular approach is the ability to ‘bring mathematics to life,”</w:t>
      </w:r>
      <w:r w:rsidR="006B5AA1">
        <w:t xml:space="preserve"> (The Guardian</w:t>
      </w:r>
      <w:r w:rsidR="00476C9D">
        <w:t>,</w:t>
      </w:r>
      <w:r w:rsidR="006B5AA1">
        <w:t xml:space="preserve"> 2019)</w:t>
      </w:r>
      <w:r>
        <w:t xml:space="preserve"> to capture the pupil’s imagination and engage their interest. The use of practical examples “show pupils how to apply certain mathematical practices rather than memorising them” (The Guardian, 2019).  One example of a cross-curricular approach to learning used in the foundation phase,</w:t>
      </w:r>
      <w:r w:rsidR="00476C9D">
        <w:t xml:space="preserve"> in my setting,</w:t>
      </w:r>
      <w:r>
        <w:t xml:space="preserve"> is learning where they live in Geography, and calculating how many miles they lived from the school;</w:t>
      </w:r>
      <w:r w:rsidR="002C3271">
        <w:t xml:space="preserve"> giving the pupils an opportunity to apply their</w:t>
      </w:r>
      <w:r w:rsidR="00404E1A">
        <w:t xml:space="preserve"> Mathematical</w:t>
      </w:r>
      <w:r w:rsidR="002C3271">
        <w:t xml:space="preserve"> skills</w:t>
      </w:r>
      <w:r w:rsidR="00404E1A">
        <w:t>,</w:t>
      </w:r>
      <w:r>
        <w:t xml:space="preserve"> using oral discussion as the means of learning.</w:t>
      </w:r>
    </w:p>
    <w:p w:rsidR="00FA6CBC" w:rsidRDefault="00583D9F">
      <w:pPr>
        <w:jc w:val="both"/>
      </w:pPr>
      <w:r>
        <w:t>In my setting I</w:t>
      </w:r>
      <w:r w:rsidR="006B5AA1">
        <w:t xml:space="preserve"> am</w:t>
      </w:r>
      <w:r>
        <w:t xml:space="preserve"> currently work</w:t>
      </w:r>
      <w:r w:rsidR="006B5AA1">
        <w:t>ing</w:t>
      </w:r>
      <w:r>
        <w:t xml:space="preserve"> with children aged 4 and 5 years of age, who are in the </w:t>
      </w:r>
      <w:r w:rsidR="002C3271">
        <w:t>f</w:t>
      </w:r>
      <w:r>
        <w:t>oundation phase</w:t>
      </w:r>
      <w:r w:rsidR="00A828B5">
        <w:t>.</w:t>
      </w:r>
      <w:r w:rsidR="00D0759D">
        <w:t xml:space="preserve"> </w:t>
      </w:r>
      <w:r w:rsidR="00A828B5">
        <w:t>I</w:t>
      </w:r>
      <w:r w:rsidR="00D0759D">
        <w:t>n</w:t>
      </w:r>
      <w:r>
        <w:t xml:space="preserve"> a Catholic Primary School with 140 pupils and 20 teaching and support staff. My role primarily focuses on providing one to one support to a four-year-old child, also providing support to other pupils when needed. </w:t>
      </w:r>
    </w:p>
    <w:p w:rsidR="00FA6CBC" w:rsidRDefault="00583D9F">
      <w:pPr>
        <w:jc w:val="both"/>
      </w:pPr>
      <w:r>
        <w:t>The Foundation phase of the LNF was introduced by the Welsh Assembly Government in the ‘One Wales Programme.’ “Its aim was to change the approach to the education of three to seven-year olds by providing a developmentally appropriate curriculum, which is in harmony with the child’s particular needs and interests.” (</w:t>
      </w:r>
      <w:hyperlink r:id="rId12" w:history="1">
        <w:r>
          <w:rPr>
            <w:rStyle w:val="Hyperlink"/>
          </w:rPr>
          <w:t>www.assembly.wales</w:t>
        </w:r>
      </w:hyperlink>
      <w:r>
        <w:t>). “The term curriculum is used to describe everything children do, see, hear or feel in their setting, both planned and unplanned.” (Arthur &amp; Grainger,</w:t>
      </w:r>
      <w:r w:rsidR="00A828B5">
        <w:t xml:space="preserve"> 2006,</w:t>
      </w:r>
      <w:r>
        <w:t xml:space="preserve"> P196.)</w:t>
      </w:r>
    </w:p>
    <w:p w:rsidR="00FA6CBC" w:rsidRDefault="00583D9F">
      <w:pPr>
        <w:jc w:val="both"/>
      </w:pPr>
      <w:r>
        <w:t xml:space="preserve">The Foundation Phase aims to develop the pupil’s knowledge, skills and understanding of numeracy by using play </w:t>
      </w:r>
      <w:r w:rsidR="004E0FCF">
        <w:t>with</w:t>
      </w:r>
      <w:r>
        <w:t xml:space="preserve"> real-life examples and using a wide variety of resources to explore and experiment with numbers. This experiential </w:t>
      </w:r>
      <w:r w:rsidR="002C3271">
        <w:t>teaching</w:t>
      </w:r>
      <w:r>
        <w:t xml:space="preserve"> encourages learning through problem solving, interaction and discussion to encourage recall, obtaining real-life data and presenting their findings.</w:t>
      </w:r>
      <w:bookmarkStart w:id="1" w:name="_Hlk28966725"/>
    </w:p>
    <w:bookmarkEnd w:id="1"/>
    <w:p w:rsidR="00FA6CBC" w:rsidRDefault="0089580A">
      <w:pPr>
        <w:jc w:val="both"/>
      </w:pPr>
      <w:r>
        <w:t xml:space="preserve">A key resource that supports the development of numeracy in the foundation phase </w:t>
      </w:r>
      <w:r w:rsidR="00583D9F">
        <w:t xml:space="preserve">is Numicon, which uses patterns and colours to represent each number. Each Numicon shape has holes to represent the numbers one to ten, with each number having a different colour. Numicon offers a multisensory approach for the pupils because the shapes can be touched, explored and the colours can be seen. The shapes provide a physical resource to represent each number. The teacher or teaching assistant may arrange the shapes in order to allow the pupils to make connections between the numbers. </w:t>
      </w:r>
    </w:p>
    <w:p w:rsidR="00FA6CBC" w:rsidRDefault="00583D9F">
      <w:pPr>
        <w:jc w:val="both"/>
      </w:pPr>
      <w:r>
        <w:lastRenderedPageBreak/>
        <w:t xml:space="preserve">Numicon helps the pupil to recognise numbers and the numerical value of that number. </w:t>
      </w:r>
      <w:r w:rsidR="006B5AA1">
        <w:t>It</w:t>
      </w:r>
      <w:r>
        <w:t xml:space="preserve"> helps increase the pupil’s confidence by</w:t>
      </w:r>
      <w:r w:rsidR="006B5AA1">
        <w:t xml:space="preserve"> giving them an</w:t>
      </w:r>
      <w:r>
        <w:t xml:space="preserve"> understanding </w:t>
      </w:r>
      <w:r w:rsidR="006B5AA1">
        <w:t xml:space="preserve">of </w:t>
      </w:r>
      <w:r>
        <w:t xml:space="preserve">how they reached the answer to the problem, </w:t>
      </w:r>
      <w:r w:rsidR="006B5AA1">
        <w:t>“</w:t>
      </w:r>
      <w:r>
        <w:t>helping</w:t>
      </w:r>
      <w:r w:rsidR="006B5AA1">
        <w:t xml:space="preserve"> </w:t>
      </w:r>
      <w:r>
        <w:t>children to become confident problem solvers by applying their learning to different real-life contexts.” (</w:t>
      </w:r>
      <w:hyperlink r:id="rId13" w:history="1">
        <w:r w:rsidR="00A46ACE" w:rsidRPr="00191400">
          <w:rPr>
            <w:rStyle w:val="Hyperlink"/>
          </w:rPr>
          <w:t>www.global.oup.com</w:t>
        </w:r>
      </w:hyperlink>
      <w:r w:rsidR="00A46ACE">
        <w:t>)</w:t>
      </w:r>
    </w:p>
    <w:p w:rsidR="0089580A" w:rsidRDefault="00583D9F">
      <w:pPr>
        <w:jc w:val="both"/>
      </w:pPr>
      <w:r>
        <w:t xml:space="preserve">According to Ofsted, the use of Numicon should not increase the workload of staff and the teaching resource handbook that accompanies Numicon contains all the lessons that </w:t>
      </w:r>
      <w:r w:rsidR="002C3271">
        <w:t xml:space="preserve">the </w:t>
      </w:r>
      <w:r>
        <w:t>teacher need</w:t>
      </w:r>
      <w:r w:rsidR="002C3271">
        <w:t>s</w:t>
      </w:r>
      <w:r w:rsidR="00A22B60">
        <w:t xml:space="preserve"> </w:t>
      </w:r>
      <w:r>
        <w:t>to cover the national curriculum</w:t>
      </w:r>
      <w:r w:rsidR="008753FA">
        <w:t>.</w:t>
      </w:r>
      <w:r>
        <w:t xml:space="preserve"> </w:t>
      </w:r>
      <w:r w:rsidR="008753FA">
        <w:t>T</w:t>
      </w:r>
      <w:r>
        <w:t>here is flexibility in curriculum planning so that the school can “address identified gaps in pupil</w:t>
      </w:r>
      <w:r w:rsidR="008753FA">
        <w:t>’</w:t>
      </w:r>
      <w:r>
        <w:t>s</w:t>
      </w:r>
      <w:r w:rsidR="008753FA">
        <w:t xml:space="preserve"> </w:t>
      </w:r>
      <w:r>
        <w:t>mathematical knowledge that hinder their capacity to learn and apply new content.” (</w:t>
      </w:r>
      <w:hyperlink r:id="rId14" w:history="1">
        <w:r w:rsidR="00A46ACE" w:rsidRPr="00191400">
          <w:rPr>
            <w:rStyle w:val="Hyperlink"/>
          </w:rPr>
          <w:t>www.global.oup.com</w:t>
        </w:r>
      </w:hyperlink>
      <w:r w:rsidR="00A46ACE">
        <w:t>)</w:t>
      </w:r>
      <w:r w:rsidR="0089580A">
        <w:t xml:space="preserve"> T</w:t>
      </w:r>
      <w:r w:rsidR="00D0759D">
        <w:t>he Donaldson report ‘Successful Futures’</w:t>
      </w:r>
      <w:r w:rsidR="002E1F32">
        <w:t xml:space="preserve"> </w:t>
      </w:r>
      <w:r w:rsidR="0089580A">
        <w:t>identifies</w:t>
      </w:r>
      <w:r w:rsidR="00D0759D">
        <w:t xml:space="preserve"> “It is important that all teachers and other staff who work with children and young people have an understanding of how best to reinforce these skills and take opportunities to consolidate learning appropriately.” (</w:t>
      </w:r>
      <w:hyperlink r:id="rId15" w:history="1">
        <w:r w:rsidR="002E1F32" w:rsidRPr="00D168F7">
          <w:rPr>
            <w:rStyle w:val="Hyperlink"/>
          </w:rPr>
          <w:t>www.gov.wales.uk</w:t>
        </w:r>
      </w:hyperlink>
      <w:r w:rsidR="002E1F32">
        <w:t>.</w:t>
      </w:r>
      <w:r w:rsidR="00EF70BF">
        <w:t>)</w:t>
      </w:r>
    </w:p>
    <w:p w:rsidR="00FC7965" w:rsidRDefault="00583D9F">
      <w:pPr>
        <w:jc w:val="both"/>
      </w:pPr>
      <w:r>
        <w:t>Numicon is available as a resource within the school</w:t>
      </w:r>
      <w:r w:rsidR="002E6260">
        <w:t>,</w:t>
      </w:r>
      <w:r w:rsidR="00D0759D">
        <w:t xml:space="preserve"> however</w:t>
      </w:r>
      <w:r>
        <w:t xml:space="preserve"> it is not regularly use</w:t>
      </w:r>
      <w:r w:rsidR="00D0759D">
        <w:t>d</w:t>
      </w:r>
      <w:r>
        <w:t xml:space="preserve"> in the classroom</w:t>
      </w:r>
      <w:r w:rsidR="0089580A">
        <w:t>.</w:t>
      </w:r>
      <w:r>
        <w:t xml:space="preserve"> </w:t>
      </w:r>
      <w:r w:rsidR="0089580A">
        <w:t>T</w:t>
      </w:r>
      <w:r>
        <w:t>he benefits offered by the tool are not being realised by the pupil</w:t>
      </w:r>
      <w:r w:rsidR="0089580A">
        <w:t>s</w:t>
      </w:r>
      <w:r>
        <w:t xml:space="preserve"> and its use must be fully embedded into the lesson plan for each pupil to fully benefit from the Numicon </w:t>
      </w:r>
      <w:r w:rsidR="00D0759D">
        <w:t>resources</w:t>
      </w:r>
      <w:r>
        <w:t>.</w:t>
      </w:r>
      <w:r w:rsidR="002E6260">
        <w:t xml:space="preserve"> </w:t>
      </w:r>
      <w:r w:rsidR="00B851B5">
        <w:t>Although the numeracy component of the LNF “provides guidance about the common approach to the reinforcement of such skills at different developmental stages,” (Donaldson</w:t>
      </w:r>
      <w:r w:rsidR="00EF70BF">
        <w:t>,</w:t>
      </w:r>
      <w:r w:rsidR="00B851B5">
        <w:t xml:space="preserve"> P42); t</w:t>
      </w:r>
      <w:r>
        <w:t xml:space="preserve">he most recent Estyn Inspection of the school (2015) identifies that </w:t>
      </w:r>
      <w:r w:rsidR="00B851B5">
        <w:t xml:space="preserve">although </w:t>
      </w:r>
      <w:r w:rsidR="0089580A">
        <w:t>f</w:t>
      </w:r>
      <w:r>
        <w:t xml:space="preserve">oundation </w:t>
      </w:r>
      <w:r w:rsidR="0089580A">
        <w:t>p</w:t>
      </w:r>
      <w:r>
        <w:t>hase pupils can “count, order and sort numbers to 10 correctly</w:t>
      </w:r>
      <w:bookmarkStart w:id="2" w:name="_Hlk28871792"/>
      <w:r>
        <w:t>, many pupils do not apply their numeracy skills effectively in everyday situations,</w:t>
      </w:r>
      <w:bookmarkEnd w:id="2"/>
      <w:r>
        <w:t xml:space="preserve"> for example when counting money, measuring and telling the time.” (Estyn, 2015). </w:t>
      </w:r>
    </w:p>
    <w:p w:rsidR="00512A03" w:rsidRDefault="00583D9F">
      <w:pPr>
        <w:jc w:val="both"/>
      </w:pPr>
      <w:r>
        <w:t>Greater use of the Numicon tool would help pupils attain these key learning milestones</w:t>
      </w:r>
      <w:r w:rsidR="00FC7965">
        <w:t xml:space="preserve">, however there is regular use made of ‘oral’ engagement with pupils, an important factor identified in the National Numeracy Strategy as “speaking and listening form a key part of the foundation phase, and oral work is a crucial part of every mathematics lesson.” </w:t>
      </w:r>
      <w:r w:rsidR="00DF57FD">
        <w:t>(</w:t>
      </w:r>
      <w:hyperlink r:id="rId16" w:history="1">
        <w:r w:rsidR="00DF57FD" w:rsidRPr="00191400">
          <w:rPr>
            <w:rStyle w:val="Hyperlink"/>
          </w:rPr>
          <w:t>www.educationengland.org.uk</w:t>
        </w:r>
      </w:hyperlink>
      <w:r w:rsidR="00DF57FD">
        <w:t>.)</w:t>
      </w:r>
      <w:r w:rsidR="00512A03">
        <w:t>“They develop their use and understanding of mathematical language in context through communicating, talking about their work; they ask and respond to questions and explore alternative ideas.” (</w:t>
      </w:r>
      <w:hyperlink r:id="rId17" w:history="1">
        <w:r w:rsidR="00DF57FD" w:rsidRPr="00191400">
          <w:rPr>
            <w:rStyle w:val="Hyperlink"/>
          </w:rPr>
          <w:t>www.estyn.gov.wales</w:t>
        </w:r>
      </w:hyperlink>
      <w:r w:rsidR="00DF57FD">
        <w:t>.)</w:t>
      </w:r>
    </w:p>
    <w:p w:rsidR="00FA6CBC" w:rsidRDefault="0043488E">
      <w:pPr>
        <w:jc w:val="both"/>
      </w:pPr>
      <w:r>
        <w:t xml:space="preserve">One way in which numicon could be regularly used </w:t>
      </w:r>
      <w:r w:rsidR="00DF57FD">
        <w:t xml:space="preserve">is </w:t>
      </w:r>
      <w:r>
        <w:t>i</w:t>
      </w:r>
      <w:r w:rsidR="00583D9F">
        <w:t>n the foundation class</w:t>
      </w:r>
      <w:r w:rsidR="00B06AE1">
        <w:t>, where</w:t>
      </w:r>
      <w:r w:rsidR="00583D9F">
        <w:t xml:space="preserve"> two ‘focus groups’ o</w:t>
      </w:r>
      <w:r w:rsidR="00B06AE1">
        <w:t>f</w:t>
      </w:r>
      <w:r w:rsidR="00583D9F">
        <w:t xml:space="preserve"> four pupils form the basis for the formal learning in the </w:t>
      </w:r>
      <w:r w:rsidR="00B06AE1">
        <w:t>classroom. W</w:t>
      </w:r>
      <w:r w:rsidR="00583D9F">
        <w:t>hilst the other pupils are learning through play</w:t>
      </w:r>
      <w:r w:rsidR="00B06AE1">
        <w:t>, n</w:t>
      </w:r>
      <w:r w:rsidR="00583D9F">
        <w:t xml:space="preserve">umicon would offer the teacher </w:t>
      </w:r>
      <w:r w:rsidR="00B06AE1">
        <w:t xml:space="preserve">a tool with which to assess whether the children in the focus groups are attaining their key targets. Numicon provides </w:t>
      </w:r>
      <w:r w:rsidR="00583D9F">
        <w:t>“formative assessment opportunities for all of the milestones, giving children the opportunity to self-assess and for teachers to easily recognise if they are confident and secure within the topic.” (Oxford University Press</w:t>
      </w:r>
      <w:r w:rsidR="00DF57FD">
        <w:t>, 2015</w:t>
      </w:r>
      <w:r w:rsidR="00583D9F">
        <w:t xml:space="preserve">). </w:t>
      </w:r>
    </w:p>
    <w:p w:rsidR="00FA6CBC" w:rsidRDefault="00583D9F">
      <w:pPr>
        <w:jc w:val="both"/>
      </w:pPr>
      <w:r>
        <w:t xml:space="preserve">A key objective of the </w:t>
      </w:r>
      <w:r w:rsidR="0089580A">
        <w:t>f</w:t>
      </w:r>
      <w:r>
        <w:t xml:space="preserve">oundation </w:t>
      </w:r>
      <w:r w:rsidR="0089580A">
        <w:t>p</w:t>
      </w:r>
      <w:r>
        <w:t xml:space="preserve">hase is that “schools must work to reduce environmental and social barriers to inclusion and offer opportunities for all children to achieve their full potential in preparation for further learning and life.” </w:t>
      </w:r>
      <w:r w:rsidR="00404E1A">
        <w:t>(</w:t>
      </w:r>
      <w:hyperlink r:id="rId18" w:history="1">
        <w:r w:rsidR="00404E1A" w:rsidRPr="00FB3B64">
          <w:rPr>
            <w:rStyle w:val="Hyperlink"/>
          </w:rPr>
          <w:t>www.gov.uk</w:t>
        </w:r>
      </w:hyperlink>
      <w:r w:rsidR="00404E1A">
        <w:t>)</w:t>
      </w:r>
      <w:r>
        <w:t>In my experience of providing support to a pupil with  additional learning needs, the individual needs of the child are met by providing differentiation of the lesson, with a variety of resources to meet his specific needs, such as using visual aids to assist with number recognition, and number lines to support number formation and to  help him understand the concepts. He is also taken out of assembly twice a week, lasting fifteen minutes per session and is delivered by myself and other teaching assistants.</w:t>
      </w:r>
    </w:p>
    <w:p w:rsidR="00FA6CBC" w:rsidRDefault="00583D9F">
      <w:pPr>
        <w:jc w:val="both"/>
      </w:pPr>
      <w:r>
        <w:t>In each ‘Catch Up Numeracy’ session the focus is very much on number formation and recognition. Once these skills are established the focus becomes addition and subtraction ‘One More’ or ‘One Less’ and possibly ‘Odd one out’ if the learner becomes proficient enough in the above skills. According to the Department of Education ‘Catch Up Numeracy’ has been well received. “It has received promising results from trials with Primary aged children.” (</w:t>
      </w:r>
      <w:hyperlink r:id="rId19" w:history="1">
        <w:r>
          <w:rPr>
            <w:rStyle w:val="Hyperlink"/>
          </w:rPr>
          <w:t>www.gov.uk</w:t>
        </w:r>
      </w:hyperlink>
      <w:r>
        <w:t xml:space="preserve">.) Whilst in these ‘Catch Up’ sessions the number line resource becomes a vital tool for the pupils. It often assists the pupil to memorize and </w:t>
      </w:r>
      <w:r>
        <w:lastRenderedPageBreak/>
        <w:t>practice counting with ordinal numbers. As acknowledged by the Educator Jeffrey Frykholm, “There has been a growing body of research to suggest the importance of the number line as a tool for helping children develop greater flexibility in mental arithmetic as they actively construct mathematical meaning, number sense, and understandings of number relationships.” (Frykholm,</w:t>
      </w:r>
      <w:r w:rsidR="00D5378B">
        <w:t xml:space="preserve"> 2010,</w:t>
      </w:r>
      <w:r>
        <w:t xml:space="preserve"> P7.) It is very simple and easy for the pupils to understand. Also making the ‘Catch Up’ sessions relaxed and calm for myself and the other staff. </w:t>
      </w:r>
    </w:p>
    <w:p w:rsidR="00FA6CBC" w:rsidRDefault="00583D9F">
      <w:pPr>
        <w:ind w:left="850"/>
        <w:jc w:val="both"/>
      </w:pPr>
      <w:r>
        <w:t xml:space="preserve">“The number line is well suited to support informal thinking strategies of students because of its inherent linearity. In contrast to blocks or counters with a ‘set-representation’ orientation, young children naturally recognize marks on a number line as visual representations of the mental images people have when learning to count and develop understanding of number relationships.” (Frykholm, 2010, </w:t>
      </w:r>
      <w:r w:rsidR="00D5378B">
        <w:t>p.</w:t>
      </w:r>
      <w:r>
        <w:t xml:space="preserve">8) </w:t>
      </w:r>
    </w:p>
    <w:p w:rsidR="006F4A51" w:rsidRDefault="006F4A51" w:rsidP="006F4A51">
      <w:pPr>
        <w:jc w:val="both"/>
      </w:pPr>
      <w:r>
        <w:t>It is clear however that the benefits of Catch Up’ sessions, which can help develop numeracy and promote creative solution strategies and intuitive reasoning out way the disadvantages and the use of resources such as the number line are beneficial. “The number line is an easy model to understand and has great advantages in helping students understand the relative magnitude and position of numbers as well as visualis</w:t>
      </w:r>
      <w:r w:rsidR="00D5378B">
        <w:t>e. (Frykholm, 2010, p.9)</w:t>
      </w:r>
    </w:p>
    <w:p w:rsidR="006F4A51" w:rsidRDefault="005E7B1A">
      <w:pPr>
        <w:jc w:val="both"/>
      </w:pPr>
      <w:r>
        <w:t xml:space="preserve">One disadvantage of using ‘Catch up’ sessions is that taking the pupil out of the assembly or other community activity can stigmatise the child as ‘being different from their peers’ and isolate them from </w:t>
      </w:r>
      <w:r w:rsidR="00150D20">
        <w:t>participating in communal activity, which creates a ‘barrier to inclusion’ that is an important objective of the foundation Phase.</w:t>
      </w:r>
      <w:r w:rsidR="006F4A51">
        <w:t xml:space="preserve"> If more teachers embedded numeracy across the curriculum, which is identified by Donaldson in </w:t>
      </w:r>
      <w:r w:rsidR="00D340CB">
        <w:t>his ‘Successful Futures’ report as essential for pupils to attain</w:t>
      </w:r>
      <w:r w:rsidR="006F4A51">
        <w:t xml:space="preserve"> key learning milestones, ‘catch up’ sessions would not be required as frequently. </w:t>
      </w:r>
    </w:p>
    <w:p w:rsidR="00A421DB" w:rsidRDefault="00583D9F">
      <w:pPr>
        <w:jc w:val="both"/>
      </w:pPr>
      <w:r>
        <w:t>The LNF provides a statutory framework that has been a legal requirement for schools to implement since 2015</w:t>
      </w:r>
      <w:r w:rsidR="00A421DB">
        <w:t xml:space="preserve"> however in my school setting there is little evidence to support its effective implementation. Although cross-curricular learning is identified as essential to pupils embedding numeracy skills in their learning, this is not currently evident in the pupil’s attainment.</w:t>
      </w:r>
    </w:p>
    <w:p w:rsidR="00A421DB" w:rsidRDefault="00A421DB" w:rsidP="00A421DB">
      <w:r>
        <w:t>During the Estyn inspection of the school i</w:t>
      </w:r>
      <w:r w:rsidR="008F35C7">
        <w:t>n</w:t>
      </w:r>
      <w:r>
        <w:t xml:space="preserve"> 2015, “many pupils do not apply their numeracy skills effectively in everyday situations,” </w:t>
      </w:r>
      <w:r w:rsidR="00D5378B">
        <w:t xml:space="preserve">(Estyn, 2015) </w:t>
      </w:r>
      <w:r>
        <w:t>which could be addressed by greater focus being placed in the LNF framework including regular use of numicon and other similar learning resources which “Helps pupils to become confident problem solvers by applying their learning to different real-life contexts.” Donaldson identifies that “for independent living and work children and young people need regular opportunities to deepen their understanding of number and, as with literacy, to reinforce and use their numeracy skills in different contexts.” (</w:t>
      </w:r>
      <w:hyperlink r:id="rId20" w:history="1">
        <w:r w:rsidR="00D5378B" w:rsidRPr="00191400">
          <w:rPr>
            <w:rStyle w:val="Hyperlink"/>
          </w:rPr>
          <w:t>www.gov.wales</w:t>
        </w:r>
      </w:hyperlink>
      <w:r w:rsidR="00D5378B">
        <w:t>.)</w:t>
      </w:r>
    </w:p>
    <w:p w:rsidR="00A421DB" w:rsidRDefault="00684713">
      <w:pPr>
        <w:jc w:val="both"/>
      </w:pPr>
      <w:r>
        <w:t>T</w:t>
      </w:r>
      <w:r w:rsidR="005D40C5">
        <w:t xml:space="preserve">he importance of ‘whole class teaching’ </w:t>
      </w:r>
      <w:r>
        <w:t>and the use of published mathematics schemes was identified as early as the 1992 in the ‘Three Wise Men’ report that contributed to the National Numeracy Project which then evolved into the National Numeracy Strategy. Although adoption of the National Numeracy Strategy was not a statutory requirement, “there was strong pressure for schools to adopt the guidelines as this would be a focus of Ofsted inspections.”</w:t>
      </w:r>
      <w:r w:rsidR="005C69FD">
        <w:t xml:space="preserve"> (Compton, Fielding &amp; Scott, 2010, p.13.)</w:t>
      </w:r>
      <w:r>
        <w:t xml:space="preserve"> It is therefore disappointing to note that 18 years later, key challenges remain in integrating numeracy within wider learning in the classroom and there remains a need for pupils to be given catch up sessions. </w:t>
      </w:r>
    </w:p>
    <w:p w:rsidR="00DE1B1C" w:rsidRDefault="006A1F4F">
      <w:pPr>
        <w:jc w:val="both"/>
      </w:pPr>
      <w:r>
        <w:t>In a review of the LNF commissioned by the Welsh Assembly Government it was identified that “</w:t>
      </w:r>
      <w:r w:rsidRPr="006A1F4F">
        <w:t>teachers felt that it was too early to say whether the introduction of the NLNP had supported an improvement in the use of assessment data to support teaching and learning. Having said this, many teachers were confident that the steps that they had taken would lead to medium to long-term improvements.</w:t>
      </w:r>
      <w:r>
        <w:t>” (</w:t>
      </w:r>
      <w:r w:rsidR="005C69FD">
        <w:t>Carr et al. 2017,</w:t>
      </w:r>
      <w:r>
        <w:t xml:space="preserve"> </w:t>
      </w:r>
      <w:r w:rsidR="005C69FD">
        <w:t>p.</w:t>
      </w:r>
      <w:r>
        <w:t>5)</w:t>
      </w:r>
    </w:p>
    <w:p w:rsidR="005C4787" w:rsidRDefault="005C4787" w:rsidP="005C4787">
      <w:pPr>
        <w:jc w:val="both"/>
      </w:pPr>
      <w:r>
        <w:lastRenderedPageBreak/>
        <w:t>“O</w:t>
      </w:r>
      <w:r w:rsidRPr="006A1F4F">
        <w:t>f those who responded to the online survey in 2015,</w:t>
      </w:r>
      <w:r>
        <w:t xml:space="preserve"> some </w:t>
      </w:r>
      <w:r w:rsidRPr="006A1F4F">
        <w:t xml:space="preserve">four-fifths </w:t>
      </w:r>
      <w:r>
        <w:t xml:space="preserve">of the respondents </w:t>
      </w:r>
      <w:r w:rsidRPr="006A1F4F">
        <w:t xml:space="preserve">felt that the introduction </w:t>
      </w:r>
      <w:r>
        <w:t>of</w:t>
      </w:r>
      <w:r w:rsidRPr="006A1F4F">
        <w:t xml:space="preserve"> LNF had a positive impact on the quality of teaching and learning at their school </w:t>
      </w:r>
      <w:r>
        <w:t>-</w:t>
      </w:r>
      <w:r w:rsidRPr="006A1F4F">
        <w:t>80% in literacy and 78% in numeracy</w:t>
      </w:r>
      <w:r>
        <w:t xml:space="preserve">; an increase from the proportion reported in 2014 of </w:t>
      </w:r>
      <w:r w:rsidRPr="006A1F4F">
        <w:t>70% and 67% respectively</w:t>
      </w:r>
      <w:r>
        <w:t>. To be successful, the LNF must “</w:t>
      </w:r>
      <w:proofErr w:type="gramStart"/>
      <w:r>
        <w:t>be seen as</w:t>
      </w:r>
      <w:proofErr w:type="gramEnd"/>
      <w:r>
        <w:t xml:space="preserve"> a key part of the wider performance management structure for the school” and teaching staff require training “to help them assess the attainment of pupils against the age-related expectations of the LNF in a consistent way.” (</w:t>
      </w:r>
      <w:r w:rsidR="005C69FD">
        <w:t>Carr et al. 2017,</w:t>
      </w:r>
      <w:r>
        <w:t xml:space="preserve"> </w:t>
      </w:r>
      <w:r w:rsidR="005C69FD">
        <w:t>p.</w:t>
      </w:r>
      <w:r>
        <w:t>4)</w:t>
      </w:r>
    </w:p>
    <w:p w:rsidR="00FC7965" w:rsidRDefault="001504C5" w:rsidP="001504C5">
      <w:pPr>
        <w:jc w:val="both"/>
      </w:pPr>
      <w:r>
        <w:t>Feedback from teachers to the WAG review “indicates widespread acceptance that the introduction of the LNF, in particular, has led to material changes in pedagogical practices that are starting to achieve recognisable improvements in teacher performance.” Although it is difficult to quantify the difference that the LNF has made to numeracy in schools</w:t>
      </w:r>
      <w:r w:rsidRPr="001504C5">
        <w:t xml:space="preserve"> </w:t>
      </w:r>
      <w:r>
        <w:t>“since 2011, it is notable that the proportion of pupils achieving the expected level of attainment in</w:t>
      </w:r>
      <w:r w:rsidR="00496421">
        <w:t xml:space="preserve"> </w:t>
      </w:r>
      <w:r>
        <w:t>maths has increased while there have also been reductions in the gaps between pupils with special educational needs</w:t>
      </w:r>
      <w:r w:rsidR="00FC7965">
        <w:t>.”</w:t>
      </w:r>
      <w:r>
        <w:t xml:space="preserve"> (</w:t>
      </w:r>
      <w:r w:rsidR="005C69FD">
        <w:t>Carr et al. 2017</w:t>
      </w:r>
      <w:r>
        <w:t>)</w:t>
      </w:r>
    </w:p>
    <w:p w:rsidR="006A1F4F" w:rsidRDefault="00995E27" w:rsidP="0017320F">
      <w:pPr>
        <w:jc w:val="both"/>
      </w:pPr>
      <w:r>
        <w:t>The WAG review identifies that “s</w:t>
      </w:r>
      <w:r w:rsidR="006A1F4F" w:rsidRPr="006A1F4F">
        <w:t>ince the introduction of the LNF in 2013, schools appear to have made considerable progress in embedding the LNF within their curriculum and assessment cycles. At this stage, there is evidence to suggest that changes made by senior and middle leaders have started to translate into increased use of cross-curricular approaches</w:t>
      </w:r>
      <w:r>
        <w:t>.”</w:t>
      </w:r>
      <w:r w:rsidR="00496421">
        <w:t xml:space="preserve"> </w:t>
      </w:r>
      <w:r w:rsidR="0017320F">
        <w:t>(</w:t>
      </w:r>
      <w:hyperlink r:id="rId21" w:history="1">
        <w:r w:rsidR="0017320F" w:rsidRPr="00191400">
          <w:rPr>
            <w:rStyle w:val="Hyperlink"/>
          </w:rPr>
          <w:t>www.assembly.wales</w:t>
        </w:r>
      </w:hyperlink>
      <w:r w:rsidR="0017320F">
        <w:t>.)</w:t>
      </w:r>
      <w:r w:rsidR="000435C3">
        <w:t xml:space="preserve"> </w:t>
      </w:r>
      <w:r>
        <w:t xml:space="preserve">In my setting, greater emphasis on cross curricular learning needs to be implemented more consistently and less reliance placed on individual classroom teachers to identify opportunities for inclusion of cross curricular learning; although </w:t>
      </w:r>
      <w:r w:rsidR="005C4787">
        <w:t>it is suggested that “</w:t>
      </w:r>
      <w:r w:rsidR="006A1F4F" w:rsidRPr="006A1F4F">
        <w:t>this approach had led to much greater understanding/ownership over the implementation process.</w:t>
      </w:r>
      <w:r w:rsidR="005C4787">
        <w:t xml:space="preserve">” Although resources such as Numicon are available, they are not regularly </w:t>
      </w:r>
      <w:proofErr w:type="gramStart"/>
      <w:r w:rsidR="005C4787">
        <w:t>used</w:t>
      </w:r>
      <w:proofErr w:type="gramEnd"/>
      <w:r w:rsidR="005C4787">
        <w:t xml:space="preserve"> and attainment of the objectives set in the LNF will be improved further through the consistent use of these tools. </w:t>
      </w:r>
      <w:r w:rsidR="0017320F">
        <w:t>(</w:t>
      </w:r>
      <w:hyperlink r:id="rId22" w:history="1">
        <w:r w:rsidR="0017320F" w:rsidRPr="00191400">
          <w:rPr>
            <w:rStyle w:val="Hyperlink"/>
          </w:rPr>
          <w:t>www.assembly.wales</w:t>
        </w:r>
      </w:hyperlink>
      <w:r w:rsidR="0017320F">
        <w:t>.)</w:t>
      </w:r>
    </w:p>
    <w:p w:rsidR="0017320F" w:rsidRDefault="0017320F"/>
    <w:p w:rsidR="000567DF" w:rsidRDefault="000567DF">
      <w:bookmarkStart w:id="3" w:name="_Hlk28874962"/>
    </w:p>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p w:rsidR="00C93AB1" w:rsidRDefault="00C93AB1"/>
    <w:bookmarkEnd w:id="3"/>
    <w:p w:rsidR="00FA6CBC" w:rsidRDefault="00FA6CBC" w:rsidP="006A1F4F"/>
    <w:p w:rsidR="00FA6CBC" w:rsidRDefault="00FA6CBC"/>
    <w:p w:rsidR="00404E1A" w:rsidRDefault="00404E1A"/>
    <w:p w:rsidR="00577165" w:rsidRDefault="00F07816" w:rsidP="00577165">
      <w:r>
        <w:t xml:space="preserve">Bibliography: </w:t>
      </w:r>
    </w:p>
    <w:p w:rsidR="00577165" w:rsidRDefault="004B0344" w:rsidP="004B0344">
      <w:pPr>
        <w:pStyle w:val="ListParagraph"/>
        <w:numPr>
          <w:ilvl w:val="0"/>
          <w:numId w:val="2"/>
        </w:numPr>
      </w:pPr>
      <w:r>
        <w:t xml:space="preserve">Afzal, A. (2014) </w:t>
      </w:r>
      <w:r w:rsidR="00EE64C8">
        <w:t>‘</w:t>
      </w:r>
      <w:r w:rsidRPr="004B0344">
        <w:rPr>
          <w:i/>
        </w:rPr>
        <w:t>The Cockcroft Report and the committee – Looking back to move forward</w:t>
      </w:r>
      <w:r>
        <w:t>.</w:t>
      </w:r>
      <w:r w:rsidR="00EE64C8">
        <w:t xml:space="preserve">’ </w:t>
      </w:r>
      <w:r w:rsidR="00EE64C8" w:rsidRPr="00EE64C8">
        <w:rPr>
          <w:i/>
        </w:rPr>
        <w:t>Mathematics Teaching</w:t>
      </w:r>
      <w:r w:rsidR="00EE64C8" w:rsidRPr="00EE64C8">
        <w:t>. Is</w:t>
      </w:r>
      <w:r w:rsidR="00EE64C8">
        <w:t>sue 243: p. 10-14.</w:t>
      </w:r>
      <w:r w:rsidR="00EE64C8" w:rsidRPr="00EE64C8">
        <w:t xml:space="preserve"> </w:t>
      </w:r>
    </w:p>
    <w:p w:rsidR="00137A59" w:rsidRDefault="00137A59" w:rsidP="00137A59">
      <w:pPr>
        <w:pStyle w:val="ListParagraph"/>
        <w:numPr>
          <w:ilvl w:val="0"/>
          <w:numId w:val="2"/>
        </w:numPr>
      </w:pPr>
      <w:r>
        <w:t>Carruthers, E. and Worthington, M. (2006</w:t>
      </w:r>
      <w:r w:rsidRPr="002719F7">
        <w:rPr>
          <w:i/>
        </w:rPr>
        <w:t>) Children’s Mathematics, Making Marks</w:t>
      </w:r>
      <w:r>
        <w:t xml:space="preserve">,              </w:t>
      </w:r>
      <w:r w:rsidRPr="002719F7">
        <w:rPr>
          <w:i/>
        </w:rPr>
        <w:t>Making Meaning</w:t>
      </w:r>
      <w:r>
        <w:t>. London. Sage Publications Ltd.</w:t>
      </w:r>
    </w:p>
    <w:p w:rsidR="00577165" w:rsidRDefault="00EE31AB" w:rsidP="00577165">
      <w:pPr>
        <w:pStyle w:val="ListParagraph"/>
        <w:numPr>
          <w:ilvl w:val="0"/>
          <w:numId w:val="2"/>
        </w:numPr>
      </w:pPr>
      <w:r>
        <w:t xml:space="preserve">Compton, A. Fielding, H. and Scott, M. </w:t>
      </w:r>
      <w:r w:rsidR="00137A59">
        <w:t xml:space="preserve">(2007) </w:t>
      </w:r>
      <w:r w:rsidR="00137A59" w:rsidRPr="002719F7">
        <w:rPr>
          <w:i/>
        </w:rPr>
        <w:t>Supporting Numeracy, Supporting Learning Professionally</w:t>
      </w:r>
      <w:r w:rsidR="00137A59">
        <w:t>. London. Sage Publications Ltd.</w:t>
      </w:r>
    </w:p>
    <w:p w:rsidR="002719F7" w:rsidRDefault="002719F7" w:rsidP="0059070A">
      <w:pPr>
        <w:pStyle w:val="ListParagraph"/>
        <w:numPr>
          <w:ilvl w:val="0"/>
          <w:numId w:val="2"/>
        </w:numPr>
      </w:pPr>
      <w:r>
        <w:t xml:space="preserve">Frykholm, J. (2010) </w:t>
      </w:r>
      <w:r w:rsidRPr="002719F7">
        <w:rPr>
          <w:i/>
        </w:rPr>
        <w:t>Learning to think Mathematically with the Number line</w:t>
      </w:r>
      <w:r>
        <w:t>. Colorado. Cloudbreak Publishing.</w:t>
      </w:r>
    </w:p>
    <w:p w:rsidR="00342F04" w:rsidRDefault="00137A59" w:rsidP="00EF1301">
      <w:pPr>
        <w:pStyle w:val="ListParagraph"/>
        <w:numPr>
          <w:ilvl w:val="0"/>
          <w:numId w:val="2"/>
        </w:numPr>
      </w:pPr>
      <w:r>
        <w:t>Koshy, V. and Murray, J. (2002</w:t>
      </w:r>
      <w:r w:rsidRPr="002719F7">
        <w:rPr>
          <w:i/>
        </w:rPr>
        <w:t>) Unlocking Numeracy</w:t>
      </w:r>
      <w:r>
        <w:t>. London. David Fulton Publishers Ltd</w:t>
      </w:r>
      <w:r w:rsidR="00F37F0E">
        <w:t>.</w:t>
      </w:r>
      <w:r>
        <w:t xml:space="preserve"> </w:t>
      </w:r>
    </w:p>
    <w:p w:rsidR="00EF1301" w:rsidRDefault="00EF1301" w:rsidP="00EF1301">
      <w:pPr>
        <w:pStyle w:val="ListParagraph"/>
      </w:pPr>
    </w:p>
    <w:p w:rsidR="00A46ACE" w:rsidRDefault="00EF1301" w:rsidP="00A46ACE">
      <w:pPr>
        <w:pStyle w:val="ListParagraph"/>
        <w:numPr>
          <w:ilvl w:val="0"/>
          <w:numId w:val="2"/>
        </w:numPr>
      </w:pPr>
      <w:r>
        <w:t>Carr, C</w:t>
      </w:r>
      <w:r w:rsidR="00CC16E3">
        <w:t>.</w:t>
      </w:r>
      <w:r>
        <w:t xml:space="preserve"> et al. (2017) </w:t>
      </w:r>
      <w:r w:rsidRPr="00CC16E3">
        <w:rPr>
          <w:i/>
        </w:rPr>
        <w:t>Evaluation National Literacy and Numeracy Programme-Final Report</w:t>
      </w:r>
      <w:r>
        <w:t>.</w:t>
      </w:r>
      <w:r w:rsidR="00CC16E3">
        <w:t xml:space="preserve"> Available at</w:t>
      </w:r>
      <w:r w:rsidR="00542E02">
        <w:t xml:space="preserve"> </w:t>
      </w:r>
      <w:hyperlink r:id="rId23" w:history="1">
        <w:r w:rsidR="00A46ACE" w:rsidRPr="00191400">
          <w:rPr>
            <w:rStyle w:val="Hyperlink"/>
          </w:rPr>
          <w:t>http://hwb.gov.wales/evaluation-national-literacy-and-numeracy</w:t>
        </w:r>
      </w:hyperlink>
      <w:r w:rsidR="00A46ACE">
        <w:t xml:space="preserve"> (Accessed 11th December 2019)</w:t>
      </w:r>
    </w:p>
    <w:p w:rsidR="00EF1301" w:rsidRPr="00EF1301" w:rsidRDefault="0013084A" w:rsidP="00577165">
      <w:pPr>
        <w:pStyle w:val="ListParagraph"/>
        <w:numPr>
          <w:ilvl w:val="0"/>
          <w:numId w:val="1"/>
        </w:numPr>
      </w:pPr>
      <w:r>
        <w:t>Donald</w:t>
      </w:r>
      <w:r w:rsidR="0059070A">
        <w:t xml:space="preserve">son, G. (2018) </w:t>
      </w:r>
      <w:r w:rsidR="0059070A" w:rsidRPr="0059070A">
        <w:rPr>
          <w:i/>
        </w:rPr>
        <w:t>Successful Futures, Looking at the Curriculum and Assessment</w:t>
      </w:r>
    </w:p>
    <w:p w:rsidR="00577165" w:rsidRDefault="0059070A" w:rsidP="00EF1301">
      <w:pPr>
        <w:pStyle w:val="ListParagraph"/>
      </w:pPr>
      <w:r w:rsidRPr="0059070A">
        <w:rPr>
          <w:i/>
        </w:rPr>
        <w:t xml:space="preserve"> Arrangements in Wales.</w:t>
      </w:r>
      <w:r>
        <w:rPr>
          <w:i/>
        </w:rPr>
        <w:t xml:space="preserve"> </w:t>
      </w:r>
      <w:r w:rsidRPr="0059070A">
        <w:t>Available at</w:t>
      </w:r>
      <w:r>
        <w:rPr>
          <w:i/>
        </w:rPr>
        <w:t xml:space="preserve">: </w:t>
      </w:r>
      <w:hyperlink r:id="rId24" w:history="1">
        <w:r w:rsidR="00EF1301" w:rsidRPr="00191400">
          <w:rPr>
            <w:rStyle w:val="Hyperlink"/>
            <w:i/>
          </w:rPr>
          <w:t>http://</w:t>
        </w:r>
        <w:r w:rsidR="00EF1301" w:rsidRPr="00191400">
          <w:rPr>
            <w:rStyle w:val="Hyperlink"/>
          </w:rPr>
          <w:t>hwb.gov.wales.co.uk/sites</w:t>
        </w:r>
      </w:hyperlink>
      <w:r w:rsidR="00342F04">
        <w:rPr>
          <w:i/>
        </w:rPr>
        <w:t xml:space="preserve"> (Accessed 11th December2019)</w:t>
      </w:r>
    </w:p>
    <w:p w:rsidR="00342F04" w:rsidRDefault="000F1FFA" w:rsidP="00577165">
      <w:pPr>
        <w:pStyle w:val="ListParagraph"/>
        <w:numPr>
          <w:ilvl w:val="0"/>
          <w:numId w:val="1"/>
        </w:numPr>
      </w:pPr>
      <w:r>
        <w:t>Education</w:t>
      </w:r>
      <w:r w:rsidR="00EF1301">
        <w:t xml:space="preserve"> Wales. (20</w:t>
      </w:r>
      <w:r w:rsidR="00EE678F">
        <w:t>08</w:t>
      </w:r>
      <w:r w:rsidR="00EF1301" w:rsidRPr="00EF1301">
        <w:rPr>
          <w:i/>
        </w:rPr>
        <w:t>) Numeracy and Literacy Framework</w:t>
      </w:r>
      <w:r w:rsidR="00EF1301">
        <w:t xml:space="preserve">. Available at: </w:t>
      </w:r>
      <w:hyperlink r:id="rId25" w:history="1">
        <w:r w:rsidR="00EF1301" w:rsidRPr="00191400">
          <w:rPr>
            <w:rStyle w:val="Hyperlink"/>
          </w:rPr>
          <w:t>http://hwb.gov.wales/curriculum</w:t>
        </w:r>
      </w:hyperlink>
      <w:r w:rsidR="00EF1301">
        <w:t xml:space="preserve"> (Accessed 10th December)</w:t>
      </w:r>
    </w:p>
    <w:p w:rsidR="00EF1301" w:rsidRPr="00EE678F" w:rsidRDefault="00EE678F" w:rsidP="00577165">
      <w:pPr>
        <w:pStyle w:val="ListParagraph"/>
        <w:numPr>
          <w:ilvl w:val="0"/>
          <w:numId w:val="1"/>
        </w:numPr>
      </w:pPr>
      <w:r>
        <w:t>Estyn. (2015</w:t>
      </w:r>
      <w:r w:rsidRPr="00EE678F">
        <w:rPr>
          <w:i/>
        </w:rPr>
        <w:t>) Inspection Search</w:t>
      </w:r>
      <w:r>
        <w:rPr>
          <w:i/>
        </w:rPr>
        <w:t xml:space="preserve">. Available at: </w:t>
      </w:r>
      <w:hyperlink r:id="rId26" w:history="1">
        <w:r w:rsidRPr="00191400">
          <w:rPr>
            <w:rStyle w:val="Hyperlink"/>
            <w:i/>
          </w:rPr>
          <w:t>http://estyn.gov.wales/inspection</w:t>
        </w:r>
      </w:hyperlink>
      <w:r>
        <w:rPr>
          <w:i/>
        </w:rPr>
        <w:t xml:space="preserve">. </w:t>
      </w:r>
      <w:r w:rsidR="004B0344">
        <w:rPr>
          <w:i/>
        </w:rPr>
        <w:t>(</w:t>
      </w:r>
      <w:r>
        <w:rPr>
          <w:i/>
        </w:rPr>
        <w:t>Accessed December 3</w:t>
      </w:r>
      <w:r w:rsidRPr="00EE678F">
        <w:rPr>
          <w:i/>
          <w:vertAlign w:val="superscript"/>
        </w:rPr>
        <w:t>rd</w:t>
      </w:r>
      <w:proofErr w:type="gramStart"/>
      <w:r>
        <w:rPr>
          <w:i/>
        </w:rPr>
        <w:t xml:space="preserve"> 2019</w:t>
      </w:r>
      <w:proofErr w:type="gramEnd"/>
      <w:r>
        <w:rPr>
          <w:i/>
        </w:rPr>
        <w:t>.</w:t>
      </w:r>
      <w:r w:rsidR="004B0344">
        <w:rPr>
          <w:i/>
        </w:rPr>
        <w:t>)</w:t>
      </w:r>
      <w:r>
        <w:rPr>
          <w:i/>
        </w:rPr>
        <w:t xml:space="preserve"> </w:t>
      </w:r>
    </w:p>
    <w:p w:rsidR="004B0344" w:rsidRDefault="004B0344" w:rsidP="00577165">
      <w:pPr>
        <w:pStyle w:val="ListParagraph"/>
        <w:numPr>
          <w:ilvl w:val="0"/>
          <w:numId w:val="1"/>
        </w:numPr>
        <w:rPr>
          <w:i/>
        </w:rPr>
      </w:pPr>
      <w:r>
        <w:t xml:space="preserve">Oxford University Press. (2019) </w:t>
      </w:r>
      <w:r w:rsidRPr="004B0344">
        <w:rPr>
          <w:i/>
        </w:rPr>
        <w:t>Numicon</w:t>
      </w:r>
      <w:r>
        <w:rPr>
          <w:i/>
        </w:rPr>
        <w:t xml:space="preserve">. Available at: </w:t>
      </w:r>
      <w:hyperlink r:id="rId27" w:history="1">
        <w:r w:rsidRPr="00191400">
          <w:rPr>
            <w:rStyle w:val="Hyperlink"/>
            <w:i/>
          </w:rPr>
          <w:t>http://global.oup.com</w:t>
        </w:r>
      </w:hyperlink>
      <w:r>
        <w:rPr>
          <w:i/>
        </w:rPr>
        <w:t>. (Accessed 29</w:t>
      </w:r>
      <w:r w:rsidRPr="004B0344">
        <w:rPr>
          <w:i/>
          <w:vertAlign w:val="superscript"/>
        </w:rPr>
        <w:t>th</w:t>
      </w:r>
      <w:r>
        <w:rPr>
          <w:i/>
        </w:rPr>
        <w:t xml:space="preserve"> November 2019.)</w:t>
      </w:r>
    </w:p>
    <w:p w:rsidR="00EE678F" w:rsidRPr="004B0344" w:rsidRDefault="004B0344" w:rsidP="00577165">
      <w:pPr>
        <w:pStyle w:val="ListParagraph"/>
        <w:numPr>
          <w:ilvl w:val="0"/>
          <w:numId w:val="1"/>
        </w:numPr>
        <w:rPr>
          <w:i/>
        </w:rPr>
      </w:pPr>
      <w:r w:rsidRPr="004B0344">
        <w:rPr>
          <w:i/>
        </w:rPr>
        <w:t xml:space="preserve"> </w:t>
      </w:r>
    </w:p>
    <w:p w:rsidR="00FA6CBC" w:rsidRDefault="00FA6CBC"/>
    <w:p w:rsidR="00FA6CBC" w:rsidRDefault="00FA6CBC"/>
    <w:p w:rsidR="00FA6CBC" w:rsidRDefault="00FA6CBC"/>
    <w:p w:rsidR="00FA6CBC" w:rsidRDefault="00FA6CBC"/>
    <w:p w:rsidR="00FA6CBC" w:rsidRDefault="00FA6CBC"/>
    <w:p w:rsidR="00FA6CBC" w:rsidRDefault="00FA6CBC"/>
    <w:p w:rsidR="00FA6CBC" w:rsidRDefault="00FA6CBC"/>
    <w:p w:rsidR="00FA6CBC" w:rsidRDefault="00FA6CBC"/>
    <w:p w:rsidR="00FA6CBC" w:rsidRDefault="00FA6CBC"/>
    <w:p w:rsidR="00FA6CBC" w:rsidRDefault="00FA6CBC"/>
    <w:sectPr w:rsidR="00FA6CBC">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6786" w:rsidRDefault="00E76786">
      <w:pPr>
        <w:spacing w:after="0"/>
      </w:pPr>
      <w:r>
        <w:separator/>
      </w:r>
    </w:p>
  </w:endnote>
  <w:endnote w:type="continuationSeparator" w:id="0">
    <w:p w:rsidR="00E76786" w:rsidRDefault="00E7678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2A86" w:rsidRDefault="00583D9F">
    <w:pPr>
      <w:pStyle w:val="Footer"/>
      <w:jc w:val="center"/>
    </w:pPr>
    <w:r>
      <w:fldChar w:fldCharType="begin"/>
    </w:r>
    <w:r>
      <w:instrText xml:space="preserve"> PAGE </w:instrText>
    </w:r>
    <w:r>
      <w:fldChar w:fldCharType="separate"/>
    </w:r>
    <w:r>
      <w:t>2</w:t>
    </w:r>
    <w:r>
      <w:fldChar w:fldCharType="end"/>
    </w:r>
  </w:p>
  <w:p w:rsidR="00032A86" w:rsidRDefault="00E76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6786" w:rsidRDefault="00E76786">
      <w:pPr>
        <w:spacing w:after="0"/>
      </w:pPr>
      <w:r>
        <w:rPr>
          <w:color w:val="000000"/>
        </w:rPr>
        <w:separator/>
      </w:r>
    </w:p>
  </w:footnote>
  <w:footnote w:type="continuationSeparator" w:id="0">
    <w:p w:rsidR="00E76786" w:rsidRDefault="00E7678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E5978"/>
    <w:multiLevelType w:val="hybridMultilevel"/>
    <w:tmpl w:val="160E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690BE0"/>
    <w:multiLevelType w:val="hybridMultilevel"/>
    <w:tmpl w:val="493A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CBC"/>
    <w:rsid w:val="0002189C"/>
    <w:rsid w:val="000435C3"/>
    <w:rsid w:val="000559B2"/>
    <w:rsid w:val="000567DF"/>
    <w:rsid w:val="00070BDA"/>
    <w:rsid w:val="000F03CE"/>
    <w:rsid w:val="000F1FFA"/>
    <w:rsid w:val="00105280"/>
    <w:rsid w:val="0013084A"/>
    <w:rsid w:val="00137A59"/>
    <w:rsid w:val="001504C5"/>
    <w:rsid w:val="00150D20"/>
    <w:rsid w:val="0017320F"/>
    <w:rsid w:val="001C38E4"/>
    <w:rsid w:val="001E4CF3"/>
    <w:rsid w:val="001F64AE"/>
    <w:rsid w:val="002719F7"/>
    <w:rsid w:val="00296873"/>
    <w:rsid w:val="002C3271"/>
    <w:rsid w:val="002E1F32"/>
    <w:rsid w:val="002E6260"/>
    <w:rsid w:val="00342F04"/>
    <w:rsid w:val="0034430A"/>
    <w:rsid w:val="0038517C"/>
    <w:rsid w:val="00392885"/>
    <w:rsid w:val="00404E1A"/>
    <w:rsid w:val="00433CEA"/>
    <w:rsid w:val="0043488E"/>
    <w:rsid w:val="00476C9D"/>
    <w:rsid w:val="00496421"/>
    <w:rsid w:val="004B0344"/>
    <w:rsid w:val="004E0FCF"/>
    <w:rsid w:val="00512A03"/>
    <w:rsid w:val="00542E02"/>
    <w:rsid w:val="005572B5"/>
    <w:rsid w:val="00577165"/>
    <w:rsid w:val="00583D9F"/>
    <w:rsid w:val="0059070A"/>
    <w:rsid w:val="00593DFE"/>
    <w:rsid w:val="005B447B"/>
    <w:rsid w:val="005C4787"/>
    <w:rsid w:val="005C69FD"/>
    <w:rsid w:val="005D37DA"/>
    <w:rsid w:val="005D40C5"/>
    <w:rsid w:val="005E7B1A"/>
    <w:rsid w:val="006372D9"/>
    <w:rsid w:val="00641661"/>
    <w:rsid w:val="00684713"/>
    <w:rsid w:val="006A1F4F"/>
    <w:rsid w:val="006B5AA1"/>
    <w:rsid w:val="006F4A51"/>
    <w:rsid w:val="0073524B"/>
    <w:rsid w:val="0074394E"/>
    <w:rsid w:val="0075390B"/>
    <w:rsid w:val="00795581"/>
    <w:rsid w:val="007B2D9B"/>
    <w:rsid w:val="008520F0"/>
    <w:rsid w:val="008753FA"/>
    <w:rsid w:val="0089580A"/>
    <w:rsid w:val="008C2FDC"/>
    <w:rsid w:val="008C7CFF"/>
    <w:rsid w:val="008F35C7"/>
    <w:rsid w:val="008F631E"/>
    <w:rsid w:val="009011CD"/>
    <w:rsid w:val="00937A07"/>
    <w:rsid w:val="00995E27"/>
    <w:rsid w:val="00A22B60"/>
    <w:rsid w:val="00A421DB"/>
    <w:rsid w:val="00A46ACE"/>
    <w:rsid w:val="00A828B5"/>
    <w:rsid w:val="00AA475B"/>
    <w:rsid w:val="00AD79A5"/>
    <w:rsid w:val="00B06AE1"/>
    <w:rsid w:val="00B62C62"/>
    <w:rsid w:val="00B6403E"/>
    <w:rsid w:val="00B851B5"/>
    <w:rsid w:val="00BB7461"/>
    <w:rsid w:val="00BC2BC4"/>
    <w:rsid w:val="00C36D29"/>
    <w:rsid w:val="00C906BF"/>
    <w:rsid w:val="00C93AB1"/>
    <w:rsid w:val="00C95F3A"/>
    <w:rsid w:val="00CC16E3"/>
    <w:rsid w:val="00CC6314"/>
    <w:rsid w:val="00CE7F97"/>
    <w:rsid w:val="00D0759D"/>
    <w:rsid w:val="00D101EB"/>
    <w:rsid w:val="00D340CB"/>
    <w:rsid w:val="00D53590"/>
    <w:rsid w:val="00D5378B"/>
    <w:rsid w:val="00DC2C45"/>
    <w:rsid w:val="00DE1B1C"/>
    <w:rsid w:val="00DF57FD"/>
    <w:rsid w:val="00E0589B"/>
    <w:rsid w:val="00E06D19"/>
    <w:rsid w:val="00E51043"/>
    <w:rsid w:val="00E5327D"/>
    <w:rsid w:val="00E54B92"/>
    <w:rsid w:val="00E75584"/>
    <w:rsid w:val="00E76786"/>
    <w:rsid w:val="00EC6665"/>
    <w:rsid w:val="00EE31AB"/>
    <w:rsid w:val="00EE4C33"/>
    <w:rsid w:val="00EE64C8"/>
    <w:rsid w:val="00EE678F"/>
    <w:rsid w:val="00EF1301"/>
    <w:rsid w:val="00EF70BF"/>
    <w:rsid w:val="00F07816"/>
    <w:rsid w:val="00F37F0E"/>
    <w:rsid w:val="00F92699"/>
    <w:rsid w:val="00FA6CBC"/>
    <w:rsid w:val="00FC7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71C3E"/>
  <w15:docId w15:val="{7D8E52D0-B430-48C4-A885-7C842A3AE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uiPriority w:val="34"/>
    <w:qFormat/>
    <w:rsid w:val="005771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nationalnumeracy.org.uk" TargetMode="External"/><Relationship Id="rId13" Type="http://schemas.openxmlformats.org/officeDocument/2006/relationships/hyperlink" Target="http://www.global.oup.com" TargetMode="External"/><Relationship Id="rId18" Type="http://schemas.openxmlformats.org/officeDocument/2006/relationships/hyperlink" Target="http://www.gov.uk" TargetMode="External"/><Relationship Id="rId26" Type="http://schemas.openxmlformats.org/officeDocument/2006/relationships/hyperlink" Target="http://estyn.gov.wales/inspection" TargetMode="External"/><Relationship Id="rId3" Type="http://schemas.openxmlformats.org/officeDocument/2006/relationships/settings" Target="settings.xml"/><Relationship Id="rId21" Type="http://schemas.openxmlformats.org/officeDocument/2006/relationships/hyperlink" Target="http://www.assembly.wales" TargetMode="External"/><Relationship Id="rId7" Type="http://schemas.openxmlformats.org/officeDocument/2006/relationships/hyperlink" Target="http://www.wales.gov.uk/educationandskills" TargetMode="External"/><Relationship Id="rId12" Type="http://schemas.openxmlformats.org/officeDocument/2006/relationships/hyperlink" Target="http://www.assembly.wales" TargetMode="External"/><Relationship Id="rId17" Type="http://schemas.openxmlformats.org/officeDocument/2006/relationships/hyperlink" Target="http://www.estyn.gov.wales" TargetMode="External"/><Relationship Id="rId25" Type="http://schemas.openxmlformats.org/officeDocument/2006/relationships/hyperlink" Target="http://hwb.gov.wales/curriculum" TargetMode="External"/><Relationship Id="rId2" Type="http://schemas.openxmlformats.org/officeDocument/2006/relationships/styles" Target="styles.xml"/><Relationship Id="rId16" Type="http://schemas.openxmlformats.org/officeDocument/2006/relationships/hyperlink" Target="http://www.educationengland.org.uk" TargetMode="External"/><Relationship Id="rId20" Type="http://schemas.openxmlformats.org/officeDocument/2006/relationships/hyperlink" Target="http://www.gov.wale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gov.uk/educationandskills" TargetMode="External"/><Relationship Id="rId24" Type="http://schemas.openxmlformats.org/officeDocument/2006/relationships/hyperlink" Target="http://hwb.gov.wales.co.uk/sites" TargetMode="External"/><Relationship Id="rId5" Type="http://schemas.openxmlformats.org/officeDocument/2006/relationships/footnotes" Target="footnotes.xml"/><Relationship Id="rId15" Type="http://schemas.openxmlformats.org/officeDocument/2006/relationships/hyperlink" Target="http://www.gov.wales.uk" TargetMode="External"/><Relationship Id="rId23" Type="http://schemas.openxmlformats.org/officeDocument/2006/relationships/hyperlink" Target="http://hwb.gov.wales/evaluation-national-literacy-and-numeracy" TargetMode="External"/><Relationship Id="rId28" Type="http://schemas.openxmlformats.org/officeDocument/2006/relationships/footer" Target="footer1.xml"/><Relationship Id="rId10" Type="http://schemas.openxmlformats.org/officeDocument/2006/relationships/hyperlink" Target="http://www.wales.gov.uk/educationandskills" TargetMode="External"/><Relationship Id="rId19"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hyperlink" Target="http://www.wales.gov.uk/educationandskills" TargetMode="External"/><Relationship Id="rId14" Type="http://schemas.openxmlformats.org/officeDocument/2006/relationships/hyperlink" Target="http://www.global.oup.com" TargetMode="External"/><Relationship Id="rId22" Type="http://schemas.openxmlformats.org/officeDocument/2006/relationships/hyperlink" Target="http://www.assembly.wales" TargetMode="External"/><Relationship Id="rId27" Type="http://schemas.openxmlformats.org/officeDocument/2006/relationships/hyperlink" Target="http://global.oup.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3154</Words>
  <Characters>17978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Lynn</dc:creator>
  <dc:description/>
  <cp:lastModifiedBy>Rees, Lynn</cp:lastModifiedBy>
  <cp:revision>2</cp:revision>
  <cp:lastPrinted>2020-01-02T14:55:00Z</cp:lastPrinted>
  <dcterms:created xsi:type="dcterms:W3CDTF">2020-01-04T15:42:00Z</dcterms:created>
  <dcterms:modified xsi:type="dcterms:W3CDTF">2020-01-04T15:42:00Z</dcterms:modified>
</cp:coreProperties>
</file>