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77700" w14:textId="5BC55358" w:rsidR="00AE31B3" w:rsidRPr="00EB0ED2" w:rsidRDefault="00C61088" w:rsidP="006B031E">
      <w:pPr>
        <w:pStyle w:val="Heading1"/>
      </w:pPr>
      <w:r w:rsidRPr="00EB0ED2">
        <w:t>5CO02 - Evidence Based Practice</w:t>
      </w:r>
    </w:p>
    <w:p w14:paraId="6598AAF8" w14:textId="7391C071" w:rsidR="006B031E" w:rsidRDefault="006B031E"/>
    <w:p w14:paraId="4668F419" w14:textId="423A6617" w:rsidR="00511C47" w:rsidRDefault="00511C47">
      <w:r>
        <w:t xml:space="preserve">I have written a report on Evidence Based Practice to showcase how the people practice team contribute to the performance of the business. </w:t>
      </w:r>
    </w:p>
    <w:p w14:paraId="3EADB420" w14:textId="4095FF7F" w:rsidR="006B031E" w:rsidRPr="00EB0ED2" w:rsidRDefault="006B031E" w:rsidP="006B031E">
      <w:pPr>
        <w:pStyle w:val="Heading2"/>
      </w:pPr>
      <w:r>
        <w:t>Section 1</w:t>
      </w:r>
    </w:p>
    <w:p w14:paraId="712B499A" w14:textId="0D8E0F27" w:rsidR="00C61088" w:rsidRPr="00EB0ED2" w:rsidRDefault="003542B3" w:rsidP="00511C47">
      <w:pPr>
        <w:pStyle w:val="Heading2"/>
      </w:pPr>
      <w:r>
        <w:t>Evidence Based Practice (</w:t>
      </w:r>
      <w:r w:rsidR="00C61088" w:rsidRPr="00EB0ED2">
        <w:t>AC 1.1)</w:t>
      </w:r>
    </w:p>
    <w:p w14:paraId="517C4B5F" w14:textId="69954B2E" w:rsidR="00C61088" w:rsidRDefault="00FF6B5C" w:rsidP="00C61088">
      <w:pPr>
        <w:pStyle w:val="BodyText"/>
        <w:spacing w:before="162" w:line="264" w:lineRule="auto"/>
        <w:ind w:right="283"/>
        <w:jc w:val="both"/>
        <w:rPr>
          <w:rFonts w:asciiTheme="minorHAnsi" w:hAnsiTheme="minorHAnsi" w:cstheme="minorHAnsi"/>
        </w:rPr>
      </w:pPr>
      <w:r w:rsidRPr="00EB0ED2">
        <w:rPr>
          <w:rFonts w:asciiTheme="minorHAnsi" w:hAnsiTheme="minorHAnsi" w:cstheme="minorHAnsi"/>
        </w:rPr>
        <w:t>Evidence-based practice refers to the process of supporting ideas with sound data from multiple sources to back up decisions.  Sources of information could include professional expertise, scientific literature, organisational data and stakeholder views (CIPD, 2023)</w:t>
      </w:r>
      <w:r w:rsidR="009F4019" w:rsidRPr="00EB0ED2">
        <w:rPr>
          <w:rFonts w:asciiTheme="minorHAnsi" w:hAnsiTheme="minorHAnsi" w:cstheme="minorHAnsi"/>
        </w:rPr>
        <w:t xml:space="preserve">. When decisions are underpinned by evidence, there is less room for bias in the </w:t>
      </w:r>
      <w:r w:rsidR="00DB1A55" w:rsidRPr="00EB0ED2">
        <w:rPr>
          <w:rFonts w:asciiTheme="minorHAnsi" w:hAnsiTheme="minorHAnsi" w:cstheme="minorHAnsi"/>
        </w:rPr>
        <w:t>decision-making</w:t>
      </w:r>
      <w:r w:rsidR="009F4019" w:rsidRPr="00EB0ED2">
        <w:rPr>
          <w:rFonts w:asciiTheme="minorHAnsi" w:hAnsiTheme="minorHAnsi" w:cstheme="minorHAnsi"/>
        </w:rPr>
        <w:t xml:space="preserve"> process. </w:t>
      </w:r>
    </w:p>
    <w:p w14:paraId="4F9F8631" w14:textId="7B1F4AB5" w:rsidR="00AC41A7" w:rsidRDefault="00AC41A7" w:rsidP="00C61088">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The CIPD use a </w:t>
      </w:r>
      <w:r w:rsidR="00511C47">
        <w:rPr>
          <w:rFonts w:asciiTheme="minorHAnsi" w:hAnsiTheme="minorHAnsi" w:cstheme="minorHAnsi"/>
        </w:rPr>
        <w:t>six-step</w:t>
      </w:r>
      <w:r>
        <w:rPr>
          <w:rFonts w:asciiTheme="minorHAnsi" w:hAnsiTheme="minorHAnsi" w:cstheme="minorHAnsi"/>
        </w:rPr>
        <w:t xml:space="preserve"> framework to encourage </w:t>
      </w:r>
      <w:r w:rsidR="00511C47">
        <w:rPr>
          <w:rFonts w:asciiTheme="minorHAnsi" w:hAnsiTheme="minorHAnsi" w:cstheme="minorHAnsi"/>
        </w:rPr>
        <w:t>evidence-based</w:t>
      </w:r>
      <w:r>
        <w:rPr>
          <w:rFonts w:asciiTheme="minorHAnsi" w:hAnsiTheme="minorHAnsi" w:cstheme="minorHAnsi"/>
        </w:rPr>
        <w:t xml:space="preserve"> practice as best practice in our everyday working lives. </w:t>
      </w:r>
    </w:p>
    <w:p w14:paraId="5A4BDB2C" w14:textId="35EBF60B" w:rsidR="00AC41A7" w:rsidRDefault="00AC41A7" w:rsidP="00C61088">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The six steps </w:t>
      </w:r>
      <w:proofErr w:type="gramStart"/>
      <w:r>
        <w:rPr>
          <w:rFonts w:asciiTheme="minorHAnsi" w:hAnsiTheme="minorHAnsi" w:cstheme="minorHAnsi"/>
        </w:rPr>
        <w:t>are;</w:t>
      </w:r>
      <w:proofErr w:type="gramEnd"/>
    </w:p>
    <w:p w14:paraId="7D5C230B" w14:textId="3C6B4732" w:rsidR="00AC41A7" w:rsidRPr="00AC41A7" w:rsidRDefault="00AC41A7" w:rsidP="00AC41A7">
      <w:pPr>
        <w:pStyle w:val="BodyText"/>
        <w:spacing w:before="162" w:line="264" w:lineRule="auto"/>
        <w:ind w:right="283"/>
        <w:jc w:val="both"/>
        <w:rPr>
          <w:rFonts w:asciiTheme="minorHAnsi" w:hAnsiTheme="minorHAnsi" w:cstheme="minorHAnsi"/>
        </w:rPr>
      </w:pPr>
      <w:r w:rsidRPr="00AC41A7">
        <w:rPr>
          <w:rFonts w:asciiTheme="minorHAnsi" w:hAnsiTheme="minorHAnsi" w:cstheme="minorHAnsi"/>
        </w:rPr>
        <w:t xml:space="preserve">Asking – </w:t>
      </w:r>
      <w:r>
        <w:rPr>
          <w:rFonts w:asciiTheme="minorHAnsi" w:hAnsiTheme="minorHAnsi" w:cstheme="minorHAnsi"/>
        </w:rPr>
        <w:t>asking meaningful questions to better understand the problem.</w:t>
      </w:r>
    </w:p>
    <w:p w14:paraId="52B968BD" w14:textId="714C8FA0" w:rsidR="00AC41A7" w:rsidRPr="00AC41A7" w:rsidRDefault="00AC41A7" w:rsidP="00AC41A7">
      <w:pPr>
        <w:pStyle w:val="BodyText"/>
        <w:spacing w:before="162" w:line="264" w:lineRule="auto"/>
        <w:ind w:right="283"/>
        <w:jc w:val="both"/>
        <w:rPr>
          <w:rFonts w:asciiTheme="minorHAnsi" w:hAnsiTheme="minorHAnsi" w:cstheme="minorHAnsi"/>
        </w:rPr>
      </w:pPr>
      <w:r w:rsidRPr="00AC41A7">
        <w:rPr>
          <w:rFonts w:asciiTheme="minorHAnsi" w:hAnsiTheme="minorHAnsi" w:cstheme="minorHAnsi"/>
        </w:rPr>
        <w:t xml:space="preserve">Acquiring – </w:t>
      </w:r>
      <w:r>
        <w:rPr>
          <w:rFonts w:asciiTheme="minorHAnsi" w:hAnsiTheme="minorHAnsi" w:cstheme="minorHAnsi"/>
        </w:rPr>
        <w:t>Gaining evidence to support or deny the theory.</w:t>
      </w:r>
    </w:p>
    <w:p w14:paraId="2DF3EB5C" w14:textId="75145CA2" w:rsidR="00AC41A7" w:rsidRPr="00AC41A7" w:rsidRDefault="00AC41A7" w:rsidP="00AC41A7">
      <w:pPr>
        <w:pStyle w:val="BodyText"/>
        <w:spacing w:before="162" w:line="264" w:lineRule="auto"/>
        <w:ind w:right="283"/>
        <w:jc w:val="both"/>
        <w:rPr>
          <w:rFonts w:asciiTheme="minorHAnsi" w:hAnsiTheme="minorHAnsi" w:cstheme="minorHAnsi"/>
        </w:rPr>
      </w:pPr>
      <w:r w:rsidRPr="00AC41A7">
        <w:rPr>
          <w:rFonts w:asciiTheme="minorHAnsi" w:hAnsiTheme="minorHAnsi" w:cstheme="minorHAnsi"/>
        </w:rPr>
        <w:t xml:space="preserve">Appraising – </w:t>
      </w:r>
      <w:r>
        <w:rPr>
          <w:rFonts w:asciiTheme="minorHAnsi" w:hAnsiTheme="minorHAnsi" w:cstheme="minorHAnsi"/>
        </w:rPr>
        <w:t>Using critical thinking to check the validity of the information.</w:t>
      </w:r>
    </w:p>
    <w:p w14:paraId="0198F3F4" w14:textId="321010CC" w:rsidR="00AC41A7" w:rsidRPr="00AC41A7" w:rsidRDefault="00AC41A7" w:rsidP="00AC41A7">
      <w:pPr>
        <w:pStyle w:val="BodyText"/>
        <w:spacing w:before="162" w:line="264" w:lineRule="auto"/>
        <w:ind w:right="283"/>
        <w:jc w:val="both"/>
        <w:rPr>
          <w:rFonts w:asciiTheme="minorHAnsi" w:hAnsiTheme="minorHAnsi" w:cstheme="minorHAnsi"/>
        </w:rPr>
      </w:pPr>
      <w:r w:rsidRPr="00AC41A7">
        <w:rPr>
          <w:rFonts w:asciiTheme="minorHAnsi" w:hAnsiTheme="minorHAnsi" w:cstheme="minorHAnsi"/>
        </w:rPr>
        <w:t xml:space="preserve">Aggregating – </w:t>
      </w:r>
      <w:r>
        <w:rPr>
          <w:rFonts w:asciiTheme="minorHAnsi" w:hAnsiTheme="minorHAnsi" w:cstheme="minorHAnsi"/>
        </w:rPr>
        <w:t>Consolidating evidence together.</w:t>
      </w:r>
    </w:p>
    <w:p w14:paraId="63D38EB6" w14:textId="7E11D718" w:rsidR="00AC41A7" w:rsidRPr="00AC41A7" w:rsidRDefault="00AC41A7" w:rsidP="00AC41A7">
      <w:pPr>
        <w:pStyle w:val="BodyText"/>
        <w:spacing w:before="162" w:line="264" w:lineRule="auto"/>
        <w:ind w:right="283"/>
        <w:jc w:val="both"/>
        <w:rPr>
          <w:rFonts w:asciiTheme="minorHAnsi" w:hAnsiTheme="minorHAnsi" w:cstheme="minorHAnsi"/>
        </w:rPr>
      </w:pPr>
      <w:r w:rsidRPr="00AC41A7">
        <w:rPr>
          <w:rFonts w:asciiTheme="minorHAnsi" w:hAnsiTheme="minorHAnsi" w:cstheme="minorHAnsi"/>
        </w:rPr>
        <w:t xml:space="preserve">Applying – </w:t>
      </w:r>
      <w:r>
        <w:rPr>
          <w:rFonts w:asciiTheme="minorHAnsi" w:hAnsiTheme="minorHAnsi" w:cstheme="minorHAnsi"/>
        </w:rPr>
        <w:t>Using the evidence gathered to make an informed decision.</w:t>
      </w:r>
    </w:p>
    <w:p w14:paraId="2BBCE5F3" w14:textId="3AF2A835" w:rsidR="00AC41A7" w:rsidRDefault="00AC41A7" w:rsidP="00AC41A7">
      <w:pPr>
        <w:pStyle w:val="BodyText"/>
        <w:spacing w:before="162" w:line="264" w:lineRule="auto"/>
        <w:ind w:right="283"/>
        <w:jc w:val="both"/>
        <w:rPr>
          <w:rFonts w:asciiTheme="minorHAnsi" w:hAnsiTheme="minorHAnsi" w:cstheme="minorHAnsi"/>
        </w:rPr>
      </w:pPr>
      <w:r w:rsidRPr="00AC41A7">
        <w:rPr>
          <w:rFonts w:asciiTheme="minorHAnsi" w:hAnsiTheme="minorHAnsi" w:cstheme="minorHAnsi"/>
        </w:rPr>
        <w:t>Assessing –</w:t>
      </w:r>
      <w:r>
        <w:rPr>
          <w:rFonts w:asciiTheme="minorHAnsi" w:hAnsiTheme="minorHAnsi" w:cstheme="minorHAnsi"/>
        </w:rPr>
        <w:t xml:space="preserve"> Check on the outcome to ensure that the evidence </w:t>
      </w:r>
      <w:r w:rsidR="001F6B2C">
        <w:rPr>
          <w:rFonts w:asciiTheme="minorHAnsi" w:hAnsiTheme="minorHAnsi" w:cstheme="minorHAnsi"/>
        </w:rPr>
        <w:t>gathered,</w:t>
      </w:r>
      <w:r>
        <w:rPr>
          <w:rFonts w:asciiTheme="minorHAnsi" w:hAnsiTheme="minorHAnsi" w:cstheme="minorHAnsi"/>
        </w:rPr>
        <w:t xml:space="preserve"> and decision made were sound.</w:t>
      </w:r>
    </w:p>
    <w:p w14:paraId="0D9409B8" w14:textId="0EDCFCEE" w:rsidR="002E5E46" w:rsidRPr="00EB0ED2" w:rsidRDefault="002E5E46" w:rsidP="00AC41A7">
      <w:pPr>
        <w:pStyle w:val="BodyText"/>
        <w:spacing w:before="162" w:line="264" w:lineRule="auto"/>
        <w:ind w:right="283"/>
        <w:jc w:val="both"/>
        <w:rPr>
          <w:rFonts w:asciiTheme="minorHAnsi" w:hAnsiTheme="minorHAnsi" w:cstheme="minorHAnsi"/>
        </w:rPr>
      </w:pPr>
      <w:r>
        <w:rPr>
          <w:rFonts w:asciiTheme="minorHAnsi" w:hAnsiTheme="minorHAnsi" w:cstheme="minorHAnsi"/>
        </w:rPr>
        <w:t>(CIPD. 2023)</w:t>
      </w:r>
    </w:p>
    <w:p w14:paraId="4681D5FE" w14:textId="52BC3D05" w:rsidR="00203A9B" w:rsidRPr="00EB0ED2" w:rsidRDefault="009F4019" w:rsidP="00C61088">
      <w:pPr>
        <w:pStyle w:val="BodyText"/>
        <w:spacing w:before="162" w:line="264" w:lineRule="auto"/>
        <w:ind w:right="283"/>
        <w:jc w:val="both"/>
        <w:rPr>
          <w:rFonts w:asciiTheme="minorHAnsi" w:hAnsiTheme="minorHAnsi" w:cstheme="minorHAnsi"/>
        </w:rPr>
      </w:pPr>
      <w:r w:rsidRPr="00EB0ED2">
        <w:rPr>
          <w:rFonts w:asciiTheme="minorHAnsi" w:hAnsiTheme="minorHAnsi" w:cstheme="minorHAnsi"/>
        </w:rPr>
        <w:t>An example of how evidence-based practice can work would be through employee recognition. When presented with the idea of praising employees for their work in real time</w:t>
      </w:r>
      <w:r w:rsidR="00DB1A55" w:rsidRPr="00EB0ED2">
        <w:rPr>
          <w:rFonts w:asciiTheme="minorHAnsi" w:hAnsiTheme="minorHAnsi" w:cstheme="minorHAnsi"/>
        </w:rPr>
        <w:t>, some managers may be resistant as they can’t see the benefit. When presented with data taken from studies showing extensive research into the benefits of a good employee recognition program and the effect it can have on morale and in turn, productivity, the manager would be much more responsive to the change (Upstart HR, 2017).</w:t>
      </w:r>
    </w:p>
    <w:p w14:paraId="1B41CA7D" w14:textId="58FFD137" w:rsidR="00DB1A55" w:rsidRPr="00EB0ED2" w:rsidRDefault="00DB1A55" w:rsidP="00C61088">
      <w:pPr>
        <w:pStyle w:val="BodyText"/>
        <w:spacing w:before="162" w:line="264" w:lineRule="auto"/>
        <w:ind w:right="283"/>
        <w:jc w:val="both"/>
        <w:rPr>
          <w:rFonts w:asciiTheme="minorHAnsi" w:hAnsiTheme="minorHAnsi" w:cstheme="minorHAnsi"/>
        </w:rPr>
      </w:pPr>
      <w:r w:rsidRPr="00EB0ED2">
        <w:rPr>
          <w:rFonts w:asciiTheme="minorHAnsi" w:hAnsiTheme="minorHAnsi" w:cstheme="minorHAnsi"/>
        </w:rPr>
        <w:t xml:space="preserve">Alternatively, good use of </w:t>
      </w:r>
      <w:r w:rsidR="00A4385A" w:rsidRPr="00EB0ED2">
        <w:rPr>
          <w:rFonts w:asciiTheme="minorHAnsi" w:hAnsiTheme="minorHAnsi" w:cstheme="minorHAnsi"/>
        </w:rPr>
        <w:t>evidence-based</w:t>
      </w:r>
      <w:r w:rsidRPr="00EB0ED2">
        <w:rPr>
          <w:rFonts w:asciiTheme="minorHAnsi" w:hAnsiTheme="minorHAnsi" w:cstheme="minorHAnsi"/>
        </w:rPr>
        <w:t xml:space="preserve"> practice could avoid poor decisions being made and therefore save the organisation time and money. For example, a manager wants to buy a new machine for meat processing, they believe that it is what the business </w:t>
      </w:r>
      <w:r w:rsidR="00A4385A" w:rsidRPr="00EB0ED2">
        <w:rPr>
          <w:rFonts w:asciiTheme="minorHAnsi" w:hAnsiTheme="minorHAnsi" w:cstheme="minorHAnsi"/>
        </w:rPr>
        <w:t>needs as they have used the machine in a previous role but have not done any research on how it would affect their current organisation. When research is carried out, through speaking to engineers within the company and discussing business needs with stakeholders, it is found that the process could be made more efficient with a different type of machine. In this instance, the manager who originally wanted to purchase the machine can see why the new plan will work better for the organisation</w:t>
      </w:r>
      <w:r w:rsidR="00FF47AB" w:rsidRPr="00EB0ED2">
        <w:rPr>
          <w:rFonts w:asciiTheme="minorHAnsi" w:hAnsiTheme="minorHAnsi" w:cstheme="minorHAnsi"/>
        </w:rPr>
        <w:t xml:space="preserve">, </w:t>
      </w:r>
      <w:r w:rsidR="00A4385A" w:rsidRPr="00EB0ED2">
        <w:rPr>
          <w:rFonts w:asciiTheme="minorHAnsi" w:hAnsiTheme="minorHAnsi" w:cstheme="minorHAnsi"/>
        </w:rPr>
        <w:t xml:space="preserve">understands the decision </w:t>
      </w:r>
      <w:r w:rsidR="00FF47AB" w:rsidRPr="00EB0ED2">
        <w:rPr>
          <w:rFonts w:asciiTheme="minorHAnsi" w:hAnsiTheme="minorHAnsi" w:cstheme="minorHAnsi"/>
        </w:rPr>
        <w:t>and is on board with the changes</w:t>
      </w:r>
      <w:r w:rsidR="00A050A7" w:rsidRPr="00EB0ED2">
        <w:rPr>
          <w:rFonts w:asciiTheme="minorHAnsi" w:hAnsiTheme="minorHAnsi" w:cstheme="minorHAnsi"/>
        </w:rPr>
        <w:t xml:space="preserve"> (Boatman</w:t>
      </w:r>
      <w:r w:rsidR="00AC41A7">
        <w:rPr>
          <w:rFonts w:asciiTheme="minorHAnsi" w:hAnsiTheme="minorHAnsi" w:cstheme="minorHAnsi"/>
        </w:rPr>
        <w:t>.</w:t>
      </w:r>
      <w:r w:rsidR="00A050A7" w:rsidRPr="00EB0ED2">
        <w:rPr>
          <w:rFonts w:asciiTheme="minorHAnsi" w:hAnsiTheme="minorHAnsi" w:cstheme="minorHAnsi"/>
        </w:rPr>
        <w:t xml:space="preserve"> No date.)</w:t>
      </w:r>
      <w:r w:rsidR="00FF47AB" w:rsidRPr="00EB0ED2">
        <w:rPr>
          <w:rFonts w:asciiTheme="minorHAnsi" w:hAnsiTheme="minorHAnsi" w:cstheme="minorHAnsi"/>
        </w:rPr>
        <w:t>.</w:t>
      </w:r>
    </w:p>
    <w:p w14:paraId="735D338A" w14:textId="77777777" w:rsidR="004E5014" w:rsidRDefault="004E5014" w:rsidP="00C61088">
      <w:pPr>
        <w:pStyle w:val="BodyText"/>
        <w:spacing w:before="162" w:line="264" w:lineRule="auto"/>
        <w:ind w:right="283"/>
        <w:jc w:val="both"/>
        <w:rPr>
          <w:rFonts w:asciiTheme="minorHAnsi" w:hAnsiTheme="minorHAnsi" w:cstheme="minorHAnsi"/>
        </w:rPr>
      </w:pPr>
    </w:p>
    <w:p w14:paraId="389CAC39" w14:textId="77777777" w:rsidR="00511C47" w:rsidRPr="00EB0ED2" w:rsidRDefault="00511C47" w:rsidP="00C61088">
      <w:pPr>
        <w:pStyle w:val="BodyText"/>
        <w:spacing w:before="162" w:line="264" w:lineRule="auto"/>
        <w:ind w:right="283"/>
        <w:jc w:val="both"/>
        <w:rPr>
          <w:rFonts w:asciiTheme="minorHAnsi" w:hAnsiTheme="minorHAnsi" w:cstheme="minorHAnsi"/>
        </w:rPr>
      </w:pPr>
    </w:p>
    <w:p w14:paraId="54FFB927" w14:textId="52F286C7" w:rsidR="00203A9B" w:rsidRPr="00EB0ED2" w:rsidRDefault="003542B3" w:rsidP="00511C47">
      <w:pPr>
        <w:pStyle w:val="Heading2"/>
      </w:pPr>
      <w:r>
        <w:t>Analysis tools and methods.</w:t>
      </w:r>
      <w:r w:rsidR="00C61088" w:rsidRPr="00EB0ED2">
        <w:t xml:space="preserve"> (AC 1.2)</w:t>
      </w:r>
    </w:p>
    <w:p w14:paraId="23ED8B37" w14:textId="52EA806F" w:rsidR="00FF47AB" w:rsidRPr="00EB0ED2" w:rsidRDefault="00FF47AB" w:rsidP="00FF47AB">
      <w:pPr>
        <w:spacing w:before="120" w:after="0" w:line="240" w:lineRule="auto"/>
        <w:contextualSpacing/>
        <w:rPr>
          <w:rFonts w:cstheme="minorHAnsi"/>
        </w:rPr>
      </w:pPr>
      <w:r w:rsidRPr="00EB0ED2">
        <w:rPr>
          <w:rFonts w:cstheme="minorHAnsi"/>
        </w:rPr>
        <w:t xml:space="preserve">PESTLE is a commonly used analysis tool for HR professionals. It is used to identify and discuss environmental factors that may affect the organisation. The acronym stands for, Political, Economic, Social, Technological, Legal and Environmental. Each of these can be broken down and </w:t>
      </w:r>
      <w:r w:rsidR="004E5014" w:rsidRPr="00EB0ED2">
        <w:rPr>
          <w:rFonts w:cstheme="minorHAnsi"/>
        </w:rPr>
        <w:t xml:space="preserve">analysed individually in line with current affairs to give a clear picture of </w:t>
      </w:r>
      <w:r w:rsidR="00905BB9" w:rsidRPr="00EB0ED2">
        <w:rPr>
          <w:rFonts w:cstheme="minorHAnsi"/>
        </w:rPr>
        <w:t>how the business is performing.</w:t>
      </w:r>
    </w:p>
    <w:p w14:paraId="679E8873" w14:textId="0D395AEA" w:rsidR="00905BB9" w:rsidRPr="00EB0ED2" w:rsidRDefault="00905BB9" w:rsidP="00FF47AB">
      <w:pPr>
        <w:spacing w:before="120" w:after="0" w:line="240" w:lineRule="auto"/>
        <w:contextualSpacing/>
        <w:rPr>
          <w:rFonts w:cstheme="minorHAnsi"/>
        </w:rPr>
      </w:pPr>
      <w:r w:rsidRPr="00EB0ED2">
        <w:rPr>
          <w:rFonts w:cstheme="minorHAnsi"/>
        </w:rPr>
        <w:t>Example,</w:t>
      </w:r>
    </w:p>
    <w:p w14:paraId="741C2CEB" w14:textId="04613E0E" w:rsidR="00905BB9" w:rsidRPr="00EB0ED2" w:rsidRDefault="00905BB9" w:rsidP="00FF47AB">
      <w:pPr>
        <w:spacing w:before="120" w:after="0" w:line="240" w:lineRule="auto"/>
        <w:contextualSpacing/>
        <w:rPr>
          <w:rFonts w:cstheme="minorHAnsi"/>
        </w:rPr>
      </w:pPr>
      <w:r w:rsidRPr="00EB0ED2">
        <w:rPr>
          <w:rFonts w:cstheme="minorHAnsi"/>
        </w:rPr>
        <w:t xml:space="preserve">Political </w:t>
      </w:r>
      <w:r w:rsidR="008916A1" w:rsidRPr="00EB0ED2">
        <w:rPr>
          <w:rFonts w:cstheme="minorHAnsi"/>
        </w:rPr>
        <w:t>–</w:t>
      </w:r>
      <w:r w:rsidRPr="00EB0ED2">
        <w:rPr>
          <w:rFonts w:cstheme="minorHAnsi"/>
        </w:rPr>
        <w:t xml:space="preserve"> </w:t>
      </w:r>
      <w:r w:rsidR="008916A1" w:rsidRPr="00EB0ED2">
        <w:rPr>
          <w:rFonts w:cstheme="minorHAnsi"/>
        </w:rPr>
        <w:t>This may include health and safety regulations, international relations and financial instability.</w:t>
      </w:r>
    </w:p>
    <w:p w14:paraId="1EF2CF99" w14:textId="4FD8E033" w:rsidR="008916A1" w:rsidRPr="00EB0ED2" w:rsidRDefault="008916A1" w:rsidP="00FF47AB">
      <w:pPr>
        <w:spacing w:before="120" w:after="0" w:line="240" w:lineRule="auto"/>
        <w:contextualSpacing/>
        <w:rPr>
          <w:rFonts w:cstheme="minorHAnsi"/>
        </w:rPr>
      </w:pPr>
      <w:r w:rsidRPr="00EB0ED2">
        <w:rPr>
          <w:rFonts w:cstheme="minorHAnsi"/>
        </w:rPr>
        <w:t xml:space="preserve">Economic – Such as international, national or regional economies, changes in interest and exchange rates. </w:t>
      </w:r>
    </w:p>
    <w:p w14:paraId="13C93B27" w14:textId="64CA818E" w:rsidR="00A37BA1" w:rsidRPr="00EB0ED2" w:rsidRDefault="00A37BA1" w:rsidP="00FF47AB">
      <w:pPr>
        <w:spacing w:before="120" w:after="0" w:line="240" w:lineRule="auto"/>
        <w:contextualSpacing/>
        <w:rPr>
          <w:rFonts w:cstheme="minorHAnsi"/>
        </w:rPr>
      </w:pPr>
      <w:r w:rsidRPr="00EB0ED2">
        <w:rPr>
          <w:rFonts w:cstheme="minorHAnsi"/>
        </w:rPr>
        <w:t>Social – Trends within society, such as the introduction and growth of social media and online shopping which may affect the organisation.</w:t>
      </w:r>
    </w:p>
    <w:p w14:paraId="6D996B41" w14:textId="49DF06CD" w:rsidR="00A37BA1" w:rsidRPr="00EB0ED2" w:rsidRDefault="00A37BA1" w:rsidP="00FF47AB">
      <w:pPr>
        <w:spacing w:before="120" w:after="0" w:line="240" w:lineRule="auto"/>
        <w:contextualSpacing/>
        <w:rPr>
          <w:rFonts w:cstheme="minorHAnsi"/>
        </w:rPr>
      </w:pPr>
      <w:r w:rsidRPr="00EB0ED2">
        <w:rPr>
          <w:rFonts w:cstheme="minorHAnsi"/>
        </w:rPr>
        <w:t xml:space="preserve">Technological - </w:t>
      </w:r>
      <w:r w:rsidR="00A21A67" w:rsidRPr="00EB0ED2">
        <w:rPr>
          <w:rFonts w:cstheme="minorHAnsi"/>
        </w:rPr>
        <w:t>Artificial intelligence is an example of how technology can affect a business, with some companies looking to replace human production lines with machines.</w:t>
      </w:r>
    </w:p>
    <w:p w14:paraId="1295B513" w14:textId="509A4074" w:rsidR="00A21A67" w:rsidRPr="00EB0ED2" w:rsidRDefault="00A21A67" w:rsidP="00FF47AB">
      <w:pPr>
        <w:spacing w:before="120" w:after="0" w:line="240" w:lineRule="auto"/>
        <w:contextualSpacing/>
        <w:rPr>
          <w:rFonts w:cstheme="minorHAnsi"/>
        </w:rPr>
      </w:pPr>
      <w:r w:rsidRPr="00EB0ED2">
        <w:rPr>
          <w:rFonts w:cstheme="minorHAnsi"/>
        </w:rPr>
        <w:t>Legal – Changes to laws relating to the business, this could be around health and safety, employment law, or discrimination law.</w:t>
      </w:r>
    </w:p>
    <w:p w14:paraId="5B9CD135" w14:textId="04206DFB" w:rsidR="00A21A67" w:rsidRPr="00EB0ED2" w:rsidRDefault="00A21A67" w:rsidP="00FF47AB">
      <w:pPr>
        <w:spacing w:before="120" w:after="0" w:line="240" w:lineRule="auto"/>
        <w:contextualSpacing/>
        <w:rPr>
          <w:rFonts w:cstheme="minorHAnsi"/>
        </w:rPr>
      </w:pPr>
      <w:r w:rsidRPr="00EB0ED2">
        <w:rPr>
          <w:rFonts w:cstheme="minorHAnsi"/>
        </w:rPr>
        <w:t>Environmental – Organisations are more and more aware of the effect they have on the environment</w:t>
      </w:r>
      <w:r w:rsidR="0042663D" w:rsidRPr="00EB0ED2">
        <w:rPr>
          <w:rFonts w:cstheme="minorHAnsi"/>
        </w:rPr>
        <w:t>, factors that are considered are climate change and the weather.</w:t>
      </w:r>
    </w:p>
    <w:p w14:paraId="479D5654" w14:textId="634F0217" w:rsidR="00A050A7" w:rsidRPr="00EB0ED2" w:rsidRDefault="002E5E46" w:rsidP="00FF47AB">
      <w:pPr>
        <w:spacing w:before="120" w:after="0" w:line="240" w:lineRule="auto"/>
        <w:contextualSpacing/>
        <w:rPr>
          <w:rFonts w:cstheme="minorHAnsi"/>
        </w:rPr>
      </w:pPr>
      <w:r>
        <w:rPr>
          <w:rFonts w:cstheme="minorHAnsi"/>
        </w:rPr>
        <w:t>PESTLE is a simplified way of analysing business performance which makes it an attractive option for organisations to identify issues</w:t>
      </w:r>
      <w:r w:rsidR="007F59D7">
        <w:rPr>
          <w:rFonts w:cstheme="minorHAnsi"/>
        </w:rPr>
        <w:t xml:space="preserve"> or opportunities</w:t>
      </w:r>
      <w:r>
        <w:rPr>
          <w:rFonts w:cstheme="minorHAnsi"/>
        </w:rPr>
        <w:t xml:space="preserve"> </w:t>
      </w:r>
      <w:r w:rsidR="00762915">
        <w:rPr>
          <w:rFonts w:cstheme="minorHAnsi"/>
        </w:rPr>
        <w:t>before or as they arise</w:t>
      </w:r>
      <w:r w:rsidR="007F59D7">
        <w:rPr>
          <w:rFonts w:cstheme="minorHAnsi"/>
        </w:rPr>
        <w:t xml:space="preserve">, on the other hand, there are clear disadvantages to using PESTLE such as, </w:t>
      </w:r>
      <w:r w:rsidR="001F6B2C">
        <w:rPr>
          <w:rFonts w:cstheme="minorHAnsi"/>
        </w:rPr>
        <w:t>the risk if over simplifying or over analysing data as the parameters are open to interpretation. Another disadvantage is that the analysis would need to be carried out regularly to capture changes that could affect the business (CIPD. 2023)</w:t>
      </w:r>
    </w:p>
    <w:p w14:paraId="7E3511FB" w14:textId="39AFC97C" w:rsidR="00203A9B" w:rsidRPr="00EB0ED2" w:rsidRDefault="0042663D" w:rsidP="00203A9B">
      <w:pPr>
        <w:spacing w:before="120" w:after="0" w:line="240" w:lineRule="auto"/>
        <w:contextualSpacing/>
        <w:rPr>
          <w:rFonts w:cstheme="minorHAnsi"/>
        </w:rPr>
      </w:pPr>
      <w:r w:rsidRPr="00EB0ED2">
        <w:rPr>
          <w:rFonts w:cstheme="minorHAnsi"/>
        </w:rPr>
        <w:t xml:space="preserve">Organisations can recognise issues and challenges by using various analysis methods such as, interviewing, questionnaires, and benchmarking. If the organisation has an issue with rates of pay for example, they could use benchmarking to find out what their competitors are paying their employees </w:t>
      </w:r>
      <w:r w:rsidR="004775CB" w:rsidRPr="00EB0ED2">
        <w:rPr>
          <w:rFonts w:cstheme="minorHAnsi"/>
        </w:rPr>
        <w:t xml:space="preserve">or look at the national average </w:t>
      </w:r>
      <w:r w:rsidRPr="00EB0ED2">
        <w:rPr>
          <w:rFonts w:cstheme="minorHAnsi"/>
        </w:rPr>
        <w:t>to ensure that they are</w:t>
      </w:r>
      <w:r w:rsidR="004775CB" w:rsidRPr="00EB0ED2">
        <w:rPr>
          <w:rFonts w:cstheme="minorHAnsi"/>
        </w:rPr>
        <w:t xml:space="preserve"> paying</w:t>
      </w:r>
      <w:r w:rsidRPr="00EB0ED2">
        <w:rPr>
          <w:rFonts w:cstheme="minorHAnsi"/>
        </w:rPr>
        <w:t xml:space="preserve"> in line with them</w:t>
      </w:r>
      <w:r w:rsidR="004775CB" w:rsidRPr="00EB0ED2">
        <w:rPr>
          <w:rFonts w:cstheme="minorHAnsi"/>
        </w:rPr>
        <w:t xml:space="preserve"> (Harper</w:t>
      </w:r>
      <w:r w:rsidR="002E5E46">
        <w:rPr>
          <w:rFonts w:cstheme="minorHAnsi"/>
        </w:rPr>
        <w:t xml:space="preserve">. </w:t>
      </w:r>
      <w:r w:rsidR="004775CB" w:rsidRPr="00EB0ED2">
        <w:rPr>
          <w:rFonts w:cstheme="minorHAnsi"/>
        </w:rPr>
        <w:t>2019)</w:t>
      </w:r>
      <w:r w:rsidRPr="00EB0ED2">
        <w:rPr>
          <w:rFonts w:cstheme="minorHAnsi"/>
        </w:rPr>
        <w:t>.</w:t>
      </w:r>
    </w:p>
    <w:p w14:paraId="47382825" w14:textId="77777777" w:rsidR="00A050A7" w:rsidRPr="00EB0ED2" w:rsidRDefault="00A050A7" w:rsidP="00203A9B">
      <w:pPr>
        <w:spacing w:before="120" w:after="0" w:line="240" w:lineRule="auto"/>
        <w:contextualSpacing/>
        <w:rPr>
          <w:rFonts w:cstheme="minorHAnsi"/>
        </w:rPr>
      </w:pPr>
    </w:p>
    <w:p w14:paraId="158640E7" w14:textId="6E30BDCE" w:rsidR="00C61088" w:rsidRPr="00EB0ED2" w:rsidRDefault="003542B3" w:rsidP="00511C47">
      <w:pPr>
        <w:pStyle w:val="Heading2"/>
      </w:pPr>
      <w:r>
        <w:t xml:space="preserve">Critical </w:t>
      </w:r>
      <w:proofErr w:type="gramStart"/>
      <w:r>
        <w:t>Thinking</w:t>
      </w:r>
      <w:r w:rsidR="00C61088" w:rsidRPr="00EB0ED2">
        <w:t xml:space="preserve">  (</w:t>
      </w:r>
      <w:proofErr w:type="gramEnd"/>
      <w:r w:rsidR="00C61088" w:rsidRPr="00EB0ED2">
        <w:t>AC 1.3)</w:t>
      </w:r>
    </w:p>
    <w:p w14:paraId="51745A18" w14:textId="0AE49235" w:rsidR="00203A9B" w:rsidRPr="00EB0ED2" w:rsidRDefault="00C05C45" w:rsidP="00203A9B">
      <w:pPr>
        <w:pStyle w:val="BodyText"/>
        <w:spacing w:before="162" w:line="264" w:lineRule="auto"/>
        <w:ind w:right="283"/>
        <w:jc w:val="both"/>
        <w:rPr>
          <w:rFonts w:asciiTheme="minorHAnsi" w:hAnsiTheme="minorHAnsi" w:cstheme="minorHAnsi"/>
        </w:rPr>
      </w:pPr>
      <w:r w:rsidRPr="00EB0ED2">
        <w:rPr>
          <w:rFonts w:asciiTheme="minorHAnsi" w:hAnsiTheme="minorHAnsi" w:cstheme="minorHAnsi"/>
        </w:rPr>
        <w:t xml:space="preserve">By critically reflecting on data, assumptions are </w:t>
      </w:r>
      <w:r w:rsidR="00A050A7" w:rsidRPr="00EB0ED2">
        <w:rPr>
          <w:rFonts w:asciiTheme="minorHAnsi" w:hAnsiTheme="minorHAnsi" w:cstheme="minorHAnsi"/>
        </w:rPr>
        <w:t>avoided,</w:t>
      </w:r>
      <w:r w:rsidRPr="00EB0ED2">
        <w:rPr>
          <w:rFonts w:asciiTheme="minorHAnsi" w:hAnsiTheme="minorHAnsi" w:cstheme="minorHAnsi"/>
        </w:rPr>
        <w:t xml:space="preserve"> and ideas are analysed from multiple angles before being implemented, therefore critical thinking aids good decision making. In a world where there is a wealth of information at our fingertips, it is essential that we as people professionals know how to separate the good data from the bad. The process of critical thinking involves researching a subject and reading a wide range of materials to inform your views, it is akin to listening to both sides of an argument before choosing a side. Critical thinking is a skill that is valuable to many profession</w:t>
      </w:r>
      <w:r w:rsidR="00EE7DE7" w:rsidRPr="00EB0ED2">
        <w:rPr>
          <w:rFonts w:asciiTheme="minorHAnsi" w:hAnsiTheme="minorHAnsi" w:cstheme="minorHAnsi"/>
        </w:rPr>
        <w:t>al subjects</w:t>
      </w:r>
      <w:r w:rsidRPr="00EB0ED2">
        <w:rPr>
          <w:rFonts w:asciiTheme="minorHAnsi" w:hAnsiTheme="minorHAnsi" w:cstheme="minorHAnsi"/>
        </w:rPr>
        <w:t xml:space="preserve"> such as engineering, science and humanities</w:t>
      </w:r>
      <w:r w:rsidR="0055001E" w:rsidRPr="00EB0ED2">
        <w:rPr>
          <w:rFonts w:asciiTheme="minorHAnsi" w:hAnsiTheme="minorHAnsi" w:cstheme="minorHAnsi"/>
        </w:rPr>
        <w:t xml:space="preserve"> (HRM Handbook</w:t>
      </w:r>
      <w:r w:rsidR="00A050A7" w:rsidRPr="00EB0ED2">
        <w:rPr>
          <w:rFonts w:asciiTheme="minorHAnsi" w:hAnsiTheme="minorHAnsi" w:cstheme="minorHAnsi"/>
        </w:rPr>
        <w:t xml:space="preserve">. </w:t>
      </w:r>
      <w:r w:rsidR="0055001E" w:rsidRPr="00EB0ED2">
        <w:rPr>
          <w:rFonts w:asciiTheme="minorHAnsi" w:hAnsiTheme="minorHAnsi" w:cstheme="minorHAnsi"/>
        </w:rPr>
        <w:t>No date)</w:t>
      </w:r>
      <w:r w:rsidRPr="00EB0ED2">
        <w:rPr>
          <w:rFonts w:asciiTheme="minorHAnsi" w:hAnsiTheme="minorHAnsi" w:cstheme="minorHAnsi"/>
        </w:rPr>
        <w:t>.</w:t>
      </w:r>
    </w:p>
    <w:p w14:paraId="6C1BA21C" w14:textId="0A734236" w:rsidR="00630740" w:rsidRPr="00EB0ED2" w:rsidRDefault="00630740" w:rsidP="00203A9B">
      <w:pPr>
        <w:pStyle w:val="BodyText"/>
        <w:spacing w:before="162" w:line="264" w:lineRule="auto"/>
        <w:ind w:right="283"/>
        <w:jc w:val="both"/>
        <w:rPr>
          <w:rFonts w:asciiTheme="minorHAnsi" w:hAnsiTheme="minorHAnsi" w:cstheme="minorHAnsi"/>
        </w:rPr>
      </w:pPr>
      <w:r w:rsidRPr="00EB0ED2">
        <w:rPr>
          <w:rFonts w:asciiTheme="minorHAnsi" w:hAnsiTheme="minorHAnsi" w:cstheme="minorHAnsi"/>
        </w:rPr>
        <w:t xml:space="preserve">One of the principles of critical thinking is overcoming our own biases whether they are conscious or unconscious. When making decisions, it is often faster to use our own experience and ‘cherry pick’ research that supports </w:t>
      </w:r>
      <w:r w:rsidR="002A64B4" w:rsidRPr="00EB0ED2">
        <w:rPr>
          <w:rFonts w:asciiTheme="minorHAnsi" w:hAnsiTheme="minorHAnsi" w:cstheme="minorHAnsi"/>
        </w:rPr>
        <w:t>y</w:t>
      </w:r>
      <w:r w:rsidRPr="00EB0ED2">
        <w:rPr>
          <w:rFonts w:asciiTheme="minorHAnsi" w:hAnsiTheme="minorHAnsi" w:cstheme="minorHAnsi"/>
        </w:rPr>
        <w:t>our own theories. This means that we are only seeing one side of the coin. Our own biases may be leading our research in the direction we would like it to go, therefore not achieving a holistic view of the subject matter</w:t>
      </w:r>
      <w:r w:rsidR="002A64B4" w:rsidRPr="00EB0ED2">
        <w:rPr>
          <w:rFonts w:asciiTheme="minorHAnsi" w:hAnsiTheme="minorHAnsi" w:cstheme="minorHAnsi"/>
        </w:rPr>
        <w:t xml:space="preserve">, </w:t>
      </w:r>
      <w:proofErr w:type="gramStart"/>
      <w:r w:rsidR="002A64B4" w:rsidRPr="00EB0ED2">
        <w:rPr>
          <w:rFonts w:asciiTheme="minorHAnsi" w:hAnsiTheme="minorHAnsi" w:cstheme="minorHAnsi"/>
        </w:rPr>
        <w:t>This</w:t>
      </w:r>
      <w:proofErr w:type="gramEnd"/>
      <w:r w:rsidR="002A64B4" w:rsidRPr="00EB0ED2">
        <w:rPr>
          <w:rFonts w:asciiTheme="minorHAnsi" w:hAnsiTheme="minorHAnsi" w:cstheme="minorHAnsi"/>
        </w:rPr>
        <w:t xml:space="preserve"> </w:t>
      </w:r>
      <w:r w:rsidRPr="00EB0ED2">
        <w:rPr>
          <w:rFonts w:asciiTheme="minorHAnsi" w:hAnsiTheme="minorHAnsi" w:cstheme="minorHAnsi"/>
        </w:rPr>
        <w:t>push</w:t>
      </w:r>
      <w:r w:rsidR="002A64B4" w:rsidRPr="00EB0ED2">
        <w:rPr>
          <w:rFonts w:asciiTheme="minorHAnsi" w:hAnsiTheme="minorHAnsi" w:cstheme="minorHAnsi"/>
        </w:rPr>
        <w:t>es</w:t>
      </w:r>
      <w:r w:rsidRPr="00EB0ED2">
        <w:rPr>
          <w:rFonts w:asciiTheme="minorHAnsi" w:hAnsiTheme="minorHAnsi" w:cstheme="minorHAnsi"/>
        </w:rPr>
        <w:t xml:space="preserve"> us towards poor decision making (CIPD, 2023). </w:t>
      </w:r>
    </w:p>
    <w:p w14:paraId="4C6998D1" w14:textId="52EB9BD3" w:rsidR="00C05C45" w:rsidRPr="00EB0ED2" w:rsidRDefault="00C05C45" w:rsidP="00203A9B">
      <w:pPr>
        <w:pStyle w:val="BodyText"/>
        <w:spacing w:before="162" w:line="264" w:lineRule="auto"/>
        <w:ind w:right="283"/>
        <w:jc w:val="both"/>
        <w:rPr>
          <w:rFonts w:asciiTheme="minorHAnsi" w:hAnsiTheme="minorHAnsi" w:cstheme="minorHAnsi"/>
        </w:rPr>
      </w:pPr>
      <w:r w:rsidRPr="00EB0ED2">
        <w:rPr>
          <w:rFonts w:asciiTheme="minorHAnsi" w:hAnsiTheme="minorHAnsi" w:cstheme="minorHAnsi"/>
        </w:rPr>
        <w:t>The main principle of critical thinking</w:t>
      </w:r>
      <w:r w:rsidR="002A64B4" w:rsidRPr="00EB0ED2">
        <w:rPr>
          <w:rFonts w:asciiTheme="minorHAnsi" w:hAnsiTheme="minorHAnsi" w:cstheme="minorHAnsi"/>
        </w:rPr>
        <w:t xml:space="preserve"> is asking questions about what you are reading. Questions such as, </w:t>
      </w:r>
      <w:r w:rsidR="00511C47">
        <w:rPr>
          <w:rFonts w:asciiTheme="minorHAnsi" w:hAnsiTheme="minorHAnsi" w:cstheme="minorHAnsi"/>
        </w:rPr>
        <w:t>w</w:t>
      </w:r>
      <w:r w:rsidR="002A64B4" w:rsidRPr="00EB0ED2">
        <w:rPr>
          <w:rFonts w:asciiTheme="minorHAnsi" w:hAnsiTheme="minorHAnsi" w:cstheme="minorHAnsi"/>
        </w:rPr>
        <w:t xml:space="preserve">ho wrote it? </w:t>
      </w:r>
      <w:r w:rsidR="00511C47">
        <w:rPr>
          <w:rFonts w:asciiTheme="minorHAnsi" w:hAnsiTheme="minorHAnsi" w:cstheme="minorHAnsi"/>
        </w:rPr>
        <w:t>w</w:t>
      </w:r>
      <w:r w:rsidR="002A64B4" w:rsidRPr="00EB0ED2">
        <w:rPr>
          <w:rFonts w:asciiTheme="minorHAnsi" w:hAnsiTheme="minorHAnsi" w:cstheme="minorHAnsi"/>
        </w:rPr>
        <w:t xml:space="preserve">hy was it written? </w:t>
      </w:r>
      <w:r w:rsidR="00511C47">
        <w:rPr>
          <w:rFonts w:asciiTheme="minorHAnsi" w:hAnsiTheme="minorHAnsi" w:cstheme="minorHAnsi"/>
        </w:rPr>
        <w:t>w</w:t>
      </w:r>
      <w:r w:rsidR="002A64B4" w:rsidRPr="00EB0ED2">
        <w:rPr>
          <w:rFonts w:asciiTheme="minorHAnsi" w:hAnsiTheme="minorHAnsi" w:cstheme="minorHAnsi"/>
        </w:rPr>
        <w:t>hen was it written? Is the research still relevant?</w:t>
      </w:r>
      <w:r w:rsidR="00A31521" w:rsidRPr="00EB0ED2">
        <w:rPr>
          <w:rFonts w:asciiTheme="minorHAnsi" w:hAnsiTheme="minorHAnsi" w:cstheme="minorHAnsi"/>
        </w:rPr>
        <w:t xml:space="preserve"> </w:t>
      </w:r>
      <w:r w:rsidR="00A31521" w:rsidRPr="00EB0ED2">
        <w:rPr>
          <w:rFonts w:asciiTheme="minorHAnsi" w:hAnsiTheme="minorHAnsi" w:cstheme="minorHAnsi"/>
        </w:rPr>
        <w:lastRenderedPageBreak/>
        <w:t>(Institute for Academic Development. 2023) In doing so, you begin to look at the research on a deeper level.</w:t>
      </w:r>
    </w:p>
    <w:p w14:paraId="614A59D4" w14:textId="77777777" w:rsidR="00203A9B" w:rsidRPr="00EB0ED2" w:rsidRDefault="00203A9B" w:rsidP="00203A9B">
      <w:pPr>
        <w:pStyle w:val="BodyText"/>
        <w:spacing w:before="162" w:line="264" w:lineRule="auto"/>
        <w:ind w:right="283"/>
        <w:jc w:val="both"/>
        <w:rPr>
          <w:rFonts w:asciiTheme="minorHAnsi" w:hAnsiTheme="minorHAnsi" w:cstheme="minorHAnsi"/>
        </w:rPr>
      </w:pPr>
    </w:p>
    <w:p w14:paraId="5A74ABB1" w14:textId="3A5A654A" w:rsidR="00C61088" w:rsidRPr="00EB0ED2" w:rsidRDefault="003542B3" w:rsidP="00511C47">
      <w:pPr>
        <w:pStyle w:val="Heading2"/>
        <w:rPr>
          <w:rFonts w:eastAsiaTheme="minorEastAsia"/>
        </w:rPr>
      </w:pPr>
      <w:r>
        <w:t>Decision Making</w:t>
      </w:r>
      <w:r w:rsidR="00C61088" w:rsidRPr="00EB0ED2">
        <w:t xml:space="preserve"> (AC 1.4) </w:t>
      </w:r>
    </w:p>
    <w:p w14:paraId="3528A113" w14:textId="77777777" w:rsidR="00C57559" w:rsidRPr="00EB0ED2" w:rsidRDefault="00C57559" w:rsidP="00C57559">
      <w:pPr>
        <w:pStyle w:val="BodyText"/>
        <w:spacing w:before="162" w:line="264" w:lineRule="auto"/>
        <w:ind w:right="283"/>
        <w:jc w:val="both"/>
        <w:rPr>
          <w:rFonts w:asciiTheme="minorHAnsi" w:hAnsiTheme="minorHAnsi" w:cstheme="minorHAnsi"/>
        </w:rPr>
      </w:pPr>
      <w:r w:rsidRPr="00EB0ED2">
        <w:rPr>
          <w:rFonts w:asciiTheme="minorHAnsi" w:hAnsiTheme="minorHAnsi" w:cstheme="minorHAnsi"/>
        </w:rPr>
        <w:t>A survey carried out by McKinsey found that poor decision making can cost a typical Fortune 500 company approximately $250,000,000 in wages each year due to the time that it wastes (McKinsey &amp; Company. 2023).</w:t>
      </w:r>
    </w:p>
    <w:p w14:paraId="0FBA1B34" w14:textId="2ECE9699" w:rsidR="00BD414C" w:rsidRPr="00EB0ED2" w:rsidRDefault="00BD414C" w:rsidP="00BD414C">
      <w:pPr>
        <w:pStyle w:val="BodyText"/>
        <w:numPr>
          <w:ilvl w:val="0"/>
          <w:numId w:val="4"/>
        </w:numPr>
        <w:spacing w:before="162" w:line="264" w:lineRule="auto"/>
        <w:ind w:right="283"/>
        <w:jc w:val="both"/>
        <w:rPr>
          <w:rFonts w:asciiTheme="minorHAnsi" w:hAnsiTheme="minorHAnsi" w:cstheme="minorHAnsi"/>
        </w:rPr>
      </w:pPr>
      <w:r w:rsidRPr="00EB0ED2">
        <w:rPr>
          <w:rFonts w:asciiTheme="minorHAnsi" w:hAnsiTheme="minorHAnsi" w:cstheme="minorHAnsi"/>
        </w:rPr>
        <w:t>De Bono’s Six Thinking Hats</w:t>
      </w:r>
    </w:p>
    <w:p w14:paraId="49403618" w14:textId="4DE5918D" w:rsidR="00A31521" w:rsidRPr="00EB0ED2" w:rsidRDefault="00C57559" w:rsidP="00203A9B">
      <w:pPr>
        <w:pStyle w:val="BodyText"/>
        <w:spacing w:before="162" w:line="264" w:lineRule="auto"/>
        <w:ind w:right="283"/>
        <w:jc w:val="both"/>
        <w:rPr>
          <w:rFonts w:asciiTheme="minorHAnsi" w:eastAsiaTheme="minorEastAsia" w:hAnsiTheme="minorHAnsi" w:cstheme="minorHAnsi"/>
        </w:rPr>
      </w:pPr>
      <w:r w:rsidRPr="00EB0ED2">
        <w:rPr>
          <w:rFonts w:asciiTheme="minorHAnsi" w:eastAsiaTheme="minorEastAsia" w:hAnsiTheme="minorHAnsi" w:cstheme="minorHAnsi"/>
        </w:rPr>
        <w:t>There are various ways that organisations attempt to</w:t>
      </w:r>
      <w:r w:rsidR="004E7CBF" w:rsidRPr="00EB0ED2">
        <w:rPr>
          <w:rFonts w:asciiTheme="minorHAnsi" w:eastAsiaTheme="minorEastAsia" w:hAnsiTheme="minorHAnsi" w:cstheme="minorHAnsi"/>
        </w:rPr>
        <w:t xml:space="preserve"> streamline their decision-making processes, such as De Bono’s Six Thinking Hats. The process works by splitting the decision-making process into six different categories (hats), for example, White hat – Facts of the issue, </w:t>
      </w:r>
      <w:proofErr w:type="gramStart"/>
      <w:r w:rsidR="004E7CBF" w:rsidRPr="00EB0ED2">
        <w:rPr>
          <w:rFonts w:asciiTheme="minorHAnsi" w:eastAsiaTheme="minorEastAsia" w:hAnsiTheme="minorHAnsi" w:cstheme="minorHAnsi"/>
        </w:rPr>
        <w:t>Yellow</w:t>
      </w:r>
      <w:proofErr w:type="gramEnd"/>
      <w:r w:rsidR="004E7CBF" w:rsidRPr="00EB0ED2">
        <w:rPr>
          <w:rFonts w:asciiTheme="minorHAnsi" w:eastAsiaTheme="minorEastAsia" w:hAnsiTheme="minorHAnsi" w:cstheme="minorHAnsi"/>
        </w:rPr>
        <w:t xml:space="preserve"> hat – Positives, Black hat - Risks. One individual or group will then analyse their own area and feedback their findings to the wider team. This breaks down the issue and allows a deeper analysis as well as minimising individual biases (De Bono Group, No date). </w:t>
      </w:r>
    </w:p>
    <w:p w14:paraId="72425850" w14:textId="351B95B5" w:rsidR="00BD414C" w:rsidRPr="00EB0ED2" w:rsidRDefault="00BD414C" w:rsidP="00BD414C">
      <w:pPr>
        <w:pStyle w:val="BodyText"/>
        <w:numPr>
          <w:ilvl w:val="0"/>
          <w:numId w:val="4"/>
        </w:numPr>
        <w:spacing w:before="162" w:line="264" w:lineRule="auto"/>
        <w:ind w:right="283"/>
        <w:jc w:val="both"/>
        <w:rPr>
          <w:rFonts w:asciiTheme="minorHAnsi" w:eastAsiaTheme="minorEastAsia" w:hAnsiTheme="minorHAnsi" w:cstheme="minorHAnsi"/>
        </w:rPr>
      </w:pPr>
      <w:r w:rsidRPr="00EB0ED2">
        <w:rPr>
          <w:rFonts w:asciiTheme="minorHAnsi" w:eastAsiaTheme="minorEastAsia" w:hAnsiTheme="minorHAnsi" w:cstheme="minorHAnsi"/>
        </w:rPr>
        <w:t>Problem Framing</w:t>
      </w:r>
    </w:p>
    <w:p w14:paraId="5FF3BE47" w14:textId="1E2D351B" w:rsidR="00EF21E7" w:rsidRPr="00EB0ED2" w:rsidRDefault="00301B47" w:rsidP="00203A9B">
      <w:pPr>
        <w:pStyle w:val="BodyText"/>
        <w:spacing w:before="162" w:line="264" w:lineRule="auto"/>
        <w:ind w:right="283"/>
        <w:jc w:val="both"/>
        <w:rPr>
          <w:rFonts w:asciiTheme="minorHAnsi" w:eastAsiaTheme="minorEastAsia" w:hAnsiTheme="minorHAnsi" w:cstheme="minorHAnsi"/>
        </w:rPr>
      </w:pPr>
      <w:r w:rsidRPr="00EB0ED2">
        <w:rPr>
          <w:rFonts w:asciiTheme="minorHAnsi" w:eastAsiaTheme="minorEastAsia" w:hAnsiTheme="minorHAnsi" w:cstheme="minorHAnsi"/>
        </w:rPr>
        <w:t xml:space="preserve">Problem Framing is another type of </w:t>
      </w:r>
      <w:r w:rsidR="00F5070D" w:rsidRPr="00EB0ED2">
        <w:rPr>
          <w:rFonts w:asciiTheme="minorHAnsi" w:eastAsiaTheme="minorEastAsia" w:hAnsiTheme="minorHAnsi" w:cstheme="minorHAnsi"/>
        </w:rPr>
        <w:t>decision-making</w:t>
      </w:r>
      <w:r w:rsidRPr="00EB0ED2">
        <w:rPr>
          <w:rFonts w:asciiTheme="minorHAnsi" w:eastAsiaTheme="minorEastAsia" w:hAnsiTheme="minorHAnsi" w:cstheme="minorHAnsi"/>
        </w:rPr>
        <w:t xml:space="preserve"> process. It is not the same as problem solving, as the purpose is to understand the problem and look at biases and other perspectives</w:t>
      </w:r>
      <w:r w:rsidR="00EF21E7" w:rsidRPr="00EB0ED2">
        <w:rPr>
          <w:rFonts w:asciiTheme="minorHAnsi" w:eastAsiaTheme="minorEastAsia" w:hAnsiTheme="minorHAnsi" w:cstheme="minorHAnsi"/>
        </w:rPr>
        <w:t>. When the problem is properly understood, it should be easier to solve</w:t>
      </w:r>
      <w:r w:rsidR="00C904EB">
        <w:rPr>
          <w:rFonts w:asciiTheme="minorHAnsi" w:eastAsiaTheme="minorEastAsia" w:hAnsiTheme="minorHAnsi" w:cstheme="minorHAnsi"/>
        </w:rPr>
        <w:t xml:space="preserve"> (Hermanto. 2021)</w:t>
      </w:r>
      <w:r w:rsidR="00EF21E7" w:rsidRPr="00EB0ED2">
        <w:rPr>
          <w:rFonts w:asciiTheme="minorHAnsi" w:eastAsiaTheme="minorEastAsia" w:hAnsiTheme="minorHAnsi" w:cstheme="minorHAnsi"/>
        </w:rPr>
        <w:t>. The process involves creating a statement of what the problem is, the goal, and what is stopping you from achieving the goal. The next step is getting the perspectives of others on the problem and making sure everyone understands the issue and the goal, provoking discussion on the matter. This process may even find that the problem is not worth solving as there is an easier work around.</w:t>
      </w:r>
    </w:p>
    <w:p w14:paraId="1E263A7C" w14:textId="2B75D85A" w:rsidR="00BD414C" w:rsidRPr="00EB0ED2" w:rsidRDefault="00BD414C" w:rsidP="00BD414C">
      <w:pPr>
        <w:pStyle w:val="BodyText"/>
        <w:numPr>
          <w:ilvl w:val="0"/>
          <w:numId w:val="4"/>
        </w:numPr>
        <w:spacing w:before="162" w:line="264" w:lineRule="auto"/>
        <w:ind w:right="283"/>
        <w:jc w:val="both"/>
        <w:rPr>
          <w:rFonts w:asciiTheme="minorHAnsi" w:eastAsiaTheme="minorEastAsia" w:hAnsiTheme="minorHAnsi" w:cstheme="minorHAnsi"/>
        </w:rPr>
      </w:pPr>
      <w:r w:rsidRPr="00EB0ED2">
        <w:rPr>
          <w:rFonts w:asciiTheme="minorHAnsi" w:eastAsiaTheme="minorEastAsia" w:hAnsiTheme="minorHAnsi" w:cstheme="minorHAnsi"/>
        </w:rPr>
        <w:t>Root Cause Analysis</w:t>
      </w:r>
    </w:p>
    <w:p w14:paraId="388C2D6A" w14:textId="26591252" w:rsidR="00F5070D" w:rsidRPr="00EB0ED2" w:rsidRDefault="00D818AF" w:rsidP="00203A9B">
      <w:pPr>
        <w:pStyle w:val="BodyText"/>
        <w:spacing w:before="162" w:line="264" w:lineRule="auto"/>
        <w:ind w:right="283"/>
        <w:jc w:val="both"/>
        <w:rPr>
          <w:rFonts w:asciiTheme="minorHAnsi" w:eastAsiaTheme="minorEastAsia" w:hAnsiTheme="minorHAnsi" w:cstheme="minorHAnsi"/>
        </w:rPr>
      </w:pPr>
      <w:r w:rsidRPr="00EB0ED2">
        <w:rPr>
          <w:rFonts w:asciiTheme="minorHAnsi" w:eastAsiaTheme="minorEastAsia" w:hAnsiTheme="minorHAnsi" w:cstheme="minorHAnsi"/>
        </w:rPr>
        <w:t>Root Cause Analysis relates to diagnosing the underlying issue rather than using a plaster to cover up the surface issues caused by the main problem.</w:t>
      </w:r>
      <w:r w:rsidR="00EF21E7" w:rsidRPr="00EB0ED2">
        <w:rPr>
          <w:rFonts w:asciiTheme="minorHAnsi" w:eastAsiaTheme="minorEastAsia" w:hAnsiTheme="minorHAnsi" w:cstheme="minorHAnsi"/>
        </w:rPr>
        <w:t xml:space="preserve"> </w:t>
      </w:r>
      <w:r w:rsidRPr="00EB0ED2">
        <w:rPr>
          <w:rFonts w:asciiTheme="minorHAnsi" w:eastAsiaTheme="minorEastAsia" w:hAnsiTheme="minorHAnsi" w:cstheme="minorHAnsi"/>
        </w:rPr>
        <w:t xml:space="preserve">This is done by asking what happened, why it happened and what needs to be put into place to reduce the risk of it happening in the future. </w:t>
      </w:r>
      <w:r w:rsidR="00F5070D" w:rsidRPr="00EB0ED2">
        <w:rPr>
          <w:rFonts w:asciiTheme="minorHAnsi" w:eastAsiaTheme="minorEastAsia" w:hAnsiTheme="minorHAnsi" w:cstheme="minorHAnsi"/>
        </w:rPr>
        <w:t xml:space="preserve">There are five steps in Root Cause Analysis, these </w:t>
      </w:r>
      <w:proofErr w:type="gramStart"/>
      <w:r w:rsidR="00F5070D" w:rsidRPr="00EB0ED2">
        <w:rPr>
          <w:rFonts w:asciiTheme="minorHAnsi" w:eastAsiaTheme="minorEastAsia" w:hAnsiTheme="minorHAnsi" w:cstheme="minorHAnsi"/>
        </w:rPr>
        <w:t>are;</w:t>
      </w:r>
      <w:proofErr w:type="gramEnd"/>
      <w:r w:rsidR="00EB0ED2">
        <w:rPr>
          <w:rFonts w:asciiTheme="minorHAnsi" w:eastAsiaTheme="minorEastAsia" w:hAnsiTheme="minorHAnsi" w:cstheme="minorHAnsi"/>
        </w:rPr>
        <w:t xml:space="preserve"> </w:t>
      </w:r>
      <w:r w:rsidR="00F5070D" w:rsidRPr="00EB0ED2">
        <w:rPr>
          <w:rFonts w:asciiTheme="minorHAnsi" w:eastAsiaTheme="minorEastAsia" w:hAnsiTheme="minorHAnsi" w:cstheme="minorHAnsi"/>
        </w:rPr>
        <w:t>Outline the problem, Collect information, What led to the problem, Why did the problem occur, and identify solutions.</w:t>
      </w:r>
    </w:p>
    <w:p w14:paraId="637638B6" w14:textId="0FA41F7F" w:rsidR="00301B47" w:rsidRPr="00EB0ED2" w:rsidRDefault="00D818AF" w:rsidP="00203A9B">
      <w:pPr>
        <w:pStyle w:val="BodyText"/>
        <w:spacing w:before="162" w:line="264" w:lineRule="auto"/>
        <w:ind w:right="283"/>
        <w:jc w:val="both"/>
        <w:rPr>
          <w:rFonts w:asciiTheme="minorHAnsi" w:eastAsiaTheme="minorEastAsia" w:hAnsiTheme="minorHAnsi" w:cstheme="minorHAnsi"/>
        </w:rPr>
      </w:pPr>
      <w:r w:rsidRPr="00EB0ED2">
        <w:rPr>
          <w:rFonts w:asciiTheme="minorHAnsi" w:eastAsiaTheme="minorEastAsia" w:hAnsiTheme="minorHAnsi" w:cstheme="minorHAnsi"/>
        </w:rPr>
        <w:t>The Root Cause is usually identified as a physical, human, or organisational and can then be rectified with new policies and procedures</w:t>
      </w:r>
      <w:r w:rsidR="00C03F10">
        <w:rPr>
          <w:rFonts w:asciiTheme="minorHAnsi" w:eastAsiaTheme="minorEastAsia" w:hAnsiTheme="minorHAnsi" w:cstheme="minorHAnsi"/>
        </w:rPr>
        <w:t xml:space="preserve"> </w:t>
      </w:r>
      <w:r w:rsidR="00F5070D" w:rsidRPr="00EB0ED2">
        <w:rPr>
          <w:rFonts w:asciiTheme="minorHAnsi" w:eastAsiaTheme="minorEastAsia" w:hAnsiTheme="minorHAnsi" w:cstheme="minorHAnsi"/>
        </w:rPr>
        <w:t>(Mind Tools, no date)</w:t>
      </w:r>
      <w:r w:rsidRPr="00EB0ED2">
        <w:rPr>
          <w:rFonts w:asciiTheme="minorHAnsi" w:eastAsiaTheme="minorEastAsia" w:hAnsiTheme="minorHAnsi" w:cstheme="minorHAnsi"/>
        </w:rPr>
        <w:t>.</w:t>
      </w:r>
    </w:p>
    <w:p w14:paraId="20B23AC5" w14:textId="7D1A61AD" w:rsidR="00BD414C" w:rsidRPr="00EB0ED2" w:rsidRDefault="00BD414C" w:rsidP="00203A9B">
      <w:pPr>
        <w:pStyle w:val="BodyText"/>
        <w:spacing w:before="162" w:line="264" w:lineRule="auto"/>
        <w:ind w:right="283"/>
        <w:jc w:val="both"/>
        <w:rPr>
          <w:rFonts w:asciiTheme="minorHAnsi" w:eastAsiaTheme="minorEastAsia" w:hAnsiTheme="minorHAnsi" w:cstheme="minorHAnsi"/>
        </w:rPr>
      </w:pPr>
      <w:r w:rsidRPr="00EB0ED2">
        <w:rPr>
          <w:rFonts w:asciiTheme="minorHAnsi" w:eastAsiaTheme="minorEastAsia" w:hAnsiTheme="minorHAnsi" w:cstheme="minorHAnsi"/>
        </w:rPr>
        <w:t>Summary</w:t>
      </w:r>
    </w:p>
    <w:p w14:paraId="7115457E" w14:textId="3BC291C9" w:rsidR="00F5070D" w:rsidRPr="00EB0ED2" w:rsidRDefault="00F5070D" w:rsidP="00203A9B">
      <w:pPr>
        <w:pStyle w:val="BodyText"/>
        <w:spacing w:before="162" w:line="264" w:lineRule="auto"/>
        <w:ind w:right="283"/>
        <w:jc w:val="both"/>
        <w:rPr>
          <w:rFonts w:asciiTheme="minorHAnsi" w:eastAsiaTheme="minorEastAsia" w:hAnsiTheme="minorHAnsi" w:cstheme="minorHAnsi"/>
        </w:rPr>
      </w:pPr>
      <w:r w:rsidRPr="00EB0ED2">
        <w:rPr>
          <w:rFonts w:asciiTheme="minorHAnsi" w:eastAsiaTheme="minorEastAsia" w:hAnsiTheme="minorHAnsi" w:cstheme="minorHAnsi"/>
        </w:rPr>
        <w:t>There are clear similarities between all three of the decision-making processes above, they can all be used for a dealing with a variety of issues. Which decision-making process to use will be dependant on what the issue is and who is available to deal with it. Ultimately, the more diverse the group of people attempting to solve the problem, the better the solution will be</w:t>
      </w:r>
      <w:r w:rsidR="00C904EB">
        <w:rPr>
          <w:rFonts w:asciiTheme="minorHAnsi" w:eastAsiaTheme="minorEastAsia" w:hAnsiTheme="minorHAnsi" w:cstheme="minorHAnsi"/>
        </w:rPr>
        <w:t xml:space="preserve"> (Lewis </w:t>
      </w:r>
      <w:r w:rsidR="00C904EB" w:rsidRPr="00C904EB">
        <w:rPr>
          <w:rFonts w:asciiTheme="minorHAnsi" w:eastAsiaTheme="minorEastAsia" w:hAnsiTheme="minorHAnsi" w:cstheme="minorHAnsi"/>
          <w:i/>
          <w:iCs/>
        </w:rPr>
        <w:t>et al</w:t>
      </w:r>
      <w:r w:rsidR="00C904EB">
        <w:rPr>
          <w:rFonts w:asciiTheme="minorHAnsi" w:eastAsiaTheme="minorEastAsia" w:hAnsiTheme="minorHAnsi" w:cstheme="minorHAnsi"/>
          <w:i/>
          <w:iCs/>
        </w:rPr>
        <w:t>.</w:t>
      </w:r>
      <w:r w:rsidR="00C904EB">
        <w:rPr>
          <w:rFonts w:asciiTheme="minorHAnsi" w:eastAsiaTheme="minorEastAsia" w:hAnsiTheme="minorHAnsi" w:cstheme="minorHAnsi"/>
        </w:rPr>
        <w:t xml:space="preserve"> 2017)</w:t>
      </w:r>
      <w:r w:rsidRPr="00EB0ED2">
        <w:rPr>
          <w:rFonts w:asciiTheme="minorHAnsi" w:eastAsiaTheme="minorEastAsia" w:hAnsiTheme="minorHAnsi" w:cstheme="minorHAnsi"/>
        </w:rPr>
        <w:t xml:space="preserve">. </w:t>
      </w:r>
    </w:p>
    <w:p w14:paraId="48EB93F8" w14:textId="00B66E1A" w:rsidR="00C61088" w:rsidRPr="00EB0ED2" w:rsidRDefault="003542B3" w:rsidP="00511C47">
      <w:pPr>
        <w:pStyle w:val="Heading2"/>
        <w:rPr>
          <w:rFonts w:eastAsiaTheme="minorEastAsia"/>
        </w:rPr>
      </w:pPr>
      <w:r>
        <w:t>Ethics</w:t>
      </w:r>
      <w:r w:rsidR="00C61088" w:rsidRPr="00EB0ED2">
        <w:t xml:space="preserve"> (AC 1.5)</w:t>
      </w:r>
    </w:p>
    <w:p w14:paraId="117F701D" w14:textId="7B81ED22" w:rsidR="00C57559" w:rsidRPr="00EB0ED2" w:rsidRDefault="00885EC3" w:rsidP="00203A9B">
      <w:pPr>
        <w:pStyle w:val="BodyText"/>
        <w:spacing w:before="162" w:line="264" w:lineRule="auto"/>
        <w:ind w:right="283"/>
        <w:jc w:val="both"/>
        <w:rPr>
          <w:rFonts w:asciiTheme="minorHAnsi" w:hAnsiTheme="minorHAnsi" w:cstheme="minorHAnsi"/>
        </w:rPr>
      </w:pPr>
      <w:r w:rsidRPr="00EB0ED2">
        <w:rPr>
          <w:rFonts w:asciiTheme="minorHAnsi" w:hAnsiTheme="minorHAnsi" w:cstheme="minorHAnsi"/>
        </w:rPr>
        <w:t>Ethical practice is a core behaviour on the CIPD Profession Map. It is about doing what is morally right in all aspects of the working environment.</w:t>
      </w:r>
      <w:r w:rsidR="00C03F10">
        <w:rPr>
          <w:rFonts w:asciiTheme="minorHAnsi" w:hAnsiTheme="minorHAnsi" w:cstheme="minorHAnsi"/>
        </w:rPr>
        <w:t xml:space="preserve"> </w:t>
      </w:r>
      <w:r w:rsidR="00AF75A0">
        <w:rPr>
          <w:rFonts w:asciiTheme="minorHAnsi" w:hAnsiTheme="minorHAnsi" w:cstheme="minorHAnsi"/>
        </w:rPr>
        <w:t xml:space="preserve">In a research report carried out in 2015, the CIPD </w:t>
      </w:r>
      <w:r w:rsidR="00AF75A0">
        <w:rPr>
          <w:rFonts w:asciiTheme="minorHAnsi" w:hAnsiTheme="minorHAnsi" w:cstheme="minorHAnsi"/>
        </w:rPr>
        <w:lastRenderedPageBreak/>
        <w:t>identified eight ethical lenses</w:t>
      </w:r>
      <w:r w:rsidR="003542B3">
        <w:rPr>
          <w:rFonts w:asciiTheme="minorHAnsi" w:hAnsiTheme="minorHAnsi" w:cstheme="minorHAnsi"/>
        </w:rPr>
        <w:t xml:space="preserve">. They are used to assist ethical decision making in the workplace by offering alternative viewpoints such </w:t>
      </w:r>
      <w:proofErr w:type="gramStart"/>
      <w:r w:rsidR="003542B3">
        <w:rPr>
          <w:rFonts w:asciiTheme="minorHAnsi" w:hAnsiTheme="minorHAnsi" w:cstheme="minorHAnsi"/>
        </w:rPr>
        <w:t>as;</w:t>
      </w:r>
      <w:proofErr w:type="gramEnd"/>
      <w:r w:rsidR="003542B3">
        <w:rPr>
          <w:rFonts w:asciiTheme="minorHAnsi" w:hAnsiTheme="minorHAnsi" w:cstheme="minorHAnsi"/>
        </w:rPr>
        <w:t xml:space="preserve"> Fairness – for example, when writing a new policy, ensuring that it is equitable to all within the organisation, putting yourself in other employee’s shoes to understand how it would affect them (Clark. 2015).</w:t>
      </w:r>
    </w:p>
    <w:p w14:paraId="7B8BED2A" w14:textId="1367BBA8" w:rsidR="00B604D0" w:rsidRPr="00EB0ED2" w:rsidRDefault="00B604D0" w:rsidP="00203A9B">
      <w:pPr>
        <w:pStyle w:val="BodyText"/>
        <w:spacing w:before="162" w:line="264" w:lineRule="auto"/>
        <w:ind w:right="283"/>
        <w:jc w:val="both"/>
        <w:rPr>
          <w:rFonts w:asciiTheme="minorHAnsi" w:hAnsiTheme="minorHAnsi" w:cstheme="minorHAnsi"/>
        </w:rPr>
      </w:pPr>
      <w:r w:rsidRPr="00EB0ED2">
        <w:rPr>
          <w:rFonts w:asciiTheme="minorHAnsi" w:hAnsiTheme="minorHAnsi" w:cstheme="minorHAnsi"/>
        </w:rPr>
        <w:t xml:space="preserve">The word </w:t>
      </w:r>
      <w:proofErr w:type="spellStart"/>
      <w:r w:rsidRPr="00EB0ED2">
        <w:rPr>
          <w:rFonts w:asciiTheme="minorHAnsi" w:hAnsiTheme="minorHAnsi" w:cstheme="minorHAnsi"/>
        </w:rPr>
        <w:t>Deontolology</w:t>
      </w:r>
      <w:proofErr w:type="spellEnd"/>
      <w:r w:rsidRPr="00EB0ED2">
        <w:rPr>
          <w:rFonts w:asciiTheme="minorHAnsi" w:hAnsiTheme="minorHAnsi" w:cstheme="minorHAnsi"/>
        </w:rPr>
        <w:t xml:space="preserve"> is derived from the Greek word for Duty - ‘Deon’. It is an ethical perspective that focuses on the act and not the consequences of the act. Deontologists believe that there is a set of moral rules to live by and these should be adhered to. Regardless of the outcome, some acts are always right and some always wrong. For example, deontologists believe that theft is wrong, they wouldn’t consider a starving father stealing a loaf of bread to feed his children who would otherwise die to be mitigation </w:t>
      </w:r>
      <w:r w:rsidR="00FF3F9B" w:rsidRPr="00EB0ED2">
        <w:rPr>
          <w:rFonts w:asciiTheme="minorHAnsi" w:hAnsiTheme="minorHAnsi" w:cstheme="minorHAnsi"/>
        </w:rPr>
        <w:t>of</w:t>
      </w:r>
      <w:r w:rsidRPr="00EB0ED2">
        <w:rPr>
          <w:rFonts w:asciiTheme="minorHAnsi" w:hAnsiTheme="minorHAnsi" w:cstheme="minorHAnsi"/>
        </w:rPr>
        <w:t xml:space="preserve"> the act. On the positive side, this does mean equality to all human beings and a good basis for human rights. But </w:t>
      </w:r>
      <w:proofErr w:type="gramStart"/>
      <w:r w:rsidRPr="00EB0ED2">
        <w:rPr>
          <w:rFonts w:asciiTheme="minorHAnsi" w:hAnsiTheme="minorHAnsi" w:cstheme="minorHAnsi"/>
        </w:rPr>
        <w:t>alternatively</w:t>
      </w:r>
      <w:proofErr w:type="gramEnd"/>
      <w:r w:rsidRPr="00EB0ED2">
        <w:rPr>
          <w:rFonts w:asciiTheme="minorHAnsi" w:hAnsiTheme="minorHAnsi" w:cstheme="minorHAnsi"/>
        </w:rPr>
        <w:t xml:space="preserve"> it does not take into account the myriad of factors that could come into play in real life</w:t>
      </w:r>
      <w:r w:rsidR="00FF3F9B" w:rsidRPr="00EB0ED2">
        <w:rPr>
          <w:rFonts w:asciiTheme="minorHAnsi" w:hAnsiTheme="minorHAnsi" w:cstheme="minorHAnsi"/>
        </w:rPr>
        <w:t xml:space="preserve"> situations.</w:t>
      </w:r>
      <w:r w:rsidR="00DA32B0" w:rsidRPr="00EB0ED2">
        <w:rPr>
          <w:rFonts w:asciiTheme="minorHAnsi" w:hAnsiTheme="minorHAnsi" w:cstheme="minorHAnsi"/>
        </w:rPr>
        <w:t xml:space="preserve"> (BBC. No date)</w:t>
      </w:r>
    </w:p>
    <w:p w14:paraId="6174DFB9" w14:textId="3780BAE3" w:rsidR="00FF3F9B" w:rsidRPr="00EB0ED2" w:rsidRDefault="00B604D0" w:rsidP="00203A9B">
      <w:pPr>
        <w:pStyle w:val="BodyText"/>
        <w:spacing w:before="162" w:line="264" w:lineRule="auto"/>
        <w:ind w:right="283"/>
        <w:jc w:val="both"/>
        <w:rPr>
          <w:rFonts w:asciiTheme="minorHAnsi" w:hAnsiTheme="minorHAnsi" w:cstheme="minorHAnsi"/>
        </w:rPr>
      </w:pPr>
      <w:r w:rsidRPr="00EB0ED2">
        <w:rPr>
          <w:rFonts w:asciiTheme="minorHAnsi" w:hAnsiTheme="minorHAnsi" w:cstheme="minorHAnsi"/>
        </w:rPr>
        <w:t>Utilitarianism</w:t>
      </w:r>
      <w:r w:rsidR="00FF3F9B" w:rsidRPr="00EB0ED2">
        <w:rPr>
          <w:rFonts w:asciiTheme="minorHAnsi" w:hAnsiTheme="minorHAnsi" w:cstheme="minorHAnsi"/>
        </w:rPr>
        <w:t xml:space="preserve"> is a type of consequentialism</w:t>
      </w:r>
      <w:r w:rsidR="00DA32B0" w:rsidRPr="00EB0ED2">
        <w:rPr>
          <w:rFonts w:asciiTheme="minorHAnsi" w:hAnsiTheme="minorHAnsi" w:cstheme="minorHAnsi"/>
        </w:rPr>
        <w:t xml:space="preserve"> that deals in the welfare of others</w:t>
      </w:r>
      <w:r w:rsidR="00FF3F9B" w:rsidRPr="00EB0ED2">
        <w:rPr>
          <w:rFonts w:asciiTheme="minorHAnsi" w:hAnsiTheme="minorHAnsi" w:cstheme="minorHAnsi"/>
        </w:rPr>
        <w:t xml:space="preserve">. The main concept of utilitarianism is that only the consequences of an act can decide whether the act is morally right or wrong. If an act is carried out that on the surface would be considered immoral, as long as the results have good consequences, the act is considered to be morally right. In contradiction to deontology, there are no inherently wrong actions, as long as the end justifies the means. Utilitarianism is a concept widely used as it seems the sensible option compared to the blanket approach of Deontology or Kantianism. However, it does leave a degree of uncertainty in that the consequences cannot be reviewed until the act has been carried out, by which point it is too late to change your mind. </w:t>
      </w:r>
      <w:r w:rsidR="00DA32B0" w:rsidRPr="00EB0ED2">
        <w:rPr>
          <w:rFonts w:asciiTheme="minorHAnsi" w:hAnsiTheme="minorHAnsi" w:cstheme="minorHAnsi"/>
        </w:rPr>
        <w:t>(BBC. No date)</w:t>
      </w:r>
    </w:p>
    <w:p w14:paraId="75521237" w14:textId="5A4DC8AA" w:rsidR="00C57559" w:rsidRPr="00EB0ED2" w:rsidRDefault="00DA32B0" w:rsidP="00203A9B">
      <w:pPr>
        <w:pStyle w:val="BodyText"/>
        <w:spacing w:before="162" w:line="264" w:lineRule="auto"/>
        <w:ind w:right="283"/>
        <w:jc w:val="both"/>
        <w:rPr>
          <w:rFonts w:asciiTheme="minorHAnsi" w:hAnsiTheme="minorHAnsi" w:cstheme="minorHAnsi"/>
        </w:rPr>
      </w:pPr>
      <w:r w:rsidRPr="00EB0ED2">
        <w:rPr>
          <w:rFonts w:asciiTheme="minorHAnsi" w:hAnsiTheme="minorHAnsi" w:cstheme="minorHAnsi"/>
        </w:rPr>
        <w:t>Communitarianism emphasises the importance of the community in developing a person’s identity and promotes community over individualism. The concept was developed through the 1900’s by philosophers such as Amitai Etzioni and Dorothy Day, although it does have strong ties to many different religions</w:t>
      </w:r>
      <w:r w:rsidR="00784BFA" w:rsidRPr="00EB0ED2">
        <w:rPr>
          <w:rFonts w:asciiTheme="minorHAnsi" w:hAnsiTheme="minorHAnsi" w:cstheme="minorHAnsi"/>
        </w:rPr>
        <w:t xml:space="preserve"> (Longley. 2020)</w:t>
      </w:r>
      <w:r w:rsidRPr="00EB0ED2">
        <w:rPr>
          <w:rFonts w:asciiTheme="minorHAnsi" w:hAnsiTheme="minorHAnsi" w:cstheme="minorHAnsi"/>
        </w:rPr>
        <w:t>.</w:t>
      </w:r>
      <w:r w:rsidR="00784BFA" w:rsidRPr="00EB0ED2">
        <w:rPr>
          <w:rFonts w:asciiTheme="minorHAnsi" w:hAnsiTheme="minorHAnsi" w:cstheme="minorHAnsi"/>
        </w:rPr>
        <w:t xml:space="preserve"> Communitarians hold the family unit in high regard and focus on common moral beliefs within their communities.</w:t>
      </w:r>
      <w:r w:rsidRPr="00EB0ED2">
        <w:rPr>
          <w:rFonts w:asciiTheme="minorHAnsi" w:hAnsiTheme="minorHAnsi" w:cstheme="minorHAnsi"/>
        </w:rPr>
        <w:t xml:space="preserve"> </w:t>
      </w:r>
    </w:p>
    <w:p w14:paraId="109875CD" w14:textId="507C562B" w:rsidR="00C61088" w:rsidRPr="00EB0ED2" w:rsidRDefault="003542B3" w:rsidP="00511C47">
      <w:pPr>
        <w:pStyle w:val="Heading2"/>
      </w:pPr>
      <w:r>
        <w:t xml:space="preserve">Measuring Financial and Non-Financial Performance </w:t>
      </w:r>
      <w:r w:rsidR="00C61088" w:rsidRPr="00EB0ED2">
        <w:t>(AC 3.1)</w:t>
      </w:r>
    </w:p>
    <w:p w14:paraId="320EF339" w14:textId="0676FDF2" w:rsidR="00840069" w:rsidRDefault="009E5B7E" w:rsidP="00203A9B">
      <w:pPr>
        <w:pStyle w:val="BodyText"/>
        <w:spacing w:before="162" w:line="264" w:lineRule="auto"/>
        <w:ind w:right="283"/>
        <w:jc w:val="both"/>
        <w:rPr>
          <w:rFonts w:asciiTheme="minorHAnsi" w:hAnsiTheme="minorHAnsi" w:cstheme="minorHAnsi"/>
        </w:rPr>
      </w:pPr>
      <w:r w:rsidRPr="00EB0ED2">
        <w:rPr>
          <w:rFonts w:asciiTheme="minorHAnsi" w:hAnsiTheme="minorHAnsi" w:cstheme="minorHAnsi"/>
        </w:rPr>
        <w:t xml:space="preserve">Organisations measure financial performance through quantitative data such as </w:t>
      </w:r>
      <w:r w:rsidR="00EB0ED2">
        <w:rPr>
          <w:rFonts w:asciiTheme="minorHAnsi" w:hAnsiTheme="minorHAnsi" w:cstheme="minorHAnsi"/>
        </w:rPr>
        <w:t xml:space="preserve">gross and net profit, return on investment and cash flow. </w:t>
      </w:r>
      <w:r w:rsidR="00840069">
        <w:rPr>
          <w:rFonts w:asciiTheme="minorHAnsi" w:hAnsiTheme="minorHAnsi" w:cstheme="minorHAnsi"/>
        </w:rPr>
        <w:t xml:space="preserve">In an article for </w:t>
      </w:r>
      <w:r w:rsidR="00840069" w:rsidRPr="0005520E">
        <w:rPr>
          <w:rFonts w:asciiTheme="minorHAnsi" w:hAnsiTheme="minorHAnsi" w:cstheme="minorHAnsi"/>
          <w:i/>
          <w:iCs/>
        </w:rPr>
        <w:t>Forbes Advisor</w:t>
      </w:r>
      <w:r w:rsidR="00840069">
        <w:rPr>
          <w:rFonts w:asciiTheme="minorHAnsi" w:hAnsiTheme="minorHAnsi" w:cstheme="minorHAnsi"/>
        </w:rPr>
        <w:t>, Emily Birken describes Return on Investment (ROI) as a metric to understand the profitability of an investment</w:t>
      </w:r>
      <w:r w:rsidR="00B97413">
        <w:rPr>
          <w:rFonts w:asciiTheme="minorHAnsi" w:hAnsiTheme="minorHAnsi" w:cstheme="minorHAnsi"/>
        </w:rPr>
        <w:t xml:space="preserve"> (Birken, E. 2022)</w:t>
      </w:r>
      <w:r w:rsidR="00840069">
        <w:rPr>
          <w:rFonts w:asciiTheme="minorHAnsi" w:hAnsiTheme="minorHAnsi" w:cstheme="minorHAnsi"/>
        </w:rPr>
        <w:t xml:space="preserve">. It is used to analyse the income from the investment minus the cost of the investment to reveal the profitability in order to assess the value to the business. One advantage of using this type of quantitative data is that it is accurate and not open to interpretation, the numbers speak for themselves and cannot be manipulated. One disadvantage would be having to include all costs of the investment into the ROI calculation, not just the initial outlay. This may include labour costs, materials, and time. </w:t>
      </w:r>
      <w:r w:rsidR="00B97413">
        <w:rPr>
          <w:rFonts w:asciiTheme="minorHAnsi" w:hAnsiTheme="minorHAnsi" w:cstheme="minorHAnsi"/>
        </w:rPr>
        <w:t>An example of ROI is, a logistics company spending £50,000 on a new lorry which brings in £750,000 in income, the organisation would be getting a return of 1,400% ROI.</w:t>
      </w:r>
    </w:p>
    <w:p w14:paraId="6D49EA94" w14:textId="1441FDDC" w:rsidR="00B97413" w:rsidRDefault="00C322E6" w:rsidP="00203A9B">
      <w:pPr>
        <w:pStyle w:val="BodyText"/>
        <w:spacing w:before="162" w:line="264" w:lineRule="auto"/>
        <w:ind w:right="283"/>
        <w:jc w:val="both"/>
        <w:rPr>
          <w:rFonts w:asciiTheme="minorHAnsi" w:hAnsiTheme="minorHAnsi" w:cstheme="minorHAnsi"/>
        </w:rPr>
      </w:pPr>
      <w:r>
        <w:rPr>
          <w:rFonts w:asciiTheme="minorHAnsi" w:hAnsiTheme="minorHAnsi" w:cstheme="minorHAnsi"/>
        </w:rPr>
        <w:t>Non-financial</w:t>
      </w:r>
      <w:r w:rsidR="0005520E">
        <w:rPr>
          <w:rFonts w:asciiTheme="minorHAnsi" w:hAnsiTheme="minorHAnsi" w:cstheme="minorHAnsi"/>
        </w:rPr>
        <w:t xml:space="preserve"> performance can be measured through customer satisfaction, sector ratings and employee feedback. This can be difficult to measure as it often involves qualitative data which is open to interpretation. For example, a customer satisfaction survey </w:t>
      </w:r>
      <w:r>
        <w:rPr>
          <w:rFonts w:asciiTheme="minorHAnsi" w:hAnsiTheme="minorHAnsi" w:cstheme="minorHAnsi"/>
        </w:rPr>
        <w:t xml:space="preserve">may reveal service issues within the organisation, however the manpower needed to sift through high numbers of surveys to evaluate the comments in each would outweigh any good that may come from the issues it </w:t>
      </w:r>
      <w:r>
        <w:rPr>
          <w:rFonts w:asciiTheme="minorHAnsi" w:hAnsiTheme="minorHAnsi" w:cstheme="minorHAnsi"/>
        </w:rPr>
        <w:lastRenderedPageBreak/>
        <w:t>raises. However, the level of detail this provides would be invaluable</w:t>
      </w:r>
      <w:r w:rsidR="009452B0">
        <w:rPr>
          <w:rFonts w:asciiTheme="minorHAnsi" w:hAnsiTheme="minorHAnsi" w:cstheme="minorHAnsi"/>
        </w:rPr>
        <w:t xml:space="preserve"> (Ittner. 2000)</w:t>
      </w:r>
      <w:r>
        <w:rPr>
          <w:rFonts w:asciiTheme="minorHAnsi" w:hAnsiTheme="minorHAnsi" w:cstheme="minorHAnsi"/>
        </w:rPr>
        <w:t>.</w:t>
      </w:r>
    </w:p>
    <w:p w14:paraId="16FEDC05" w14:textId="314E69DB" w:rsidR="00C322E6" w:rsidRPr="00EB0ED2" w:rsidRDefault="00C322E6" w:rsidP="00203A9B">
      <w:pPr>
        <w:pStyle w:val="BodyText"/>
        <w:spacing w:before="162" w:line="264" w:lineRule="auto"/>
        <w:ind w:right="283"/>
        <w:jc w:val="both"/>
        <w:rPr>
          <w:rFonts w:asciiTheme="minorHAnsi" w:hAnsiTheme="minorHAnsi" w:cstheme="minorHAnsi"/>
        </w:rPr>
      </w:pPr>
      <w:r>
        <w:rPr>
          <w:rFonts w:asciiTheme="minorHAnsi" w:hAnsiTheme="minorHAnsi" w:cstheme="minorHAnsi"/>
        </w:rPr>
        <w:t>In summary, both financial and non-financial performance must be measured, and the Key Performance Indicators must be reviewed. They both hold their own importance in different aspects of an organisation.</w:t>
      </w:r>
    </w:p>
    <w:p w14:paraId="0808C833" w14:textId="77777777" w:rsidR="00203A9B" w:rsidRPr="00EB0ED2" w:rsidRDefault="00203A9B" w:rsidP="00203A9B">
      <w:pPr>
        <w:pStyle w:val="BodyText"/>
        <w:spacing w:before="162" w:line="264" w:lineRule="auto"/>
        <w:ind w:right="283"/>
        <w:jc w:val="both"/>
        <w:rPr>
          <w:rFonts w:asciiTheme="minorHAnsi" w:hAnsiTheme="minorHAnsi" w:cstheme="minorHAnsi"/>
        </w:rPr>
      </w:pPr>
    </w:p>
    <w:p w14:paraId="43EBF1BE" w14:textId="051FFB01" w:rsidR="00C61088" w:rsidRPr="00EB0ED2" w:rsidRDefault="003542B3" w:rsidP="00511C47">
      <w:pPr>
        <w:pStyle w:val="Heading2"/>
      </w:pPr>
      <w:r>
        <w:t>Adding Value</w:t>
      </w:r>
      <w:r w:rsidR="00C61088" w:rsidRPr="00EB0ED2">
        <w:t xml:space="preserve"> (AC 3.2)</w:t>
      </w:r>
    </w:p>
    <w:p w14:paraId="084A9AF2" w14:textId="5E371594" w:rsidR="008950BF" w:rsidRDefault="008950BF" w:rsidP="00203A9B">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Organisations use their HR function in different ways, some are utilised only for their expertise in Employment Law, others specifically for recruitment and selection and some for administrative tasks. Regardless of the extent that the function is used, HR professionals must prove that they add value to the organisation to avoid appearing as just another cost for the business (Taylor. 2018). </w:t>
      </w:r>
    </w:p>
    <w:p w14:paraId="15FF0286" w14:textId="6BB9B482" w:rsidR="00425A3C" w:rsidRDefault="00425A3C" w:rsidP="00203A9B">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When an organisation is expanding, the HR team is able to assist with recruitment and selection, within this, the team may assist with writing job adverts, composing job descriptions, arranging interviews, attending interviews amongst other things. This service is invaluable to management as they are able to draw on the expertise of professionals (CIPD, 2022). </w:t>
      </w:r>
    </w:p>
    <w:p w14:paraId="3DFBE8E4" w14:textId="297D4196" w:rsidR="00425A3C" w:rsidRDefault="00425A3C" w:rsidP="00203A9B">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Alternatively, when an organisation needs to downsize, the HR team could assist in the redundancy process, </w:t>
      </w:r>
      <w:proofErr w:type="gramStart"/>
      <w:r>
        <w:rPr>
          <w:rFonts w:asciiTheme="minorHAnsi" w:hAnsiTheme="minorHAnsi" w:cstheme="minorHAnsi"/>
        </w:rPr>
        <w:t>including;</w:t>
      </w:r>
      <w:proofErr w:type="gramEnd"/>
      <w:r>
        <w:rPr>
          <w:rFonts w:asciiTheme="minorHAnsi" w:hAnsiTheme="minorHAnsi" w:cstheme="minorHAnsi"/>
        </w:rPr>
        <w:t xml:space="preserve"> voluntary redundancies, the selection process, and discussions with trade unions. By using the expertise of the HR function, the process should be less expensive and less likely to cause issues with staff morale and performance (Taylor. 2018).</w:t>
      </w:r>
    </w:p>
    <w:p w14:paraId="1AFED92C" w14:textId="77777777" w:rsidR="009715A8" w:rsidRDefault="00425A3C" w:rsidP="00203A9B">
      <w:pPr>
        <w:pStyle w:val="BodyText"/>
        <w:spacing w:before="162" w:line="264" w:lineRule="auto"/>
        <w:ind w:right="283"/>
        <w:jc w:val="both"/>
        <w:rPr>
          <w:rFonts w:asciiTheme="minorHAnsi" w:hAnsiTheme="minorHAnsi" w:cstheme="minorHAnsi"/>
        </w:rPr>
      </w:pPr>
      <w:r>
        <w:rPr>
          <w:rFonts w:asciiTheme="minorHAnsi" w:hAnsiTheme="minorHAnsi" w:cstheme="minorHAnsi"/>
        </w:rPr>
        <w:t>Although</w:t>
      </w:r>
      <w:r w:rsidR="009715A8">
        <w:rPr>
          <w:rFonts w:asciiTheme="minorHAnsi" w:hAnsiTheme="minorHAnsi" w:cstheme="minorHAnsi"/>
        </w:rPr>
        <w:t xml:space="preserve"> keeping track of the value added by people professionals is not as easy as looking at the sales performance of another department, there are ways of tracking their success.</w:t>
      </w:r>
    </w:p>
    <w:p w14:paraId="54B3DAC4" w14:textId="350485BA" w:rsidR="00425A3C" w:rsidRDefault="009715A8" w:rsidP="00203A9B">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One way would be to monitor employee retention and turnover rates. A high turnover of staff suggests that they are not getting what they want or need from the business, this could be related to pay, training, benefits or the general culture of the business. As well as looking at the quantitative data through the numbers of employees starting and leaving the organisation, one to one </w:t>
      </w:r>
      <w:proofErr w:type="gramStart"/>
      <w:r>
        <w:rPr>
          <w:rFonts w:asciiTheme="minorHAnsi" w:hAnsiTheme="minorHAnsi" w:cstheme="minorHAnsi"/>
        </w:rPr>
        <w:t>discussions</w:t>
      </w:r>
      <w:proofErr w:type="gramEnd"/>
      <w:r>
        <w:rPr>
          <w:rFonts w:asciiTheme="minorHAnsi" w:hAnsiTheme="minorHAnsi" w:cstheme="minorHAnsi"/>
        </w:rPr>
        <w:t xml:space="preserve"> with employees, surveys, and exit interviews can be revealing in the comments that are made as to why individuals are unhappy or leaving the company. </w:t>
      </w:r>
    </w:p>
    <w:p w14:paraId="34C60305" w14:textId="0365B051" w:rsidR="006B031E" w:rsidRPr="003542B3" w:rsidRDefault="009715A8" w:rsidP="003542B3">
      <w:pPr>
        <w:pStyle w:val="BodyText"/>
        <w:spacing w:before="162" w:line="264" w:lineRule="auto"/>
        <w:ind w:right="283"/>
        <w:jc w:val="both"/>
        <w:rPr>
          <w:rFonts w:asciiTheme="minorHAnsi" w:hAnsiTheme="minorHAnsi" w:cstheme="minorHAnsi"/>
        </w:rPr>
      </w:pPr>
      <w:r>
        <w:rPr>
          <w:rFonts w:asciiTheme="minorHAnsi" w:hAnsiTheme="minorHAnsi" w:cstheme="minorHAnsi"/>
        </w:rPr>
        <w:t>Another</w:t>
      </w:r>
      <w:r w:rsidR="0060003A">
        <w:rPr>
          <w:rFonts w:asciiTheme="minorHAnsi" w:hAnsiTheme="minorHAnsi" w:cstheme="minorHAnsi"/>
        </w:rPr>
        <w:t xml:space="preserve"> way to monitor the effectiveness and value of the HR function could be to look at the return on investment from the HR technology purchased by the company. To do this, you would look at the total cost of the technology to date. Then depending on what the system is used for, compare the data from before it was in use to the current data to determine whether the cost was worthwhile (Jay. no date).</w:t>
      </w:r>
    </w:p>
    <w:p w14:paraId="4C2380C0" w14:textId="77777777" w:rsidR="006B031E" w:rsidRDefault="006B031E">
      <w:pPr>
        <w:rPr>
          <w:rFonts w:cstheme="minorHAnsi"/>
        </w:rPr>
      </w:pPr>
    </w:p>
    <w:p w14:paraId="24EFBEE0" w14:textId="77777777" w:rsidR="00511C47" w:rsidRDefault="00511C47">
      <w:pPr>
        <w:rPr>
          <w:rFonts w:cstheme="minorHAnsi"/>
        </w:rPr>
      </w:pPr>
    </w:p>
    <w:p w14:paraId="19C8E765" w14:textId="77777777" w:rsidR="000C5889" w:rsidRDefault="000C5889">
      <w:pPr>
        <w:rPr>
          <w:rFonts w:cstheme="minorHAnsi"/>
        </w:rPr>
      </w:pPr>
    </w:p>
    <w:p w14:paraId="02FC2DA2" w14:textId="77777777" w:rsidR="000C5889" w:rsidRDefault="000C5889">
      <w:pPr>
        <w:rPr>
          <w:rFonts w:cstheme="minorHAnsi"/>
        </w:rPr>
      </w:pPr>
    </w:p>
    <w:p w14:paraId="0F6911D6" w14:textId="77777777" w:rsidR="000C5889" w:rsidRDefault="000C5889">
      <w:pPr>
        <w:rPr>
          <w:rFonts w:cstheme="minorHAnsi"/>
        </w:rPr>
      </w:pPr>
    </w:p>
    <w:p w14:paraId="7ACD1290" w14:textId="77777777" w:rsidR="000C5889" w:rsidRDefault="000C5889">
      <w:pPr>
        <w:rPr>
          <w:rFonts w:cstheme="minorHAnsi"/>
        </w:rPr>
      </w:pPr>
    </w:p>
    <w:p w14:paraId="56E74BDB" w14:textId="77777777" w:rsidR="000C5889" w:rsidRDefault="000C5889">
      <w:pPr>
        <w:rPr>
          <w:rFonts w:cstheme="minorHAnsi"/>
        </w:rPr>
      </w:pPr>
    </w:p>
    <w:p w14:paraId="3697EB03" w14:textId="743641E7" w:rsidR="000C5889" w:rsidRDefault="000C5889" w:rsidP="000C5889">
      <w:pPr>
        <w:pStyle w:val="Heading1"/>
      </w:pPr>
      <w:r>
        <w:lastRenderedPageBreak/>
        <w:t>Section 2</w:t>
      </w:r>
    </w:p>
    <w:p w14:paraId="1EA9CFED" w14:textId="77777777" w:rsidR="00511C47" w:rsidRDefault="00511C47">
      <w:pPr>
        <w:rPr>
          <w:rFonts w:cstheme="minorHAnsi"/>
        </w:rPr>
      </w:pPr>
    </w:p>
    <w:p w14:paraId="08AF8804" w14:textId="77777777" w:rsidR="000C5889" w:rsidRDefault="000C5889" w:rsidP="000C5889">
      <w:pPr>
        <w:pStyle w:val="ListParagraph"/>
        <w:numPr>
          <w:ilvl w:val="0"/>
          <w:numId w:val="6"/>
        </w:numPr>
        <w:spacing w:after="160" w:line="259" w:lineRule="auto"/>
        <w:contextualSpacing/>
      </w:pPr>
      <w:r>
        <w:t>The review shows that there are marginally more men than women working for the organisation, and only two non-binary people.</w:t>
      </w:r>
    </w:p>
    <w:p w14:paraId="5101BF58" w14:textId="77777777" w:rsidR="000C5889" w:rsidRDefault="000C5889" w:rsidP="000C5889">
      <w:r w:rsidRPr="005A5A3C">
        <w:rPr>
          <w:noProof/>
        </w:rPr>
        <w:drawing>
          <wp:inline distT="0" distB="0" distL="0" distR="0" wp14:anchorId="5C6F3B1C" wp14:editId="323B8DE5">
            <wp:extent cx="4724400" cy="2743200"/>
            <wp:effectExtent l="0" t="0" r="0" b="0"/>
            <wp:docPr id="501203759" name="Chart 1">
              <a:extLst xmlns:a="http://schemas.openxmlformats.org/drawingml/2006/main">
                <a:ext uri="{FF2B5EF4-FFF2-40B4-BE49-F238E27FC236}">
                  <a16:creationId xmlns:a16="http://schemas.microsoft.com/office/drawing/2014/main" id="{9EF0A187-325D-5D36-A8DE-FD31114F82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4B166E28" w14:textId="77777777" w:rsidR="000C5889" w:rsidRDefault="000C5889" w:rsidP="000C5889"/>
    <w:p w14:paraId="368CD08B" w14:textId="77777777" w:rsidR="000C5889" w:rsidRDefault="000C5889" w:rsidP="000C5889">
      <w:r>
        <w:t>(B) The ethnicity percentage per team shows that overall, a large proportion of the company is made up of white British people (91%) and only 6% is made up of non-white ethnicities with some teams having no ethnic diversity at all, being made up of only white people.</w:t>
      </w:r>
    </w:p>
    <w:p w14:paraId="5329406F" w14:textId="77777777" w:rsidR="000C5889" w:rsidRDefault="000C5889" w:rsidP="000C5889">
      <w:r w:rsidRPr="00917134">
        <w:rPr>
          <w:noProof/>
        </w:rPr>
        <w:drawing>
          <wp:inline distT="0" distB="0" distL="0" distR="0" wp14:anchorId="31BF532C" wp14:editId="13E695AE">
            <wp:extent cx="6076950" cy="3086100"/>
            <wp:effectExtent l="0" t="0" r="0" b="0"/>
            <wp:docPr id="805720036" name="Chart 1">
              <a:extLst xmlns:a="http://schemas.openxmlformats.org/drawingml/2006/main">
                <a:ext uri="{FF2B5EF4-FFF2-40B4-BE49-F238E27FC236}">
                  <a16:creationId xmlns:a16="http://schemas.microsoft.com/office/drawing/2014/main" id="{02040148-0256-DF00-0C94-514CC5279E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099B74A" w14:textId="77777777" w:rsidR="000C5889" w:rsidRDefault="000C5889" w:rsidP="000C5889"/>
    <w:p w14:paraId="54199156" w14:textId="77777777" w:rsidR="000C5889" w:rsidRDefault="000C5889" w:rsidP="000C5889"/>
    <w:p w14:paraId="73E96908" w14:textId="77777777" w:rsidR="000C5889" w:rsidRDefault="000C5889" w:rsidP="000C5889"/>
    <w:p w14:paraId="2E8FC3EB" w14:textId="77777777" w:rsidR="000C5889" w:rsidRDefault="000C5889" w:rsidP="000C5889">
      <w:r>
        <w:lastRenderedPageBreak/>
        <w:t xml:space="preserve">(C) </w:t>
      </w:r>
      <w:proofErr w:type="gramStart"/>
      <w:r>
        <w:t>Similarly</w:t>
      </w:r>
      <w:proofErr w:type="gramEnd"/>
      <w:r>
        <w:t xml:space="preserve"> to the ethnicity statistic, 91.9% of the organisation is not disabled and only 8.1%, showing that the organisation is not especially diverse. </w:t>
      </w:r>
    </w:p>
    <w:p w14:paraId="5C5BD3AE" w14:textId="77777777" w:rsidR="000C5889" w:rsidRDefault="000C5889" w:rsidP="000C5889">
      <w:r w:rsidRPr="0006661E">
        <w:rPr>
          <w:noProof/>
        </w:rPr>
        <w:drawing>
          <wp:inline distT="0" distB="0" distL="0" distR="0" wp14:anchorId="29DDBEFB" wp14:editId="3AF46F50">
            <wp:extent cx="4572000" cy="2743200"/>
            <wp:effectExtent l="0" t="0" r="0" b="0"/>
            <wp:docPr id="579565083" name="Chart 1">
              <a:extLst xmlns:a="http://schemas.openxmlformats.org/drawingml/2006/main">
                <a:ext uri="{FF2B5EF4-FFF2-40B4-BE49-F238E27FC236}">
                  <a16:creationId xmlns:a16="http://schemas.microsoft.com/office/drawing/2014/main" id="{03EBB84A-2B2D-87E9-AD2E-1CB9010612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9D494B9" w14:textId="77777777" w:rsidR="000C5889" w:rsidRDefault="000C5889" w:rsidP="000C5889"/>
    <w:p w14:paraId="7B5A673A" w14:textId="77777777" w:rsidR="000C5889" w:rsidRDefault="000C5889" w:rsidP="000C5889">
      <w:r>
        <w:t>(C) The few disabled people employed by the company do appear to be spread across a number of departments.</w:t>
      </w:r>
    </w:p>
    <w:p w14:paraId="56371D19" w14:textId="77777777" w:rsidR="000C5889" w:rsidRDefault="000C5889" w:rsidP="000C5889">
      <w:r w:rsidRPr="007461A9">
        <w:rPr>
          <w:noProof/>
        </w:rPr>
        <w:drawing>
          <wp:inline distT="0" distB="0" distL="0" distR="0" wp14:anchorId="4E5F1885" wp14:editId="313C7298">
            <wp:extent cx="5731510" cy="2841625"/>
            <wp:effectExtent l="0" t="0" r="2540" b="15875"/>
            <wp:docPr id="1298471167" name="Chart 1">
              <a:extLst xmlns:a="http://schemas.openxmlformats.org/drawingml/2006/main">
                <a:ext uri="{FF2B5EF4-FFF2-40B4-BE49-F238E27FC236}">
                  <a16:creationId xmlns:a16="http://schemas.microsoft.com/office/drawing/2014/main" id="{1F53C16C-98AB-E2CD-3BE4-0330BE1366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B6419D5" w14:textId="77777777" w:rsidR="000C5889" w:rsidRDefault="000C5889" w:rsidP="000C5889"/>
    <w:p w14:paraId="7E00EAA2" w14:textId="77777777" w:rsidR="000C5889" w:rsidRDefault="000C5889" w:rsidP="000C5889"/>
    <w:p w14:paraId="31B46ECD" w14:textId="77777777" w:rsidR="000C5889" w:rsidRDefault="000C5889" w:rsidP="000C5889"/>
    <w:p w14:paraId="3B828463" w14:textId="77777777" w:rsidR="000C5889" w:rsidRDefault="000C5889" w:rsidP="000C5889"/>
    <w:p w14:paraId="209DAD76" w14:textId="77777777" w:rsidR="000C5889" w:rsidRDefault="000C5889" w:rsidP="000C5889"/>
    <w:p w14:paraId="0ECDF54D" w14:textId="77777777" w:rsidR="000C5889" w:rsidRDefault="000C5889" w:rsidP="000C5889"/>
    <w:p w14:paraId="47F88A0D" w14:textId="0E4838E8" w:rsidR="000C5889" w:rsidRPr="000C5889" w:rsidRDefault="000C5889">
      <w:r>
        <w:lastRenderedPageBreak/>
        <w:t>(D)</w:t>
      </w:r>
      <w:r w:rsidRPr="00A14DBB">
        <w:t xml:space="preserve"> </w:t>
      </w:r>
      <w:r>
        <w:t>The gender pay gap review shows that both men and women are paid above the company average, where non-binary people are paid considerably less. Although when looking at the nature of the work completed by each gender, 20% of the managerial roles are taken up by women and just 11% by men. You would expect the gap between the salary of men and women to reflect this, but it does not in this example.</w:t>
      </w:r>
    </w:p>
    <w:p w14:paraId="6CC9D7A7" w14:textId="77777777" w:rsidR="000C5889" w:rsidRDefault="000C5889" w:rsidP="000C5889">
      <w:r w:rsidRPr="007461A9">
        <w:rPr>
          <w:noProof/>
        </w:rPr>
        <w:drawing>
          <wp:anchor distT="0" distB="0" distL="114300" distR="114300" simplePos="0" relativeHeight="251659264" behindDoc="0" locked="0" layoutInCell="1" allowOverlap="1" wp14:anchorId="05D46120" wp14:editId="3F9EBD86">
            <wp:simplePos x="0" y="0"/>
            <wp:positionH relativeFrom="column">
              <wp:posOffset>142875</wp:posOffset>
            </wp:positionH>
            <wp:positionV relativeFrom="paragraph">
              <wp:posOffset>36195</wp:posOffset>
            </wp:positionV>
            <wp:extent cx="4572000" cy="2743200"/>
            <wp:effectExtent l="0" t="0" r="0" b="0"/>
            <wp:wrapSquare wrapText="bothSides"/>
            <wp:docPr id="622496307" name="Chart 1">
              <a:extLst xmlns:a="http://schemas.openxmlformats.org/drawingml/2006/main">
                <a:ext uri="{FF2B5EF4-FFF2-40B4-BE49-F238E27FC236}">
                  <a16:creationId xmlns:a16="http://schemas.microsoft.com/office/drawing/2014/main" id="{6D0D9297-AC56-88F8-7AC5-FB1B1F87DE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166313A3" w14:textId="77777777" w:rsidR="000C5889" w:rsidRPr="007461A9" w:rsidRDefault="000C5889" w:rsidP="000C5889"/>
    <w:p w14:paraId="71F51254" w14:textId="77777777" w:rsidR="000C5889" w:rsidRPr="007461A9" w:rsidRDefault="000C5889" w:rsidP="000C5889"/>
    <w:p w14:paraId="61CD109B" w14:textId="77777777" w:rsidR="000C5889" w:rsidRPr="007461A9" w:rsidRDefault="000C5889" w:rsidP="000C5889"/>
    <w:p w14:paraId="13030053" w14:textId="77777777" w:rsidR="000C5889" w:rsidRPr="007461A9" w:rsidRDefault="000C5889" w:rsidP="000C5889"/>
    <w:p w14:paraId="753026D9" w14:textId="77777777" w:rsidR="000C5889" w:rsidRPr="007461A9" w:rsidRDefault="000C5889" w:rsidP="000C5889"/>
    <w:p w14:paraId="534F4399" w14:textId="77777777" w:rsidR="000C5889" w:rsidRPr="007461A9" w:rsidRDefault="000C5889" w:rsidP="000C5889"/>
    <w:p w14:paraId="22E12CA9" w14:textId="77777777" w:rsidR="000C5889" w:rsidRPr="007461A9" w:rsidRDefault="000C5889" w:rsidP="000C5889"/>
    <w:p w14:paraId="337B0E56" w14:textId="77777777" w:rsidR="000C5889" w:rsidRPr="007461A9" w:rsidRDefault="000C5889" w:rsidP="000C5889"/>
    <w:p w14:paraId="12E1C2E6" w14:textId="77777777" w:rsidR="000C5889" w:rsidRPr="007461A9" w:rsidRDefault="000C5889" w:rsidP="000C5889"/>
    <w:p w14:paraId="79FEBA3B" w14:textId="77777777" w:rsidR="000C5889" w:rsidRDefault="000C5889" w:rsidP="000C5889"/>
    <w:p w14:paraId="3C3B70FB" w14:textId="77777777" w:rsidR="000C5889" w:rsidRDefault="000C5889" w:rsidP="000C5889">
      <w:r>
        <w:t>(E) The average salary across the organisation is £31,757 with the lowest annual salary being £17,500 for apprentices and the highest £140,500 for the Chief Executive.</w:t>
      </w:r>
    </w:p>
    <w:p w14:paraId="4F6A1749" w14:textId="77777777" w:rsidR="000C5889" w:rsidRDefault="000C5889" w:rsidP="000C5889"/>
    <w:p w14:paraId="340C3E03" w14:textId="77777777" w:rsidR="000C5889" w:rsidRDefault="000C5889" w:rsidP="000C5889">
      <w:pPr>
        <w:pStyle w:val="Heading2"/>
      </w:pPr>
      <w:r>
        <w:t xml:space="preserve">Recommendations (AC 2.1, 2.2 and 2.3) </w:t>
      </w:r>
    </w:p>
    <w:p w14:paraId="54B3C18B" w14:textId="77777777" w:rsidR="000C5889" w:rsidRDefault="000C5889" w:rsidP="000C5889">
      <w:r>
        <w:t>Above is a review of Equality, Diversity, Inclusion and Salary data. The data used for the review is quantitative and therefore a qualitative review is also necessary to delve further into the findings and to reach valid conclusions. This can lead to valuable recommendations to move the organisation forward.</w:t>
      </w:r>
    </w:p>
    <w:p w14:paraId="0F14E424" w14:textId="77777777" w:rsidR="000C5889" w:rsidRDefault="000C5889" w:rsidP="000C5889">
      <w:r>
        <w:t xml:space="preserve">My first recommendation would be to review the recruitment process to ascertain whether it is presented equitably to all genders, ethnicities and abilities. For example, job adverts should be presented in a way that makes them easier for people with dyslexia to read. Reasonable adjustments should be made to ensure that interviews are accessible to all. To avoid subconscious bias, there should be a diverse panel of people interviewing each candidate. Flexible or hybrid roles could help parents of young children to manage their work-life balance (Giles, 2018). </w:t>
      </w:r>
    </w:p>
    <w:p w14:paraId="2F80E91C" w14:textId="77777777" w:rsidR="000C5889" w:rsidRDefault="000C5889" w:rsidP="000C5889">
      <w:r>
        <w:t>Evaluating the recruitment process could have many benefits for the business such as, improving the general culture, improving customer engagement, and offering a wider pool of knowledge within the organisation. Financially, although there would be the short-term cost of the time to carry out the review, the return on investment through better retention and attrition rates should outweigh this cost (bob, 2023).</w:t>
      </w:r>
    </w:p>
    <w:p w14:paraId="7F7B9B34" w14:textId="77777777" w:rsidR="000C5889" w:rsidRDefault="000C5889" w:rsidP="000C5889">
      <w:r>
        <w:t xml:space="preserve">My next recommendation would be to look at the range of salaries. The salary for a management role ranges from £34,000 to £49,950 per annum. This may be due to the range of experience or </w:t>
      </w:r>
      <w:r>
        <w:lastRenderedPageBreak/>
        <w:t xml:space="preserve">length of service, but it is important to have boundaries to ensure that everyone is paid fairly regardless of their ethnicity, gender or disability (Wild, 2023). </w:t>
      </w:r>
    </w:p>
    <w:p w14:paraId="3CF6AE24" w14:textId="77777777" w:rsidR="000C5889" w:rsidRDefault="000C5889" w:rsidP="000C5889">
      <w:r>
        <w:t>Part of the salary analysis could include a skills matrix for each type of role. This would highlight what the role entails, and the skills needed to do it. Each individual would then be measured against the matrix to identify any gaps in their knowledge. This would identify where in the salary range each individual should sit. Knowing that a peer is earning considerably more than you can cause a worker</w:t>
      </w:r>
      <w:r>
        <w:t xml:space="preserve"> </w:t>
      </w:r>
      <w:r>
        <w:t>to feel undervalued, an undervalued worker is not likely to give their best performance at work or may decide to look for employment elsewhere causing their current organisation financial loss through the direct costs related to recruiting a new employee and the indirect costs of working time lost through training (Cotton, 2023).</w:t>
      </w:r>
    </w:p>
    <w:p w14:paraId="5E836209" w14:textId="77777777" w:rsidR="000C5889" w:rsidRDefault="000C5889" w:rsidP="000C5889">
      <w:r>
        <w:t>Lastly, I would recommend that the overall Inclusion, Diversity and Equity policy be reviewed. Although we cannot know if the number of different ethnicities or disabled employees within the organisation reflects the area where the organisation operates, there are many things that can be done to attract diversity. An article in Forbes magazine states that companies with a diverse workforce are 35% more likely to see better financial return that others who are less diverse. In the same article, they discuss the increase in creativity and the ability to reach further customer bases with a diverse workforce (Stahl, 2021). Other than being the ‘right thing to do’, diversity is good for business (CIPD, 2022).</w:t>
      </w:r>
    </w:p>
    <w:p w14:paraId="7154CDA1" w14:textId="77777777" w:rsidR="000C5889" w:rsidRDefault="000C5889" w:rsidP="000C5889"/>
    <w:p w14:paraId="5D619BF0" w14:textId="77777777" w:rsidR="000C5889" w:rsidRDefault="000C5889" w:rsidP="000C5889"/>
    <w:p w14:paraId="04A8292C" w14:textId="15B073EC" w:rsidR="000C5889" w:rsidRDefault="000C5889" w:rsidP="000C5889">
      <w:pPr>
        <w:pStyle w:val="Heading2"/>
      </w:pPr>
      <w:r>
        <w:t xml:space="preserve">Section 2 - </w:t>
      </w:r>
      <w:r>
        <w:t>Part 2</w:t>
      </w:r>
    </w:p>
    <w:p w14:paraId="42402E70" w14:textId="77777777" w:rsidR="000C5889" w:rsidRDefault="000C5889" w:rsidP="000C5889">
      <w:r>
        <w:t>On assessing the qualitative data provided following a recent employee survey on hybrid working practices, it is evident that although the majority of employees find hybrid working beneficial, there are issues that need to be addressed.</w:t>
      </w:r>
    </w:p>
    <w:p w14:paraId="33425408" w14:textId="77777777" w:rsidR="000C5889" w:rsidRDefault="000C5889" w:rsidP="000C5889">
      <w:r>
        <w:t>Some of the positives are, 56.3% of employees enjoy working from home and 82% feel that hybrid working supports their wellbeing. However, 80% of employees asked do not feel that they are supported while working from home and 42% find working remotely challenging. My recommendation would be to break down the data into departments to see where the issues are. It could be that certain managers are not offering enough support to their teams. Managers of remote workers are still responsible for the health, safety and wellbeing of their teams, they should manage this with risk assessments and regular check-ins with individuals to ensure they are maintaining healthy boundaries (CIPD, 2023).</w:t>
      </w:r>
    </w:p>
    <w:p w14:paraId="129E8C7A" w14:textId="77777777" w:rsidR="000C5889" w:rsidRDefault="000C5889" w:rsidP="000C5889">
      <w:r>
        <w:t xml:space="preserve">Following on from healthy boundaries, 64.3% of employees said that they find it difficult to separate work from personal life when working from home. 250 of the 300 people asked said that they do not feel less stressed when away from the workplace. Although managers have a responsibility to look after the health, safety and wellbeing of their employees, employees also have to take some accountability for themselves. ACAS have published a guide to hybrid working for managers and employees, it includes risk assessment guidance, information on how to support physical and mental health and how to deal with bullying and harassment (ACAS, 2022). This guide is useful for setting up good practice for managing employees who work from home and establishing appropriate boundaries for working time and rest time. </w:t>
      </w:r>
    </w:p>
    <w:p w14:paraId="677FE86E" w14:textId="77777777" w:rsidR="000C5889" w:rsidRDefault="000C5889" w:rsidP="000C5889">
      <w:r>
        <w:t xml:space="preserve">Communication within the team has mixed reviews with 249 people saying they do not miss engaging with their colleagues and 60% of employees asked saying that working from home affects </w:t>
      </w:r>
      <w:r>
        <w:lastRenderedPageBreak/>
        <w:t>their communication and collaboration with their team. To combat this, managers should agree how and when to communicate with their employees, this could be a weekly catch up via a video call, a monthly coffee face to face or working a number of days every week in the office. This is not necessarily a ‘one size fits all’ situation and so individual needs should be considered (CIPD, 2021).</w:t>
      </w:r>
    </w:p>
    <w:p w14:paraId="3104A212" w14:textId="77777777" w:rsidR="000C5889" w:rsidRDefault="000C5889" w:rsidP="000C5889"/>
    <w:p w14:paraId="19B98600" w14:textId="65C3403E" w:rsidR="000C5889" w:rsidRDefault="000C5889" w:rsidP="000C5889">
      <w:pPr>
        <w:rPr>
          <w:rFonts w:cstheme="minorHAnsi"/>
        </w:rPr>
      </w:pPr>
      <w:r>
        <w:rPr>
          <w:rFonts w:cstheme="minorHAnsi"/>
        </w:rPr>
        <w:t xml:space="preserve">In summary, the response from employees is mixed, with some questions having even numbers of positive and negative responses. Overall, I would recommend following up with a second survey </w:t>
      </w:r>
      <w:r w:rsidR="00A06CFF">
        <w:rPr>
          <w:rFonts w:cstheme="minorHAnsi"/>
        </w:rPr>
        <w:t xml:space="preserve">to delve further into </w:t>
      </w:r>
      <w:r w:rsidR="00AC1B60">
        <w:rPr>
          <w:rFonts w:cstheme="minorHAnsi"/>
        </w:rPr>
        <w:t>the answers, breaking them down by team and adding in comment boxes so that they can elaborate on their answers. Although anonymity has its merits, I think the option for the employee to provide their name would be useful to follow up with individuals.</w:t>
      </w:r>
    </w:p>
    <w:p w14:paraId="7379C551" w14:textId="77777777" w:rsidR="00511C47" w:rsidRDefault="00511C47">
      <w:pPr>
        <w:rPr>
          <w:rFonts w:cstheme="minorHAnsi"/>
        </w:rPr>
      </w:pPr>
    </w:p>
    <w:p w14:paraId="1729383B" w14:textId="77777777" w:rsidR="00511C47" w:rsidRDefault="00511C47">
      <w:pPr>
        <w:rPr>
          <w:rFonts w:cstheme="minorHAnsi"/>
        </w:rPr>
      </w:pPr>
    </w:p>
    <w:p w14:paraId="591AE042" w14:textId="77777777" w:rsidR="000C5889" w:rsidRDefault="000C5889">
      <w:pPr>
        <w:rPr>
          <w:rFonts w:cstheme="minorHAnsi"/>
        </w:rPr>
      </w:pPr>
    </w:p>
    <w:p w14:paraId="3FD14E47" w14:textId="77777777" w:rsidR="000C5889" w:rsidRDefault="000C5889">
      <w:pPr>
        <w:rPr>
          <w:rFonts w:cstheme="minorHAnsi"/>
        </w:rPr>
      </w:pPr>
    </w:p>
    <w:p w14:paraId="4560E5EB" w14:textId="77777777" w:rsidR="000C5889" w:rsidRDefault="000C5889">
      <w:pPr>
        <w:rPr>
          <w:rFonts w:cstheme="minorHAnsi"/>
        </w:rPr>
      </w:pPr>
    </w:p>
    <w:p w14:paraId="7997F5E9" w14:textId="77777777" w:rsidR="000C5889" w:rsidRDefault="000C5889">
      <w:pPr>
        <w:rPr>
          <w:rFonts w:cstheme="minorHAnsi"/>
        </w:rPr>
      </w:pPr>
    </w:p>
    <w:p w14:paraId="08629989" w14:textId="77777777" w:rsidR="000C5889" w:rsidRDefault="000C5889">
      <w:pPr>
        <w:rPr>
          <w:rFonts w:cstheme="minorHAnsi"/>
        </w:rPr>
      </w:pPr>
    </w:p>
    <w:p w14:paraId="6C7AB05C" w14:textId="77777777" w:rsidR="000C5889" w:rsidRDefault="000C5889">
      <w:pPr>
        <w:rPr>
          <w:rFonts w:cstheme="minorHAnsi"/>
        </w:rPr>
      </w:pPr>
    </w:p>
    <w:p w14:paraId="7928D86D" w14:textId="77777777" w:rsidR="000C5889" w:rsidRDefault="000C5889">
      <w:pPr>
        <w:rPr>
          <w:rFonts w:cstheme="minorHAnsi"/>
        </w:rPr>
      </w:pPr>
    </w:p>
    <w:p w14:paraId="3CBC48AC" w14:textId="77777777" w:rsidR="000C5889" w:rsidRDefault="000C5889">
      <w:pPr>
        <w:rPr>
          <w:rFonts w:cstheme="minorHAnsi"/>
        </w:rPr>
      </w:pPr>
    </w:p>
    <w:p w14:paraId="1965B1CA" w14:textId="77777777" w:rsidR="000C5889" w:rsidRDefault="000C5889">
      <w:pPr>
        <w:rPr>
          <w:rFonts w:cstheme="minorHAnsi"/>
        </w:rPr>
      </w:pPr>
    </w:p>
    <w:p w14:paraId="6F2A2E90" w14:textId="77777777" w:rsidR="000C5889" w:rsidRDefault="000C5889">
      <w:pPr>
        <w:rPr>
          <w:rFonts w:cstheme="minorHAnsi"/>
        </w:rPr>
      </w:pPr>
    </w:p>
    <w:p w14:paraId="56BC7BB3" w14:textId="77777777" w:rsidR="000C5889" w:rsidRDefault="000C5889">
      <w:pPr>
        <w:rPr>
          <w:rFonts w:cstheme="minorHAnsi"/>
        </w:rPr>
      </w:pPr>
    </w:p>
    <w:p w14:paraId="62E53A11" w14:textId="77777777" w:rsidR="000C5889" w:rsidRDefault="000C5889">
      <w:pPr>
        <w:rPr>
          <w:rFonts w:cstheme="minorHAnsi"/>
        </w:rPr>
      </w:pPr>
    </w:p>
    <w:p w14:paraId="6447B893" w14:textId="77777777" w:rsidR="000C5889" w:rsidRDefault="000C5889">
      <w:pPr>
        <w:rPr>
          <w:rFonts w:cstheme="minorHAnsi"/>
        </w:rPr>
      </w:pPr>
    </w:p>
    <w:p w14:paraId="1F06C664" w14:textId="77777777" w:rsidR="000C5889" w:rsidRDefault="000C5889">
      <w:pPr>
        <w:rPr>
          <w:rFonts w:cstheme="minorHAnsi"/>
        </w:rPr>
      </w:pPr>
    </w:p>
    <w:p w14:paraId="292EFCEE" w14:textId="77777777" w:rsidR="000C5889" w:rsidRDefault="000C5889">
      <w:pPr>
        <w:rPr>
          <w:rFonts w:cstheme="minorHAnsi"/>
        </w:rPr>
      </w:pPr>
    </w:p>
    <w:p w14:paraId="34ED7D70" w14:textId="77777777" w:rsidR="000C5889" w:rsidRDefault="000C5889">
      <w:pPr>
        <w:rPr>
          <w:rFonts w:cstheme="minorHAnsi"/>
        </w:rPr>
      </w:pPr>
    </w:p>
    <w:p w14:paraId="7DEE1709" w14:textId="77777777" w:rsidR="000C5889" w:rsidRDefault="000C5889">
      <w:pPr>
        <w:rPr>
          <w:rFonts w:cstheme="minorHAnsi"/>
        </w:rPr>
      </w:pPr>
    </w:p>
    <w:p w14:paraId="6050F975" w14:textId="77777777" w:rsidR="000C5889" w:rsidRDefault="000C5889">
      <w:pPr>
        <w:rPr>
          <w:rFonts w:cstheme="minorHAnsi"/>
        </w:rPr>
      </w:pPr>
    </w:p>
    <w:p w14:paraId="2A650B1C" w14:textId="77777777" w:rsidR="000C5889" w:rsidRDefault="000C5889">
      <w:pPr>
        <w:rPr>
          <w:rFonts w:cstheme="minorHAnsi"/>
        </w:rPr>
      </w:pPr>
    </w:p>
    <w:p w14:paraId="338CFFA7" w14:textId="77777777" w:rsidR="000C5889" w:rsidRDefault="000C5889">
      <w:pPr>
        <w:rPr>
          <w:rFonts w:cstheme="minorHAnsi"/>
        </w:rPr>
      </w:pPr>
    </w:p>
    <w:p w14:paraId="42A08C0E" w14:textId="77777777" w:rsidR="006B031E" w:rsidRDefault="006B031E" w:rsidP="006B031E">
      <w:pPr>
        <w:pStyle w:val="Heading1"/>
      </w:pPr>
      <w:r>
        <w:lastRenderedPageBreak/>
        <w:t>References</w:t>
      </w:r>
    </w:p>
    <w:p w14:paraId="65F3CA0B" w14:textId="549AE8CD" w:rsidR="000C5889" w:rsidRDefault="000C5889" w:rsidP="006B031E">
      <w:pPr>
        <w:pStyle w:val="ListParagraph"/>
        <w:numPr>
          <w:ilvl w:val="0"/>
          <w:numId w:val="5"/>
        </w:numPr>
        <w:spacing w:after="160" w:line="259" w:lineRule="auto"/>
        <w:contextualSpacing/>
      </w:pPr>
      <w:r>
        <w:t xml:space="preserve">ACAS. (2022). </w:t>
      </w:r>
      <w:r w:rsidRPr="00327E2B">
        <w:rPr>
          <w:i/>
          <w:iCs/>
        </w:rPr>
        <w:t xml:space="preserve">Wellbeing When Working </w:t>
      </w:r>
      <w:proofErr w:type="gramStart"/>
      <w:r w:rsidRPr="00327E2B">
        <w:rPr>
          <w:i/>
          <w:iCs/>
        </w:rPr>
        <w:t>From</w:t>
      </w:r>
      <w:proofErr w:type="gramEnd"/>
      <w:r w:rsidRPr="00327E2B">
        <w:rPr>
          <w:i/>
          <w:iCs/>
        </w:rPr>
        <w:t xml:space="preserve"> Home.</w:t>
      </w:r>
      <w:r>
        <w:t xml:space="preserve"> Available: </w:t>
      </w:r>
      <w:hyperlink r:id="rId10" w:history="1">
        <w:r w:rsidRPr="001F5C6D">
          <w:rPr>
            <w:rStyle w:val="Hyperlink"/>
          </w:rPr>
          <w:t>https://www.acas.org.uk/health-safety-and-wellbeing-when-working-from-home/mental-and-physical-health</w:t>
        </w:r>
      </w:hyperlink>
      <w:r>
        <w:t xml:space="preserve"> (Accessed 25/11/23)</w:t>
      </w:r>
    </w:p>
    <w:p w14:paraId="2429BBBF" w14:textId="452CE256" w:rsidR="006B031E" w:rsidRPr="00A24924" w:rsidRDefault="006B031E" w:rsidP="006B031E">
      <w:pPr>
        <w:pStyle w:val="ListParagraph"/>
        <w:numPr>
          <w:ilvl w:val="0"/>
          <w:numId w:val="5"/>
        </w:numPr>
        <w:spacing w:after="160" w:line="259" w:lineRule="auto"/>
        <w:contextualSpacing/>
        <w:rPr>
          <w:rStyle w:val="Hyperlink"/>
          <w:color w:val="auto"/>
          <w:u w:val="none"/>
        </w:rPr>
      </w:pPr>
      <w:r>
        <w:t>Barends, E</w:t>
      </w:r>
      <w:r w:rsidRPr="00A24924">
        <w:rPr>
          <w:i/>
          <w:iCs/>
        </w:rPr>
        <w:t>. et al.</w:t>
      </w:r>
      <w:r>
        <w:t xml:space="preserve"> (2014). </w:t>
      </w:r>
      <w:r w:rsidRPr="00A24924">
        <w:rPr>
          <w:i/>
          <w:iCs/>
        </w:rPr>
        <w:t xml:space="preserve">Evidence Based Management: The basic principles. </w:t>
      </w:r>
      <w:r>
        <w:t xml:space="preserve">Available: </w:t>
      </w:r>
      <w:hyperlink r:id="rId11" w:history="1">
        <w:r w:rsidR="00FE5D3D" w:rsidRPr="00D05023">
          <w:rPr>
            <w:rStyle w:val="Hyperlink"/>
          </w:rPr>
          <w:t>https://cebma.org/wp-content/uploads/Evidence-Based-Practice-The-Basic-Principles.pdf</w:t>
        </w:r>
      </w:hyperlink>
      <w:r w:rsidR="00FE5D3D">
        <w:rPr>
          <w:rStyle w:val="Hyperlink"/>
          <w:color w:val="auto"/>
          <w:u w:val="none"/>
        </w:rPr>
        <w:t xml:space="preserve">. </w:t>
      </w:r>
      <w:r w:rsidRPr="00A24924">
        <w:rPr>
          <w:rStyle w:val="Hyperlink"/>
          <w:color w:val="auto"/>
          <w:u w:val="none"/>
        </w:rPr>
        <w:t>(Accessed 03/11/23)</w:t>
      </w:r>
    </w:p>
    <w:p w14:paraId="70144CE0" w14:textId="4E4DC8B9" w:rsidR="006B031E" w:rsidRPr="002A03F1" w:rsidRDefault="006B031E" w:rsidP="006B031E">
      <w:pPr>
        <w:pStyle w:val="ListParagraph"/>
        <w:numPr>
          <w:ilvl w:val="0"/>
          <w:numId w:val="5"/>
        </w:numPr>
        <w:spacing w:after="160" w:line="259" w:lineRule="auto"/>
        <w:contextualSpacing/>
      </w:pPr>
      <w:r>
        <w:t xml:space="preserve">BBC. (2014). </w:t>
      </w:r>
      <w:r w:rsidRPr="00A24924">
        <w:rPr>
          <w:i/>
          <w:iCs/>
        </w:rPr>
        <w:t>Consequentialism</w:t>
      </w:r>
      <w:r>
        <w:t xml:space="preserve">. Available: </w:t>
      </w:r>
      <w:hyperlink r:id="rId12" w:history="1">
        <w:r w:rsidR="00FE5D3D" w:rsidRPr="00D05023">
          <w:rPr>
            <w:rStyle w:val="Hyperlink"/>
          </w:rPr>
          <w:t>https://www.bbc.co.uk/ethics/introduction/consequentialism_1.shtml</w:t>
        </w:r>
      </w:hyperlink>
      <w:r w:rsidR="00FE5D3D">
        <w:rPr>
          <w:rStyle w:val="Hyperlink"/>
          <w:color w:val="auto"/>
          <w:u w:val="none"/>
        </w:rPr>
        <w:t xml:space="preserve">. </w:t>
      </w:r>
      <w:r w:rsidRPr="00A24924">
        <w:rPr>
          <w:rStyle w:val="Hyperlink"/>
          <w:color w:val="auto"/>
          <w:u w:val="none"/>
        </w:rPr>
        <w:t>(Accessed 10/11/23)</w:t>
      </w:r>
    </w:p>
    <w:p w14:paraId="55D619F2" w14:textId="1DB8C5B9" w:rsidR="006B031E" w:rsidRPr="00A24924" w:rsidRDefault="006B031E" w:rsidP="006B031E">
      <w:pPr>
        <w:pStyle w:val="ListParagraph"/>
        <w:numPr>
          <w:ilvl w:val="0"/>
          <w:numId w:val="5"/>
        </w:numPr>
        <w:spacing w:after="160" w:line="259" w:lineRule="auto"/>
        <w:contextualSpacing/>
        <w:rPr>
          <w:rStyle w:val="Hyperlink"/>
          <w:color w:val="auto"/>
          <w:u w:val="none"/>
        </w:rPr>
      </w:pPr>
      <w:r>
        <w:t>BBC. (2014).</w:t>
      </w:r>
      <w:r w:rsidRPr="002A03F1">
        <w:t xml:space="preserve"> </w:t>
      </w:r>
      <w:r w:rsidRPr="00A24924">
        <w:rPr>
          <w:i/>
          <w:iCs/>
        </w:rPr>
        <w:t>Duty-based ethics</w:t>
      </w:r>
      <w:r>
        <w:t xml:space="preserve">. Available: </w:t>
      </w:r>
      <w:hyperlink r:id="rId13" w:history="1">
        <w:r w:rsidR="00FE5D3D" w:rsidRPr="00D05023">
          <w:rPr>
            <w:rStyle w:val="Hyperlink"/>
          </w:rPr>
          <w:t>https://www.bbc.co.uk/ethics/introduction/consequentialism_1.shtml</w:t>
        </w:r>
      </w:hyperlink>
      <w:r w:rsidR="00FE5D3D">
        <w:rPr>
          <w:rStyle w:val="Hyperlink"/>
          <w:color w:val="auto"/>
          <w:u w:val="none"/>
        </w:rPr>
        <w:t xml:space="preserve">. </w:t>
      </w:r>
      <w:r w:rsidRPr="00A24924">
        <w:rPr>
          <w:rStyle w:val="Hyperlink"/>
          <w:color w:val="auto"/>
          <w:u w:val="none"/>
        </w:rPr>
        <w:t>(Accessed 10/11/23)</w:t>
      </w:r>
    </w:p>
    <w:p w14:paraId="11AE3A66" w14:textId="5A31E381" w:rsidR="006B031E" w:rsidRPr="00A24924" w:rsidRDefault="006B031E" w:rsidP="006B031E">
      <w:pPr>
        <w:pStyle w:val="ListParagraph"/>
        <w:numPr>
          <w:ilvl w:val="0"/>
          <w:numId w:val="5"/>
        </w:numPr>
        <w:spacing w:after="160" w:line="259" w:lineRule="auto"/>
        <w:contextualSpacing/>
        <w:rPr>
          <w:rStyle w:val="Hyperlink"/>
          <w:color w:val="auto"/>
          <w:u w:val="none"/>
        </w:rPr>
      </w:pPr>
      <w:r>
        <w:t>Birken, E. (2022)</w:t>
      </w:r>
      <w:r w:rsidRPr="002A03F1">
        <w:t xml:space="preserve"> </w:t>
      </w:r>
      <w:r w:rsidRPr="00A24924">
        <w:rPr>
          <w:i/>
          <w:iCs/>
        </w:rPr>
        <w:t xml:space="preserve">Return </w:t>
      </w:r>
      <w:proofErr w:type="gramStart"/>
      <w:r w:rsidRPr="00A24924">
        <w:rPr>
          <w:i/>
          <w:iCs/>
        </w:rPr>
        <w:t>On</w:t>
      </w:r>
      <w:proofErr w:type="gramEnd"/>
      <w:r w:rsidRPr="00A24924">
        <w:rPr>
          <w:i/>
          <w:iCs/>
        </w:rPr>
        <w:t xml:space="preserve"> Investment (ROI).</w:t>
      </w:r>
      <w:r>
        <w:t xml:space="preserve"> Available: </w:t>
      </w:r>
      <w:hyperlink r:id="rId14" w:history="1">
        <w:r w:rsidR="00FE5D3D" w:rsidRPr="00D05023">
          <w:rPr>
            <w:rStyle w:val="Hyperlink"/>
          </w:rPr>
          <w:t>https://www.forbes.com/advisor/investing/roi-return-on-investment/</w:t>
        </w:r>
      </w:hyperlink>
      <w:r w:rsidR="00FE5D3D">
        <w:rPr>
          <w:rStyle w:val="Hyperlink"/>
          <w:color w:val="auto"/>
          <w:u w:val="none"/>
        </w:rPr>
        <w:t xml:space="preserve">. </w:t>
      </w:r>
      <w:r w:rsidRPr="00A24924">
        <w:rPr>
          <w:rStyle w:val="Hyperlink"/>
          <w:color w:val="auto"/>
          <w:u w:val="none"/>
        </w:rPr>
        <w:t>(Accessed 13/11/23)</w:t>
      </w:r>
    </w:p>
    <w:p w14:paraId="64031A98" w14:textId="62D38BB9" w:rsidR="006B031E" w:rsidRDefault="006B031E" w:rsidP="006B031E">
      <w:pPr>
        <w:pStyle w:val="ListParagraph"/>
        <w:numPr>
          <w:ilvl w:val="0"/>
          <w:numId w:val="5"/>
        </w:numPr>
        <w:spacing w:after="160" w:line="259" w:lineRule="auto"/>
        <w:contextualSpacing/>
        <w:rPr>
          <w:rStyle w:val="Hyperlink"/>
          <w:color w:val="auto"/>
          <w:u w:val="none"/>
        </w:rPr>
      </w:pPr>
      <w:r>
        <w:t xml:space="preserve">Boatman, A. (no date). </w:t>
      </w:r>
      <w:r w:rsidRPr="00A24924">
        <w:rPr>
          <w:i/>
          <w:iCs/>
        </w:rPr>
        <w:t>What Is Evidence-Based HR? Examples, Benefits, and Decision-Making Steps.</w:t>
      </w:r>
      <w:r>
        <w:t xml:space="preserve"> Available: </w:t>
      </w:r>
      <w:hyperlink r:id="rId15" w:history="1">
        <w:r w:rsidR="00FE5D3D" w:rsidRPr="00D05023">
          <w:rPr>
            <w:rStyle w:val="Hyperlink"/>
          </w:rPr>
          <w:t>https://www.aihr.com/blog/evidence-based-hr/</w:t>
        </w:r>
      </w:hyperlink>
      <w:r w:rsidR="00FE5D3D">
        <w:rPr>
          <w:rStyle w:val="Hyperlink"/>
          <w:color w:val="auto"/>
          <w:u w:val="none"/>
        </w:rPr>
        <w:t xml:space="preserve">. </w:t>
      </w:r>
      <w:r w:rsidRPr="00A24924">
        <w:rPr>
          <w:rStyle w:val="Hyperlink"/>
          <w:color w:val="auto"/>
          <w:u w:val="none"/>
        </w:rPr>
        <w:t>(Accessed 10/11/23)</w:t>
      </w:r>
    </w:p>
    <w:p w14:paraId="67371EFD" w14:textId="277108F4" w:rsidR="000C5889" w:rsidRDefault="000C5889" w:rsidP="006B031E">
      <w:pPr>
        <w:pStyle w:val="ListParagraph"/>
        <w:numPr>
          <w:ilvl w:val="0"/>
          <w:numId w:val="5"/>
        </w:numPr>
        <w:spacing w:after="160" w:line="259" w:lineRule="auto"/>
        <w:contextualSpacing/>
      </w:pPr>
      <w:r>
        <w:t>Bob. (2023).</w:t>
      </w:r>
      <w:r w:rsidRPr="00EB27DB">
        <w:t xml:space="preserve"> </w:t>
      </w:r>
      <w:r w:rsidRPr="00EB27DB">
        <w:rPr>
          <w:i/>
          <w:iCs/>
        </w:rPr>
        <w:t>HR METRICS</w:t>
      </w:r>
      <w:r>
        <w:rPr>
          <w:i/>
          <w:iCs/>
        </w:rPr>
        <w:t xml:space="preserve"> </w:t>
      </w:r>
      <w:r w:rsidRPr="00EB27DB">
        <w:rPr>
          <w:i/>
          <w:iCs/>
        </w:rPr>
        <w:t>THAT MATTER</w:t>
      </w:r>
      <w:r>
        <w:rPr>
          <w:i/>
          <w:iCs/>
        </w:rPr>
        <w:t xml:space="preserve">. </w:t>
      </w:r>
      <w:r w:rsidRPr="00EB27DB">
        <w:t>Available:</w:t>
      </w:r>
      <w:r>
        <w:rPr>
          <w:i/>
          <w:iCs/>
        </w:rPr>
        <w:t xml:space="preserve"> </w:t>
      </w:r>
      <w:r>
        <w:t xml:space="preserve"> </w:t>
      </w:r>
      <w:hyperlink r:id="rId16" w:history="1">
        <w:r w:rsidRPr="005545BF">
          <w:rPr>
            <w:rStyle w:val="Hyperlink"/>
          </w:rPr>
          <w:t>https://www.hibob.com/guides/metrics-that-matter/</w:t>
        </w:r>
      </w:hyperlink>
      <w:r>
        <w:t xml:space="preserve"> (Accessed 23/11/23)</w:t>
      </w:r>
    </w:p>
    <w:p w14:paraId="66201441" w14:textId="646A373D" w:rsidR="006B031E" w:rsidRPr="00A24924" w:rsidRDefault="006B031E" w:rsidP="006B031E">
      <w:pPr>
        <w:pStyle w:val="ListParagraph"/>
        <w:numPr>
          <w:ilvl w:val="0"/>
          <w:numId w:val="5"/>
        </w:numPr>
        <w:spacing w:after="160" w:line="259" w:lineRule="auto"/>
        <w:contextualSpacing/>
        <w:rPr>
          <w:rStyle w:val="Hyperlink"/>
          <w:color w:val="auto"/>
          <w:u w:val="none"/>
        </w:rPr>
      </w:pPr>
      <w:r>
        <w:t xml:space="preserve">Bush, T. (2019). </w:t>
      </w:r>
      <w:r w:rsidRPr="00A24924">
        <w:rPr>
          <w:i/>
          <w:iCs/>
        </w:rPr>
        <w:t>PESTLE Analysis Explained (With examples).</w:t>
      </w:r>
      <w:r>
        <w:t xml:space="preserve"> Available: </w:t>
      </w:r>
      <w:hyperlink r:id="rId17" w:history="1">
        <w:r w:rsidR="00FE5D3D" w:rsidRPr="00D05023">
          <w:rPr>
            <w:rStyle w:val="Hyperlink"/>
          </w:rPr>
          <w:t>https://pestleanalysis.com/pestle-analysis-explained-with-examples/</w:t>
        </w:r>
      </w:hyperlink>
      <w:r w:rsidR="00FE5D3D">
        <w:rPr>
          <w:rStyle w:val="Hyperlink"/>
          <w:color w:val="auto"/>
          <w:u w:val="none"/>
        </w:rPr>
        <w:t xml:space="preserve">. </w:t>
      </w:r>
      <w:r w:rsidRPr="00A24924">
        <w:rPr>
          <w:rStyle w:val="Hyperlink"/>
          <w:color w:val="auto"/>
          <w:u w:val="none"/>
        </w:rPr>
        <w:t>(Accessed 01/11/2023)</w:t>
      </w:r>
    </w:p>
    <w:p w14:paraId="77B5F60C" w14:textId="16EEBCD4" w:rsidR="006B031E" w:rsidRDefault="006B031E" w:rsidP="006B031E">
      <w:pPr>
        <w:pStyle w:val="ListParagraph"/>
        <w:numPr>
          <w:ilvl w:val="0"/>
          <w:numId w:val="5"/>
        </w:numPr>
        <w:spacing w:after="160" w:line="259" w:lineRule="auto"/>
        <w:contextualSpacing/>
      </w:pPr>
      <w:r>
        <w:t xml:space="preserve">Cassidy, N </w:t>
      </w:r>
      <w:r w:rsidRPr="00A24924">
        <w:rPr>
          <w:i/>
          <w:iCs/>
        </w:rPr>
        <w:t>et al.</w:t>
      </w:r>
      <w:r>
        <w:t xml:space="preserve"> (2022). </w:t>
      </w:r>
      <w:r w:rsidRPr="00A24924">
        <w:rPr>
          <w:i/>
          <w:iCs/>
        </w:rPr>
        <w:t>What value does HR bring to today's organisations?</w:t>
      </w:r>
      <w:r>
        <w:t xml:space="preserve"> Available:</w:t>
      </w:r>
      <w:r w:rsidR="005307D2" w:rsidRPr="005307D2">
        <w:t xml:space="preserve"> </w:t>
      </w:r>
      <w:hyperlink r:id="rId18" w:history="1">
        <w:r w:rsidR="00FE5D3D" w:rsidRPr="00D05023">
          <w:rPr>
            <w:rStyle w:val="Hyperlink"/>
          </w:rPr>
          <w:t>https://www.cipd.org/uk/knowledge/podcasts/purpose-and-value-of-hr/</w:t>
        </w:r>
      </w:hyperlink>
      <w:r w:rsidR="00FE5D3D">
        <w:t xml:space="preserve">. </w:t>
      </w:r>
      <w:r w:rsidRPr="00A24924">
        <w:rPr>
          <w:rStyle w:val="Hyperlink"/>
          <w:color w:val="auto"/>
          <w:u w:val="none"/>
        </w:rPr>
        <w:t>(Accessed 14/11/23)</w:t>
      </w:r>
    </w:p>
    <w:p w14:paraId="735699CA" w14:textId="77777777" w:rsidR="000C5889" w:rsidRDefault="00BD305C" w:rsidP="00D05063">
      <w:pPr>
        <w:pStyle w:val="ListParagraph"/>
        <w:numPr>
          <w:ilvl w:val="0"/>
          <w:numId w:val="5"/>
        </w:numPr>
        <w:spacing w:after="160" w:line="259" w:lineRule="auto"/>
        <w:contextualSpacing/>
        <w:rPr>
          <w:rStyle w:val="Hyperlink"/>
          <w:color w:val="auto"/>
          <w:u w:val="none"/>
        </w:rPr>
      </w:pPr>
      <w:hyperlink r:id="rId19" w:history="1">
        <w:r w:rsidR="006B031E">
          <w:t xml:space="preserve">CIPD. (2023). </w:t>
        </w:r>
        <w:r w:rsidR="006B031E" w:rsidRPr="000C5889">
          <w:rPr>
            <w:i/>
            <w:iCs/>
          </w:rPr>
          <w:t>Evidence-based practice for effective decision-making.</w:t>
        </w:r>
        <w:r w:rsidR="006B031E">
          <w:t xml:space="preserve"> Available at: </w:t>
        </w:r>
      </w:hyperlink>
      <w:r w:rsidR="005307D2" w:rsidRPr="005307D2">
        <w:t xml:space="preserve"> </w:t>
      </w:r>
      <w:r w:rsidR="005307D2" w:rsidRPr="005307D2">
        <w:rPr>
          <w:rStyle w:val="Hyperlink"/>
        </w:rPr>
        <w:t xml:space="preserve">https://www.cipd.org/uk/knowledge/factsheets/evidence-based-practice-factsheet/ </w:t>
      </w:r>
      <w:r w:rsidR="006B031E" w:rsidRPr="000C5889">
        <w:rPr>
          <w:rStyle w:val="Hyperlink"/>
          <w:color w:val="auto"/>
          <w:u w:val="none"/>
        </w:rPr>
        <w:t>(Accessed 01/11/23)</w:t>
      </w:r>
    </w:p>
    <w:p w14:paraId="0AD02109" w14:textId="6D8FFAAF" w:rsidR="000C5889" w:rsidRDefault="000C5889" w:rsidP="00D05063">
      <w:pPr>
        <w:pStyle w:val="ListParagraph"/>
        <w:numPr>
          <w:ilvl w:val="0"/>
          <w:numId w:val="5"/>
        </w:numPr>
        <w:spacing w:after="160" w:line="259" w:lineRule="auto"/>
        <w:contextualSpacing/>
        <w:rPr>
          <w:rStyle w:val="Hyperlink"/>
          <w:color w:val="auto"/>
          <w:u w:val="none"/>
        </w:rPr>
      </w:pPr>
      <w:r>
        <w:t xml:space="preserve">CIPD. (2021). </w:t>
      </w:r>
      <w:r w:rsidRPr="00327E2B">
        <w:rPr>
          <w:i/>
          <w:iCs/>
        </w:rPr>
        <w:t>Hybrid Working: Practical Guidance</w:t>
      </w:r>
      <w:r>
        <w:t xml:space="preserve">. Available: </w:t>
      </w:r>
      <w:hyperlink r:id="rId20" w:history="1">
        <w:r w:rsidRPr="001F5C6D">
          <w:rPr>
            <w:rStyle w:val="Hyperlink"/>
          </w:rPr>
          <w:t>https://www.cipd.org/globalassets/media/knowledge/the-people-profession/latest-updates/hybrid-working-practical-guidance-2021_tcm18-103709.pdf</w:t>
        </w:r>
      </w:hyperlink>
      <w:r>
        <w:t xml:space="preserve"> (Accessed 25/11/23)</w:t>
      </w:r>
    </w:p>
    <w:p w14:paraId="4703922F" w14:textId="11292AAB" w:rsidR="000C5889" w:rsidRDefault="000C5889" w:rsidP="00D05063">
      <w:pPr>
        <w:pStyle w:val="ListParagraph"/>
        <w:numPr>
          <w:ilvl w:val="0"/>
          <w:numId w:val="5"/>
        </w:numPr>
        <w:spacing w:after="160" w:line="259" w:lineRule="auto"/>
        <w:contextualSpacing/>
      </w:pPr>
      <w:r>
        <w:t xml:space="preserve">CIPD. (2022). </w:t>
      </w:r>
      <w:r w:rsidRPr="000C5889">
        <w:rPr>
          <w:i/>
          <w:iCs/>
        </w:rPr>
        <w:t>Inclusive recruitment: Guide for Employers</w:t>
      </w:r>
      <w:r>
        <w:t xml:space="preserve">. Available: </w:t>
      </w:r>
      <w:hyperlink r:id="rId21" w:history="1">
        <w:r w:rsidRPr="005545BF">
          <w:rPr>
            <w:rStyle w:val="Hyperlink"/>
          </w:rPr>
          <w:t>https://www.cipd.org/uk/knowledge/guides/inclusive-employers/</w:t>
        </w:r>
      </w:hyperlink>
      <w:r>
        <w:t xml:space="preserve"> (Accessed 24/11/23)</w:t>
      </w:r>
    </w:p>
    <w:p w14:paraId="772B2362" w14:textId="4CF96D06" w:rsidR="000C5889" w:rsidRDefault="000C5889" w:rsidP="006B031E">
      <w:pPr>
        <w:pStyle w:val="ListParagraph"/>
        <w:numPr>
          <w:ilvl w:val="0"/>
          <w:numId w:val="5"/>
        </w:numPr>
        <w:spacing w:after="160" w:line="259" w:lineRule="auto"/>
        <w:contextualSpacing/>
        <w:rPr>
          <w:rStyle w:val="Hyperlink"/>
          <w:color w:val="auto"/>
          <w:u w:val="none"/>
        </w:rPr>
      </w:pPr>
      <w:r>
        <w:t xml:space="preserve">CIPD. (2023). </w:t>
      </w:r>
      <w:r w:rsidRPr="00327E2B">
        <w:rPr>
          <w:i/>
          <w:iCs/>
        </w:rPr>
        <w:t>Managing and supporting remote and hybrid workers: a guide for managers.</w:t>
      </w:r>
      <w:r>
        <w:t xml:space="preserve"> Available: </w:t>
      </w:r>
      <w:hyperlink r:id="rId22" w:history="1">
        <w:r w:rsidRPr="001F5C6D">
          <w:rPr>
            <w:rStyle w:val="Hyperlink"/>
          </w:rPr>
          <w:t>https://www.cipd.org/uk/knowledge/guides/remote-working-line-manager-guide/#why-is-it-important-for-managers-to-consider-how-they-manage-remote-and-hybrid-workers</w:t>
        </w:r>
      </w:hyperlink>
      <w:r>
        <w:t xml:space="preserve"> (Accessed 25/11/23)</w:t>
      </w:r>
    </w:p>
    <w:p w14:paraId="26D5FD52" w14:textId="6BA42B2C" w:rsidR="001F6B2C" w:rsidRDefault="001F6B2C" w:rsidP="00B46B1B">
      <w:pPr>
        <w:pStyle w:val="ListParagraph"/>
        <w:numPr>
          <w:ilvl w:val="0"/>
          <w:numId w:val="5"/>
        </w:numPr>
        <w:spacing w:after="160" w:line="259" w:lineRule="auto"/>
        <w:contextualSpacing/>
      </w:pPr>
      <w:r>
        <w:t xml:space="preserve">CIPD. (2023). </w:t>
      </w:r>
      <w:r w:rsidRPr="001F6B2C">
        <w:rPr>
          <w:i/>
          <w:iCs/>
        </w:rPr>
        <w:t>PESTLE analysis</w:t>
      </w:r>
      <w:r>
        <w:t xml:space="preserve">. Available: </w:t>
      </w:r>
      <w:hyperlink r:id="rId23" w:anchor="what-is-a-pestle-analysis-used-for" w:history="1">
        <w:r w:rsidR="00FE5D3D" w:rsidRPr="00D05023">
          <w:rPr>
            <w:rStyle w:val="Hyperlink"/>
          </w:rPr>
          <w:t>https://www.cipd.org/uk/knowledge/factsheets/pestle-analysis-factsheet/#what-is-a-pestle-analysis-used-for</w:t>
        </w:r>
      </w:hyperlink>
      <w:r w:rsidR="00FE5D3D">
        <w:t xml:space="preserve">. </w:t>
      </w:r>
      <w:r>
        <w:t>(Accessed 21/11/23)</w:t>
      </w:r>
    </w:p>
    <w:p w14:paraId="59A8E35C" w14:textId="4EA3302D" w:rsidR="003542B3" w:rsidRDefault="003542B3" w:rsidP="003542B3">
      <w:pPr>
        <w:pStyle w:val="ListParagraph"/>
        <w:numPr>
          <w:ilvl w:val="0"/>
          <w:numId w:val="5"/>
        </w:numPr>
        <w:contextualSpacing/>
      </w:pPr>
      <w:r>
        <w:t>Clark, S. (2015). Ethical decision-making: Eight perspectives on workplace dilemmas. Available:</w:t>
      </w:r>
      <w:r w:rsidR="00B46B1B" w:rsidRPr="00B46B1B">
        <w:t xml:space="preserve"> </w:t>
      </w:r>
      <w:hyperlink r:id="rId24" w:history="1">
        <w:r w:rsidR="00B46B1B" w:rsidRPr="00D05023">
          <w:rPr>
            <w:rStyle w:val="Hyperlink"/>
          </w:rPr>
          <w:t>https://www.cipd.org/globalassets/media/knowledge/knowledge-hub/reports/ethical-decision-making-2015-eight-perspectives-on-workplace-dilemmas_tcm18-9564.pdf</w:t>
        </w:r>
      </w:hyperlink>
      <w:r w:rsidR="00B46B1B">
        <w:t xml:space="preserve">. </w:t>
      </w:r>
      <w:r>
        <w:t>(Accessed 21/11/23)</w:t>
      </w:r>
    </w:p>
    <w:p w14:paraId="01D35637" w14:textId="1FB29666" w:rsidR="006B031E" w:rsidRPr="00A24924" w:rsidRDefault="006B031E" w:rsidP="006B031E">
      <w:pPr>
        <w:pStyle w:val="ListParagraph"/>
        <w:numPr>
          <w:ilvl w:val="0"/>
          <w:numId w:val="5"/>
        </w:numPr>
        <w:spacing w:after="160" w:line="259" w:lineRule="auto"/>
        <w:contextualSpacing/>
        <w:rPr>
          <w:rStyle w:val="Hyperlink"/>
          <w:color w:val="auto"/>
          <w:u w:val="none"/>
        </w:rPr>
      </w:pPr>
      <w:r>
        <w:t xml:space="preserve">CMI. (2020). </w:t>
      </w:r>
      <w:r w:rsidRPr="00A24924">
        <w:rPr>
          <w:i/>
          <w:iCs/>
        </w:rPr>
        <w:t>Decision Making</w:t>
      </w:r>
      <w:r>
        <w:t xml:space="preserve">. Available: </w:t>
      </w:r>
      <w:hyperlink r:id="rId25" w:history="1">
        <w:r w:rsidR="00B46B1B" w:rsidRPr="00D05023">
          <w:rPr>
            <w:rStyle w:val="Hyperlink"/>
          </w:rPr>
          <w:t>https://www.managers.org.uk/knowledge-and-insights/resource/decision-making/</w:t>
        </w:r>
      </w:hyperlink>
      <w:r w:rsidR="00B46B1B">
        <w:t xml:space="preserve">. </w:t>
      </w:r>
      <w:r w:rsidRPr="00A24924">
        <w:rPr>
          <w:rStyle w:val="Hyperlink"/>
          <w:color w:val="auto"/>
          <w:u w:val="none"/>
        </w:rPr>
        <w:t>(Accessed 08/11/23)</w:t>
      </w:r>
    </w:p>
    <w:p w14:paraId="239F3CB8" w14:textId="39B01705" w:rsidR="006B031E" w:rsidRDefault="006B031E" w:rsidP="006B031E">
      <w:pPr>
        <w:pStyle w:val="ListParagraph"/>
        <w:numPr>
          <w:ilvl w:val="0"/>
          <w:numId w:val="5"/>
        </w:numPr>
        <w:spacing w:after="160" w:line="259" w:lineRule="auto"/>
        <w:contextualSpacing/>
        <w:rPr>
          <w:rStyle w:val="Hyperlink"/>
          <w:color w:val="auto"/>
          <w:u w:val="none"/>
        </w:rPr>
      </w:pPr>
      <w:r>
        <w:lastRenderedPageBreak/>
        <w:t xml:space="preserve">Coburn, T. &amp; Howlett, W. (2019). </w:t>
      </w:r>
      <w:r w:rsidRPr="00A24924">
        <w:rPr>
          <w:i/>
          <w:iCs/>
        </w:rPr>
        <w:t>Critical Thinking</w:t>
      </w:r>
      <w:r>
        <w:t xml:space="preserve">. Available: </w:t>
      </w:r>
      <w:hyperlink r:id="rId26" w:history="1">
        <w:r w:rsidR="00B46B1B" w:rsidRPr="00D05023">
          <w:rPr>
            <w:rStyle w:val="Hyperlink"/>
          </w:rPr>
          <w:t>https://www.cipd.org/uk/knowledge/podcasts/critical-thinking/</w:t>
        </w:r>
      </w:hyperlink>
      <w:r w:rsidR="00B46B1B">
        <w:t xml:space="preserve">. </w:t>
      </w:r>
      <w:r w:rsidRPr="00A24924">
        <w:rPr>
          <w:rStyle w:val="Hyperlink"/>
          <w:color w:val="auto"/>
          <w:u w:val="none"/>
        </w:rPr>
        <w:t>(Accessed 15/11/23)</w:t>
      </w:r>
    </w:p>
    <w:p w14:paraId="2FD12B11" w14:textId="066DE7F2" w:rsidR="000C5889" w:rsidRDefault="000C5889" w:rsidP="006B031E">
      <w:pPr>
        <w:pStyle w:val="ListParagraph"/>
        <w:numPr>
          <w:ilvl w:val="0"/>
          <w:numId w:val="5"/>
        </w:numPr>
        <w:spacing w:after="160" w:line="259" w:lineRule="auto"/>
        <w:contextualSpacing/>
      </w:pPr>
      <w:r>
        <w:t xml:space="preserve">Cotton, C. (2023). </w:t>
      </w:r>
      <w:r w:rsidRPr="0090219F">
        <w:rPr>
          <w:i/>
          <w:iCs/>
        </w:rPr>
        <w:t>Pay structures and Pay Progression.</w:t>
      </w:r>
      <w:r>
        <w:t xml:space="preserve"> Available: </w:t>
      </w:r>
      <w:hyperlink r:id="rId27" w:history="1">
        <w:r w:rsidRPr="005545BF">
          <w:rPr>
            <w:rStyle w:val="Hyperlink"/>
          </w:rPr>
          <w:t>https://www.cipd.org/uk/knowledge/factsheets/pay-structures-factsheet/</w:t>
        </w:r>
      </w:hyperlink>
      <w:r>
        <w:t xml:space="preserve"> (Accessed 24/11/23)</w:t>
      </w:r>
    </w:p>
    <w:p w14:paraId="2EE9364A" w14:textId="2080E655" w:rsidR="006B031E" w:rsidRDefault="006B031E" w:rsidP="006B031E">
      <w:pPr>
        <w:pStyle w:val="ListParagraph"/>
        <w:numPr>
          <w:ilvl w:val="0"/>
          <w:numId w:val="5"/>
        </w:numPr>
        <w:spacing w:after="160" w:line="259" w:lineRule="auto"/>
        <w:contextualSpacing/>
        <w:rPr>
          <w:rStyle w:val="Hyperlink"/>
          <w:color w:val="auto"/>
          <w:u w:val="none"/>
        </w:rPr>
      </w:pPr>
      <w:r>
        <w:t>Duignan, B &amp; West, H. (2023</w:t>
      </w:r>
      <w:r w:rsidRPr="00CD21D1">
        <w:t>).</w:t>
      </w:r>
      <w:r w:rsidRPr="00A24924">
        <w:rPr>
          <w:i/>
          <w:iCs/>
        </w:rPr>
        <w:t xml:space="preserve"> Utilitarianism.</w:t>
      </w:r>
      <w:r>
        <w:t xml:space="preserve"> Available:</w:t>
      </w:r>
      <w:r w:rsidR="00B46B1B" w:rsidRPr="00B46B1B">
        <w:t xml:space="preserve"> </w:t>
      </w:r>
      <w:hyperlink r:id="rId28" w:history="1">
        <w:r w:rsidR="00B46B1B" w:rsidRPr="00D05023">
          <w:rPr>
            <w:rStyle w:val="Hyperlink"/>
          </w:rPr>
          <w:t>https://www.britannica.com/topic/utilitarianism-philosophy</w:t>
        </w:r>
      </w:hyperlink>
      <w:r w:rsidR="00B46B1B">
        <w:t xml:space="preserve">. </w:t>
      </w:r>
      <w:r w:rsidRPr="00A24924">
        <w:rPr>
          <w:rStyle w:val="Hyperlink"/>
          <w:color w:val="auto"/>
          <w:u w:val="none"/>
        </w:rPr>
        <w:t>(Accessed 10/11/23)</w:t>
      </w:r>
    </w:p>
    <w:p w14:paraId="34F91396" w14:textId="527128F9" w:rsidR="000C5889" w:rsidRPr="002A03F1" w:rsidRDefault="000C5889" w:rsidP="006B031E">
      <w:pPr>
        <w:pStyle w:val="ListParagraph"/>
        <w:numPr>
          <w:ilvl w:val="0"/>
          <w:numId w:val="5"/>
        </w:numPr>
        <w:spacing w:after="160" w:line="259" w:lineRule="auto"/>
        <w:contextualSpacing/>
      </w:pPr>
      <w:r>
        <w:t xml:space="preserve">Giles, K. (2018). </w:t>
      </w:r>
      <w:r w:rsidRPr="0090219F">
        <w:rPr>
          <w:i/>
          <w:iCs/>
        </w:rPr>
        <w:t>Why you mistakenly hire people just like you.</w:t>
      </w:r>
      <w:r>
        <w:t xml:space="preserve"> Available: </w:t>
      </w:r>
      <w:hyperlink r:id="rId29" w:history="1">
        <w:r w:rsidRPr="005545BF">
          <w:rPr>
            <w:rStyle w:val="Hyperlink"/>
          </w:rPr>
          <w:t>https://www.forbes.com/sites/forbescoachescouncil/2018/05/01/why-you-mistakenly-hire-people-just-like-you/</w:t>
        </w:r>
      </w:hyperlink>
      <w:r>
        <w:t xml:space="preserve"> (Accessed 23/11/23)</w:t>
      </w:r>
    </w:p>
    <w:p w14:paraId="43D47E63" w14:textId="084BB6B0" w:rsidR="006B031E" w:rsidRDefault="006B031E" w:rsidP="006B031E">
      <w:pPr>
        <w:pStyle w:val="ListParagraph"/>
        <w:numPr>
          <w:ilvl w:val="0"/>
          <w:numId w:val="5"/>
        </w:numPr>
        <w:spacing w:after="160" w:line="259" w:lineRule="auto"/>
        <w:contextualSpacing/>
      </w:pPr>
      <w:r>
        <w:t xml:space="preserve">Green, M. (2022). </w:t>
      </w:r>
      <w:r w:rsidRPr="00A24924">
        <w:rPr>
          <w:i/>
          <w:iCs/>
        </w:rPr>
        <w:t>Ethical practice and the role of people professionals</w:t>
      </w:r>
      <w:r>
        <w:t xml:space="preserve">. Available: </w:t>
      </w:r>
      <w:hyperlink r:id="rId30" w:anchor="what-is-ethical-practice-in-organisations" w:history="1">
        <w:r w:rsidR="00B46B1B" w:rsidRPr="00D05023">
          <w:rPr>
            <w:rStyle w:val="Hyperlink"/>
          </w:rPr>
          <w:t>https://www.cipd.org/uk/knowledge/factsheets/ethics-role-hr-factsheet/#what-is-ethical-practice-in-organisations</w:t>
        </w:r>
      </w:hyperlink>
      <w:r w:rsidR="00B46B1B">
        <w:rPr>
          <w:rStyle w:val="Hyperlink"/>
          <w:color w:val="auto"/>
          <w:u w:val="none"/>
        </w:rPr>
        <w:t xml:space="preserve">. </w:t>
      </w:r>
      <w:r w:rsidRPr="00A24924">
        <w:rPr>
          <w:rStyle w:val="Hyperlink"/>
          <w:color w:val="auto"/>
          <w:u w:val="none"/>
        </w:rPr>
        <w:t>(Accessed 09/11/23)</w:t>
      </w:r>
    </w:p>
    <w:p w14:paraId="4A017D12" w14:textId="683360FB" w:rsidR="006B031E" w:rsidRPr="00A24924" w:rsidRDefault="006B031E" w:rsidP="006B031E">
      <w:pPr>
        <w:pStyle w:val="ListParagraph"/>
        <w:numPr>
          <w:ilvl w:val="0"/>
          <w:numId w:val="5"/>
        </w:numPr>
        <w:spacing w:after="160" w:line="259" w:lineRule="auto"/>
        <w:contextualSpacing/>
        <w:rPr>
          <w:rStyle w:val="Hyperlink"/>
          <w:color w:val="auto"/>
          <w:u w:val="none"/>
        </w:rPr>
      </w:pPr>
      <w:r>
        <w:t xml:space="preserve">Harper, M. (2019). </w:t>
      </w:r>
      <w:r w:rsidRPr="00A24924">
        <w:rPr>
          <w:i/>
          <w:iCs/>
        </w:rPr>
        <w:t>Understanding What Benchmarks do What.</w:t>
      </w:r>
      <w:r>
        <w:t xml:space="preserve"> Available:</w:t>
      </w:r>
      <w:r w:rsidR="00B46B1B" w:rsidRPr="00B46B1B">
        <w:t xml:space="preserve"> </w:t>
      </w:r>
      <w:hyperlink r:id="rId31" w:history="1">
        <w:r w:rsidR="00B46B1B" w:rsidRPr="00D05023">
          <w:rPr>
            <w:rStyle w:val="Hyperlink"/>
          </w:rPr>
          <w:t>https://www.apqc.org/blog/what-are-four-types-benchmarking</w:t>
        </w:r>
      </w:hyperlink>
      <w:r w:rsidR="00B46B1B">
        <w:t xml:space="preserve">. </w:t>
      </w:r>
      <w:r w:rsidRPr="00A24924">
        <w:rPr>
          <w:rStyle w:val="Hyperlink"/>
          <w:color w:val="auto"/>
          <w:u w:val="none"/>
        </w:rPr>
        <w:t>(Accessed 10/11/2023)</w:t>
      </w:r>
    </w:p>
    <w:p w14:paraId="362804F7" w14:textId="1B49048D" w:rsidR="006B031E" w:rsidRPr="00A24924" w:rsidRDefault="006B031E" w:rsidP="006B031E">
      <w:pPr>
        <w:pStyle w:val="ListParagraph"/>
        <w:numPr>
          <w:ilvl w:val="0"/>
          <w:numId w:val="5"/>
        </w:numPr>
        <w:spacing w:after="160" w:line="259" w:lineRule="auto"/>
        <w:contextualSpacing/>
        <w:rPr>
          <w:rStyle w:val="Hyperlink"/>
          <w:color w:val="auto"/>
          <w:u w:val="none"/>
        </w:rPr>
      </w:pPr>
      <w:r>
        <w:t xml:space="preserve">Hermanto, A (2021) </w:t>
      </w:r>
      <w:r w:rsidRPr="00A24924">
        <w:rPr>
          <w:i/>
          <w:iCs/>
        </w:rPr>
        <w:t>Problem Framing: What it is and How to Write a Problem Statement.</w:t>
      </w:r>
      <w:r>
        <w:t xml:space="preserve"> Available: </w:t>
      </w:r>
      <w:hyperlink r:id="rId32" w:history="1">
        <w:r w:rsidR="00B46B1B" w:rsidRPr="00D05023">
          <w:rPr>
            <w:rStyle w:val="Hyperlink"/>
          </w:rPr>
          <w:t>https://alvinhermanto.medium.com/problem-framing-what-it-is-and-how-to-write-a-problem-statement-401720cd5a41</w:t>
        </w:r>
      </w:hyperlink>
      <w:r w:rsidR="00B46B1B">
        <w:rPr>
          <w:rStyle w:val="Hyperlink"/>
          <w:color w:val="auto"/>
          <w:u w:val="none"/>
        </w:rPr>
        <w:t xml:space="preserve">. </w:t>
      </w:r>
      <w:r w:rsidRPr="00A24924">
        <w:rPr>
          <w:rStyle w:val="Hyperlink"/>
          <w:color w:val="auto"/>
          <w:u w:val="none"/>
        </w:rPr>
        <w:t>(Accessed 15/11/23)</w:t>
      </w:r>
    </w:p>
    <w:p w14:paraId="38534103" w14:textId="5658D32F" w:rsidR="006B031E" w:rsidRPr="00A24924" w:rsidRDefault="006B031E" w:rsidP="006B031E">
      <w:pPr>
        <w:pStyle w:val="ListParagraph"/>
        <w:numPr>
          <w:ilvl w:val="0"/>
          <w:numId w:val="5"/>
        </w:numPr>
        <w:spacing w:after="160" w:line="259" w:lineRule="auto"/>
        <w:contextualSpacing/>
        <w:rPr>
          <w:rStyle w:val="Hyperlink"/>
          <w:color w:val="auto"/>
          <w:u w:val="none"/>
        </w:rPr>
      </w:pPr>
      <w:r>
        <w:t xml:space="preserve">HRM Handbook. (2021-2022). </w:t>
      </w:r>
      <w:r w:rsidRPr="00C904EB">
        <w:rPr>
          <w:i/>
          <w:iCs/>
        </w:rPr>
        <w:t>Critical Thinking</w:t>
      </w:r>
      <w:r>
        <w:t xml:space="preserve">. Available: </w:t>
      </w:r>
      <w:hyperlink r:id="rId33" w:history="1">
        <w:r w:rsidR="00B46B1B" w:rsidRPr="00D05023">
          <w:rPr>
            <w:rStyle w:val="Hyperlink"/>
          </w:rPr>
          <w:t>https://hrmhandbook.com/core/critical-thinking/</w:t>
        </w:r>
      </w:hyperlink>
      <w:r w:rsidR="00B46B1B">
        <w:t xml:space="preserve">. </w:t>
      </w:r>
      <w:r w:rsidRPr="00A24924">
        <w:rPr>
          <w:rStyle w:val="Hyperlink"/>
          <w:color w:val="auto"/>
          <w:u w:val="none"/>
        </w:rPr>
        <w:t>(Accessed 08/11/23)</w:t>
      </w:r>
    </w:p>
    <w:p w14:paraId="6CF1DC4A" w14:textId="0295A334" w:rsidR="006B031E" w:rsidRPr="00D87505" w:rsidRDefault="006B031E" w:rsidP="006B031E">
      <w:pPr>
        <w:pStyle w:val="ListParagraph"/>
        <w:numPr>
          <w:ilvl w:val="0"/>
          <w:numId w:val="5"/>
        </w:numPr>
        <w:spacing w:after="160" w:line="259" w:lineRule="auto"/>
        <w:contextualSpacing/>
      </w:pPr>
      <w:r>
        <w:t xml:space="preserve">Institute for Academic Development. (2023). </w:t>
      </w:r>
      <w:r w:rsidRPr="00A24924">
        <w:rPr>
          <w:i/>
          <w:iCs/>
        </w:rPr>
        <w:t>Critical Thinking.</w:t>
      </w:r>
      <w:r>
        <w:t xml:space="preserve"> Available: </w:t>
      </w:r>
      <w:hyperlink r:id="rId34" w:history="1">
        <w:r w:rsidR="00B46B1B" w:rsidRPr="00D05023">
          <w:rPr>
            <w:rStyle w:val="Hyperlink"/>
          </w:rPr>
          <w:t>https://www.ed.ac.uk/institute-academic-development/study-hub/learning-resources/critical</w:t>
        </w:r>
      </w:hyperlink>
      <w:r w:rsidR="00B46B1B">
        <w:rPr>
          <w:rStyle w:val="Hyperlink"/>
          <w:color w:val="auto"/>
          <w:u w:val="none"/>
        </w:rPr>
        <w:t xml:space="preserve">. </w:t>
      </w:r>
      <w:r w:rsidRPr="00A24924">
        <w:rPr>
          <w:rStyle w:val="Hyperlink"/>
          <w:color w:val="auto"/>
          <w:u w:val="none"/>
        </w:rPr>
        <w:t>(Accessed 12/11/23)</w:t>
      </w:r>
    </w:p>
    <w:p w14:paraId="159CF8AC" w14:textId="21198DC3" w:rsidR="006B031E" w:rsidRPr="00A24924" w:rsidRDefault="006B031E" w:rsidP="006B031E">
      <w:pPr>
        <w:pStyle w:val="ListParagraph"/>
        <w:numPr>
          <w:ilvl w:val="0"/>
          <w:numId w:val="5"/>
        </w:numPr>
        <w:spacing w:after="160" w:line="259" w:lineRule="auto"/>
        <w:contextualSpacing/>
        <w:rPr>
          <w:rStyle w:val="Hyperlink"/>
          <w:color w:val="auto"/>
          <w:u w:val="none"/>
        </w:rPr>
      </w:pPr>
      <w:r>
        <w:t xml:space="preserve">Ittner, C. (2000). </w:t>
      </w:r>
      <w:r w:rsidRPr="00A24924">
        <w:rPr>
          <w:i/>
          <w:iCs/>
        </w:rPr>
        <w:t>Non-financial Performance Measures: What Works and What Doesn’t</w:t>
      </w:r>
      <w:r>
        <w:t xml:space="preserve">. Available: </w:t>
      </w:r>
      <w:hyperlink r:id="rId35" w:history="1">
        <w:r w:rsidR="00B46B1B" w:rsidRPr="00D05023">
          <w:rPr>
            <w:rStyle w:val="Hyperlink"/>
          </w:rPr>
          <w:t>https://knowledge.wharton.upenn.edu/podcast/knowledge-at-wharton-podcast/non-financial-performance-measures-what-works-and-what-doesnt/</w:t>
        </w:r>
      </w:hyperlink>
      <w:r w:rsidR="00B46B1B">
        <w:rPr>
          <w:rStyle w:val="Hyperlink"/>
          <w:color w:val="auto"/>
          <w:u w:val="none"/>
        </w:rPr>
        <w:t xml:space="preserve">. </w:t>
      </w:r>
      <w:r w:rsidRPr="00A24924">
        <w:rPr>
          <w:rStyle w:val="Hyperlink"/>
          <w:color w:val="auto"/>
          <w:u w:val="none"/>
        </w:rPr>
        <w:t>(Accessed 14/11/23)</w:t>
      </w:r>
    </w:p>
    <w:p w14:paraId="41FCA6A4" w14:textId="025DF79C" w:rsidR="006B031E" w:rsidRDefault="006B031E" w:rsidP="006B031E">
      <w:pPr>
        <w:pStyle w:val="ListParagraph"/>
        <w:numPr>
          <w:ilvl w:val="0"/>
          <w:numId w:val="5"/>
        </w:numPr>
        <w:spacing w:after="160" w:line="259" w:lineRule="auto"/>
        <w:contextualSpacing/>
      </w:pPr>
      <w:r>
        <w:t xml:space="preserve">Jay, S. (no date). </w:t>
      </w:r>
      <w:r w:rsidRPr="00A24924">
        <w:rPr>
          <w:i/>
          <w:iCs/>
        </w:rPr>
        <w:t>How to Measure HR Effectiveness: 12 Useful Metrics.</w:t>
      </w:r>
      <w:r>
        <w:t xml:space="preserve"> Available: </w:t>
      </w:r>
      <w:hyperlink r:id="rId36" w:history="1">
        <w:r w:rsidR="00B46B1B" w:rsidRPr="00D05023">
          <w:rPr>
            <w:rStyle w:val="Hyperlink"/>
          </w:rPr>
          <w:t>https://www.aihr.com/blog/how-to-measure-hr-effectiveness/</w:t>
        </w:r>
      </w:hyperlink>
      <w:r w:rsidR="00B46B1B">
        <w:t xml:space="preserve">. </w:t>
      </w:r>
      <w:r>
        <w:t>(Accessed 14/11/23)</w:t>
      </w:r>
    </w:p>
    <w:p w14:paraId="18C14DBD" w14:textId="22A19B6F" w:rsidR="00C904EB" w:rsidRPr="00C904EB" w:rsidRDefault="00C904EB" w:rsidP="006B031E">
      <w:pPr>
        <w:pStyle w:val="ListParagraph"/>
        <w:numPr>
          <w:ilvl w:val="0"/>
          <w:numId w:val="5"/>
        </w:numPr>
        <w:spacing w:after="160" w:line="259" w:lineRule="auto"/>
        <w:contextualSpacing/>
        <w:rPr>
          <w:i/>
          <w:iCs/>
        </w:rPr>
      </w:pPr>
      <w:r>
        <w:t xml:space="preserve">Lewis, D </w:t>
      </w:r>
      <w:r w:rsidRPr="00C904EB">
        <w:rPr>
          <w:i/>
          <w:iCs/>
        </w:rPr>
        <w:t>et al</w:t>
      </w:r>
      <w:r>
        <w:rPr>
          <w:i/>
          <w:iCs/>
        </w:rPr>
        <w:t xml:space="preserve">. </w:t>
      </w:r>
      <w:r w:rsidRPr="00C904EB">
        <w:t>(2017)</w:t>
      </w:r>
      <w:r>
        <w:t xml:space="preserve">. </w:t>
      </w:r>
      <w:r w:rsidRPr="00C904EB">
        <w:rPr>
          <w:i/>
          <w:iCs/>
        </w:rPr>
        <w:t>Teams Solve Problems Faster When They’re More Cognitively Diverse</w:t>
      </w:r>
      <w:r>
        <w:rPr>
          <w:i/>
          <w:iCs/>
        </w:rPr>
        <w:t xml:space="preserve">. </w:t>
      </w:r>
      <w:r w:rsidRPr="00C904EB">
        <w:t xml:space="preserve">Available: </w:t>
      </w:r>
      <w:hyperlink r:id="rId37" w:history="1">
        <w:r w:rsidRPr="00D05023">
          <w:rPr>
            <w:rStyle w:val="Hyperlink"/>
          </w:rPr>
          <w:t>https://hbr.org/2017/03/teams-solve-problems-faster-when-theyre-more-cognitively-diverse</w:t>
        </w:r>
      </w:hyperlink>
      <w:r>
        <w:t>. (Accessed 19/11/23)</w:t>
      </w:r>
    </w:p>
    <w:p w14:paraId="1491B859" w14:textId="7A7B29D7" w:rsidR="006B031E" w:rsidRDefault="006B031E" w:rsidP="006B031E">
      <w:pPr>
        <w:pStyle w:val="ListParagraph"/>
        <w:numPr>
          <w:ilvl w:val="0"/>
          <w:numId w:val="5"/>
        </w:numPr>
        <w:spacing w:after="160" w:line="259" w:lineRule="auto"/>
        <w:contextualSpacing/>
      </w:pPr>
      <w:r>
        <w:t xml:space="preserve">Longley, R. 2020. </w:t>
      </w:r>
      <w:r w:rsidRPr="00A24924">
        <w:rPr>
          <w:i/>
          <w:iCs/>
        </w:rPr>
        <w:t>What Is Communitarianism? Definition and Main Theorists</w:t>
      </w:r>
      <w:r>
        <w:t xml:space="preserve">. Available: </w:t>
      </w:r>
      <w:hyperlink r:id="rId38" w:history="1">
        <w:r w:rsidR="00B46B1B" w:rsidRPr="00D05023">
          <w:rPr>
            <w:rStyle w:val="Hyperlink"/>
          </w:rPr>
          <w:t>https://www.thoughtco.com/communitarianism-definition-and-theories-5070063</w:t>
        </w:r>
      </w:hyperlink>
      <w:r w:rsidR="00B46B1B">
        <w:rPr>
          <w:rStyle w:val="Hyperlink"/>
          <w:color w:val="auto"/>
          <w:u w:val="none"/>
        </w:rPr>
        <w:t xml:space="preserve">. </w:t>
      </w:r>
      <w:r w:rsidRPr="00A24924">
        <w:rPr>
          <w:rStyle w:val="Hyperlink"/>
          <w:color w:val="auto"/>
          <w:u w:val="none"/>
        </w:rPr>
        <w:t>(Accessed 13/11/23)</w:t>
      </w:r>
    </w:p>
    <w:p w14:paraId="3559EED9" w14:textId="40BF8B71" w:rsidR="006B031E" w:rsidRPr="002A03F1" w:rsidRDefault="006B031E" w:rsidP="006B031E">
      <w:pPr>
        <w:pStyle w:val="ListParagraph"/>
        <w:numPr>
          <w:ilvl w:val="0"/>
          <w:numId w:val="5"/>
        </w:numPr>
        <w:spacing w:after="160" w:line="259" w:lineRule="auto"/>
        <w:contextualSpacing/>
      </w:pPr>
      <w:r>
        <w:t xml:space="preserve">Madsen, P. (2023). </w:t>
      </w:r>
      <w:r w:rsidRPr="00A24924">
        <w:rPr>
          <w:i/>
          <w:iCs/>
        </w:rPr>
        <w:t>Moral Standing (Ethics).</w:t>
      </w:r>
      <w:r>
        <w:t xml:space="preserve"> Available:</w:t>
      </w:r>
      <w:r w:rsidR="00C904EB">
        <w:t xml:space="preserve"> </w:t>
      </w:r>
      <w:hyperlink r:id="rId39" w:history="1">
        <w:r w:rsidR="00B46B1B" w:rsidRPr="00D05023">
          <w:rPr>
            <w:rStyle w:val="Hyperlink"/>
          </w:rPr>
          <w:t>https://www.britannica.com/topic/moral-standing</w:t>
        </w:r>
      </w:hyperlink>
      <w:r w:rsidR="00B46B1B">
        <w:rPr>
          <w:rStyle w:val="Hyperlink"/>
          <w:color w:val="auto"/>
          <w:u w:val="none"/>
        </w:rPr>
        <w:t xml:space="preserve">. </w:t>
      </w:r>
      <w:r w:rsidRPr="00A24924">
        <w:rPr>
          <w:rStyle w:val="Hyperlink"/>
          <w:color w:val="auto"/>
          <w:u w:val="none"/>
        </w:rPr>
        <w:t>(Accessed 09/11/23)</w:t>
      </w:r>
    </w:p>
    <w:p w14:paraId="562CBD5E" w14:textId="7A9E9106" w:rsidR="006B031E" w:rsidRDefault="006B031E" w:rsidP="006B031E">
      <w:pPr>
        <w:pStyle w:val="ListParagraph"/>
        <w:numPr>
          <w:ilvl w:val="0"/>
          <w:numId w:val="5"/>
        </w:numPr>
        <w:spacing w:after="160" w:line="259" w:lineRule="auto"/>
        <w:contextualSpacing/>
        <w:rPr>
          <w:rStyle w:val="Hyperlink"/>
          <w:color w:val="auto"/>
          <w:u w:val="none"/>
        </w:rPr>
      </w:pPr>
      <w:r>
        <w:t xml:space="preserve">McKinsey &amp; Company. (2023). </w:t>
      </w:r>
      <w:r w:rsidRPr="00A24924">
        <w:rPr>
          <w:i/>
          <w:iCs/>
        </w:rPr>
        <w:t>What is decision making?</w:t>
      </w:r>
      <w:r>
        <w:t xml:space="preserve"> Available: </w:t>
      </w:r>
      <w:hyperlink r:id="rId40" w:history="1">
        <w:r w:rsidR="00B46B1B" w:rsidRPr="00D05023">
          <w:rPr>
            <w:rStyle w:val="Hyperlink"/>
          </w:rPr>
          <w:t>https://www.mckinsey.com/featured-insights/mckinsey-explainers/what-is-decision-making</w:t>
        </w:r>
      </w:hyperlink>
      <w:r w:rsidR="00B46B1B">
        <w:rPr>
          <w:rStyle w:val="Hyperlink"/>
          <w:color w:val="auto"/>
          <w:u w:val="none"/>
        </w:rPr>
        <w:t xml:space="preserve">. </w:t>
      </w:r>
      <w:r w:rsidRPr="00A24924">
        <w:rPr>
          <w:rStyle w:val="Hyperlink"/>
          <w:color w:val="auto"/>
          <w:u w:val="none"/>
        </w:rPr>
        <w:t>(Accessed 09/11/2023)</w:t>
      </w:r>
    </w:p>
    <w:p w14:paraId="11DE4357" w14:textId="16CA1848" w:rsidR="000C5889" w:rsidRDefault="000C5889" w:rsidP="006B031E">
      <w:pPr>
        <w:pStyle w:val="ListParagraph"/>
        <w:numPr>
          <w:ilvl w:val="0"/>
          <w:numId w:val="5"/>
        </w:numPr>
        <w:spacing w:after="160" w:line="259" w:lineRule="auto"/>
        <w:contextualSpacing/>
      </w:pPr>
      <w:r>
        <w:t xml:space="preserve">Stahl, A. (2021). </w:t>
      </w:r>
      <w:r w:rsidRPr="0090219F">
        <w:rPr>
          <w:i/>
          <w:iCs/>
        </w:rPr>
        <w:t>3 benefits of Diversity in the Workplace</w:t>
      </w:r>
      <w:r>
        <w:t xml:space="preserve">. Available: </w:t>
      </w:r>
      <w:hyperlink r:id="rId41" w:history="1">
        <w:r w:rsidRPr="005545BF">
          <w:rPr>
            <w:rStyle w:val="Hyperlink"/>
          </w:rPr>
          <w:t>https://www.forbes.com/sites/ashleystahl/2021/12/17/3-benefits-of-diversity-in-the-workplace/?sh=73f379322ed2</w:t>
        </w:r>
      </w:hyperlink>
      <w:r>
        <w:t xml:space="preserve"> (Accessed 24/11/23)</w:t>
      </w:r>
    </w:p>
    <w:p w14:paraId="0D69A461" w14:textId="77777777" w:rsidR="006B031E" w:rsidRPr="00A24924" w:rsidRDefault="006B031E" w:rsidP="006B031E">
      <w:pPr>
        <w:pStyle w:val="ListParagraph"/>
        <w:numPr>
          <w:ilvl w:val="0"/>
          <w:numId w:val="5"/>
        </w:numPr>
        <w:spacing w:after="160" w:line="259" w:lineRule="auto"/>
        <w:contextualSpacing/>
        <w:rPr>
          <w:rStyle w:val="Hyperlink"/>
          <w:color w:val="auto"/>
          <w:u w:val="none"/>
        </w:rPr>
      </w:pPr>
      <w:r w:rsidRPr="00A24924">
        <w:rPr>
          <w:rStyle w:val="Hyperlink"/>
          <w:color w:val="auto"/>
          <w:u w:val="none"/>
        </w:rPr>
        <w:t xml:space="preserve">Taylor, S. (2019). </w:t>
      </w:r>
      <w:r w:rsidRPr="00A24924">
        <w:rPr>
          <w:rStyle w:val="Hyperlink"/>
          <w:i/>
          <w:iCs/>
          <w:color w:val="auto"/>
          <w:u w:val="none"/>
        </w:rPr>
        <w:t>Resourcing and Talent Management</w:t>
      </w:r>
      <w:r w:rsidRPr="00A24924">
        <w:rPr>
          <w:rStyle w:val="Hyperlink"/>
          <w:color w:val="auto"/>
          <w:u w:val="none"/>
        </w:rPr>
        <w:t>, (Seventh edition). Kogan Page Limited. (</w:t>
      </w:r>
      <w:proofErr w:type="spellStart"/>
      <w:r w:rsidRPr="00A24924">
        <w:rPr>
          <w:rStyle w:val="Hyperlink"/>
          <w:color w:val="auto"/>
          <w:u w:val="none"/>
        </w:rPr>
        <w:t>pg</w:t>
      </w:r>
      <w:proofErr w:type="spellEnd"/>
      <w:r w:rsidRPr="00A24924">
        <w:rPr>
          <w:rStyle w:val="Hyperlink"/>
          <w:color w:val="auto"/>
          <w:u w:val="none"/>
        </w:rPr>
        <w:t xml:space="preserve"> 10-13) </w:t>
      </w:r>
    </w:p>
    <w:p w14:paraId="28D3DFED" w14:textId="3C1EDAA1" w:rsidR="006B031E" w:rsidRPr="00A24924" w:rsidRDefault="006B031E" w:rsidP="006B031E">
      <w:pPr>
        <w:pStyle w:val="ListParagraph"/>
        <w:numPr>
          <w:ilvl w:val="0"/>
          <w:numId w:val="5"/>
        </w:numPr>
        <w:spacing w:after="160" w:line="259" w:lineRule="auto"/>
        <w:contextualSpacing/>
        <w:rPr>
          <w:rStyle w:val="Hyperlink"/>
          <w:color w:val="auto"/>
          <w:u w:val="none"/>
        </w:rPr>
      </w:pPr>
      <w:r>
        <w:t xml:space="preserve">The De Bono Group. (2019). </w:t>
      </w:r>
      <w:r w:rsidRPr="00A24924">
        <w:rPr>
          <w:i/>
          <w:iCs/>
        </w:rPr>
        <w:t>Six Thinking Hats</w:t>
      </w:r>
      <w:r>
        <w:t xml:space="preserve">. Available: </w:t>
      </w:r>
      <w:hyperlink r:id="rId42" w:history="1">
        <w:r w:rsidR="00B46B1B" w:rsidRPr="00D05023">
          <w:rPr>
            <w:rStyle w:val="Hyperlink"/>
          </w:rPr>
          <w:t>https://www.debonogroup.com/services/core-programs/six-thinking-hats/</w:t>
        </w:r>
      </w:hyperlink>
      <w:r w:rsidR="00B46B1B">
        <w:rPr>
          <w:rStyle w:val="Hyperlink"/>
          <w:color w:val="auto"/>
          <w:u w:val="none"/>
        </w:rPr>
        <w:t xml:space="preserve">. </w:t>
      </w:r>
      <w:r w:rsidRPr="00A24924">
        <w:rPr>
          <w:rStyle w:val="Hyperlink"/>
          <w:color w:val="auto"/>
          <w:u w:val="none"/>
        </w:rPr>
        <w:t>(Accessed 12/11/23)</w:t>
      </w:r>
    </w:p>
    <w:p w14:paraId="634253E6" w14:textId="33BB0C3E" w:rsidR="006B031E" w:rsidRDefault="006B031E" w:rsidP="006B031E">
      <w:pPr>
        <w:pStyle w:val="ListParagraph"/>
        <w:numPr>
          <w:ilvl w:val="0"/>
          <w:numId w:val="5"/>
        </w:numPr>
        <w:spacing w:after="160" w:line="259" w:lineRule="auto"/>
        <w:contextualSpacing/>
      </w:pPr>
      <w:proofErr w:type="spellStart"/>
      <w:r>
        <w:lastRenderedPageBreak/>
        <w:t>UpstartHR</w:t>
      </w:r>
      <w:proofErr w:type="spellEnd"/>
      <w:r>
        <w:t xml:space="preserve">. (2017). </w:t>
      </w:r>
      <w:r w:rsidRPr="00B46B1B">
        <w:t>Get a clue: The Value of an Evidence-Based Approach to HR.</w:t>
      </w:r>
      <w:r>
        <w:t xml:space="preserve"> Available: </w:t>
      </w:r>
      <w:hyperlink r:id="rId43" w:history="1">
        <w:r w:rsidR="00B46B1B" w:rsidRPr="00D05023">
          <w:rPr>
            <w:rStyle w:val="Hyperlink"/>
          </w:rPr>
          <w:t>https://upstarthr.com/3-examples-evidence-based-hr/</w:t>
        </w:r>
      </w:hyperlink>
      <w:r w:rsidR="00B46B1B">
        <w:rPr>
          <w:rStyle w:val="Hyperlink"/>
          <w:color w:val="auto"/>
          <w:u w:val="none"/>
        </w:rPr>
        <w:t xml:space="preserve">. </w:t>
      </w:r>
      <w:r w:rsidRPr="00A24924">
        <w:rPr>
          <w:rStyle w:val="Hyperlink"/>
          <w:color w:val="auto"/>
          <w:u w:val="none"/>
        </w:rPr>
        <w:t>(Accessed 03/11/23)</w:t>
      </w:r>
    </w:p>
    <w:p w14:paraId="02997F5E" w14:textId="77777777" w:rsidR="006B031E" w:rsidRDefault="006B031E" w:rsidP="006B031E">
      <w:pPr>
        <w:pStyle w:val="ListParagraph"/>
        <w:numPr>
          <w:ilvl w:val="0"/>
          <w:numId w:val="5"/>
        </w:numPr>
        <w:spacing w:after="160" w:line="259" w:lineRule="auto"/>
        <w:contextualSpacing/>
      </w:pPr>
      <w:r>
        <w:t xml:space="preserve">Waite, K. </w:t>
      </w:r>
      <w:r w:rsidRPr="00A24924">
        <w:rPr>
          <w:i/>
          <w:iCs/>
        </w:rPr>
        <w:t>et al.</w:t>
      </w:r>
      <w:r>
        <w:t xml:space="preserve"> (2021). </w:t>
      </w:r>
      <w:r w:rsidRPr="00A24924">
        <w:rPr>
          <w:i/>
          <w:iCs/>
        </w:rPr>
        <w:t>People Practice: A complete guide.</w:t>
      </w:r>
      <w:r>
        <w:t xml:space="preserve"> Kogan Page. (Pg 61-63)</w:t>
      </w:r>
    </w:p>
    <w:p w14:paraId="4789DEEE" w14:textId="46CE8E20" w:rsidR="000C5889" w:rsidRDefault="000C5889" w:rsidP="006B031E">
      <w:pPr>
        <w:pStyle w:val="ListParagraph"/>
        <w:numPr>
          <w:ilvl w:val="0"/>
          <w:numId w:val="5"/>
        </w:numPr>
        <w:spacing w:after="160" w:line="259" w:lineRule="auto"/>
        <w:contextualSpacing/>
      </w:pPr>
      <w:r>
        <w:t xml:space="preserve">Wild, S. (2023). </w:t>
      </w:r>
      <w:r w:rsidRPr="0090219F">
        <w:rPr>
          <w:i/>
          <w:iCs/>
        </w:rPr>
        <w:t xml:space="preserve">Gender </w:t>
      </w:r>
      <w:proofErr w:type="gramStart"/>
      <w:r w:rsidRPr="0090219F">
        <w:rPr>
          <w:i/>
          <w:iCs/>
        </w:rPr>
        <w:t>pay</w:t>
      </w:r>
      <w:proofErr w:type="gramEnd"/>
      <w:r w:rsidRPr="0090219F">
        <w:rPr>
          <w:i/>
          <w:iCs/>
        </w:rPr>
        <w:t xml:space="preserve"> gap reporting guide.</w:t>
      </w:r>
      <w:r>
        <w:t xml:space="preserve"> Available: </w:t>
      </w:r>
      <w:hyperlink r:id="rId44" w:history="1">
        <w:r w:rsidRPr="005545BF">
          <w:rPr>
            <w:rStyle w:val="Hyperlink"/>
          </w:rPr>
          <w:t>https://www.cipd.org/uk/knowledge/guides/gender-pay-gap-reporting-guide?_gl=1*1nyxe64*_ga*MTYyOTA5MDQzNi4xNjc4MzcwNzg0*_ga_D9HN5GYHYY*MTY5NjI2NDI0Ni43MC4xLjE2OTYyMzY1MjMuNjAuMC4w</w:t>
        </w:r>
      </w:hyperlink>
      <w:r>
        <w:t xml:space="preserve"> (Accessed 23/11/23)</w:t>
      </w:r>
    </w:p>
    <w:p w14:paraId="55B7E056" w14:textId="77777777" w:rsidR="006B031E" w:rsidRPr="007D37A5" w:rsidRDefault="006B031E" w:rsidP="006B031E"/>
    <w:p w14:paraId="2774B06A" w14:textId="77777777" w:rsidR="006B031E" w:rsidRPr="00EB0ED2" w:rsidRDefault="006B031E">
      <w:pPr>
        <w:rPr>
          <w:rFonts w:cstheme="minorHAnsi"/>
        </w:rPr>
      </w:pPr>
    </w:p>
    <w:sectPr w:rsidR="006B031E" w:rsidRPr="00EB0E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27477"/>
    <w:multiLevelType w:val="hybridMultilevel"/>
    <w:tmpl w:val="E48669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2A2581"/>
    <w:multiLevelType w:val="hybridMultilevel"/>
    <w:tmpl w:val="E1A61E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3" w15:restartNumberingAfterBreak="0">
    <w:nsid w:val="3571013C"/>
    <w:multiLevelType w:val="hybridMultilevel"/>
    <w:tmpl w:val="F2F40DC2"/>
    <w:lvl w:ilvl="0" w:tplc="44524E8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7C6D2F9C"/>
    <w:multiLevelType w:val="multilevel"/>
    <w:tmpl w:val="44BA1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2688231">
    <w:abstractNumId w:val="2"/>
  </w:num>
  <w:num w:numId="2" w16cid:durableId="2118256732">
    <w:abstractNumId w:val="4"/>
  </w:num>
  <w:num w:numId="3" w16cid:durableId="1390954612">
    <w:abstractNumId w:val="5"/>
  </w:num>
  <w:num w:numId="4" w16cid:durableId="2123106617">
    <w:abstractNumId w:val="0"/>
  </w:num>
  <w:num w:numId="5" w16cid:durableId="209920796">
    <w:abstractNumId w:val="1"/>
  </w:num>
  <w:num w:numId="6" w16cid:durableId="20688450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61088"/>
    <w:rsid w:val="0005520E"/>
    <w:rsid w:val="000C5889"/>
    <w:rsid w:val="00130FE5"/>
    <w:rsid w:val="001F6B2C"/>
    <w:rsid w:val="00203A9B"/>
    <w:rsid w:val="002A64B4"/>
    <w:rsid w:val="002E5E46"/>
    <w:rsid w:val="00301B47"/>
    <w:rsid w:val="003542B3"/>
    <w:rsid w:val="00425931"/>
    <w:rsid w:val="00425A3C"/>
    <w:rsid w:val="0042663D"/>
    <w:rsid w:val="004775CB"/>
    <w:rsid w:val="004A1E11"/>
    <w:rsid w:val="004E5014"/>
    <w:rsid w:val="004E507E"/>
    <w:rsid w:val="004E7CBF"/>
    <w:rsid w:val="00511C47"/>
    <w:rsid w:val="005307D2"/>
    <w:rsid w:val="0055001E"/>
    <w:rsid w:val="0060003A"/>
    <w:rsid w:val="00630740"/>
    <w:rsid w:val="006B031E"/>
    <w:rsid w:val="0070537B"/>
    <w:rsid w:val="00762915"/>
    <w:rsid w:val="00784BFA"/>
    <w:rsid w:val="007F59D7"/>
    <w:rsid w:val="00810254"/>
    <w:rsid w:val="00840069"/>
    <w:rsid w:val="00885EC3"/>
    <w:rsid w:val="008916A1"/>
    <w:rsid w:val="008950BF"/>
    <w:rsid w:val="00905BB9"/>
    <w:rsid w:val="009452B0"/>
    <w:rsid w:val="009715A8"/>
    <w:rsid w:val="00971F20"/>
    <w:rsid w:val="009E5B7E"/>
    <w:rsid w:val="009F4019"/>
    <w:rsid w:val="00A050A7"/>
    <w:rsid w:val="00A06CFF"/>
    <w:rsid w:val="00A21A67"/>
    <w:rsid w:val="00A31521"/>
    <w:rsid w:val="00A37BA1"/>
    <w:rsid w:val="00A4385A"/>
    <w:rsid w:val="00AC1B60"/>
    <w:rsid w:val="00AC41A7"/>
    <w:rsid w:val="00AE31B3"/>
    <w:rsid w:val="00AF75A0"/>
    <w:rsid w:val="00B46B1B"/>
    <w:rsid w:val="00B604D0"/>
    <w:rsid w:val="00B97413"/>
    <w:rsid w:val="00BD305C"/>
    <w:rsid w:val="00BD414C"/>
    <w:rsid w:val="00C03F10"/>
    <w:rsid w:val="00C05C45"/>
    <w:rsid w:val="00C322E6"/>
    <w:rsid w:val="00C57559"/>
    <w:rsid w:val="00C61088"/>
    <w:rsid w:val="00C904EB"/>
    <w:rsid w:val="00D818AF"/>
    <w:rsid w:val="00DA32B0"/>
    <w:rsid w:val="00DB1A55"/>
    <w:rsid w:val="00EB0ED2"/>
    <w:rsid w:val="00EE7DE7"/>
    <w:rsid w:val="00EF21E7"/>
    <w:rsid w:val="00F5070D"/>
    <w:rsid w:val="00FE5D3D"/>
    <w:rsid w:val="00FF3F9B"/>
    <w:rsid w:val="00FF47AB"/>
    <w:rsid w:val="00FF6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36CD0"/>
  <w15:docId w15:val="{5D898A38-7566-436E-A60D-D5289A99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03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03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61088"/>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C61088"/>
    <w:rPr>
      <w:rFonts w:ascii="Arial" w:eastAsia="Arial" w:hAnsi="Arial" w:cs="Arial"/>
      <w:kern w:val="0"/>
      <w14:ligatures w14:val="none"/>
    </w:rPr>
  </w:style>
  <w:style w:type="paragraph" w:styleId="ListParagraph">
    <w:name w:val="List Paragraph"/>
    <w:basedOn w:val="Normal"/>
    <w:link w:val="ListParagraphChar"/>
    <w:uiPriority w:val="34"/>
    <w:qFormat/>
    <w:rsid w:val="00C61088"/>
    <w:pPr>
      <w:numPr>
        <w:numId w:val="2"/>
      </w:numPr>
      <w:spacing w:after="120" w:line="264" w:lineRule="auto"/>
    </w:pPr>
    <w:rPr>
      <w:rFonts w:ascii="Arial" w:eastAsia="Times New Roman" w:hAnsi="Arial" w:cs="Arial"/>
      <w:kern w:val="0"/>
      <w:szCs w:val="24"/>
      <w:lang w:eastAsia="en-GB"/>
      <w14:ligatures w14:val="none"/>
    </w:rPr>
  </w:style>
  <w:style w:type="character" w:customStyle="1" w:styleId="ListParagraphChar">
    <w:name w:val="List Paragraph Char"/>
    <w:basedOn w:val="DefaultParagraphFont"/>
    <w:link w:val="ListParagraph"/>
    <w:uiPriority w:val="1"/>
    <w:rsid w:val="00C61088"/>
    <w:rPr>
      <w:rFonts w:ascii="Arial" w:eastAsia="Times New Roman" w:hAnsi="Arial" w:cs="Arial"/>
      <w:kern w:val="0"/>
      <w:szCs w:val="24"/>
      <w:lang w:eastAsia="en-GB"/>
      <w14:ligatures w14:val="none"/>
    </w:rPr>
  </w:style>
  <w:style w:type="character" w:styleId="Hyperlink">
    <w:name w:val="Hyperlink"/>
    <w:basedOn w:val="DefaultParagraphFont"/>
    <w:uiPriority w:val="99"/>
    <w:unhideWhenUsed/>
    <w:rsid w:val="00C57559"/>
    <w:rPr>
      <w:color w:val="0000FF"/>
      <w:u w:val="single"/>
    </w:rPr>
  </w:style>
  <w:style w:type="table" w:styleId="TableGrid">
    <w:name w:val="Table Grid"/>
    <w:basedOn w:val="TableNormal"/>
    <w:uiPriority w:val="39"/>
    <w:rsid w:val="007053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B031E"/>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6B031E"/>
    <w:rPr>
      <w:color w:val="954F72" w:themeColor="followedHyperlink"/>
      <w:u w:val="single"/>
    </w:rPr>
  </w:style>
  <w:style w:type="character" w:customStyle="1" w:styleId="Heading2Char">
    <w:name w:val="Heading 2 Char"/>
    <w:basedOn w:val="DefaultParagraphFont"/>
    <w:link w:val="Heading2"/>
    <w:uiPriority w:val="9"/>
    <w:rsid w:val="006B031E"/>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C904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68202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hyperlink" Target="https://www.bbc.co.uk/ethics/introduction/consequentialism_1.shtml" TargetMode="External"/><Relationship Id="rId18" Type="http://schemas.openxmlformats.org/officeDocument/2006/relationships/hyperlink" Target="https://www.cipd.org/uk/knowledge/podcasts/purpose-and-value-of-hr/" TargetMode="External"/><Relationship Id="rId26" Type="http://schemas.openxmlformats.org/officeDocument/2006/relationships/hyperlink" Target="https://www.cipd.org/uk/knowledge/podcasts/critical-thinking/" TargetMode="External"/><Relationship Id="rId39" Type="http://schemas.openxmlformats.org/officeDocument/2006/relationships/hyperlink" Target="https://www.britannica.com/topic/moral-standing" TargetMode="External"/><Relationship Id="rId3" Type="http://schemas.openxmlformats.org/officeDocument/2006/relationships/settings" Target="settings.xml"/><Relationship Id="rId21" Type="http://schemas.openxmlformats.org/officeDocument/2006/relationships/hyperlink" Target="https://www.cipd.org/uk/knowledge/guides/inclusive-employers/" TargetMode="External"/><Relationship Id="rId34" Type="http://schemas.openxmlformats.org/officeDocument/2006/relationships/hyperlink" Target="https://www.ed.ac.uk/institute-academic-development/study-hub/learning-resources/critical" TargetMode="External"/><Relationship Id="rId42" Type="http://schemas.openxmlformats.org/officeDocument/2006/relationships/hyperlink" Target="https://www.debonogroup.com/services/core-programs/six-thinking-hats/" TargetMode="External"/><Relationship Id="rId7" Type="http://schemas.openxmlformats.org/officeDocument/2006/relationships/chart" Target="charts/chart3.xml"/><Relationship Id="rId12" Type="http://schemas.openxmlformats.org/officeDocument/2006/relationships/hyperlink" Target="https://www.bbc.co.uk/ethics/introduction/consequentialism_1.shtml" TargetMode="External"/><Relationship Id="rId17" Type="http://schemas.openxmlformats.org/officeDocument/2006/relationships/hyperlink" Target="https://pestleanalysis.com/pestle-analysis-explained-with-examples/" TargetMode="External"/><Relationship Id="rId25" Type="http://schemas.openxmlformats.org/officeDocument/2006/relationships/hyperlink" Target="https://www.managers.org.uk/knowledge-and-insights/resource/decision-making/" TargetMode="External"/><Relationship Id="rId33" Type="http://schemas.openxmlformats.org/officeDocument/2006/relationships/hyperlink" Target="https://hrmhandbook.com/core/critical-thinking/" TargetMode="External"/><Relationship Id="rId38" Type="http://schemas.openxmlformats.org/officeDocument/2006/relationships/hyperlink" Target="https://www.thoughtco.com/communitarianism-definition-and-theories-5070063"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ibob.com/guides/metrics-that-matter/" TargetMode="External"/><Relationship Id="rId20" Type="http://schemas.openxmlformats.org/officeDocument/2006/relationships/hyperlink" Target="https://www.cipd.org/globalassets/media/knowledge/the-people-profession/latest-updates/hybrid-working-practical-guidance-2021_tcm18-103709.pdf" TargetMode="External"/><Relationship Id="rId29" Type="http://schemas.openxmlformats.org/officeDocument/2006/relationships/hyperlink" Target="https://www.forbes.com/sites/forbescoachescouncil/2018/05/01/why-you-mistakenly-hire-people-just-like-you/" TargetMode="External"/><Relationship Id="rId41" Type="http://schemas.openxmlformats.org/officeDocument/2006/relationships/hyperlink" Target="https://www.forbes.com/sites/ashleystahl/2021/12/17/3-benefits-of-diversity-in-the-workplace/?sh=73f379322ed2" TargetMode="Externa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hyperlink" Target="https://cebma.org/wp-content/uploads/Evidence-Based-Practice-The-Basic-Principles.pdf" TargetMode="External"/><Relationship Id="rId24" Type="http://schemas.openxmlformats.org/officeDocument/2006/relationships/hyperlink" Target="https://www.cipd.org/globalassets/media/knowledge/knowledge-hub/reports/ethical-decision-making-2015-eight-perspectives-on-workplace-dilemmas_tcm18-9564.pdf" TargetMode="External"/><Relationship Id="rId32" Type="http://schemas.openxmlformats.org/officeDocument/2006/relationships/hyperlink" Target="https://alvinhermanto.medium.com/problem-framing-what-it-is-and-how-to-write-a-problem-statement-401720cd5a41" TargetMode="External"/><Relationship Id="rId37" Type="http://schemas.openxmlformats.org/officeDocument/2006/relationships/hyperlink" Target="https://hbr.org/2017/03/teams-solve-problems-faster-when-theyre-more-cognitively-diverse" TargetMode="External"/><Relationship Id="rId40" Type="http://schemas.openxmlformats.org/officeDocument/2006/relationships/hyperlink" Target="https://www.mckinsey.com/featured-insights/mckinsey-explainers/what-is-decision-making" TargetMode="External"/><Relationship Id="rId45" Type="http://schemas.openxmlformats.org/officeDocument/2006/relationships/fontTable" Target="fontTable.xml"/><Relationship Id="rId5" Type="http://schemas.openxmlformats.org/officeDocument/2006/relationships/chart" Target="charts/chart1.xml"/><Relationship Id="rId15" Type="http://schemas.openxmlformats.org/officeDocument/2006/relationships/hyperlink" Target="https://www.aihr.com/blog/evidence-based-hr/" TargetMode="External"/><Relationship Id="rId23" Type="http://schemas.openxmlformats.org/officeDocument/2006/relationships/hyperlink" Target="https://www.cipd.org/uk/knowledge/factsheets/pestle-analysis-factsheet/" TargetMode="External"/><Relationship Id="rId28" Type="http://schemas.openxmlformats.org/officeDocument/2006/relationships/hyperlink" Target="https://www.britannica.com/topic/utilitarianism-philosophy" TargetMode="External"/><Relationship Id="rId36" Type="http://schemas.openxmlformats.org/officeDocument/2006/relationships/hyperlink" Target="https://www.aihr.com/blog/how-to-measure-hr-effectiveness/" TargetMode="External"/><Relationship Id="rId10" Type="http://schemas.openxmlformats.org/officeDocument/2006/relationships/hyperlink" Target="https://www.acas.org.uk/health-safety-and-wellbeing-when-working-from-home/mental-and-physical-health" TargetMode="External"/><Relationship Id="rId19" Type="http://schemas.openxmlformats.org/officeDocument/2006/relationships/hyperlink" Target="https://www.cipd.org/uk/knowledge/factsheets/evidence-based-practice-factsheet/" TargetMode="External"/><Relationship Id="rId31" Type="http://schemas.openxmlformats.org/officeDocument/2006/relationships/hyperlink" Target="https://www.apqc.org/blog/what-are-four-types-benchmarking" TargetMode="External"/><Relationship Id="rId44" Type="http://schemas.openxmlformats.org/officeDocument/2006/relationships/hyperlink" Target="https://www.cipd.org/uk/knowledge/guides/gender-pay-gap-reporting-guide?_gl=1*1nyxe64*_ga*MTYyOTA5MDQzNi4xNjc4MzcwNzg0*_ga_D9HN5GYHYY*MTY5NjI2NDI0Ni43MC4xLjE2OTYyMzY1MjMuNjAuMC4w" TargetMode="Externa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hyperlink" Target="https://www.forbes.com/advisor/investing/roi-return-on-investment/" TargetMode="External"/><Relationship Id="rId22" Type="http://schemas.openxmlformats.org/officeDocument/2006/relationships/hyperlink" Target="https://www.cipd.org/uk/knowledge/guides/remote-working-line-manager-guide/#why-is-it-important-for-managers-to-consider-how-they-manage-remote-and-hybrid-workers" TargetMode="External"/><Relationship Id="rId27" Type="http://schemas.openxmlformats.org/officeDocument/2006/relationships/hyperlink" Target="https://www.cipd.org/uk/knowledge/factsheets/pay-structures-factsheet/" TargetMode="External"/><Relationship Id="rId30" Type="http://schemas.openxmlformats.org/officeDocument/2006/relationships/hyperlink" Target="https://www.cipd.org/uk/knowledge/factsheets/ethics-role-hr-factsheet/" TargetMode="External"/><Relationship Id="rId35" Type="http://schemas.openxmlformats.org/officeDocument/2006/relationships/hyperlink" Target="https://knowledge.wharton.upenn.edu/podcast/knowledge-at-wharton-podcast/non-financial-performance-measures-what-works-and-what-doesnt/" TargetMode="External"/><Relationship Id="rId43" Type="http://schemas.openxmlformats.org/officeDocument/2006/relationships/hyperlink" Target="https://upstarthr.com/3-examples-evidence-based-hr/"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awnmeats.local\userprofiles\Crosshands\Carly.Price\Documents\Carly\CIPD\Level%205\Copy%20of%20General%20Employee%20Data%20-%20set%201%2024NOV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awnmeats.local\userprofiles\Crosshands\Carly.Price\Documents\Carly\CIPD\Level%205\Copy%20of%20General%20Employee%20Data%20-%20set%201%2024NOV2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awnmeats.local\userprofiles\Crosshands\Carly.Price\Documents\Carly\CIPD\Level%205\Copy%20of%20General%20Employee%20Data%20-%20set%201%2024NOV2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awnmeats.local\userprofiles\Crosshands\Carly.Price\Documents\Carly\CIPD\Level%205\Copy%20of%20General%20Employee%20Data%20-%20set%201%2024NOV2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awnmeats.local\userprofiles\Crosshands\Carly.Price\Documents\Carly\CIPD\Level%205\Copy%20of%20General%20Employee%20Data%20-%20set%201%2024NOV23.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Percentage</a:t>
            </a:r>
            <a:r>
              <a:rPr lang="en-GB" baseline="0"/>
              <a:t> of gender by type</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524-4F7D-8C00-EBB6E9D3F6D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524-4F7D-8C00-EBB6E9D3F6D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524-4F7D-8C00-EBB6E9D3F6D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'Fictional general employee data'!$K$12:$K$14</c:f>
              <c:strCache>
                <c:ptCount val="3"/>
                <c:pt idx="0">
                  <c:v>Female</c:v>
                </c:pt>
                <c:pt idx="1">
                  <c:v>Male</c:v>
                </c:pt>
                <c:pt idx="2">
                  <c:v>Non-binary</c:v>
                </c:pt>
              </c:strCache>
            </c:strRef>
          </c:cat>
          <c:val>
            <c:numRef>
              <c:f>'Fictional general employee data'!$L$12:$L$14</c:f>
              <c:numCache>
                <c:formatCode>General</c:formatCode>
                <c:ptCount val="3"/>
                <c:pt idx="0">
                  <c:v>118</c:v>
                </c:pt>
                <c:pt idx="1">
                  <c:v>140</c:v>
                </c:pt>
                <c:pt idx="2">
                  <c:v>2</c:v>
                </c:pt>
              </c:numCache>
            </c:numRef>
          </c:val>
          <c:extLst>
            <c:ext xmlns:c16="http://schemas.microsoft.com/office/drawing/2014/chart" uri="{C3380CC4-5D6E-409C-BE32-E72D297353CC}">
              <c16:uniqueId val="{00000006-F524-4F7D-8C00-EBB6E9D3F6D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General Employee Data - set 1 24NOV23.xlsx]Sheet2!PivotTable7</c:name>
    <c:fmtId val="-1"/>
  </c:pivotSource>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Ethnicity</a:t>
            </a:r>
            <a:r>
              <a:rPr lang="en-GB" baseline="0"/>
              <a:t> percentage per team</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ivotFmts>
      <c:pivotFmt>
        <c:idx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w="9525">
              <a:solidFill>
                <a:schemeClr val="accent3"/>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w="9525">
              <a:solidFill>
                <a:schemeClr val="accent4"/>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w="9525">
              <a:solidFill>
                <a:schemeClr val="accent5"/>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w="9525">
              <a:solidFill>
                <a:schemeClr val="accent6"/>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w="9525">
              <a:solidFill>
                <a:schemeClr val="accent1">
                  <a:lumMod val="60000"/>
                </a:schemeClr>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w="9525">
              <a:solidFill>
                <a:schemeClr val="accent2">
                  <a:lumMod val="60000"/>
                </a:schemeClr>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w="9525">
              <a:solidFill>
                <a:schemeClr val="accent3">
                  <a:lumMod val="60000"/>
                </a:schemeClr>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w="9525">
              <a:solidFill>
                <a:schemeClr val="accent4">
                  <a:lumMod val="60000"/>
                </a:schemeClr>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8"/>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9"/>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percentStacked"/>
        <c:varyColors val="0"/>
        <c:ser>
          <c:idx val="0"/>
          <c:order val="0"/>
          <c:tx>
            <c:strRef>
              <c:f>Sheet2!$B$36:$B$37</c:f>
              <c:strCache>
                <c:ptCount val="1"/>
                <c:pt idx="0">
                  <c:v>Asian - Bangladesh</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Sheet2!$A$38:$A$56</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Sheet2!$B$38:$B$56</c:f>
              <c:numCache>
                <c:formatCode>General</c:formatCode>
                <c:ptCount val="18"/>
                <c:pt idx="8">
                  <c:v>1</c:v>
                </c:pt>
              </c:numCache>
            </c:numRef>
          </c:val>
          <c:extLst>
            <c:ext xmlns:c16="http://schemas.microsoft.com/office/drawing/2014/chart" uri="{C3380CC4-5D6E-409C-BE32-E72D297353CC}">
              <c16:uniqueId val="{00000000-7631-4946-97C1-03D26B594AA9}"/>
            </c:ext>
          </c:extLst>
        </c:ser>
        <c:ser>
          <c:idx val="1"/>
          <c:order val="1"/>
          <c:tx>
            <c:strRef>
              <c:f>Sheet2!$C$36:$C$37</c:f>
              <c:strCache>
                <c:ptCount val="1"/>
                <c:pt idx="0">
                  <c:v>Black - Other</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Sheet2!$A$38:$A$56</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Sheet2!$C$38:$C$56</c:f>
              <c:numCache>
                <c:formatCode>General</c:formatCode>
                <c:ptCount val="18"/>
                <c:pt idx="5">
                  <c:v>1</c:v>
                </c:pt>
                <c:pt idx="10">
                  <c:v>1</c:v>
                </c:pt>
              </c:numCache>
            </c:numRef>
          </c:val>
          <c:extLst>
            <c:ext xmlns:c16="http://schemas.microsoft.com/office/drawing/2014/chart" uri="{C3380CC4-5D6E-409C-BE32-E72D297353CC}">
              <c16:uniqueId val="{00000001-7631-4946-97C1-03D26B594AA9}"/>
            </c:ext>
          </c:extLst>
        </c:ser>
        <c:ser>
          <c:idx val="2"/>
          <c:order val="2"/>
          <c:tx>
            <c:strRef>
              <c:f>Sheet2!$D$36:$D$37</c:f>
              <c:strCache>
                <c:ptCount val="1"/>
                <c:pt idx="0">
                  <c:v>Chinese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Sheet2!$A$38:$A$56</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Sheet2!$D$38:$D$56</c:f>
              <c:numCache>
                <c:formatCode>General</c:formatCode>
                <c:ptCount val="18"/>
                <c:pt idx="2">
                  <c:v>1</c:v>
                </c:pt>
                <c:pt idx="13">
                  <c:v>1</c:v>
                </c:pt>
              </c:numCache>
            </c:numRef>
          </c:val>
          <c:extLst>
            <c:ext xmlns:c16="http://schemas.microsoft.com/office/drawing/2014/chart" uri="{C3380CC4-5D6E-409C-BE32-E72D297353CC}">
              <c16:uniqueId val="{00000002-7631-4946-97C1-03D26B594AA9}"/>
            </c:ext>
          </c:extLst>
        </c:ser>
        <c:ser>
          <c:idx val="3"/>
          <c:order val="3"/>
          <c:tx>
            <c:strRef>
              <c:f>Sheet2!$E$36:$E$37</c:f>
              <c:strCache>
                <c:ptCount val="1"/>
                <c:pt idx="0">
                  <c:v>Indian</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Sheet2!$A$38:$A$56</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Sheet2!$E$38:$E$56</c:f>
              <c:numCache>
                <c:formatCode>General</c:formatCode>
                <c:ptCount val="18"/>
                <c:pt idx="1">
                  <c:v>1</c:v>
                </c:pt>
                <c:pt idx="3">
                  <c:v>1</c:v>
                </c:pt>
                <c:pt idx="5">
                  <c:v>1</c:v>
                </c:pt>
                <c:pt idx="6">
                  <c:v>1</c:v>
                </c:pt>
              </c:numCache>
            </c:numRef>
          </c:val>
          <c:extLst>
            <c:ext xmlns:c16="http://schemas.microsoft.com/office/drawing/2014/chart" uri="{C3380CC4-5D6E-409C-BE32-E72D297353CC}">
              <c16:uniqueId val="{00000003-7631-4946-97C1-03D26B594AA9}"/>
            </c:ext>
          </c:extLst>
        </c:ser>
        <c:ser>
          <c:idx val="4"/>
          <c:order val="4"/>
          <c:tx>
            <c:strRef>
              <c:f>Sheet2!$F$36:$F$37</c:f>
              <c:strCache>
                <c:ptCount val="1"/>
                <c:pt idx="0">
                  <c:v>Mixed - Other</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Sheet2!$A$38:$A$56</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Sheet2!$F$38:$F$56</c:f>
              <c:numCache>
                <c:formatCode>General</c:formatCode>
                <c:ptCount val="18"/>
                <c:pt idx="1">
                  <c:v>1</c:v>
                </c:pt>
              </c:numCache>
            </c:numRef>
          </c:val>
          <c:extLst>
            <c:ext xmlns:c16="http://schemas.microsoft.com/office/drawing/2014/chart" uri="{C3380CC4-5D6E-409C-BE32-E72D297353CC}">
              <c16:uniqueId val="{00000004-7631-4946-97C1-03D26B594AA9}"/>
            </c:ext>
          </c:extLst>
        </c:ser>
        <c:ser>
          <c:idx val="5"/>
          <c:order val="5"/>
          <c:tx>
            <c:strRef>
              <c:f>Sheet2!$G$36:$G$37</c:f>
              <c:strCache>
                <c:ptCount val="1"/>
                <c:pt idx="0">
                  <c:v>Pakistani</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Sheet2!$A$38:$A$56</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Sheet2!$G$38:$G$56</c:f>
              <c:numCache>
                <c:formatCode>General</c:formatCode>
                <c:ptCount val="18"/>
                <c:pt idx="2">
                  <c:v>2</c:v>
                </c:pt>
                <c:pt idx="14">
                  <c:v>1</c:v>
                </c:pt>
              </c:numCache>
            </c:numRef>
          </c:val>
          <c:extLst>
            <c:ext xmlns:c16="http://schemas.microsoft.com/office/drawing/2014/chart" uri="{C3380CC4-5D6E-409C-BE32-E72D297353CC}">
              <c16:uniqueId val="{00000005-7631-4946-97C1-03D26B594AA9}"/>
            </c:ext>
          </c:extLst>
        </c:ser>
        <c:ser>
          <c:idx val="6"/>
          <c:order val="6"/>
          <c:tx>
            <c:strRef>
              <c:f>Sheet2!$H$36:$H$37</c:f>
              <c:strCache>
                <c:ptCount val="1"/>
                <c:pt idx="0">
                  <c:v>White and Black Caribbean</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Sheet2!$A$38:$A$56</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Sheet2!$H$38:$H$56</c:f>
              <c:numCache>
                <c:formatCode>General</c:formatCode>
                <c:ptCount val="18"/>
                <c:pt idx="1">
                  <c:v>1</c:v>
                </c:pt>
                <c:pt idx="8">
                  <c:v>1</c:v>
                </c:pt>
                <c:pt idx="16">
                  <c:v>1</c:v>
                </c:pt>
              </c:numCache>
            </c:numRef>
          </c:val>
          <c:extLst>
            <c:ext xmlns:c16="http://schemas.microsoft.com/office/drawing/2014/chart" uri="{C3380CC4-5D6E-409C-BE32-E72D297353CC}">
              <c16:uniqueId val="{00000006-7631-4946-97C1-03D26B594AA9}"/>
            </c:ext>
          </c:extLst>
        </c:ser>
        <c:ser>
          <c:idx val="7"/>
          <c:order val="7"/>
          <c:tx>
            <c:strRef>
              <c:f>Sheet2!$I$36:$I$37</c:f>
              <c:strCache>
                <c:ptCount val="1"/>
                <c:pt idx="0">
                  <c:v>White British</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Sheet2!$A$38:$A$56</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Sheet2!$I$38:$I$56</c:f>
              <c:numCache>
                <c:formatCode>General</c:formatCode>
                <c:ptCount val="18"/>
                <c:pt idx="0">
                  <c:v>7</c:v>
                </c:pt>
                <c:pt idx="1">
                  <c:v>4</c:v>
                </c:pt>
                <c:pt idx="2">
                  <c:v>12</c:v>
                </c:pt>
                <c:pt idx="3">
                  <c:v>4</c:v>
                </c:pt>
                <c:pt idx="4">
                  <c:v>2</c:v>
                </c:pt>
                <c:pt idx="5">
                  <c:v>8</c:v>
                </c:pt>
                <c:pt idx="6">
                  <c:v>2</c:v>
                </c:pt>
                <c:pt idx="7">
                  <c:v>11</c:v>
                </c:pt>
                <c:pt idx="8">
                  <c:v>16</c:v>
                </c:pt>
                <c:pt idx="9">
                  <c:v>17</c:v>
                </c:pt>
                <c:pt idx="10">
                  <c:v>8</c:v>
                </c:pt>
                <c:pt idx="11">
                  <c:v>10</c:v>
                </c:pt>
                <c:pt idx="12">
                  <c:v>4</c:v>
                </c:pt>
                <c:pt idx="13">
                  <c:v>10</c:v>
                </c:pt>
                <c:pt idx="14">
                  <c:v>98</c:v>
                </c:pt>
                <c:pt idx="15">
                  <c:v>5</c:v>
                </c:pt>
                <c:pt idx="16">
                  <c:v>10</c:v>
                </c:pt>
                <c:pt idx="17">
                  <c:v>9</c:v>
                </c:pt>
              </c:numCache>
            </c:numRef>
          </c:val>
          <c:extLst>
            <c:ext xmlns:c16="http://schemas.microsoft.com/office/drawing/2014/chart" uri="{C3380CC4-5D6E-409C-BE32-E72D297353CC}">
              <c16:uniqueId val="{00000007-7631-4946-97C1-03D26B594AA9}"/>
            </c:ext>
          </c:extLst>
        </c:ser>
        <c:ser>
          <c:idx val="8"/>
          <c:order val="8"/>
          <c:tx>
            <c:strRef>
              <c:f>Sheet2!$J$36:$J$37</c:f>
              <c:strCache>
                <c:ptCount val="1"/>
                <c:pt idx="0">
                  <c:v>White Irish</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Sheet2!$A$38:$A$56</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Sheet2!$J$38:$J$56</c:f>
              <c:numCache>
                <c:formatCode>General</c:formatCode>
                <c:ptCount val="18"/>
                <c:pt idx="0">
                  <c:v>1</c:v>
                </c:pt>
                <c:pt idx="9">
                  <c:v>1</c:v>
                </c:pt>
              </c:numCache>
            </c:numRef>
          </c:val>
          <c:extLst>
            <c:ext xmlns:c16="http://schemas.microsoft.com/office/drawing/2014/chart" uri="{C3380CC4-5D6E-409C-BE32-E72D297353CC}">
              <c16:uniqueId val="{00000008-7631-4946-97C1-03D26B594AA9}"/>
            </c:ext>
          </c:extLst>
        </c:ser>
        <c:ser>
          <c:idx val="9"/>
          <c:order val="9"/>
          <c:tx>
            <c:strRef>
              <c:f>Sheet2!$K$36:$K$37</c:f>
              <c:strCache>
                <c:ptCount val="1"/>
                <c:pt idx="0">
                  <c:v>White Other</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Sheet2!$A$38:$A$56</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Sheet2!$K$38:$K$56</c:f>
              <c:numCache>
                <c:formatCode>General</c:formatCode>
                <c:ptCount val="18"/>
                <c:pt idx="0">
                  <c:v>1</c:v>
                </c:pt>
                <c:pt idx="7">
                  <c:v>1</c:v>
                </c:pt>
                <c:pt idx="9">
                  <c:v>1</c:v>
                </c:pt>
                <c:pt idx="17">
                  <c:v>2</c:v>
                </c:pt>
              </c:numCache>
            </c:numRef>
          </c:val>
          <c:extLst>
            <c:ext xmlns:c16="http://schemas.microsoft.com/office/drawing/2014/chart" uri="{C3380CC4-5D6E-409C-BE32-E72D297353CC}">
              <c16:uniqueId val="{00000009-7631-4946-97C1-03D26B594AA9}"/>
            </c:ext>
          </c:extLst>
        </c:ser>
        <c:dLbls>
          <c:dLblPos val="ctr"/>
          <c:showLegendKey val="0"/>
          <c:showVal val="1"/>
          <c:showCatName val="0"/>
          <c:showSerName val="0"/>
          <c:showPercent val="0"/>
          <c:showBubbleSize val="0"/>
        </c:dLbls>
        <c:gapWidth val="150"/>
        <c:overlap val="100"/>
        <c:axId val="839042376"/>
        <c:axId val="839038776"/>
      </c:barChart>
      <c:catAx>
        <c:axId val="83904237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9038776"/>
        <c:crosses val="autoZero"/>
        <c:auto val="1"/>
        <c:lblAlgn val="ctr"/>
        <c:lblOffset val="100"/>
        <c:noMultiLvlLbl val="0"/>
      </c:catAx>
      <c:valAx>
        <c:axId val="8390387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904237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General Employee Data - set 1 24NOV23.xlsx]Sheet1!PivotTable1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Organisation</a:t>
            </a:r>
            <a:r>
              <a:rPr lang="en-GB" baseline="0"/>
              <a:t> disability percentage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Sheet1!$B$1</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2"/>
                <c:pt idx="0">
                  <c:v>Disabled</c:v>
                </c:pt>
                <c:pt idx="1">
                  <c:v>Not disabled</c:v>
                </c:pt>
              </c:strCache>
            </c:strRef>
          </c:cat>
          <c:val>
            <c:numRef>
              <c:f>Sheet1!$B$2:$B$4</c:f>
              <c:numCache>
                <c:formatCode>0.0%</c:formatCode>
                <c:ptCount val="2"/>
                <c:pt idx="0">
                  <c:v>8.0769230769230774E-2</c:v>
                </c:pt>
                <c:pt idx="1">
                  <c:v>0.91923076923076918</c:v>
                </c:pt>
              </c:numCache>
            </c:numRef>
          </c:val>
          <c:extLst>
            <c:ext xmlns:c16="http://schemas.microsoft.com/office/drawing/2014/chart" uri="{C3380CC4-5D6E-409C-BE32-E72D297353CC}">
              <c16:uniqueId val="{00000000-6A9D-4A17-8577-C76927CEFC91}"/>
            </c:ext>
          </c:extLst>
        </c:ser>
        <c:dLbls>
          <c:showLegendKey val="0"/>
          <c:showVal val="0"/>
          <c:showCatName val="0"/>
          <c:showSerName val="0"/>
          <c:showPercent val="0"/>
          <c:showBubbleSize val="0"/>
        </c:dLbls>
        <c:gapWidth val="219"/>
        <c:overlap val="-27"/>
        <c:axId val="784193744"/>
        <c:axId val="784194464"/>
      </c:barChart>
      <c:catAx>
        <c:axId val="784193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4194464"/>
        <c:crosses val="autoZero"/>
        <c:auto val="1"/>
        <c:lblAlgn val="ctr"/>
        <c:lblOffset val="100"/>
        <c:noMultiLvlLbl val="0"/>
      </c:catAx>
      <c:valAx>
        <c:axId val="78419446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419374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General Employee Data - set 1 24NOV23.xlsx]Sheet2!PivotTable6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Disability</a:t>
            </a:r>
            <a:r>
              <a:rPr lang="en-GB" baseline="0"/>
              <a:t> percentage by team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percentStacked"/>
        <c:varyColors val="0"/>
        <c:ser>
          <c:idx val="0"/>
          <c:order val="0"/>
          <c:tx>
            <c:strRef>
              <c:f>Sheet2!$B$1:$B$2</c:f>
              <c:strCache>
                <c:ptCount val="1"/>
                <c:pt idx="0">
                  <c:v>Disabled</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Sheet2!$A$3:$A$21</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Sheet2!$B$3:$B$21</c:f>
              <c:numCache>
                <c:formatCode>General</c:formatCode>
                <c:ptCount val="18"/>
                <c:pt idx="1">
                  <c:v>1</c:v>
                </c:pt>
                <c:pt idx="2">
                  <c:v>3</c:v>
                </c:pt>
                <c:pt idx="5">
                  <c:v>2</c:v>
                </c:pt>
                <c:pt idx="7">
                  <c:v>1</c:v>
                </c:pt>
                <c:pt idx="8">
                  <c:v>2</c:v>
                </c:pt>
                <c:pt idx="9">
                  <c:v>1</c:v>
                </c:pt>
                <c:pt idx="10">
                  <c:v>2</c:v>
                </c:pt>
                <c:pt idx="11">
                  <c:v>1</c:v>
                </c:pt>
                <c:pt idx="13">
                  <c:v>2</c:v>
                </c:pt>
                <c:pt idx="14">
                  <c:v>5</c:v>
                </c:pt>
                <c:pt idx="17">
                  <c:v>1</c:v>
                </c:pt>
              </c:numCache>
            </c:numRef>
          </c:val>
          <c:extLst>
            <c:ext xmlns:c16="http://schemas.microsoft.com/office/drawing/2014/chart" uri="{C3380CC4-5D6E-409C-BE32-E72D297353CC}">
              <c16:uniqueId val="{00000000-ACB9-4228-B780-FA6030330F3B}"/>
            </c:ext>
          </c:extLst>
        </c:ser>
        <c:ser>
          <c:idx val="1"/>
          <c:order val="1"/>
          <c:tx>
            <c:strRef>
              <c:f>Sheet2!$C$1:$C$2</c:f>
              <c:strCache>
                <c:ptCount val="1"/>
                <c:pt idx="0">
                  <c:v>Not disabled</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Sheet2!$A$3:$A$21</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Sheet2!$C$3:$C$21</c:f>
              <c:numCache>
                <c:formatCode>General</c:formatCode>
                <c:ptCount val="18"/>
                <c:pt idx="0">
                  <c:v>9</c:v>
                </c:pt>
                <c:pt idx="1">
                  <c:v>6</c:v>
                </c:pt>
                <c:pt idx="2">
                  <c:v>12</c:v>
                </c:pt>
                <c:pt idx="3">
                  <c:v>5</c:v>
                </c:pt>
                <c:pt idx="4">
                  <c:v>2</c:v>
                </c:pt>
                <c:pt idx="5">
                  <c:v>8</c:v>
                </c:pt>
                <c:pt idx="6">
                  <c:v>3</c:v>
                </c:pt>
                <c:pt idx="7">
                  <c:v>11</c:v>
                </c:pt>
                <c:pt idx="8">
                  <c:v>16</c:v>
                </c:pt>
                <c:pt idx="9">
                  <c:v>18</c:v>
                </c:pt>
                <c:pt idx="10">
                  <c:v>7</c:v>
                </c:pt>
                <c:pt idx="11">
                  <c:v>9</c:v>
                </c:pt>
                <c:pt idx="12">
                  <c:v>4</c:v>
                </c:pt>
                <c:pt idx="13">
                  <c:v>9</c:v>
                </c:pt>
                <c:pt idx="14">
                  <c:v>94</c:v>
                </c:pt>
                <c:pt idx="15">
                  <c:v>5</c:v>
                </c:pt>
                <c:pt idx="16">
                  <c:v>11</c:v>
                </c:pt>
                <c:pt idx="17">
                  <c:v>10</c:v>
                </c:pt>
              </c:numCache>
            </c:numRef>
          </c:val>
          <c:extLst>
            <c:ext xmlns:c16="http://schemas.microsoft.com/office/drawing/2014/chart" uri="{C3380CC4-5D6E-409C-BE32-E72D297353CC}">
              <c16:uniqueId val="{00000001-ACB9-4228-B780-FA6030330F3B}"/>
            </c:ext>
          </c:extLst>
        </c:ser>
        <c:dLbls>
          <c:showLegendKey val="0"/>
          <c:showVal val="0"/>
          <c:showCatName val="0"/>
          <c:showSerName val="0"/>
          <c:showPercent val="0"/>
          <c:showBubbleSize val="0"/>
        </c:dLbls>
        <c:gapWidth val="150"/>
        <c:overlap val="100"/>
        <c:axId val="839018256"/>
        <c:axId val="839015736"/>
      </c:barChart>
      <c:catAx>
        <c:axId val="839018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9015736"/>
        <c:crosses val="autoZero"/>
        <c:auto val="1"/>
        <c:lblAlgn val="ctr"/>
        <c:lblOffset val="100"/>
        <c:noMultiLvlLbl val="0"/>
      </c:catAx>
      <c:valAx>
        <c:axId val="8390157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90182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General Employee Data - set 1 24NOV23.xlsx]Sheet3!PivotTable8</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Salary</a:t>
            </a:r>
            <a:r>
              <a:rPr lang="en-GB" baseline="0"/>
              <a:t> difference across genders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s>
    <c:plotArea>
      <c:layout/>
      <c:pieChart>
        <c:varyColors val="1"/>
        <c:ser>
          <c:idx val="0"/>
          <c:order val="0"/>
          <c:tx>
            <c:strRef>
              <c:f>Sheet3!$B$1</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8C5-4173-9527-A307A23F481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8C5-4173-9527-A307A23F481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8C5-4173-9527-A307A23F481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Sheet3!$A$2:$A$5</c:f>
              <c:strCache>
                <c:ptCount val="3"/>
                <c:pt idx="0">
                  <c:v>Female</c:v>
                </c:pt>
                <c:pt idx="1">
                  <c:v>Male</c:v>
                </c:pt>
                <c:pt idx="2">
                  <c:v>Non-binary</c:v>
                </c:pt>
              </c:strCache>
            </c:strRef>
          </c:cat>
          <c:val>
            <c:numRef>
              <c:f>Sheet3!$B$2:$B$5</c:f>
              <c:numCache>
                <c:formatCode>"£"#,##0.00</c:formatCode>
                <c:ptCount val="3"/>
                <c:pt idx="0">
                  <c:v>31900.296610169491</c:v>
                </c:pt>
                <c:pt idx="1">
                  <c:v>31812.178571428572</c:v>
                </c:pt>
                <c:pt idx="2">
                  <c:v>19500</c:v>
                </c:pt>
              </c:numCache>
            </c:numRef>
          </c:val>
          <c:extLst>
            <c:ext xmlns:c16="http://schemas.microsoft.com/office/drawing/2014/chart" uri="{C3380CC4-5D6E-409C-BE32-E72D297353CC}">
              <c16:uniqueId val="{00000006-F8C5-4173-9527-A307A23F4816}"/>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748</TotalTime>
  <Pages>13</Pages>
  <Words>4871</Words>
  <Characters>27766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Dawn Meats Group</Company>
  <LinksUpToDate>false</LinksUpToDate>
  <CharactersWithSpaces>32572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Price</dc:creator>
  <cp:keywords/>
  <dc:description/>
  <cp:lastModifiedBy>Carly Price</cp:lastModifiedBy>
  <cp:revision>9</cp:revision>
  <dcterms:created xsi:type="dcterms:W3CDTF">2023-10-17T10:59:00Z</dcterms:created>
  <dcterms:modified xsi:type="dcterms:W3CDTF">2023-11-27T12:42:00Z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2ef5eb-f4dc-4350-b858-3238ea3234a5_Enabled">
    <vt:lpwstr>true</vt:lpwstr>
  </property>
  <property fmtid="{D5CDD505-2E9C-101B-9397-08002B2CF9AE}" pid="3" name="MSIP_Label_ba2ef5eb-f4dc-4350-b858-3238ea3234a5_SetDate">
    <vt:lpwstr>2023-10-17T11:41:01Z</vt:lpwstr>
  </property>
  <property fmtid="{D5CDD505-2E9C-101B-9397-08002B2CF9AE}" pid="4" name="MSIP_Label_ba2ef5eb-f4dc-4350-b858-3238ea3234a5_Method">
    <vt:lpwstr>Standard</vt:lpwstr>
  </property>
  <property fmtid="{D5CDD505-2E9C-101B-9397-08002B2CF9AE}" pid="5" name="MSIP_Label_ba2ef5eb-f4dc-4350-b858-3238ea3234a5_Name">
    <vt:lpwstr>ba2ef5eb-f4dc-4350-b858-3238ea3234a5</vt:lpwstr>
  </property>
  <property fmtid="{D5CDD505-2E9C-101B-9397-08002B2CF9AE}" pid="6" name="MSIP_Label_ba2ef5eb-f4dc-4350-b858-3238ea3234a5_SiteId">
    <vt:lpwstr>15a81316-8630-4c4a-9d10-7a74fe05e6df</vt:lpwstr>
  </property>
  <property fmtid="{D5CDD505-2E9C-101B-9397-08002B2CF9AE}" pid="7" name="MSIP_Label_ba2ef5eb-f4dc-4350-b858-3238ea3234a5_ActionId">
    <vt:lpwstr>0f769534-7b1e-445b-82bc-377ab921140e</vt:lpwstr>
  </property>
  <property fmtid="{D5CDD505-2E9C-101B-9397-08002B2CF9AE}" pid="8" name="MSIP_Label_ba2ef5eb-f4dc-4350-b858-3238ea3234a5_ContentBits">
    <vt:lpwstr>0</vt:lpwstr>
  </property>
</Properties>
</file>