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5F119" w14:textId="6F677232" w:rsidR="00C57A74" w:rsidRDefault="00C57A74" w:rsidP="00C57A74">
      <w:pPr>
        <w:spacing w:line="480" w:lineRule="auto"/>
        <w:rPr>
          <w:rFonts w:asciiTheme="minorBidi" w:hAnsiTheme="minorBidi"/>
          <w:b/>
          <w:bCs/>
          <w:sz w:val="28"/>
          <w:szCs w:val="28"/>
        </w:rPr>
      </w:pPr>
      <w:r w:rsidRPr="004931BF">
        <w:rPr>
          <w:rFonts w:asciiTheme="minorBidi" w:hAnsiTheme="minorBidi"/>
          <w:b/>
          <w:bCs/>
          <w:sz w:val="28"/>
          <w:szCs w:val="28"/>
        </w:rPr>
        <w:t xml:space="preserve">Seminar </w:t>
      </w:r>
      <w:r w:rsidR="001341F2">
        <w:rPr>
          <w:rFonts w:asciiTheme="minorBidi" w:hAnsiTheme="minorBidi"/>
          <w:b/>
          <w:bCs/>
          <w:sz w:val="28"/>
          <w:szCs w:val="28"/>
        </w:rPr>
        <w:t xml:space="preserve">Presentation Notes </w:t>
      </w:r>
    </w:p>
    <w:p w14:paraId="16080DC0" w14:textId="20FD9D68" w:rsidR="001341F2" w:rsidRPr="001341F2" w:rsidRDefault="001341F2" w:rsidP="00C57A74">
      <w:pPr>
        <w:spacing w:line="480" w:lineRule="auto"/>
        <w:rPr>
          <w:rFonts w:asciiTheme="minorBidi" w:hAnsiTheme="minorBidi"/>
          <w:sz w:val="28"/>
          <w:szCs w:val="28"/>
        </w:rPr>
      </w:pPr>
      <w:r w:rsidRPr="001341F2">
        <w:rPr>
          <w:rFonts w:asciiTheme="minorBidi" w:hAnsiTheme="minorBidi"/>
          <w:sz w:val="28"/>
          <w:szCs w:val="28"/>
        </w:rPr>
        <w:t xml:space="preserve">Slide 1 – Title Slide </w:t>
      </w:r>
    </w:p>
    <w:p w14:paraId="583054B2" w14:textId="7CA3FFD2" w:rsidR="00BB7078" w:rsidRDefault="001341F2" w:rsidP="00C57A74">
      <w:pPr>
        <w:spacing w:line="480" w:lineRule="auto"/>
        <w:rPr>
          <w:rFonts w:asciiTheme="minorBidi" w:hAnsiTheme="minorBidi"/>
        </w:rPr>
      </w:pPr>
      <w:r w:rsidRPr="001341F2">
        <w:rPr>
          <w:rFonts w:asciiTheme="minorBidi" w:hAnsiTheme="minorBidi"/>
        </w:rPr>
        <w:t xml:space="preserve">Slide </w:t>
      </w:r>
      <w:r>
        <w:rPr>
          <w:rFonts w:asciiTheme="minorBidi" w:hAnsiTheme="minorBidi"/>
        </w:rPr>
        <w:t>2</w:t>
      </w:r>
      <w:r>
        <w:rPr>
          <w:rFonts w:asciiTheme="minorBidi" w:hAnsiTheme="minorBidi"/>
          <w:b/>
          <w:bCs/>
        </w:rPr>
        <w:t xml:space="preserve">- </w:t>
      </w:r>
      <w:r w:rsidR="00181F4D">
        <w:rPr>
          <w:rFonts w:asciiTheme="minorBidi" w:hAnsiTheme="minorBidi"/>
        </w:rPr>
        <w:t>Hello</w:t>
      </w:r>
      <w:r>
        <w:rPr>
          <w:rFonts w:asciiTheme="minorBidi" w:hAnsiTheme="minorBidi"/>
        </w:rPr>
        <w:t>,</w:t>
      </w:r>
      <w:r w:rsidR="00181F4D">
        <w:rPr>
          <w:rFonts w:asciiTheme="minorBidi" w:hAnsiTheme="minorBidi"/>
        </w:rPr>
        <w:t xml:space="preserve"> my name is Courtney Rumsey</w:t>
      </w:r>
      <w:r>
        <w:rPr>
          <w:rFonts w:asciiTheme="minorBidi" w:hAnsiTheme="minorBidi"/>
        </w:rPr>
        <w:t>,</w:t>
      </w:r>
      <w:r w:rsidR="00181F4D">
        <w:rPr>
          <w:rFonts w:asciiTheme="minorBidi" w:hAnsiTheme="minorBidi"/>
        </w:rPr>
        <w:t xml:space="preserve"> and today I’m going to be talking to you about my extended literature review. My </w:t>
      </w:r>
      <w:r w:rsidR="00F95D78">
        <w:rPr>
          <w:rFonts w:asciiTheme="minorBidi" w:hAnsiTheme="minorBidi"/>
        </w:rPr>
        <w:t xml:space="preserve">review </w:t>
      </w:r>
      <w:r>
        <w:rPr>
          <w:rFonts w:asciiTheme="minorBidi" w:hAnsiTheme="minorBidi"/>
        </w:rPr>
        <w:t>focused</w:t>
      </w:r>
      <w:r w:rsidR="00F95D78">
        <w:rPr>
          <w:rFonts w:asciiTheme="minorBidi" w:hAnsiTheme="minorBidi"/>
        </w:rPr>
        <w:t xml:space="preserve"> on </w:t>
      </w:r>
      <w:r w:rsidR="00035CC0">
        <w:rPr>
          <w:rFonts w:asciiTheme="minorBidi" w:hAnsiTheme="minorBidi"/>
        </w:rPr>
        <w:t xml:space="preserve">young people who are affected by ACEs and </w:t>
      </w:r>
      <w:r w:rsidR="00F95D78">
        <w:rPr>
          <w:rFonts w:asciiTheme="minorBidi" w:hAnsiTheme="minorBidi"/>
        </w:rPr>
        <w:t xml:space="preserve">the importance of relationships </w:t>
      </w:r>
      <w:r w:rsidR="00112CD6">
        <w:rPr>
          <w:rFonts w:asciiTheme="minorBidi" w:hAnsiTheme="minorBidi"/>
        </w:rPr>
        <w:t xml:space="preserve">to them. This topic </w:t>
      </w:r>
      <w:r w:rsidR="00BB7078">
        <w:rPr>
          <w:rFonts w:asciiTheme="minorBidi" w:hAnsiTheme="minorBidi"/>
        </w:rPr>
        <w:t xml:space="preserve">matters to Youth Work practitioners because </w:t>
      </w:r>
      <w:r w:rsidR="001F387C">
        <w:rPr>
          <w:rFonts w:asciiTheme="minorBidi" w:hAnsiTheme="minorBidi"/>
        </w:rPr>
        <w:t xml:space="preserve">they need to have a good understanding and knowledge of the ways that ACEs affect young people’s lives and how this can often impact the relationships they have with others. </w:t>
      </w:r>
      <w:r w:rsidR="003E68CA">
        <w:rPr>
          <w:rFonts w:asciiTheme="minorBidi" w:hAnsiTheme="minorBidi"/>
        </w:rPr>
        <w:t>This is so that they are in a stronger position to help and support the young people’s needs.</w:t>
      </w:r>
    </w:p>
    <w:p w14:paraId="4B18EC50" w14:textId="230F9F6B" w:rsidR="00EC0524" w:rsidRDefault="00BB7078" w:rsidP="00C57A74">
      <w:pPr>
        <w:spacing w:line="480" w:lineRule="auto"/>
        <w:rPr>
          <w:rFonts w:asciiTheme="minorBidi" w:hAnsiTheme="minorBidi"/>
        </w:rPr>
      </w:pPr>
      <w:r>
        <w:rPr>
          <w:rFonts w:asciiTheme="minorBidi" w:hAnsiTheme="minorBidi"/>
        </w:rPr>
        <w:t xml:space="preserve">It also matters to the young people themselves because </w:t>
      </w:r>
      <w:r w:rsidR="00C17C74">
        <w:rPr>
          <w:rFonts w:asciiTheme="minorBidi" w:hAnsiTheme="minorBidi"/>
        </w:rPr>
        <w:t xml:space="preserve">it can influence the type and quality of </w:t>
      </w:r>
      <w:proofErr w:type="gramStart"/>
      <w:r w:rsidR="00C17C74">
        <w:rPr>
          <w:rFonts w:asciiTheme="minorBidi" w:hAnsiTheme="minorBidi"/>
        </w:rPr>
        <w:t>relationships</w:t>
      </w:r>
      <w:proofErr w:type="gramEnd"/>
      <w:r w:rsidR="00C17C74">
        <w:rPr>
          <w:rFonts w:asciiTheme="minorBidi" w:hAnsiTheme="minorBidi"/>
        </w:rPr>
        <w:t xml:space="preserve"> they find themselves in. Some of these can be positive, others not so much, so Youth Workers play an important role in guiding </w:t>
      </w:r>
      <w:r w:rsidR="00F75D3A">
        <w:rPr>
          <w:rFonts w:asciiTheme="minorBidi" w:hAnsiTheme="minorBidi"/>
        </w:rPr>
        <w:t>young people in their choices and decisions</w:t>
      </w:r>
      <w:r w:rsidR="00934002">
        <w:rPr>
          <w:rFonts w:asciiTheme="minorBidi" w:hAnsiTheme="minorBidi"/>
        </w:rPr>
        <w:t xml:space="preserve"> when it comes to building good relationships. </w:t>
      </w:r>
    </w:p>
    <w:p w14:paraId="0C1DE6E2" w14:textId="77777777" w:rsidR="001341F2" w:rsidRDefault="001341F2" w:rsidP="001341F2">
      <w:pPr>
        <w:spacing w:line="480" w:lineRule="auto"/>
        <w:rPr>
          <w:rFonts w:asciiTheme="minorBidi" w:hAnsiTheme="minorBidi"/>
        </w:rPr>
      </w:pPr>
      <w:r>
        <w:rPr>
          <w:rFonts w:asciiTheme="minorBidi" w:hAnsiTheme="minorBidi"/>
        </w:rPr>
        <w:t xml:space="preserve">Slide 3 - </w:t>
      </w:r>
      <w:r w:rsidRPr="001341F2">
        <w:rPr>
          <w:rFonts w:asciiTheme="minorBidi" w:hAnsiTheme="minorBidi"/>
        </w:rPr>
        <w:t>So, a quick overview of what will be included in my seminar today.</w:t>
      </w:r>
    </w:p>
    <w:p w14:paraId="08657856" w14:textId="7C3C7B26" w:rsidR="00CE31C1" w:rsidRDefault="001341F2" w:rsidP="001341F2">
      <w:pPr>
        <w:spacing w:line="480" w:lineRule="auto"/>
        <w:rPr>
          <w:rFonts w:asciiTheme="minorBidi" w:hAnsiTheme="minorBidi"/>
        </w:rPr>
      </w:pPr>
      <w:r w:rsidRPr="001341F2">
        <w:rPr>
          <w:rFonts w:asciiTheme="minorBidi" w:hAnsiTheme="minorBidi"/>
        </w:rPr>
        <w:t xml:space="preserve">Aims </w:t>
      </w:r>
    </w:p>
    <w:p w14:paraId="2B144391" w14:textId="2DA63402" w:rsidR="001341F2" w:rsidRDefault="001341F2" w:rsidP="001341F2">
      <w:pPr>
        <w:spacing w:line="480" w:lineRule="auto"/>
        <w:rPr>
          <w:rFonts w:asciiTheme="minorBidi" w:hAnsiTheme="minorBidi"/>
        </w:rPr>
      </w:pPr>
      <w:r w:rsidRPr="001341F2">
        <w:rPr>
          <w:rFonts w:asciiTheme="minorBidi" w:hAnsiTheme="minorBidi"/>
        </w:rPr>
        <w:t xml:space="preserve">My approach </w:t>
      </w:r>
    </w:p>
    <w:p w14:paraId="629A622C" w14:textId="0B998793" w:rsidR="001341F2" w:rsidRDefault="001341F2" w:rsidP="001341F2">
      <w:pPr>
        <w:spacing w:line="480" w:lineRule="auto"/>
        <w:rPr>
          <w:rFonts w:asciiTheme="minorBidi" w:hAnsiTheme="minorBidi"/>
        </w:rPr>
      </w:pPr>
      <w:r>
        <w:rPr>
          <w:rFonts w:asciiTheme="minorBidi" w:hAnsiTheme="minorBidi"/>
        </w:rPr>
        <w:t xml:space="preserve">Key Papers </w:t>
      </w:r>
    </w:p>
    <w:p w14:paraId="4EF0F421" w14:textId="16DEA9EF" w:rsidR="001341F2" w:rsidRDefault="001341F2" w:rsidP="001341F2">
      <w:pPr>
        <w:spacing w:line="480" w:lineRule="auto"/>
        <w:rPr>
          <w:rFonts w:asciiTheme="minorBidi" w:hAnsiTheme="minorBidi"/>
        </w:rPr>
      </w:pPr>
      <w:r>
        <w:rPr>
          <w:rFonts w:asciiTheme="minorBidi" w:hAnsiTheme="minorBidi"/>
        </w:rPr>
        <w:t>Key Findings</w:t>
      </w:r>
    </w:p>
    <w:p w14:paraId="217CF764" w14:textId="6AF010D0" w:rsidR="001341F2" w:rsidRDefault="001341F2" w:rsidP="001341F2">
      <w:pPr>
        <w:spacing w:line="480" w:lineRule="auto"/>
        <w:rPr>
          <w:rFonts w:asciiTheme="minorBidi" w:hAnsiTheme="minorBidi"/>
        </w:rPr>
      </w:pPr>
      <w:r>
        <w:rPr>
          <w:rFonts w:asciiTheme="minorBidi" w:hAnsiTheme="minorBidi"/>
        </w:rPr>
        <w:t xml:space="preserve">Links to youth work theory </w:t>
      </w:r>
    </w:p>
    <w:p w14:paraId="3EBDA70C" w14:textId="1175D8CE" w:rsidR="001341F2" w:rsidRDefault="001341F2" w:rsidP="001341F2">
      <w:pPr>
        <w:spacing w:line="480" w:lineRule="auto"/>
        <w:rPr>
          <w:rFonts w:asciiTheme="minorBidi" w:hAnsiTheme="minorBidi"/>
        </w:rPr>
      </w:pPr>
      <w:r w:rsidRPr="001341F2">
        <w:rPr>
          <w:rFonts w:asciiTheme="minorBidi" w:hAnsiTheme="minorBidi"/>
        </w:rPr>
        <w:t>Implications for Youth Work practice and practical recommendations</w:t>
      </w:r>
    </w:p>
    <w:p w14:paraId="2C9CA0F4" w14:textId="29ED233B" w:rsidR="001341F2" w:rsidRDefault="001341F2" w:rsidP="001341F2">
      <w:pPr>
        <w:spacing w:line="480" w:lineRule="auto"/>
        <w:rPr>
          <w:rFonts w:asciiTheme="minorBidi" w:hAnsiTheme="minorBidi"/>
        </w:rPr>
      </w:pPr>
      <w:r>
        <w:rPr>
          <w:rFonts w:asciiTheme="minorBidi" w:hAnsiTheme="minorBidi"/>
        </w:rPr>
        <w:t xml:space="preserve">Reflection on limitations </w:t>
      </w:r>
    </w:p>
    <w:p w14:paraId="4160A3FA" w14:textId="32EB80F3" w:rsidR="001341F2" w:rsidRDefault="001341F2" w:rsidP="001341F2">
      <w:pPr>
        <w:spacing w:line="480" w:lineRule="auto"/>
        <w:rPr>
          <w:rFonts w:asciiTheme="minorBidi" w:hAnsiTheme="minorBidi"/>
        </w:rPr>
      </w:pPr>
      <w:r>
        <w:rPr>
          <w:rFonts w:asciiTheme="minorBidi" w:hAnsiTheme="minorBidi"/>
        </w:rPr>
        <w:lastRenderedPageBreak/>
        <w:t xml:space="preserve">Slide 4 – </w:t>
      </w:r>
    </w:p>
    <w:p w14:paraId="5297B996" w14:textId="77777777" w:rsidR="001341F2" w:rsidRPr="001341F2" w:rsidRDefault="001341F2" w:rsidP="001341F2">
      <w:pPr>
        <w:spacing w:line="480" w:lineRule="auto"/>
        <w:rPr>
          <w:rFonts w:asciiTheme="minorBidi" w:hAnsiTheme="minorBidi"/>
        </w:rPr>
      </w:pPr>
      <w:r w:rsidRPr="001341F2">
        <w:rPr>
          <w:rFonts w:asciiTheme="minorBidi" w:hAnsiTheme="minorBidi"/>
        </w:rPr>
        <w:t xml:space="preserve">This extended literature review aimed to discover how ACEs can affect the dynamics of young people’s relationships with friends and youth workers in their community. </w:t>
      </w:r>
    </w:p>
    <w:p w14:paraId="186A1B92" w14:textId="50AC7232" w:rsidR="001341F2" w:rsidRPr="001341F2" w:rsidRDefault="001341F2" w:rsidP="001341F2">
      <w:pPr>
        <w:spacing w:line="480" w:lineRule="auto"/>
        <w:rPr>
          <w:rFonts w:asciiTheme="minorBidi" w:hAnsiTheme="minorBidi"/>
        </w:rPr>
      </w:pPr>
      <w:r w:rsidRPr="001341F2">
        <w:rPr>
          <w:rFonts w:asciiTheme="minorBidi" w:hAnsiTheme="minorBidi"/>
        </w:rPr>
        <w:t>It felt important to explore these issues because Youth Workers are integral in helping to create safe spaces and environments for young people</w:t>
      </w:r>
      <w:r>
        <w:rPr>
          <w:rFonts w:asciiTheme="minorBidi" w:hAnsiTheme="minorBidi"/>
        </w:rPr>
        <w:t>,</w:t>
      </w:r>
      <w:r w:rsidRPr="001341F2">
        <w:rPr>
          <w:rFonts w:asciiTheme="minorBidi" w:hAnsiTheme="minorBidi"/>
        </w:rPr>
        <w:t xml:space="preserve"> and this can help them to find positive ways of connecting with others. </w:t>
      </w:r>
    </w:p>
    <w:p w14:paraId="42A0E5B0" w14:textId="5398A904" w:rsidR="001341F2" w:rsidRPr="001341F2" w:rsidRDefault="001341F2" w:rsidP="001341F2">
      <w:pPr>
        <w:spacing w:line="480" w:lineRule="auto"/>
        <w:rPr>
          <w:rFonts w:asciiTheme="minorBidi" w:hAnsiTheme="minorBidi"/>
        </w:rPr>
      </w:pPr>
      <w:r w:rsidRPr="001341F2">
        <w:rPr>
          <w:rFonts w:asciiTheme="minorBidi" w:hAnsiTheme="minorBidi"/>
        </w:rPr>
        <w:t xml:space="preserve">There was also a focus on the relationships built with youth workers and the ways this research could be used as a tool for future practice and interventions with young people. </w:t>
      </w:r>
    </w:p>
    <w:p w14:paraId="15481A87" w14:textId="4122507F" w:rsidR="001341F2" w:rsidRDefault="001341F2" w:rsidP="001341F2">
      <w:pPr>
        <w:spacing w:line="480" w:lineRule="auto"/>
        <w:rPr>
          <w:rFonts w:asciiTheme="minorBidi" w:hAnsiTheme="minorBidi"/>
        </w:rPr>
      </w:pPr>
      <w:r w:rsidRPr="001341F2">
        <w:rPr>
          <w:rFonts w:asciiTheme="minorBidi" w:hAnsiTheme="minorBidi"/>
        </w:rPr>
        <w:t>All of this is important in helping young people feel better understood and supported.</w:t>
      </w:r>
    </w:p>
    <w:p w14:paraId="3F07EFE3" w14:textId="17C405E7" w:rsidR="001341F2" w:rsidRDefault="001341F2" w:rsidP="001341F2">
      <w:pPr>
        <w:spacing w:line="480" w:lineRule="auto"/>
        <w:rPr>
          <w:rFonts w:asciiTheme="minorBidi" w:hAnsiTheme="minorBidi"/>
        </w:rPr>
      </w:pPr>
      <w:r>
        <w:rPr>
          <w:rFonts w:asciiTheme="minorBidi" w:hAnsiTheme="minorBidi"/>
        </w:rPr>
        <w:t>Slide 5 –</w:t>
      </w:r>
    </w:p>
    <w:p w14:paraId="18CA219F" w14:textId="1EBC7602" w:rsidR="001341F2" w:rsidRPr="001341F2" w:rsidRDefault="001341F2" w:rsidP="001341F2">
      <w:pPr>
        <w:spacing w:line="480" w:lineRule="auto"/>
        <w:rPr>
          <w:rFonts w:asciiTheme="minorBidi" w:hAnsiTheme="minorBidi"/>
        </w:rPr>
      </w:pPr>
      <w:r>
        <w:rPr>
          <w:rFonts w:asciiTheme="minorBidi" w:hAnsiTheme="minorBidi"/>
        </w:rPr>
        <w:t xml:space="preserve"> </w:t>
      </w:r>
      <w:r w:rsidRPr="001341F2">
        <w:rPr>
          <w:rFonts w:asciiTheme="minorBidi" w:hAnsiTheme="minorBidi"/>
        </w:rPr>
        <w:t xml:space="preserve">Due to ethical issues, an extended literature review was chosen to avoid having to interview or question the young people, in case anything was upsetting or triggering to them (Cottrell, 2014). </w:t>
      </w:r>
    </w:p>
    <w:p w14:paraId="3697E5C0" w14:textId="0E435B1D" w:rsidR="001341F2" w:rsidRPr="001341F2" w:rsidRDefault="001341F2" w:rsidP="001341F2">
      <w:pPr>
        <w:spacing w:line="480" w:lineRule="auto"/>
        <w:rPr>
          <w:rFonts w:asciiTheme="minorBidi" w:hAnsiTheme="minorBidi"/>
        </w:rPr>
      </w:pPr>
      <w:r w:rsidRPr="001341F2">
        <w:rPr>
          <w:rFonts w:asciiTheme="minorBidi" w:hAnsiTheme="minorBidi"/>
        </w:rPr>
        <w:t>With my search strategy</w:t>
      </w:r>
      <w:r>
        <w:rPr>
          <w:rFonts w:asciiTheme="minorBidi" w:hAnsiTheme="minorBidi"/>
        </w:rPr>
        <w:t>,</w:t>
      </w:r>
      <w:r w:rsidRPr="001341F2">
        <w:rPr>
          <w:rFonts w:asciiTheme="minorBidi" w:hAnsiTheme="minorBidi"/>
        </w:rPr>
        <w:t xml:space="preserve"> I followed Cottrell’s (2014) advice, she suggests “…at the start of your project browse widely, dipping into the literature to gain a broad sense of the field in which you are working.” </w:t>
      </w:r>
    </w:p>
    <w:p w14:paraId="5DEEA0E7" w14:textId="6D26CB71" w:rsidR="001341F2" w:rsidRDefault="001341F2" w:rsidP="001341F2">
      <w:pPr>
        <w:spacing w:line="480" w:lineRule="auto"/>
        <w:rPr>
          <w:rFonts w:asciiTheme="minorBidi" w:hAnsiTheme="minorBidi"/>
        </w:rPr>
      </w:pPr>
      <w:r w:rsidRPr="001341F2">
        <w:rPr>
          <w:rFonts w:asciiTheme="minorBidi" w:hAnsiTheme="minorBidi"/>
        </w:rPr>
        <w:t xml:space="preserve">I used the UWTSD and Google Scholar resources to locate relevant texts by using </w:t>
      </w:r>
      <w:r>
        <w:rPr>
          <w:rFonts w:asciiTheme="minorBidi" w:hAnsiTheme="minorBidi"/>
        </w:rPr>
        <w:t>keyword</w:t>
      </w:r>
      <w:r w:rsidRPr="001341F2">
        <w:rPr>
          <w:rFonts w:asciiTheme="minorBidi" w:hAnsiTheme="minorBidi"/>
        </w:rPr>
        <w:t xml:space="preserve"> searches that included “Young People</w:t>
      </w:r>
      <w:r>
        <w:rPr>
          <w:rFonts w:asciiTheme="minorBidi" w:hAnsiTheme="minorBidi"/>
        </w:rPr>
        <w:t>,</w:t>
      </w:r>
      <w:r w:rsidRPr="001341F2">
        <w:rPr>
          <w:rFonts w:asciiTheme="minorBidi" w:hAnsiTheme="minorBidi"/>
        </w:rPr>
        <w:t xml:space="preserve"> Adverse Childhood Experiences (ACEs); Relationships and Adolescence; Signs and Symptoms of ACEs; Youth Workers and Interventions”</w:t>
      </w:r>
    </w:p>
    <w:p w14:paraId="25EAF92B" w14:textId="56C6C781" w:rsidR="001341F2" w:rsidRDefault="001341F2" w:rsidP="001341F2">
      <w:pPr>
        <w:spacing w:line="480" w:lineRule="auto"/>
        <w:rPr>
          <w:rFonts w:asciiTheme="minorBidi" w:hAnsiTheme="minorBidi"/>
        </w:rPr>
      </w:pPr>
      <w:r>
        <w:rPr>
          <w:rFonts w:asciiTheme="minorBidi" w:hAnsiTheme="minorBidi"/>
        </w:rPr>
        <w:t xml:space="preserve">Slide 6 – </w:t>
      </w:r>
    </w:p>
    <w:p w14:paraId="64C2B6AA" w14:textId="77777777" w:rsidR="001341F2" w:rsidRPr="001341F2" w:rsidRDefault="001341F2" w:rsidP="001341F2">
      <w:pPr>
        <w:spacing w:line="480" w:lineRule="auto"/>
        <w:rPr>
          <w:rFonts w:asciiTheme="minorBidi" w:hAnsiTheme="minorBidi"/>
        </w:rPr>
      </w:pPr>
      <w:r w:rsidRPr="001341F2">
        <w:rPr>
          <w:rFonts w:asciiTheme="minorBidi" w:hAnsiTheme="minorBidi"/>
        </w:rPr>
        <w:lastRenderedPageBreak/>
        <w:t>Cottrell, S. (2014)</w:t>
      </w:r>
    </w:p>
    <w:p w14:paraId="1CE68FDF" w14:textId="77777777" w:rsidR="001341F2" w:rsidRPr="001341F2" w:rsidRDefault="001341F2" w:rsidP="001341F2">
      <w:pPr>
        <w:spacing w:line="480" w:lineRule="auto"/>
        <w:rPr>
          <w:rFonts w:asciiTheme="minorBidi" w:hAnsiTheme="minorBidi"/>
        </w:rPr>
      </w:pPr>
      <w:r w:rsidRPr="001341F2">
        <w:rPr>
          <w:rFonts w:asciiTheme="minorBidi" w:hAnsiTheme="minorBidi"/>
        </w:rPr>
        <w:t>This was an important resource when it came to planning and structuring and carrying out the extended literature review. This is because it helped with how to start the research process, collate the literature and draw out the key information, as well as talking about ethical considerations.</w:t>
      </w:r>
    </w:p>
    <w:p w14:paraId="25C5F884" w14:textId="77777777" w:rsidR="001341F2" w:rsidRPr="001341F2" w:rsidRDefault="001341F2" w:rsidP="001341F2">
      <w:pPr>
        <w:spacing w:line="480" w:lineRule="auto"/>
        <w:rPr>
          <w:rFonts w:asciiTheme="minorBidi" w:hAnsiTheme="minorBidi"/>
        </w:rPr>
      </w:pPr>
      <w:r w:rsidRPr="001341F2">
        <w:rPr>
          <w:rFonts w:asciiTheme="minorBidi" w:hAnsiTheme="minorBidi"/>
        </w:rPr>
        <w:t>Glending et al. (2021)</w:t>
      </w:r>
    </w:p>
    <w:p w14:paraId="36DBA39D" w14:textId="77777777" w:rsidR="001341F2" w:rsidRPr="001341F2" w:rsidRDefault="001341F2" w:rsidP="001341F2">
      <w:pPr>
        <w:spacing w:line="480" w:lineRule="auto"/>
        <w:rPr>
          <w:rFonts w:asciiTheme="minorBidi" w:hAnsiTheme="minorBidi"/>
        </w:rPr>
      </w:pPr>
      <w:r w:rsidRPr="001341F2">
        <w:rPr>
          <w:rFonts w:asciiTheme="minorBidi" w:hAnsiTheme="minorBidi"/>
        </w:rPr>
        <w:t>This paper focussed on trauma informed approaches when engaging with young people in Youth Work settings. This was an important paper because it gave insights into ACEs and trauma and how it is vital to consider the impact of these on young people. This may explain some of their behaviours, which need to be taken into consideration by Youth Workers so that they remain professional and person-centred when dealing with young people.</w:t>
      </w:r>
    </w:p>
    <w:p w14:paraId="348EDCA0" w14:textId="77777777" w:rsidR="001341F2" w:rsidRPr="001341F2" w:rsidRDefault="001341F2" w:rsidP="001341F2">
      <w:pPr>
        <w:spacing w:line="480" w:lineRule="auto"/>
        <w:rPr>
          <w:rFonts w:asciiTheme="minorBidi" w:hAnsiTheme="minorBidi"/>
        </w:rPr>
      </w:pPr>
      <w:r w:rsidRPr="001341F2">
        <w:rPr>
          <w:rFonts w:asciiTheme="minorBidi" w:hAnsiTheme="minorBidi"/>
        </w:rPr>
        <w:t>Huelsnitz, Jones, and Simpson (2026)</w:t>
      </w:r>
    </w:p>
    <w:p w14:paraId="67B2B88B" w14:textId="77777777" w:rsidR="001341F2" w:rsidRPr="001341F2" w:rsidRDefault="001341F2" w:rsidP="001341F2">
      <w:pPr>
        <w:spacing w:line="480" w:lineRule="auto"/>
        <w:rPr>
          <w:rFonts w:asciiTheme="minorBidi" w:hAnsiTheme="minorBidi"/>
        </w:rPr>
      </w:pPr>
      <w:r w:rsidRPr="001341F2">
        <w:rPr>
          <w:rFonts w:asciiTheme="minorBidi" w:hAnsiTheme="minorBidi"/>
        </w:rPr>
        <w:t>This paper highlighted the importance of relationships, social bonds and connections for young people who have suffered trauma and ACEs. This paper was significant because it demonstrated the importance and need for healthy relationships between young people, their peer groups and the adults and professional Youth practitioners that they come into contact with.</w:t>
      </w:r>
    </w:p>
    <w:p w14:paraId="1FF4ADA2" w14:textId="77777777" w:rsidR="001341F2" w:rsidRPr="001341F2" w:rsidRDefault="001341F2" w:rsidP="001341F2">
      <w:pPr>
        <w:spacing w:line="480" w:lineRule="auto"/>
        <w:rPr>
          <w:rFonts w:asciiTheme="minorBidi" w:hAnsiTheme="minorBidi"/>
        </w:rPr>
      </w:pPr>
      <w:r w:rsidRPr="001341F2">
        <w:rPr>
          <w:rFonts w:asciiTheme="minorBidi" w:hAnsiTheme="minorBidi"/>
        </w:rPr>
        <w:t>Sapin, K. (2013)</w:t>
      </w:r>
    </w:p>
    <w:p w14:paraId="4C0DE1D0" w14:textId="08B5EF5B" w:rsidR="001341F2" w:rsidRDefault="001341F2" w:rsidP="001341F2">
      <w:pPr>
        <w:spacing w:line="480" w:lineRule="auto"/>
        <w:rPr>
          <w:rFonts w:asciiTheme="minorBidi" w:hAnsiTheme="minorBidi"/>
        </w:rPr>
      </w:pPr>
      <w:r w:rsidRPr="001341F2">
        <w:rPr>
          <w:rFonts w:asciiTheme="minorBidi" w:hAnsiTheme="minorBidi"/>
        </w:rPr>
        <w:t xml:space="preserve">The Huelsnitz, Jones, and Simpson (2026) paper also links into Sapin’s research, which shows the importance of relationships and friendships and how those social connections are formed and maintained. It is important for adolescents to form these healthy relationships as it helps them keep up with their social skills, networking and </w:t>
      </w:r>
      <w:r w:rsidRPr="001341F2">
        <w:rPr>
          <w:rFonts w:asciiTheme="minorBidi" w:hAnsiTheme="minorBidi"/>
        </w:rPr>
        <w:lastRenderedPageBreak/>
        <w:t>communication skills, all of which are vital life skills as young people later transition into adulthood.</w:t>
      </w:r>
    </w:p>
    <w:p w14:paraId="749C2275" w14:textId="7315C09E" w:rsidR="001341F2" w:rsidRDefault="001341F2" w:rsidP="001341F2">
      <w:pPr>
        <w:spacing w:line="480" w:lineRule="auto"/>
        <w:rPr>
          <w:rFonts w:asciiTheme="minorBidi" w:hAnsiTheme="minorBidi"/>
        </w:rPr>
      </w:pPr>
      <w:r>
        <w:rPr>
          <w:rFonts w:asciiTheme="minorBidi" w:hAnsiTheme="minorBidi"/>
        </w:rPr>
        <w:t xml:space="preserve">Slide 7 </w:t>
      </w:r>
      <w:r w:rsidR="00255EED">
        <w:rPr>
          <w:rFonts w:asciiTheme="minorBidi" w:hAnsiTheme="minorBidi"/>
        </w:rPr>
        <w:t>–</w:t>
      </w:r>
      <w:r>
        <w:rPr>
          <w:rFonts w:asciiTheme="minorBidi" w:hAnsiTheme="minorBidi"/>
        </w:rPr>
        <w:t xml:space="preserve"> </w:t>
      </w:r>
    </w:p>
    <w:p w14:paraId="790DC78C" w14:textId="77777777" w:rsidR="00255EED" w:rsidRPr="00255EED" w:rsidRDefault="00255EED" w:rsidP="00255EED">
      <w:pPr>
        <w:spacing w:line="480" w:lineRule="auto"/>
        <w:rPr>
          <w:rFonts w:asciiTheme="minorBidi" w:hAnsiTheme="minorBidi"/>
        </w:rPr>
      </w:pPr>
      <w:r w:rsidRPr="00255EED">
        <w:rPr>
          <w:rFonts w:asciiTheme="minorBidi" w:hAnsiTheme="minorBidi"/>
        </w:rPr>
        <w:t>Themes and findings</w:t>
      </w:r>
    </w:p>
    <w:p w14:paraId="20AD35F4"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Theme 1: Relationships </w:t>
      </w:r>
    </w:p>
    <w:p w14:paraId="636770F1"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It was found that relationships are very important to young people, especially for those who have suffered ACEs.  </w:t>
      </w:r>
    </w:p>
    <w:p w14:paraId="3DE6116D" w14:textId="77777777" w:rsidR="00255EED" w:rsidRPr="00255EED" w:rsidRDefault="00255EED" w:rsidP="00255EED">
      <w:pPr>
        <w:spacing w:line="480" w:lineRule="auto"/>
        <w:rPr>
          <w:rFonts w:asciiTheme="minorBidi" w:hAnsiTheme="minorBidi"/>
        </w:rPr>
      </w:pPr>
      <w:r w:rsidRPr="00255EED">
        <w:rPr>
          <w:rFonts w:asciiTheme="minorBidi" w:hAnsiTheme="minorBidi"/>
        </w:rPr>
        <w:t>Forming healthy positive relationships can give young people a sense of belonging, connectedness, security, safety, support networks, helping them to thrive in safe spaces and environments (Sapin, 2013; Huelsnitz, Jones and Simpson, 2026).</w:t>
      </w:r>
    </w:p>
    <w:p w14:paraId="6D8E7E99" w14:textId="77777777" w:rsidR="00255EED" w:rsidRPr="00255EED" w:rsidRDefault="00255EED" w:rsidP="00255EED">
      <w:pPr>
        <w:spacing w:line="480" w:lineRule="auto"/>
        <w:rPr>
          <w:rFonts w:asciiTheme="minorBidi" w:hAnsiTheme="minorBidi"/>
        </w:rPr>
      </w:pPr>
      <w:r w:rsidRPr="00255EED">
        <w:rPr>
          <w:rFonts w:asciiTheme="minorBidi" w:hAnsiTheme="minorBidi"/>
        </w:rPr>
        <w:t>Theme 2: Signs and symptoms of ACEs and levels of awareness amongst youth workers</w:t>
      </w:r>
    </w:p>
    <w:p w14:paraId="03AC5608" w14:textId="77777777" w:rsidR="00255EED" w:rsidRPr="00255EED" w:rsidRDefault="00255EED" w:rsidP="00255EED">
      <w:pPr>
        <w:spacing w:line="480" w:lineRule="auto"/>
        <w:rPr>
          <w:rFonts w:asciiTheme="minorBidi" w:hAnsiTheme="minorBidi"/>
        </w:rPr>
      </w:pPr>
      <w:r w:rsidRPr="00255EED">
        <w:rPr>
          <w:rFonts w:asciiTheme="minorBidi" w:hAnsiTheme="minorBidi"/>
        </w:rPr>
        <w:t>It was discovered that there is a really good knowledge and understanding amongst Youth Workers of ACEs and their signs and symptoms as well as Youth Workers’ ability to apply this in a practical setting.</w:t>
      </w:r>
    </w:p>
    <w:p w14:paraId="48DCE0F8" w14:textId="77777777" w:rsidR="00255EED" w:rsidRPr="00255EED" w:rsidRDefault="00255EED" w:rsidP="00255EED">
      <w:pPr>
        <w:spacing w:line="480" w:lineRule="auto"/>
        <w:rPr>
          <w:rFonts w:asciiTheme="minorBidi" w:hAnsiTheme="minorBidi"/>
        </w:rPr>
      </w:pPr>
      <w:r w:rsidRPr="00255EED">
        <w:rPr>
          <w:rFonts w:asciiTheme="minorBidi" w:hAnsiTheme="minorBidi"/>
        </w:rPr>
        <w:t>It was also noted that continued training is an important activity in Youth Work to update Youth Workers with the most recent research and how they can apply this in practice, so that they are in the best place to support young people.</w:t>
      </w:r>
    </w:p>
    <w:p w14:paraId="75F685A3"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Theme 3: Interventions </w:t>
      </w:r>
    </w:p>
    <w:p w14:paraId="0D71A40C" w14:textId="2CBA6B3D" w:rsidR="00255EED" w:rsidRPr="00255EED" w:rsidRDefault="00255EED" w:rsidP="00255EED">
      <w:pPr>
        <w:spacing w:line="480" w:lineRule="auto"/>
        <w:rPr>
          <w:rFonts w:asciiTheme="minorBidi" w:hAnsiTheme="minorBidi"/>
        </w:rPr>
      </w:pPr>
      <w:r w:rsidRPr="00255EED">
        <w:rPr>
          <w:rFonts w:asciiTheme="minorBidi" w:hAnsiTheme="minorBidi"/>
        </w:rPr>
        <w:t xml:space="preserve">It was established that appropriate and tailored interventions were the best ways to support young people, and in particular a trauma informed approach was found to be </w:t>
      </w:r>
      <w:r w:rsidRPr="00255EED">
        <w:rPr>
          <w:rFonts w:asciiTheme="minorBidi" w:hAnsiTheme="minorBidi"/>
        </w:rPr>
        <w:lastRenderedPageBreak/>
        <w:t xml:space="preserve">vital so that the Youth Workers avoided any potential </w:t>
      </w:r>
      <w:r>
        <w:rPr>
          <w:rFonts w:asciiTheme="minorBidi" w:hAnsiTheme="minorBidi"/>
        </w:rPr>
        <w:t>triggers</w:t>
      </w:r>
      <w:r w:rsidRPr="00255EED">
        <w:rPr>
          <w:rFonts w:asciiTheme="minorBidi" w:hAnsiTheme="minorBidi"/>
        </w:rPr>
        <w:t xml:space="preserve"> and were able to protect young people from any further harm. </w:t>
      </w:r>
    </w:p>
    <w:p w14:paraId="1EF94ACA" w14:textId="65BE543E" w:rsidR="00255EED" w:rsidRDefault="00255EED" w:rsidP="00255EED">
      <w:pPr>
        <w:spacing w:line="480" w:lineRule="auto"/>
        <w:rPr>
          <w:rFonts w:asciiTheme="minorBidi" w:hAnsiTheme="minorBidi"/>
        </w:rPr>
      </w:pPr>
      <w:r w:rsidRPr="00255EED">
        <w:rPr>
          <w:rFonts w:asciiTheme="minorBidi" w:hAnsiTheme="minorBidi"/>
        </w:rPr>
        <w:t>This puts the young person first, and their mental health and wellbeing at the centre of any interventions.</w:t>
      </w:r>
    </w:p>
    <w:p w14:paraId="6F0278DA" w14:textId="55D035C4" w:rsidR="00255EED" w:rsidRDefault="00255EED" w:rsidP="00255EED">
      <w:pPr>
        <w:spacing w:line="480" w:lineRule="auto"/>
        <w:rPr>
          <w:rFonts w:asciiTheme="minorBidi" w:hAnsiTheme="minorBidi"/>
        </w:rPr>
      </w:pPr>
      <w:r>
        <w:rPr>
          <w:rFonts w:asciiTheme="minorBidi" w:hAnsiTheme="minorBidi"/>
        </w:rPr>
        <w:t xml:space="preserve">Slide 8 – </w:t>
      </w:r>
    </w:p>
    <w:p w14:paraId="74C83D41" w14:textId="77777777" w:rsidR="00255EED" w:rsidRPr="00255EED" w:rsidRDefault="00255EED" w:rsidP="00255EED">
      <w:pPr>
        <w:spacing w:line="480" w:lineRule="auto"/>
        <w:rPr>
          <w:rFonts w:asciiTheme="minorBidi" w:hAnsiTheme="minorBidi"/>
        </w:rPr>
      </w:pPr>
      <w:r w:rsidRPr="00255EED">
        <w:rPr>
          <w:rFonts w:asciiTheme="minorBidi" w:hAnsiTheme="minorBidi"/>
        </w:rPr>
        <w:t>I was able to link many Youth Work theories to the themes covered.</w:t>
      </w:r>
    </w:p>
    <w:p w14:paraId="59175031" w14:textId="77777777" w:rsidR="00255EED" w:rsidRPr="00255EED" w:rsidRDefault="00255EED" w:rsidP="00255EED">
      <w:pPr>
        <w:spacing w:line="480" w:lineRule="auto"/>
        <w:rPr>
          <w:rFonts w:asciiTheme="minorBidi" w:hAnsiTheme="minorBidi"/>
        </w:rPr>
      </w:pPr>
      <w:r w:rsidRPr="00255EED">
        <w:rPr>
          <w:rFonts w:asciiTheme="minorBidi" w:hAnsiTheme="minorBidi"/>
        </w:rPr>
        <w:t>Bandura’s (1971) Social Learning Theory linked to how youth workers act as important role models to the young people they support. This theory also linked to the positive and negative impact that family and friends can have on young people.</w:t>
      </w:r>
    </w:p>
    <w:p w14:paraId="4D1E7FB8"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Bowlby’s (1969, 1988) Attachment Theory focusses on the importance of how young people develop attachments to caregivers, friends, family members and youth workers. </w:t>
      </w:r>
    </w:p>
    <w:p w14:paraId="4C5929D0"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Bronfenbrenner’s Ecological Systems Theory (1979) demonstrates how the environment can change a person, and how a person can also change their environment. This includes spending time doing outdoor activities as this can help young people appreciate and promote sustainability, as well supporting good mental health and wellbeing in themselves and others. </w:t>
      </w:r>
    </w:p>
    <w:p w14:paraId="5F35420E" w14:textId="77777777" w:rsidR="00255EED" w:rsidRPr="00255EED" w:rsidRDefault="00255EED" w:rsidP="00255EED">
      <w:pPr>
        <w:spacing w:line="480" w:lineRule="auto"/>
        <w:rPr>
          <w:rFonts w:asciiTheme="minorBidi" w:hAnsiTheme="minorBidi"/>
        </w:rPr>
      </w:pPr>
      <w:r w:rsidRPr="00255EED">
        <w:rPr>
          <w:rFonts w:asciiTheme="minorBidi" w:hAnsiTheme="minorBidi"/>
        </w:rPr>
        <w:t>Maslow’s Hierarchy of Needs (1943) suggests that the basic needs (air, food, water, sleep) and necessities (love, belonging, security) need to be met first before young people can achieve higher goals in life (self-actualisation, reaching full potential) .</w:t>
      </w:r>
    </w:p>
    <w:p w14:paraId="00E8D8EA" w14:textId="78D2C93B" w:rsidR="00255EED" w:rsidRDefault="00255EED" w:rsidP="00255EED">
      <w:pPr>
        <w:spacing w:line="480" w:lineRule="auto"/>
        <w:rPr>
          <w:rFonts w:asciiTheme="minorBidi" w:hAnsiTheme="minorBidi"/>
        </w:rPr>
      </w:pPr>
      <w:r w:rsidRPr="00255EED">
        <w:rPr>
          <w:rFonts w:asciiTheme="minorBidi" w:hAnsiTheme="minorBidi"/>
        </w:rPr>
        <w:t>Erikson’s (1950) Psychosocial Development Theory as it highlights the links between early childhood attachment and later developing relationships of trust.</w:t>
      </w:r>
    </w:p>
    <w:p w14:paraId="4DE8CF1F" w14:textId="252FA957" w:rsidR="00255EED" w:rsidRPr="00255EED" w:rsidRDefault="00255EED" w:rsidP="00255EED">
      <w:pPr>
        <w:spacing w:line="480" w:lineRule="auto"/>
        <w:rPr>
          <w:rFonts w:asciiTheme="minorBidi" w:hAnsiTheme="minorBidi"/>
        </w:rPr>
      </w:pPr>
      <w:r>
        <w:rPr>
          <w:rFonts w:asciiTheme="minorBidi" w:hAnsiTheme="minorBidi"/>
        </w:rPr>
        <w:lastRenderedPageBreak/>
        <w:t xml:space="preserve">Slide 9 –  </w:t>
      </w:r>
      <w:r w:rsidRPr="00255EED">
        <w:rPr>
          <w:rFonts w:asciiTheme="minorBidi" w:hAnsiTheme="minorBidi"/>
        </w:rPr>
        <w:t xml:space="preserve">Interventions are of key importance in Youth Work practice, as they tackle issues as they arise and by youth workers intervening early this can help reduce the young person’s chance of disengagement. </w:t>
      </w:r>
    </w:p>
    <w:p w14:paraId="08535091"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It was also found that using appropriate interventions can help keep young people safe and improve their long-term outcomes. </w:t>
      </w:r>
    </w:p>
    <w:p w14:paraId="4FC6DFCE"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Interventions can also help youth workers find out the ways that work best for the young people they are in contact with, as distinct and unique circumstances may arise at different settings. </w:t>
      </w:r>
    </w:p>
    <w:p w14:paraId="4C3DC33F" w14:textId="30802561" w:rsidR="00255EED" w:rsidRPr="00255EED" w:rsidRDefault="00255EED" w:rsidP="00255EED">
      <w:pPr>
        <w:spacing w:line="480" w:lineRule="auto"/>
        <w:rPr>
          <w:rFonts w:asciiTheme="minorBidi" w:hAnsiTheme="minorBidi"/>
        </w:rPr>
      </w:pPr>
      <w:r w:rsidRPr="00255EED">
        <w:rPr>
          <w:rFonts w:asciiTheme="minorBidi" w:hAnsiTheme="minorBidi"/>
        </w:rPr>
        <w:t xml:space="preserve"> Most importantly, by using the right interventions in practice, youth workers can demonstrate their skills at being good role models, which can support the young people in making positive life choices for themselves and their futures.</w:t>
      </w:r>
    </w:p>
    <w:p w14:paraId="33E66BEA"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One example is </w:t>
      </w:r>
      <w:proofErr w:type="spellStart"/>
      <w:r w:rsidRPr="00255EED">
        <w:rPr>
          <w:rFonts w:asciiTheme="minorBidi" w:hAnsiTheme="minorBidi"/>
        </w:rPr>
        <w:t>TrACE</w:t>
      </w:r>
      <w:proofErr w:type="spellEnd"/>
      <w:r w:rsidRPr="00255EED">
        <w:rPr>
          <w:rFonts w:asciiTheme="minorBidi" w:hAnsiTheme="minorBidi"/>
        </w:rPr>
        <w:t xml:space="preserve">, which is a trauma informed toolkit which can be used by Youth Workers to help them minimise the impact of ACEs on Young People and those working with them. </w:t>
      </w:r>
    </w:p>
    <w:p w14:paraId="29C6CBF2" w14:textId="77777777" w:rsidR="00255EED" w:rsidRPr="00255EED" w:rsidRDefault="00255EED" w:rsidP="00255EED">
      <w:pPr>
        <w:spacing w:line="480" w:lineRule="auto"/>
        <w:rPr>
          <w:rFonts w:asciiTheme="minorBidi" w:hAnsiTheme="minorBidi"/>
        </w:rPr>
      </w:pPr>
    </w:p>
    <w:p w14:paraId="4A8AD7E2" w14:textId="77777777" w:rsidR="00255EED" w:rsidRPr="00255EED" w:rsidRDefault="00255EED" w:rsidP="00255EED">
      <w:pPr>
        <w:spacing w:line="480" w:lineRule="auto"/>
        <w:rPr>
          <w:rFonts w:asciiTheme="minorBidi" w:hAnsiTheme="minorBidi"/>
        </w:rPr>
      </w:pPr>
    </w:p>
    <w:p w14:paraId="4B88D231" w14:textId="77777777" w:rsidR="00255EED" w:rsidRPr="00255EED" w:rsidRDefault="00255EED" w:rsidP="00255EED">
      <w:pPr>
        <w:spacing w:line="480" w:lineRule="auto"/>
        <w:rPr>
          <w:rFonts w:asciiTheme="minorBidi" w:hAnsiTheme="minorBidi"/>
        </w:rPr>
      </w:pPr>
      <w:r w:rsidRPr="00255EED">
        <w:rPr>
          <w:rFonts w:asciiTheme="minorBidi" w:hAnsiTheme="minorBidi"/>
        </w:rPr>
        <w:t>Recommendations</w:t>
      </w:r>
    </w:p>
    <w:p w14:paraId="5AF47A84"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One of the key recommendations is that more studies need to be carried out that examine the impact of interventions on outcomes for young people. </w:t>
      </w:r>
    </w:p>
    <w:p w14:paraId="043F12EA" w14:textId="3F26CB9C" w:rsidR="00255EED" w:rsidRPr="00255EED" w:rsidRDefault="00255EED" w:rsidP="00255EED">
      <w:pPr>
        <w:spacing w:line="480" w:lineRule="auto"/>
        <w:rPr>
          <w:rFonts w:asciiTheme="minorBidi" w:hAnsiTheme="minorBidi"/>
        </w:rPr>
      </w:pPr>
      <w:r w:rsidRPr="00255EED">
        <w:rPr>
          <w:rFonts w:asciiTheme="minorBidi" w:hAnsiTheme="minorBidi"/>
        </w:rPr>
        <w:t xml:space="preserve">This is so that the profession can measure whether outcomes from using current recommended interventions are working, and to what extent they are successful or not. </w:t>
      </w:r>
    </w:p>
    <w:p w14:paraId="02C55CCD" w14:textId="5BBCCA78" w:rsidR="00255EED" w:rsidRDefault="00255EED" w:rsidP="00255EED">
      <w:pPr>
        <w:spacing w:line="480" w:lineRule="auto"/>
        <w:rPr>
          <w:rFonts w:asciiTheme="minorBidi" w:hAnsiTheme="minorBidi"/>
        </w:rPr>
      </w:pPr>
      <w:r w:rsidRPr="00255EED">
        <w:rPr>
          <w:rFonts w:asciiTheme="minorBidi" w:hAnsiTheme="minorBidi"/>
        </w:rPr>
        <w:lastRenderedPageBreak/>
        <w:t xml:space="preserve">Also, more </w:t>
      </w:r>
      <w:r>
        <w:rPr>
          <w:rFonts w:asciiTheme="minorBidi" w:hAnsiTheme="minorBidi"/>
        </w:rPr>
        <w:t>up-to-date</w:t>
      </w:r>
      <w:r w:rsidRPr="00255EED">
        <w:rPr>
          <w:rFonts w:asciiTheme="minorBidi" w:hAnsiTheme="minorBidi"/>
        </w:rPr>
        <w:t xml:space="preserve"> information on any new interventions would be helpful for current Youth Work practitioners so that they can stay up to date with the most recent developments and apply these in their professional practice. </w:t>
      </w:r>
    </w:p>
    <w:p w14:paraId="5701A240" w14:textId="77777777" w:rsidR="00255EED" w:rsidRDefault="00255EED" w:rsidP="00255EED">
      <w:pPr>
        <w:spacing w:line="480" w:lineRule="auto"/>
        <w:rPr>
          <w:rFonts w:asciiTheme="minorBidi" w:hAnsiTheme="minorBidi"/>
        </w:rPr>
      </w:pPr>
      <w:r>
        <w:rPr>
          <w:rFonts w:asciiTheme="minorBidi" w:hAnsiTheme="minorBidi"/>
        </w:rPr>
        <w:t xml:space="preserve">Slide 10 -  </w:t>
      </w:r>
    </w:p>
    <w:p w14:paraId="44C3190A" w14:textId="3884BADE" w:rsidR="00255EED" w:rsidRPr="00255EED" w:rsidRDefault="00255EED" w:rsidP="00255EED">
      <w:pPr>
        <w:spacing w:line="480" w:lineRule="auto"/>
        <w:rPr>
          <w:rFonts w:asciiTheme="minorBidi" w:hAnsiTheme="minorBidi"/>
        </w:rPr>
      </w:pPr>
      <w:r w:rsidRPr="00255EED">
        <w:rPr>
          <w:rFonts w:asciiTheme="minorBidi" w:hAnsiTheme="minorBidi"/>
        </w:rPr>
        <w:t>One of the limitations of the extended literature review was that it was difficult to locate relevant case studies, which may have illustrated how the interventions were working in practice.</w:t>
      </w:r>
    </w:p>
    <w:p w14:paraId="40BE4C25" w14:textId="07610662" w:rsidR="00255EED" w:rsidRPr="00255EED" w:rsidRDefault="00255EED" w:rsidP="00255EED">
      <w:pPr>
        <w:spacing w:line="480" w:lineRule="auto"/>
        <w:rPr>
          <w:rFonts w:asciiTheme="minorBidi" w:hAnsiTheme="minorBidi"/>
        </w:rPr>
      </w:pPr>
      <w:r w:rsidRPr="00255EED">
        <w:rPr>
          <w:rFonts w:asciiTheme="minorBidi" w:hAnsiTheme="minorBidi"/>
        </w:rPr>
        <w:t>Another limitation was that the interventions cited in the literature were few, and of those many were outdated, therefore it would have been useful to have discovered more recent interventions with information on how well they are working.  Additionally, it would have been insightful to have up to date information on how interventions are measured so that we know what works well</w:t>
      </w:r>
      <w:r>
        <w:rPr>
          <w:rFonts w:asciiTheme="minorBidi" w:hAnsiTheme="minorBidi"/>
        </w:rPr>
        <w:t>,</w:t>
      </w:r>
      <w:r w:rsidRPr="00255EED">
        <w:rPr>
          <w:rFonts w:asciiTheme="minorBidi" w:hAnsiTheme="minorBidi"/>
        </w:rPr>
        <w:t xml:space="preserve"> and this can be generalised across different Youth Work settings.</w:t>
      </w:r>
    </w:p>
    <w:p w14:paraId="07BB16F0" w14:textId="3B7ACF97" w:rsidR="00255EED" w:rsidRPr="00255EED" w:rsidRDefault="00255EED" w:rsidP="00255EED">
      <w:pPr>
        <w:spacing w:line="480" w:lineRule="auto"/>
        <w:rPr>
          <w:rFonts w:asciiTheme="minorBidi" w:hAnsiTheme="minorBidi"/>
        </w:rPr>
      </w:pPr>
      <w:r w:rsidRPr="00255EED">
        <w:rPr>
          <w:rFonts w:asciiTheme="minorBidi" w:hAnsiTheme="minorBidi"/>
        </w:rPr>
        <w:t xml:space="preserve"> Finally, another limitation was that a lot of the literature was coming from the viewpoint of the Youth Work practitioners, therefore a </w:t>
      </w:r>
      <w:r>
        <w:rPr>
          <w:rFonts w:asciiTheme="minorBidi" w:hAnsiTheme="minorBidi"/>
        </w:rPr>
        <w:t>young-person-centred</w:t>
      </w:r>
      <w:r w:rsidRPr="00255EED">
        <w:rPr>
          <w:rFonts w:asciiTheme="minorBidi" w:hAnsiTheme="minorBidi"/>
        </w:rPr>
        <w:t xml:space="preserve"> approach to gathering data would have been good for raising better awareness on how young people perceive the support they receive from Youth Workers.</w:t>
      </w:r>
    </w:p>
    <w:p w14:paraId="6EBDB95A" w14:textId="77777777" w:rsidR="00255EED" w:rsidRPr="00255EED" w:rsidRDefault="00255EED" w:rsidP="00255EED">
      <w:pPr>
        <w:spacing w:line="480" w:lineRule="auto"/>
        <w:rPr>
          <w:rFonts w:asciiTheme="minorBidi" w:hAnsiTheme="minorBidi"/>
        </w:rPr>
      </w:pPr>
      <w:r w:rsidRPr="00255EED">
        <w:rPr>
          <w:rFonts w:asciiTheme="minorBidi" w:hAnsiTheme="minorBidi"/>
        </w:rPr>
        <w:t xml:space="preserve">Additionally, research with young people would benefit them as well as the Youth Workers. </w:t>
      </w:r>
    </w:p>
    <w:p w14:paraId="77499C15" w14:textId="475A7638" w:rsidR="00255EED" w:rsidRDefault="00255EED" w:rsidP="00255EED">
      <w:pPr>
        <w:spacing w:line="480" w:lineRule="auto"/>
        <w:rPr>
          <w:rFonts w:asciiTheme="minorBidi" w:hAnsiTheme="minorBidi"/>
        </w:rPr>
      </w:pPr>
      <w:r w:rsidRPr="00255EED">
        <w:rPr>
          <w:rFonts w:asciiTheme="minorBidi" w:hAnsiTheme="minorBidi"/>
        </w:rPr>
        <w:t xml:space="preserve">However, it is important that in gathering any data that the appropriate measures are taken in relation to ethical considerations and protecting the mental health and </w:t>
      </w:r>
      <w:r>
        <w:rPr>
          <w:rFonts w:asciiTheme="minorBidi" w:hAnsiTheme="minorBidi"/>
        </w:rPr>
        <w:t>well-being</w:t>
      </w:r>
      <w:r w:rsidRPr="00255EED">
        <w:rPr>
          <w:rFonts w:asciiTheme="minorBidi" w:hAnsiTheme="minorBidi"/>
        </w:rPr>
        <w:t xml:space="preserve"> of young people, as this type of research could be triggering to them.</w:t>
      </w:r>
    </w:p>
    <w:p w14:paraId="3B64925C" w14:textId="7393BF69" w:rsidR="00255EED" w:rsidRDefault="00255EED" w:rsidP="00255EED">
      <w:pPr>
        <w:spacing w:line="480" w:lineRule="auto"/>
        <w:rPr>
          <w:rFonts w:asciiTheme="minorBidi" w:hAnsiTheme="minorBidi"/>
        </w:rPr>
      </w:pPr>
      <w:r>
        <w:rPr>
          <w:rFonts w:asciiTheme="minorBidi" w:hAnsiTheme="minorBidi"/>
        </w:rPr>
        <w:t xml:space="preserve">Slide 11 -  References </w:t>
      </w:r>
    </w:p>
    <w:p w14:paraId="0CC9C742" w14:textId="53DB915F" w:rsidR="00255EED" w:rsidRDefault="00255EED" w:rsidP="00255EED">
      <w:pPr>
        <w:spacing w:line="480" w:lineRule="auto"/>
        <w:rPr>
          <w:rFonts w:asciiTheme="minorBidi" w:hAnsiTheme="minorBidi"/>
        </w:rPr>
      </w:pPr>
      <w:r w:rsidRPr="00255EED">
        <w:rPr>
          <w:rFonts w:asciiTheme="minorBidi" w:hAnsiTheme="minorBidi"/>
        </w:rPr>
        <w:lastRenderedPageBreak/>
        <w:t>Cherry, K. (2026) Erikson's Stages of Psychosocial Development. Available at: Erikson's Stages of Psychosocial Development (Accessed: 29 April 2026).</w:t>
      </w:r>
    </w:p>
    <w:p w14:paraId="65E1C82C" w14:textId="5CB00CA8" w:rsidR="00255EED" w:rsidRDefault="00255EED" w:rsidP="00255EED">
      <w:pPr>
        <w:spacing w:line="480" w:lineRule="auto"/>
        <w:rPr>
          <w:rFonts w:asciiTheme="minorBidi" w:hAnsiTheme="minorBidi"/>
        </w:rPr>
      </w:pPr>
      <w:r w:rsidRPr="00255EED">
        <w:rPr>
          <w:rFonts w:asciiTheme="minorBidi" w:hAnsiTheme="minorBidi"/>
        </w:rPr>
        <w:t>Cottrell, S. (2014) Dissertations and project reports: a step-by-step guide. Palgrave Macmillan.</w:t>
      </w:r>
    </w:p>
    <w:p w14:paraId="5B8DCB5B" w14:textId="3CE097E7" w:rsidR="00255EED" w:rsidRDefault="00255EED" w:rsidP="00255EED">
      <w:pPr>
        <w:spacing w:line="480" w:lineRule="auto"/>
        <w:rPr>
          <w:rFonts w:asciiTheme="minorBidi" w:hAnsiTheme="minorBidi"/>
        </w:rPr>
      </w:pPr>
      <w:r w:rsidRPr="00255EED">
        <w:rPr>
          <w:rFonts w:asciiTheme="minorBidi" w:hAnsiTheme="minorBidi"/>
        </w:rPr>
        <w:t>Glending, F.,  Rodriguez, G.R.,  Newbury, A., and Wilmot’s, R. (2021) Adverse childhood experience (ACE) and trauma-informed approaches in youth justice services in Wales: An evaluation of the implementation of the enhanced case management (ECM) project the views and experiences of children and youth justice workers. Available at: Adverse-childhood-experience-ACE-and-trauma-informed-approaches-in-youth-justice-services-in-Wales-An-evaluation-of-the-implementation-of-the-enhanced-case-management-ECM-project-The-views-and-experie.pdf (Accessed: 27 May 2025).</w:t>
      </w:r>
    </w:p>
    <w:p w14:paraId="05CC56C2" w14:textId="035F7501" w:rsidR="00255EED" w:rsidRDefault="00255EED" w:rsidP="00255EED">
      <w:pPr>
        <w:spacing w:line="480" w:lineRule="auto"/>
        <w:rPr>
          <w:rFonts w:asciiTheme="minorBidi" w:hAnsiTheme="minorBidi"/>
        </w:rPr>
      </w:pPr>
      <w:r w:rsidRPr="00255EED">
        <w:rPr>
          <w:rFonts w:asciiTheme="minorBidi" w:hAnsiTheme="minorBidi"/>
        </w:rPr>
        <w:t>Guy-Evans, O. (2024) Bronfenbrenner’s Ecological Systems Theory. Available at: (PDF) Bronfenbrenner's Ecological Systems Theory (Accessed: 29 April 2026).</w:t>
      </w:r>
    </w:p>
    <w:p w14:paraId="790801C6" w14:textId="4370C72B" w:rsidR="00255EED" w:rsidRDefault="00255EED" w:rsidP="00255EED">
      <w:pPr>
        <w:spacing w:line="480" w:lineRule="auto"/>
        <w:rPr>
          <w:rFonts w:asciiTheme="minorBidi" w:hAnsiTheme="minorBidi"/>
        </w:rPr>
      </w:pPr>
      <w:r w:rsidRPr="00255EED">
        <w:rPr>
          <w:rFonts w:asciiTheme="minorBidi" w:hAnsiTheme="minorBidi"/>
        </w:rPr>
        <w:t xml:space="preserve">Huelsnitz, C., Jones, R. and Simpson, J.A. (2026) Interpersonal Relationships. Available at: Sage Reference - The SAGE </w:t>
      </w:r>
      <w:proofErr w:type="spellStart"/>
      <w:r w:rsidRPr="00255EED">
        <w:rPr>
          <w:rFonts w:asciiTheme="minorBidi" w:hAnsiTheme="minorBidi"/>
        </w:rPr>
        <w:t>Encyclopedia</w:t>
      </w:r>
      <w:proofErr w:type="spellEnd"/>
      <w:r w:rsidRPr="00255EED">
        <w:rPr>
          <w:rFonts w:asciiTheme="minorBidi" w:hAnsiTheme="minorBidi"/>
        </w:rPr>
        <w:t xml:space="preserve"> of Lifespan Human Development - Interpersonal Relationships (Accessed: 5 February 2026).</w:t>
      </w:r>
    </w:p>
    <w:p w14:paraId="43E1E8EB" w14:textId="7DFA3221" w:rsidR="00255EED" w:rsidRDefault="00255EED" w:rsidP="00255EED">
      <w:pPr>
        <w:spacing w:line="480" w:lineRule="auto"/>
        <w:rPr>
          <w:rFonts w:asciiTheme="minorBidi" w:hAnsiTheme="minorBidi"/>
        </w:rPr>
      </w:pPr>
      <w:r w:rsidRPr="00255EED">
        <w:rPr>
          <w:rFonts w:asciiTheme="minorBidi" w:hAnsiTheme="minorBidi"/>
        </w:rPr>
        <w:t>McLeod, S. (2025) John Bowlby’s Attachment Theory. Available at: John Bowlby's Attachment Theory (Accessed: 29 April 2026).</w:t>
      </w:r>
    </w:p>
    <w:p w14:paraId="4118B18B" w14:textId="3A4385BB" w:rsidR="00255EED" w:rsidRDefault="00255EED" w:rsidP="00255EED">
      <w:pPr>
        <w:spacing w:line="480" w:lineRule="auto"/>
        <w:rPr>
          <w:rFonts w:asciiTheme="minorBidi" w:hAnsiTheme="minorBidi"/>
        </w:rPr>
      </w:pPr>
      <w:r w:rsidRPr="00255EED">
        <w:rPr>
          <w:rFonts w:asciiTheme="minorBidi" w:hAnsiTheme="minorBidi"/>
        </w:rPr>
        <w:t>McLeod, S. (2026) Maslow’s Hierarchy of Needs. Available at: Maslow's Hierarchy of Needs (Accessed: 29 April 2026).</w:t>
      </w:r>
    </w:p>
    <w:p w14:paraId="5C141F73" w14:textId="75BA92E2" w:rsidR="00255EED" w:rsidRDefault="00255EED" w:rsidP="00255EED">
      <w:pPr>
        <w:spacing w:line="480" w:lineRule="auto"/>
        <w:rPr>
          <w:rFonts w:asciiTheme="minorBidi" w:hAnsiTheme="minorBidi"/>
        </w:rPr>
      </w:pPr>
      <w:r w:rsidRPr="00255EED">
        <w:rPr>
          <w:rFonts w:asciiTheme="minorBidi" w:hAnsiTheme="minorBidi"/>
        </w:rPr>
        <w:t xml:space="preserve">Nabavi, R.T. and </w:t>
      </w:r>
      <w:proofErr w:type="spellStart"/>
      <w:r w:rsidRPr="00255EED">
        <w:rPr>
          <w:rFonts w:asciiTheme="minorBidi" w:hAnsiTheme="minorBidi"/>
        </w:rPr>
        <w:t>Bijandi</w:t>
      </w:r>
      <w:proofErr w:type="spellEnd"/>
      <w:r w:rsidRPr="00255EED">
        <w:rPr>
          <w:rFonts w:asciiTheme="minorBidi" w:hAnsiTheme="minorBidi"/>
        </w:rPr>
        <w:t xml:space="preserve">, M.S. (2011) ‘A literature review on Bandura’s Social Learning Theory and Social Cognitive Learning Theory’, Ministry of Science, </w:t>
      </w:r>
      <w:r w:rsidRPr="00255EED">
        <w:rPr>
          <w:rFonts w:asciiTheme="minorBidi" w:hAnsiTheme="minorBidi"/>
        </w:rPr>
        <w:lastRenderedPageBreak/>
        <w:t>Research and Technology, pp. 1-23. Available at: Banduras-Social-Learning-Theory-Social-Cognitive-Learning-Theory.pdf (Accessed: 26 March 2026).</w:t>
      </w:r>
    </w:p>
    <w:p w14:paraId="70699212" w14:textId="2362198F" w:rsidR="00255EED" w:rsidRPr="001341F2" w:rsidRDefault="00255EED" w:rsidP="00255EED">
      <w:pPr>
        <w:spacing w:line="480" w:lineRule="auto"/>
        <w:rPr>
          <w:rFonts w:asciiTheme="minorBidi" w:hAnsiTheme="minorBidi"/>
        </w:rPr>
      </w:pPr>
      <w:r w:rsidRPr="00255EED">
        <w:rPr>
          <w:rFonts w:asciiTheme="minorBidi" w:hAnsiTheme="minorBidi"/>
        </w:rPr>
        <w:t xml:space="preserve">Sapin, K. (2013) Essential skills for Youth Work practice. 2nd </w:t>
      </w:r>
      <w:proofErr w:type="spellStart"/>
      <w:r w:rsidRPr="00255EED">
        <w:rPr>
          <w:rFonts w:asciiTheme="minorBidi" w:hAnsiTheme="minorBidi"/>
        </w:rPr>
        <w:t>edn</w:t>
      </w:r>
      <w:proofErr w:type="spellEnd"/>
      <w:r w:rsidRPr="00255EED">
        <w:rPr>
          <w:rFonts w:asciiTheme="minorBidi" w:hAnsiTheme="minorBidi"/>
        </w:rPr>
        <w:t>. Sage Publications</w:t>
      </w:r>
    </w:p>
    <w:sectPr w:rsidR="00255EED" w:rsidRPr="001341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E8E5F" w14:textId="77777777" w:rsidR="00221A6F" w:rsidRDefault="00221A6F" w:rsidP="00C57A74">
      <w:pPr>
        <w:spacing w:after="0" w:line="240" w:lineRule="auto"/>
      </w:pPr>
      <w:r>
        <w:separator/>
      </w:r>
    </w:p>
  </w:endnote>
  <w:endnote w:type="continuationSeparator" w:id="0">
    <w:p w14:paraId="5676503F" w14:textId="77777777" w:rsidR="00221A6F" w:rsidRDefault="00221A6F" w:rsidP="00C57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A1E31" w14:textId="77777777" w:rsidR="00221A6F" w:rsidRDefault="00221A6F" w:rsidP="00C57A74">
      <w:pPr>
        <w:spacing w:after="0" w:line="240" w:lineRule="auto"/>
      </w:pPr>
      <w:r>
        <w:separator/>
      </w:r>
    </w:p>
  </w:footnote>
  <w:footnote w:type="continuationSeparator" w:id="0">
    <w:p w14:paraId="3AE71974" w14:textId="77777777" w:rsidR="00221A6F" w:rsidRDefault="00221A6F" w:rsidP="00C57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74F2C"/>
    <w:multiLevelType w:val="hybridMultilevel"/>
    <w:tmpl w:val="8908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596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6E1"/>
    <w:rsid w:val="00035CC0"/>
    <w:rsid w:val="000D7FE7"/>
    <w:rsid w:val="00107510"/>
    <w:rsid w:val="00112CD6"/>
    <w:rsid w:val="001341F2"/>
    <w:rsid w:val="00181F4D"/>
    <w:rsid w:val="001B1217"/>
    <w:rsid w:val="001F387C"/>
    <w:rsid w:val="00204BE2"/>
    <w:rsid w:val="00221A6F"/>
    <w:rsid w:val="00255EED"/>
    <w:rsid w:val="003431BA"/>
    <w:rsid w:val="00394C94"/>
    <w:rsid w:val="003B1D67"/>
    <w:rsid w:val="003D6F9B"/>
    <w:rsid w:val="003E68CA"/>
    <w:rsid w:val="0042356D"/>
    <w:rsid w:val="004931BF"/>
    <w:rsid w:val="0054586E"/>
    <w:rsid w:val="007F09F5"/>
    <w:rsid w:val="00934002"/>
    <w:rsid w:val="00A432D7"/>
    <w:rsid w:val="00A60DFC"/>
    <w:rsid w:val="00A8355A"/>
    <w:rsid w:val="00AB1055"/>
    <w:rsid w:val="00B323EB"/>
    <w:rsid w:val="00B57E6F"/>
    <w:rsid w:val="00B7237E"/>
    <w:rsid w:val="00BB171D"/>
    <w:rsid w:val="00BB7078"/>
    <w:rsid w:val="00BC72FA"/>
    <w:rsid w:val="00C17C74"/>
    <w:rsid w:val="00C546E1"/>
    <w:rsid w:val="00C57A74"/>
    <w:rsid w:val="00CE137C"/>
    <w:rsid w:val="00CE31C1"/>
    <w:rsid w:val="00EC0524"/>
    <w:rsid w:val="00F4107E"/>
    <w:rsid w:val="00F75D3A"/>
    <w:rsid w:val="00F95D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F28EB"/>
  <w15:chartTrackingRefBased/>
  <w15:docId w15:val="{4F10A39D-218C-4956-88C2-011135B8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6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6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6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6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6E1"/>
    <w:rPr>
      <w:rFonts w:eastAsiaTheme="majorEastAsia" w:cstheme="majorBidi"/>
      <w:color w:val="272727" w:themeColor="text1" w:themeTint="D8"/>
    </w:rPr>
  </w:style>
  <w:style w:type="paragraph" w:styleId="Title">
    <w:name w:val="Title"/>
    <w:basedOn w:val="Normal"/>
    <w:next w:val="Normal"/>
    <w:link w:val="TitleChar"/>
    <w:uiPriority w:val="10"/>
    <w:qFormat/>
    <w:rsid w:val="00C546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6E1"/>
    <w:pPr>
      <w:spacing w:before="160"/>
      <w:jc w:val="center"/>
    </w:pPr>
    <w:rPr>
      <w:i/>
      <w:iCs/>
      <w:color w:val="404040" w:themeColor="text1" w:themeTint="BF"/>
    </w:rPr>
  </w:style>
  <w:style w:type="character" w:customStyle="1" w:styleId="QuoteChar">
    <w:name w:val="Quote Char"/>
    <w:basedOn w:val="DefaultParagraphFont"/>
    <w:link w:val="Quote"/>
    <w:uiPriority w:val="29"/>
    <w:rsid w:val="00C546E1"/>
    <w:rPr>
      <w:i/>
      <w:iCs/>
      <w:color w:val="404040" w:themeColor="text1" w:themeTint="BF"/>
    </w:rPr>
  </w:style>
  <w:style w:type="paragraph" w:styleId="ListParagraph">
    <w:name w:val="List Paragraph"/>
    <w:basedOn w:val="Normal"/>
    <w:uiPriority w:val="34"/>
    <w:qFormat/>
    <w:rsid w:val="00C546E1"/>
    <w:pPr>
      <w:ind w:left="720"/>
      <w:contextualSpacing/>
    </w:pPr>
  </w:style>
  <w:style w:type="character" w:styleId="IntenseEmphasis">
    <w:name w:val="Intense Emphasis"/>
    <w:basedOn w:val="DefaultParagraphFont"/>
    <w:uiPriority w:val="21"/>
    <w:qFormat/>
    <w:rsid w:val="00C546E1"/>
    <w:rPr>
      <w:i/>
      <w:iCs/>
      <w:color w:val="0F4761" w:themeColor="accent1" w:themeShade="BF"/>
    </w:rPr>
  </w:style>
  <w:style w:type="paragraph" w:styleId="IntenseQuote">
    <w:name w:val="Intense Quote"/>
    <w:basedOn w:val="Normal"/>
    <w:next w:val="Normal"/>
    <w:link w:val="IntenseQuoteChar"/>
    <w:uiPriority w:val="30"/>
    <w:qFormat/>
    <w:rsid w:val="00C54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6E1"/>
    <w:rPr>
      <w:i/>
      <w:iCs/>
      <w:color w:val="0F4761" w:themeColor="accent1" w:themeShade="BF"/>
    </w:rPr>
  </w:style>
  <w:style w:type="character" w:styleId="IntenseReference">
    <w:name w:val="Intense Reference"/>
    <w:basedOn w:val="DefaultParagraphFont"/>
    <w:uiPriority w:val="32"/>
    <w:qFormat/>
    <w:rsid w:val="00C546E1"/>
    <w:rPr>
      <w:b/>
      <w:bCs/>
      <w:smallCaps/>
      <w:color w:val="0F4761" w:themeColor="accent1" w:themeShade="BF"/>
      <w:spacing w:val="5"/>
    </w:rPr>
  </w:style>
  <w:style w:type="paragraph" w:styleId="Header">
    <w:name w:val="header"/>
    <w:basedOn w:val="Normal"/>
    <w:link w:val="HeaderChar"/>
    <w:uiPriority w:val="99"/>
    <w:unhideWhenUsed/>
    <w:rsid w:val="00C57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A74"/>
  </w:style>
  <w:style w:type="paragraph" w:styleId="Footer">
    <w:name w:val="footer"/>
    <w:basedOn w:val="Normal"/>
    <w:link w:val="FooterChar"/>
    <w:uiPriority w:val="99"/>
    <w:unhideWhenUsed/>
    <w:rsid w:val="00C57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1702</Words>
  <Characters>9703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cp:lastModifiedBy>
  <cp:revision>2</cp:revision>
  <dcterms:created xsi:type="dcterms:W3CDTF">2026-05-13T09:53:00Z</dcterms:created>
  <dcterms:modified xsi:type="dcterms:W3CDTF">2026-05-13T09:53:00Z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507a7bdd-5176-46e9-bb75-bcbd62a8f562</vt:lpwstr>
  </property>
</Properties>
</file>