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3C9F3B0F" w14:textId="77777777" w:rsidR="00DB7763" w:rsidRDefault="00000000">
      <w:pPr>
        <w:spacing w:before="1400"/>
        <w:jc w:val="center"/>
      </w:pPr>
      <w:r>
        <w:rPr>
          <w:color w:val="5B6570"/>
          <w:sz w:val="26"/>
          <w:szCs w:val="26"/>
        </w:rPr>
        <w:t>Management Accounting for Managers</w:t>
      </w:r>
    </w:p>
    <w:p w14:paraId="43A98AD6" w14:textId="77777777" w:rsidR="00DB7763" w:rsidRDefault="00000000">
      <w:pPr>
        <w:spacing w:before="40" w:after="40"/>
        <w:jc w:val="center"/>
      </w:pPr>
      <w:r>
        <w:rPr>
          <w:color w:val="5B6570"/>
          <w:sz w:val="22"/>
          <w:szCs w:val="22"/>
        </w:rPr>
        <w:t>Module LCBB5010</w:t>
      </w:r>
    </w:p>
    <w:p w14:paraId="26248A80" w14:textId="77777777" w:rsidR="002C0C12" w:rsidRDefault="00000000">
      <w:pPr>
        <w:pBdr>
          <w:top w:val="single" w:sz="8" w:space="8" w:color="0B1F33"/>
          <w:bottom w:val="single" w:sz="8" w:space="8" w:color="0B1F33"/>
        </w:pBdr>
        <w:spacing w:before="300" w:after="200"/>
        <w:jc w:val="center"/>
        <w:rPr>
          <w:b/>
          <w:bCs/>
          <w:color w:val="0B1F33"/>
          <w:sz w:val="34"/>
          <w:szCs w:val="34"/>
        </w:rPr>
      </w:pPr>
      <w:r>
        <w:rPr>
          <w:b/>
          <w:bCs/>
          <w:color w:val="0B1F33"/>
          <w:sz w:val="34"/>
          <w:szCs w:val="34"/>
        </w:rPr>
        <w:t xml:space="preserve">The Role of Management Accounting in Financial Decision-Making: </w:t>
      </w:r>
    </w:p>
    <w:p w14:paraId="5A400C28" w14:textId="0FCF7E14" w:rsidR="00DB7763" w:rsidRDefault="00000000">
      <w:pPr>
        <w:pBdr>
          <w:top w:val="single" w:sz="8" w:space="8" w:color="0B1F33"/>
          <w:bottom w:val="single" w:sz="8" w:space="8" w:color="0B1F33"/>
        </w:pBdr>
        <w:spacing w:before="300" w:after="200"/>
        <w:jc w:val="center"/>
      </w:pPr>
      <w:r>
        <w:rPr>
          <w:b/>
          <w:bCs/>
          <w:color w:val="0B1F33"/>
          <w:sz w:val="34"/>
          <w:szCs w:val="34"/>
        </w:rPr>
        <w:t>A Case Study of Mercedes-Benz Group AG</w:t>
      </w:r>
    </w:p>
    <w:p w14:paraId="661F4142" w14:textId="77777777" w:rsidR="00DB7763" w:rsidRDefault="00000000">
      <w:pPr>
        <w:spacing w:before="120"/>
        <w:jc w:val="center"/>
      </w:pPr>
      <w:r>
        <w:t>Component 1: Individual Report</w:t>
      </w:r>
    </w:p>
    <w:p w14:paraId="58175BF0" w14:textId="41E75F9A" w:rsidR="00DB7763" w:rsidRDefault="00000000">
      <w:pPr>
        <w:spacing w:before="700" w:after="60"/>
        <w:jc w:val="center"/>
      </w:pPr>
      <w:r>
        <w:rPr>
          <w:sz w:val="22"/>
          <w:szCs w:val="22"/>
        </w:rPr>
        <w:t xml:space="preserve">Student Name: </w:t>
      </w:r>
      <w:r w:rsidR="00A43DA9">
        <w:rPr>
          <w:sz w:val="22"/>
          <w:szCs w:val="22"/>
        </w:rPr>
        <w:t>Osama El Fadel</w:t>
      </w:r>
    </w:p>
    <w:p w14:paraId="132EF3A9" w14:textId="54643200" w:rsidR="00DB7763" w:rsidRDefault="00000000">
      <w:pPr>
        <w:spacing w:after="60"/>
        <w:jc w:val="center"/>
      </w:pPr>
      <w:r>
        <w:rPr>
          <w:sz w:val="22"/>
          <w:szCs w:val="22"/>
        </w:rPr>
        <w:t xml:space="preserve">Student ID: </w:t>
      </w:r>
      <w:r w:rsidR="00A43DA9">
        <w:rPr>
          <w:sz w:val="22"/>
          <w:szCs w:val="22"/>
        </w:rPr>
        <w:t>2313452</w:t>
      </w:r>
    </w:p>
    <w:p w14:paraId="0B465C56" w14:textId="77777777" w:rsidR="00DB7763" w:rsidRDefault="00000000">
      <w:pPr>
        <w:spacing w:after="60"/>
        <w:jc w:val="center"/>
      </w:pPr>
      <w:r>
        <w:rPr>
          <w:sz w:val="22"/>
          <w:szCs w:val="22"/>
        </w:rPr>
        <w:t>Module Leader: Zainab Atta</w:t>
      </w:r>
    </w:p>
    <w:p w14:paraId="2550FCBA" w14:textId="77777777" w:rsidR="00DB7763" w:rsidRDefault="00000000">
      <w:pPr>
        <w:spacing w:after="60"/>
        <w:jc w:val="center"/>
      </w:pPr>
      <w:r>
        <w:rPr>
          <w:sz w:val="22"/>
          <w:szCs w:val="22"/>
        </w:rPr>
        <w:t>Programme: BA (Hons) Business Management</w:t>
      </w:r>
    </w:p>
    <w:p w14:paraId="2EFC28DD" w14:textId="7CEE795D" w:rsidR="00DB7763" w:rsidRDefault="00DB7763">
      <w:pPr>
        <w:spacing w:after="60"/>
        <w:jc w:val="center"/>
      </w:pPr>
    </w:p>
    <w:p w14:paraId="676AD2A6" w14:textId="77777777" w:rsidR="002C0C12" w:rsidRDefault="002C0C12" w:rsidP="002C0C12"/>
    <w:p w14:paraId="520EF14C" w14:textId="77777777" w:rsidR="002C0C12" w:rsidRDefault="002C0C12" w:rsidP="002C0C12"/>
    <w:p w14:paraId="53DE4A34" w14:textId="77777777" w:rsidR="002C0C12" w:rsidRDefault="002C0C12" w:rsidP="002C0C12"/>
    <w:p w14:paraId="2E75423F" w14:textId="77777777" w:rsidR="002C0C12" w:rsidRDefault="002C0C12" w:rsidP="002C0C12"/>
    <w:p w14:paraId="06681A87" w14:textId="77777777" w:rsidR="002C0C12" w:rsidRDefault="002C0C12" w:rsidP="002C0C12"/>
    <w:p w14:paraId="23C3CFB2" w14:textId="77777777" w:rsidR="002C0C12" w:rsidRDefault="002C0C12" w:rsidP="002C0C12"/>
    <w:p w14:paraId="68CB7FBF" w14:textId="77777777" w:rsidR="002C0C12" w:rsidRDefault="002C0C12" w:rsidP="002C0C12"/>
    <w:p w14:paraId="6707EA58" w14:textId="77777777" w:rsidR="002C0C12" w:rsidRDefault="002C0C12" w:rsidP="002C0C12"/>
    <w:p w14:paraId="25DE3FA1" w14:textId="77777777" w:rsidR="002C0C12" w:rsidRDefault="002C0C12" w:rsidP="002C0C12"/>
    <w:p w14:paraId="42D81185" w14:textId="77777777" w:rsidR="002C0C12" w:rsidRDefault="002C0C12" w:rsidP="002C0C12"/>
    <w:p w14:paraId="01F7DB8E" w14:textId="77777777" w:rsidR="002C0C12" w:rsidRDefault="002C0C12" w:rsidP="002C0C12"/>
    <w:p w14:paraId="6C8C3529" w14:textId="77777777" w:rsidR="002C0C12" w:rsidRDefault="002C0C12" w:rsidP="002C0C12"/>
    <w:p w14:paraId="0E49DAD2" w14:textId="77777777" w:rsidR="002C0C12" w:rsidRDefault="002C0C12" w:rsidP="002C0C12"/>
    <w:p w14:paraId="6E3DC616" w14:textId="77777777" w:rsidR="002C0C12" w:rsidRDefault="002C0C12" w:rsidP="002C0C12"/>
    <w:p w14:paraId="3C641F74" w14:textId="77777777" w:rsidR="002C0C12" w:rsidRDefault="002C0C12" w:rsidP="002C0C12"/>
    <w:p w14:paraId="6610B024" w14:textId="77777777" w:rsidR="002C0C12" w:rsidRDefault="002C0C12" w:rsidP="002C0C12"/>
    <w:p w14:paraId="6ED1B3B7" w14:textId="77777777" w:rsidR="002C0C12" w:rsidRDefault="002C0C12" w:rsidP="002C0C12"/>
    <w:p w14:paraId="7E282532" w14:textId="77777777" w:rsidR="002C0C12" w:rsidRDefault="002C0C12" w:rsidP="002C0C12"/>
    <w:p w14:paraId="5F7E9636" w14:textId="77777777" w:rsidR="00C5561A" w:rsidRDefault="00C5561A" w:rsidP="002C0C12"/>
    <w:p w14:paraId="66F514E3" w14:textId="77777777" w:rsidR="00C5561A" w:rsidRDefault="00C5561A" w:rsidP="002C0C12"/>
    <w:sdt>
      <w:sdtPr>
        <w:id w:val="323950663"/>
        <w:docPartObj>
          <w:docPartGallery w:val="Table of Contents"/>
          <w:docPartUnique/>
        </w:docPartObj>
      </w:sdtPr>
      <w:sdtEndPr>
        <w:rPr>
          <w:rFonts w:ascii="Arial" w:eastAsia="Arial" w:hAnsi="Arial" w:cs="Arial"/>
          <w:noProof/>
          <w:color w:val="auto"/>
          <w:sz w:val="24"/>
          <w:szCs w:val="24"/>
          <w:lang w:val="en-GB" w:eastAsia="en-GB"/>
        </w:rPr>
      </w:sdtEndPr>
      <w:sdtContent>
        <w:p w14:paraId="1BD89EB0" w14:textId="77777777" w:rsidR="00C5561A" w:rsidRDefault="00C5561A">
          <w:pPr>
            <w:pStyle w:val="TOCHeading"/>
          </w:pPr>
        </w:p>
        <w:p w14:paraId="6B43D7E9" w14:textId="4EEAAC16" w:rsidR="00C5561A" w:rsidRDefault="00C5561A">
          <w:pPr>
            <w:pStyle w:val="TOCHeading"/>
          </w:pPr>
          <w:r>
            <w:t>Table of Contents</w:t>
          </w:r>
        </w:p>
        <w:p w14:paraId="344D8B4F" w14:textId="6F19D450" w:rsidR="00C5561A" w:rsidRDefault="00C5561A">
          <w:pPr>
            <w:pStyle w:val="TOC1"/>
            <w:tabs>
              <w:tab w:val="right" w:leader="dot" w:pos="9016"/>
            </w:tabs>
            <w:rPr>
              <w:rFonts w:eastAsiaTheme="minorEastAsia" w:cstheme="minorBidi"/>
              <w:b w:val="0"/>
              <w:bCs w:val="0"/>
              <w:i/>
              <w:iCs/>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235196470" w:history="1">
            <w:r w:rsidRPr="0076620A">
              <w:rPr>
                <w:rStyle w:val="Hyperlink"/>
                <w:noProof/>
              </w:rPr>
              <w:t>Introduction</w:t>
            </w:r>
            <w:r>
              <w:rPr>
                <w:noProof/>
                <w:webHidden/>
              </w:rPr>
              <w:tab/>
            </w:r>
            <w:r>
              <w:rPr>
                <w:noProof/>
                <w:webHidden/>
              </w:rPr>
              <w:fldChar w:fldCharType="begin"/>
            </w:r>
            <w:r>
              <w:rPr>
                <w:noProof/>
                <w:webHidden/>
              </w:rPr>
              <w:instrText xml:space="preserve"> PAGEREF _Toc235196470 \h </w:instrText>
            </w:r>
            <w:r>
              <w:rPr>
                <w:noProof/>
                <w:webHidden/>
              </w:rPr>
            </w:r>
            <w:r>
              <w:rPr>
                <w:noProof/>
                <w:webHidden/>
              </w:rPr>
              <w:fldChar w:fldCharType="separate"/>
            </w:r>
            <w:r>
              <w:rPr>
                <w:noProof/>
                <w:webHidden/>
              </w:rPr>
              <w:t>3</w:t>
            </w:r>
            <w:r>
              <w:rPr>
                <w:noProof/>
                <w:webHidden/>
              </w:rPr>
              <w:fldChar w:fldCharType="end"/>
            </w:r>
          </w:hyperlink>
        </w:p>
        <w:p w14:paraId="1DE62E0B" w14:textId="1FD252E8"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1" w:history="1">
            <w:r w:rsidRPr="0076620A">
              <w:rPr>
                <w:rStyle w:val="Hyperlink"/>
                <w:noProof/>
              </w:rPr>
              <w:t>Cost Analysis and Business Model</w:t>
            </w:r>
            <w:r>
              <w:rPr>
                <w:noProof/>
                <w:webHidden/>
              </w:rPr>
              <w:tab/>
            </w:r>
            <w:r>
              <w:rPr>
                <w:noProof/>
                <w:webHidden/>
              </w:rPr>
              <w:fldChar w:fldCharType="begin"/>
            </w:r>
            <w:r>
              <w:rPr>
                <w:noProof/>
                <w:webHidden/>
              </w:rPr>
              <w:instrText xml:space="preserve"> PAGEREF _Toc235196471 \h </w:instrText>
            </w:r>
            <w:r>
              <w:rPr>
                <w:noProof/>
                <w:webHidden/>
              </w:rPr>
            </w:r>
            <w:r>
              <w:rPr>
                <w:noProof/>
                <w:webHidden/>
              </w:rPr>
              <w:fldChar w:fldCharType="separate"/>
            </w:r>
            <w:r>
              <w:rPr>
                <w:noProof/>
                <w:webHidden/>
              </w:rPr>
              <w:t>3</w:t>
            </w:r>
            <w:r>
              <w:rPr>
                <w:noProof/>
                <w:webHidden/>
              </w:rPr>
              <w:fldChar w:fldCharType="end"/>
            </w:r>
          </w:hyperlink>
        </w:p>
        <w:p w14:paraId="22811565" w14:textId="78F2134F"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2" w:history="1">
            <w:r w:rsidRPr="0076620A">
              <w:rPr>
                <w:rStyle w:val="Hyperlink"/>
                <w:noProof/>
              </w:rPr>
              <w:t>Budgeting and Financial Planning</w:t>
            </w:r>
            <w:r>
              <w:rPr>
                <w:noProof/>
                <w:webHidden/>
              </w:rPr>
              <w:tab/>
            </w:r>
            <w:r>
              <w:rPr>
                <w:noProof/>
                <w:webHidden/>
              </w:rPr>
              <w:fldChar w:fldCharType="begin"/>
            </w:r>
            <w:r>
              <w:rPr>
                <w:noProof/>
                <w:webHidden/>
              </w:rPr>
              <w:instrText xml:space="preserve"> PAGEREF _Toc235196472 \h </w:instrText>
            </w:r>
            <w:r>
              <w:rPr>
                <w:noProof/>
                <w:webHidden/>
              </w:rPr>
            </w:r>
            <w:r>
              <w:rPr>
                <w:noProof/>
                <w:webHidden/>
              </w:rPr>
              <w:fldChar w:fldCharType="separate"/>
            </w:r>
            <w:r>
              <w:rPr>
                <w:noProof/>
                <w:webHidden/>
              </w:rPr>
              <w:t>6</w:t>
            </w:r>
            <w:r>
              <w:rPr>
                <w:noProof/>
                <w:webHidden/>
              </w:rPr>
              <w:fldChar w:fldCharType="end"/>
            </w:r>
          </w:hyperlink>
        </w:p>
        <w:p w14:paraId="4D1E7C69" w14:textId="7B289A15"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3" w:history="1">
            <w:r w:rsidRPr="0076620A">
              <w:rPr>
                <w:rStyle w:val="Hyperlink"/>
                <w:noProof/>
              </w:rPr>
              <w:t>Performance Measurement and Decision-Making</w:t>
            </w:r>
            <w:r>
              <w:rPr>
                <w:noProof/>
                <w:webHidden/>
              </w:rPr>
              <w:tab/>
            </w:r>
            <w:r>
              <w:rPr>
                <w:noProof/>
                <w:webHidden/>
              </w:rPr>
              <w:fldChar w:fldCharType="begin"/>
            </w:r>
            <w:r>
              <w:rPr>
                <w:noProof/>
                <w:webHidden/>
              </w:rPr>
              <w:instrText xml:space="preserve"> PAGEREF _Toc235196473 \h </w:instrText>
            </w:r>
            <w:r>
              <w:rPr>
                <w:noProof/>
                <w:webHidden/>
              </w:rPr>
            </w:r>
            <w:r>
              <w:rPr>
                <w:noProof/>
                <w:webHidden/>
              </w:rPr>
              <w:fldChar w:fldCharType="separate"/>
            </w:r>
            <w:r>
              <w:rPr>
                <w:noProof/>
                <w:webHidden/>
              </w:rPr>
              <w:t>7</w:t>
            </w:r>
            <w:r>
              <w:rPr>
                <w:noProof/>
                <w:webHidden/>
              </w:rPr>
              <w:fldChar w:fldCharType="end"/>
            </w:r>
          </w:hyperlink>
        </w:p>
        <w:p w14:paraId="2597B53E" w14:textId="6707248A"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4" w:history="1">
            <w:r w:rsidRPr="0076620A">
              <w:rPr>
                <w:rStyle w:val="Hyperlink"/>
                <w:noProof/>
              </w:rPr>
              <w:t>Sustainability and Ethical Considerations</w:t>
            </w:r>
            <w:r>
              <w:rPr>
                <w:noProof/>
                <w:webHidden/>
              </w:rPr>
              <w:tab/>
            </w:r>
            <w:r>
              <w:rPr>
                <w:noProof/>
                <w:webHidden/>
              </w:rPr>
              <w:fldChar w:fldCharType="begin"/>
            </w:r>
            <w:r>
              <w:rPr>
                <w:noProof/>
                <w:webHidden/>
              </w:rPr>
              <w:instrText xml:space="preserve"> PAGEREF _Toc235196474 \h </w:instrText>
            </w:r>
            <w:r>
              <w:rPr>
                <w:noProof/>
                <w:webHidden/>
              </w:rPr>
            </w:r>
            <w:r>
              <w:rPr>
                <w:noProof/>
                <w:webHidden/>
              </w:rPr>
              <w:fldChar w:fldCharType="separate"/>
            </w:r>
            <w:r>
              <w:rPr>
                <w:noProof/>
                <w:webHidden/>
              </w:rPr>
              <w:t>10</w:t>
            </w:r>
            <w:r>
              <w:rPr>
                <w:noProof/>
                <w:webHidden/>
              </w:rPr>
              <w:fldChar w:fldCharType="end"/>
            </w:r>
          </w:hyperlink>
        </w:p>
        <w:p w14:paraId="4810D0FB" w14:textId="795F712F"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5" w:history="1">
            <w:r w:rsidRPr="0076620A">
              <w:rPr>
                <w:rStyle w:val="Hyperlink"/>
                <w:noProof/>
              </w:rPr>
              <w:t>Conclusion and Recom</w:t>
            </w:r>
            <w:r w:rsidRPr="0076620A">
              <w:rPr>
                <w:rStyle w:val="Hyperlink"/>
                <w:noProof/>
              </w:rPr>
              <w:t>m</w:t>
            </w:r>
            <w:r w:rsidRPr="0076620A">
              <w:rPr>
                <w:rStyle w:val="Hyperlink"/>
                <w:noProof/>
              </w:rPr>
              <w:t>endations</w:t>
            </w:r>
            <w:r>
              <w:rPr>
                <w:noProof/>
                <w:webHidden/>
              </w:rPr>
              <w:tab/>
            </w:r>
            <w:r>
              <w:rPr>
                <w:noProof/>
                <w:webHidden/>
              </w:rPr>
              <w:fldChar w:fldCharType="begin"/>
            </w:r>
            <w:r>
              <w:rPr>
                <w:noProof/>
                <w:webHidden/>
              </w:rPr>
              <w:instrText xml:space="preserve"> PAGEREF _Toc235196475 \h </w:instrText>
            </w:r>
            <w:r>
              <w:rPr>
                <w:noProof/>
                <w:webHidden/>
              </w:rPr>
            </w:r>
            <w:r>
              <w:rPr>
                <w:noProof/>
                <w:webHidden/>
              </w:rPr>
              <w:fldChar w:fldCharType="separate"/>
            </w:r>
            <w:r>
              <w:rPr>
                <w:noProof/>
                <w:webHidden/>
              </w:rPr>
              <w:t>12</w:t>
            </w:r>
            <w:r>
              <w:rPr>
                <w:noProof/>
                <w:webHidden/>
              </w:rPr>
              <w:fldChar w:fldCharType="end"/>
            </w:r>
          </w:hyperlink>
        </w:p>
        <w:p w14:paraId="482E15A2" w14:textId="793C318B" w:rsidR="00C5561A" w:rsidRDefault="00C5561A">
          <w:pPr>
            <w:pStyle w:val="TOC1"/>
            <w:tabs>
              <w:tab w:val="right" w:leader="dot" w:pos="9016"/>
            </w:tabs>
            <w:rPr>
              <w:rFonts w:eastAsiaTheme="minorEastAsia" w:cstheme="minorBidi"/>
              <w:b w:val="0"/>
              <w:bCs w:val="0"/>
              <w:i/>
              <w:iCs/>
              <w:noProof/>
              <w:kern w:val="2"/>
              <w14:ligatures w14:val="standardContextual"/>
            </w:rPr>
          </w:pPr>
          <w:hyperlink w:anchor="_Toc235196476" w:history="1">
            <w:r w:rsidRPr="0076620A">
              <w:rPr>
                <w:rStyle w:val="Hyperlink"/>
                <w:rFonts w:ascii="Times New Roman" w:hAnsi="Times New Roman" w:cs="Times New Roman"/>
                <w:noProof/>
              </w:rPr>
              <w:t>Reference List</w:t>
            </w:r>
            <w:r>
              <w:rPr>
                <w:noProof/>
                <w:webHidden/>
              </w:rPr>
              <w:tab/>
            </w:r>
            <w:r>
              <w:rPr>
                <w:noProof/>
                <w:webHidden/>
              </w:rPr>
              <w:fldChar w:fldCharType="begin"/>
            </w:r>
            <w:r>
              <w:rPr>
                <w:noProof/>
                <w:webHidden/>
              </w:rPr>
              <w:instrText xml:space="preserve"> PAGEREF _Toc235196476 \h </w:instrText>
            </w:r>
            <w:r>
              <w:rPr>
                <w:noProof/>
                <w:webHidden/>
              </w:rPr>
            </w:r>
            <w:r>
              <w:rPr>
                <w:noProof/>
                <w:webHidden/>
              </w:rPr>
              <w:fldChar w:fldCharType="separate"/>
            </w:r>
            <w:r>
              <w:rPr>
                <w:noProof/>
                <w:webHidden/>
              </w:rPr>
              <w:t>13</w:t>
            </w:r>
            <w:r>
              <w:rPr>
                <w:noProof/>
                <w:webHidden/>
              </w:rPr>
              <w:fldChar w:fldCharType="end"/>
            </w:r>
          </w:hyperlink>
        </w:p>
        <w:p w14:paraId="24BF0027" w14:textId="1545A021" w:rsidR="00C5561A" w:rsidRDefault="00C5561A">
          <w:r>
            <w:rPr>
              <w:b/>
              <w:bCs/>
              <w:noProof/>
            </w:rPr>
            <w:fldChar w:fldCharType="end"/>
          </w:r>
        </w:p>
      </w:sdtContent>
    </w:sdt>
    <w:p w14:paraId="4D20A503" w14:textId="786754DB" w:rsidR="00C5561A" w:rsidRDefault="00C5561A">
      <w:pPr>
        <w:rPr>
          <w:b/>
          <w:bCs/>
          <w:noProof/>
        </w:rPr>
      </w:pPr>
      <w:r>
        <w:rPr>
          <w:b/>
          <w:bCs/>
          <w:noProof/>
        </w:rPr>
        <w:br w:type="page"/>
      </w:r>
    </w:p>
    <w:p w14:paraId="0A28D578" w14:textId="786754DB" w:rsidR="00DC5316" w:rsidRPr="00DC5316" w:rsidRDefault="002C0C12" w:rsidP="00DC5316">
      <w:pPr>
        <w:pStyle w:val="Heading1"/>
      </w:pPr>
      <w:bookmarkStart w:id="0" w:name="_Toc235196233"/>
      <w:bookmarkStart w:id="1" w:name="_Toc235196470"/>
      <w:r w:rsidRPr="00DC5316">
        <w:lastRenderedPageBreak/>
        <w:t>Introduction</w:t>
      </w:r>
      <w:bookmarkEnd w:id="0"/>
      <w:bookmarkEnd w:id="1"/>
    </w:p>
    <w:p w14:paraId="53587554" w14:textId="3A0185E2" w:rsidR="0019268D" w:rsidRPr="00C5561A" w:rsidRDefault="0019268D" w:rsidP="00C5561A">
      <w:pPr>
        <w:spacing w:line="360" w:lineRule="auto"/>
        <w:rPr>
          <w:rFonts w:ascii="Times New Roman" w:hAnsi="Times New Roman" w:cs="Times New Roman"/>
          <w:b/>
          <w:bCs/>
          <w:sz w:val="28"/>
          <w:szCs w:val="28"/>
        </w:rPr>
      </w:pPr>
      <w:r w:rsidRPr="00C5561A">
        <w:rPr>
          <w:rFonts w:ascii="Times New Roman" w:hAnsi="Times New Roman" w:cs="Times New Roman"/>
          <w:sz w:val="28"/>
          <w:szCs w:val="28"/>
        </w:rPr>
        <w:t>Mercedes-Benz Group AG is a global leading premium automotive manufacturer, based in Stuttgart and listed on the Frankfurt Stock Exchange. As of 2024, the Group has approximately 175,000 employees and sold approximately 2.4 million cars and vans, with €145.6 billion in revenues (Mercedes-Benz Group, 2025a). It has a lineup of luxury saloons, sport utility vehicles, high-performance AMG vehicles as well as an expanding electric vehicle lineup, and you'll never be short of a vehicle-financing arm, Mercedes-Benz Mobility. In a capital-intensive industry with a cyclical nature and regulated by numerous laws and regulations, the Group is dependent on its internal information to guide its pricing, investment and cost decisions. Management accounting provides just this, as opposed to financial accounting, which reports to external stakeholders, and is forward-looking and aimed at decision</w:t>
      </w:r>
      <w:r w:rsidR="000025AB" w:rsidRPr="00C5561A">
        <w:rPr>
          <w:rFonts w:ascii="Times New Roman" w:hAnsi="Times New Roman" w:cs="Times New Roman"/>
          <w:sz w:val="28"/>
          <w:szCs w:val="28"/>
        </w:rPr>
        <w:t>-</w:t>
      </w:r>
      <w:r w:rsidRPr="00C5561A">
        <w:rPr>
          <w:rFonts w:ascii="Times New Roman" w:hAnsi="Times New Roman" w:cs="Times New Roman"/>
          <w:sz w:val="28"/>
          <w:szCs w:val="28"/>
        </w:rPr>
        <w:t>making for internal managers (Drury, 2021). This report assesses the application of management accounting tools/systems (costing, budgeting, performance measurement and sustainability accounting) by Mercedes-Benz in supporting financial decisions.</w:t>
      </w:r>
    </w:p>
    <w:p w14:paraId="1B0DCADF" w14:textId="77777777" w:rsidR="002C0C12" w:rsidRDefault="002C0C12" w:rsidP="00DC5316">
      <w:pPr>
        <w:pStyle w:val="Heading1"/>
      </w:pPr>
      <w:bookmarkStart w:id="2" w:name="_Toc235196234"/>
      <w:bookmarkStart w:id="3" w:name="_Toc235196471"/>
      <w:r w:rsidRPr="00DC5316">
        <w:t>Cost Analysis and Business Model</w:t>
      </w:r>
      <w:bookmarkEnd w:id="2"/>
      <w:bookmarkEnd w:id="3"/>
      <w:r w:rsidRPr="00DC5316">
        <w:t xml:space="preserve"> </w:t>
      </w:r>
    </w:p>
    <w:p w14:paraId="67CDE9C4" w14:textId="49DF6AB7" w:rsidR="000025AB" w:rsidRPr="00C5561A" w:rsidRDefault="000025AB" w:rsidP="00C5561A">
      <w:pPr>
        <w:spacing w:line="360" w:lineRule="auto"/>
        <w:rPr>
          <w:rFonts w:ascii="Times New Roman" w:hAnsi="Times New Roman" w:cs="Times New Roman"/>
          <w:b/>
          <w:bCs/>
          <w:sz w:val="28"/>
          <w:szCs w:val="28"/>
        </w:rPr>
      </w:pPr>
      <w:r w:rsidRPr="00C5561A">
        <w:rPr>
          <w:rFonts w:ascii="Times New Roman" w:hAnsi="Times New Roman" w:cs="Times New Roman"/>
          <w:sz w:val="28"/>
          <w:szCs w:val="28"/>
          <w:shd w:val="clear" w:color="auto" w:fill="FFFFFF"/>
        </w:rPr>
        <w:t>Revenue model. Mercedes-Benz generates three parallel income streams. The most popular stream is the sale of new vehicles in three categories: Entry, Core and Top-End, and the Core segment (led by the E-Class and GLC) accounted for 59% of car sales in 2024, selling 1,167,100 units (Mercedes-Benz Group, 2025b). The second stream is that from after-sales: Service, spare parts and connected-car services, with higher margins and recurring throughout the vehicle's lifecycle. The third stream is called Mercedes-Benz Mobility and offers leasing, financing and insurance, with its contract portfolio tota</w:t>
      </w:r>
      <w:r w:rsidR="001A1BCE" w:rsidRPr="00C5561A">
        <w:rPr>
          <w:rFonts w:ascii="Times New Roman" w:hAnsi="Times New Roman" w:cs="Times New Roman"/>
          <w:b/>
          <w:bCs/>
          <w:sz w:val="28"/>
          <w:szCs w:val="28"/>
          <w:shd w:val="clear" w:color="auto" w:fill="FFFFFF"/>
        </w:rPr>
        <w:t>l</w:t>
      </w:r>
      <w:r w:rsidRPr="00C5561A">
        <w:rPr>
          <w:rFonts w:ascii="Times New Roman" w:hAnsi="Times New Roman" w:cs="Times New Roman"/>
          <w:sz w:val="28"/>
          <w:szCs w:val="28"/>
          <w:shd w:val="clear" w:color="auto" w:fill="FFFFFF"/>
        </w:rPr>
        <w:t xml:space="preserve">ling €138.1 billion in 2024 (just-auto, 2025). This hybrid approach reduces the cyclicality of unit sales as financing income is not affected by slowing demand </w:t>
      </w:r>
      <w:r w:rsidRPr="00C5561A">
        <w:rPr>
          <w:rFonts w:ascii="Times New Roman" w:hAnsi="Times New Roman" w:cs="Times New Roman"/>
          <w:sz w:val="28"/>
          <w:szCs w:val="28"/>
          <w:shd w:val="clear" w:color="auto" w:fill="FFFFFF"/>
        </w:rPr>
        <w:lastRenderedPageBreak/>
        <w:t>for new cars.</w:t>
      </w:r>
      <w:r w:rsidRPr="00C5561A">
        <w:rPr>
          <w:rFonts w:ascii="Times New Roman" w:hAnsi="Times New Roman" w:cs="Times New Roman"/>
          <w:sz w:val="28"/>
          <w:szCs w:val="28"/>
          <w:shd w:val="clear" w:color="auto" w:fill="FFFFFF"/>
        </w:rPr>
        <w:br/>
        <w:t xml:space="preserve">Cost structure. High fixed costs dominate the automotive industry, with plant, tooling and most prominently research and development, which accounted for €9.7 billion in 2024 (Mercedes-Benz Group, 2025a). Fixed costs are independent of the volume of output and so </w:t>
      </w:r>
      <w:proofErr w:type="gramStart"/>
      <w:r w:rsidRPr="00C5561A">
        <w:rPr>
          <w:rFonts w:ascii="Times New Roman" w:hAnsi="Times New Roman" w:cs="Times New Roman"/>
          <w:sz w:val="28"/>
          <w:szCs w:val="28"/>
          <w:shd w:val="clear" w:color="auto" w:fill="FFFFFF"/>
        </w:rPr>
        <w:t>have to</w:t>
      </w:r>
      <w:proofErr w:type="gramEnd"/>
      <w:r w:rsidRPr="00C5561A">
        <w:rPr>
          <w:rFonts w:ascii="Times New Roman" w:hAnsi="Times New Roman" w:cs="Times New Roman"/>
          <w:sz w:val="28"/>
          <w:szCs w:val="28"/>
          <w:shd w:val="clear" w:color="auto" w:fill="FFFFFF"/>
        </w:rPr>
        <w:t xml:space="preserve"> be spread across the units produced – when output is reduced</w:t>
      </w:r>
      <w:r w:rsidR="001A1BCE"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 the fixed cost per unit </w:t>
      </w:r>
      <w:proofErr w:type="gramStart"/>
      <w:r w:rsidRPr="00C5561A">
        <w:rPr>
          <w:rFonts w:ascii="Times New Roman" w:hAnsi="Times New Roman" w:cs="Times New Roman"/>
          <w:sz w:val="28"/>
          <w:szCs w:val="28"/>
          <w:shd w:val="clear" w:color="auto" w:fill="FFFFFF"/>
        </w:rPr>
        <w:t>has to</w:t>
      </w:r>
      <w:proofErr w:type="gramEnd"/>
      <w:r w:rsidRPr="00C5561A">
        <w:rPr>
          <w:rFonts w:ascii="Times New Roman" w:hAnsi="Times New Roman" w:cs="Times New Roman"/>
          <w:sz w:val="28"/>
          <w:szCs w:val="28"/>
          <w:shd w:val="clear" w:color="auto" w:fill="FFFFFF"/>
        </w:rPr>
        <w:t xml:space="preserve"> be increased,</w:t>
      </w:r>
      <w:r w:rsidR="001A1BCE" w:rsidRPr="00C5561A">
        <w:rPr>
          <w:rFonts w:ascii="Times New Roman" w:hAnsi="Times New Roman" w:cs="Times New Roman"/>
          <w:b/>
          <w:bCs/>
          <w:sz w:val="28"/>
          <w:szCs w:val="28"/>
          <w:shd w:val="clear" w:color="auto" w:fill="FFFFFF"/>
        </w:rPr>
        <w:t xml:space="preserve"> and</w:t>
      </w:r>
      <w:r w:rsidRPr="00C5561A">
        <w:rPr>
          <w:rFonts w:ascii="Times New Roman" w:hAnsi="Times New Roman" w:cs="Times New Roman"/>
          <w:sz w:val="28"/>
          <w:szCs w:val="28"/>
          <w:shd w:val="clear" w:color="auto" w:fill="FFFFFF"/>
        </w:rPr>
        <w:t xml:space="preserve"> margins are squeezed (</w:t>
      </w:r>
      <w:proofErr w:type="spellStart"/>
      <w:r w:rsidRPr="00C5561A">
        <w:rPr>
          <w:rFonts w:ascii="Times New Roman" w:hAnsi="Times New Roman" w:cs="Times New Roman"/>
          <w:sz w:val="28"/>
          <w:szCs w:val="28"/>
          <w:shd w:val="clear" w:color="auto" w:fill="FFFFFF"/>
        </w:rPr>
        <w:t>Atrill</w:t>
      </w:r>
      <w:proofErr w:type="spellEnd"/>
      <w:r w:rsidRPr="00C5561A">
        <w:rPr>
          <w:rFonts w:ascii="Times New Roman" w:hAnsi="Times New Roman" w:cs="Times New Roman"/>
          <w:sz w:val="28"/>
          <w:szCs w:val="28"/>
          <w:shd w:val="clear" w:color="auto" w:fill="FFFFFF"/>
        </w:rPr>
        <w:t xml:space="preserve"> and McLaney, 2018). Variable costs</w:t>
      </w:r>
      <w:r w:rsidR="001A1BCE" w:rsidRPr="00C5561A">
        <w:rPr>
          <w:rFonts w:ascii="Times New Roman" w:hAnsi="Times New Roman" w:cs="Times New Roman"/>
          <w:b/>
          <w:bCs/>
          <w:sz w:val="28"/>
          <w:szCs w:val="28"/>
          <w:shd w:val="clear" w:color="auto" w:fill="FFFFFF"/>
        </w:rPr>
        <w:t xml:space="preserve"> such as</w:t>
      </w:r>
      <w:r w:rsidRPr="00C5561A">
        <w:rPr>
          <w:rFonts w:ascii="Times New Roman" w:hAnsi="Times New Roman" w:cs="Times New Roman"/>
          <w:sz w:val="28"/>
          <w:szCs w:val="28"/>
          <w:shd w:val="clear" w:color="auto" w:fill="FFFFFF"/>
        </w:rPr>
        <w:t xml:space="preserve"> raw materials, components, energy and direct labour fluctuate generally in proportion to the amount of a product produced. </w:t>
      </w:r>
      <w:proofErr w:type="gramStart"/>
      <w:r w:rsidRPr="00C5561A">
        <w:rPr>
          <w:rFonts w:ascii="Times New Roman" w:hAnsi="Times New Roman" w:cs="Times New Roman"/>
          <w:sz w:val="28"/>
          <w:szCs w:val="28"/>
          <w:shd w:val="clear" w:color="auto" w:fill="FFFFFF"/>
        </w:rPr>
        <w:t>The majority of</w:t>
      </w:r>
      <w:proofErr w:type="gramEnd"/>
      <w:r w:rsidRPr="00C5561A">
        <w:rPr>
          <w:rFonts w:ascii="Times New Roman" w:hAnsi="Times New Roman" w:cs="Times New Roman"/>
          <w:sz w:val="28"/>
          <w:szCs w:val="28"/>
          <w:shd w:val="clear" w:color="auto" w:fill="FFFFFF"/>
        </w:rPr>
        <w:t xml:space="preserve"> these costs were included in cost of sales, which amounted to €117.0 billion in 2024, down 4.5% from 2023's level of €117.4 billion (</w:t>
      </w:r>
      <w:proofErr w:type="spellStart"/>
      <w:r w:rsidRPr="00C5561A">
        <w:rPr>
          <w:rFonts w:ascii="Times New Roman" w:hAnsi="Times New Roman" w:cs="Times New Roman"/>
          <w:sz w:val="28"/>
          <w:szCs w:val="28"/>
          <w:shd w:val="clear" w:color="auto" w:fill="FFFFFF"/>
        </w:rPr>
        <w:t>MarkLines</w:t>
      </w:r>
      <w:proofErr w:type="spellEnd"/>
      <w:r w:rsidRPr="00C5561A">
        <w:rPr>
          <w:rFonts w:ascii="Times New Roman" w:hAnsi="Times New Roman" w:cs="Times New Roman"/>
          <w:sz w:val="28"/>
          <w:szCs w:val="28"/>
          <w:shd w:val="clear" w:color="auto" w:fill="FFFFFF"/>
        </w:rPr>
        <w:t>, 2025). The tendency of cost of sales to rise as sales drop highlights an operating leverage issue: A premium manufacturer with a high fixed cost structure has a declining profit as a result of a declining revenue.</w:t>
      </w:r>
      <w:r w:rsidRPr="00C5561A">
        <w:rPr>
          <w:rFonts w:ascii="Times New Roman" w:hAnsi="Times New Roman" w:cs="Times New Roman"/>
          <w:sz w:val="28"/>
          <w:szCs w:val="28"/>
          <w:shd w:val="clear" w:color="auto" w:fill="FFFFFF"/>
        </w:rPr>
        <w:br/>
        <w:t>The knowledge of this cost behavio</w:t>
      </w:r>
      <w:r w:rsidR="001A1BCE" w:rsidRPr="00C5561A">
        <w:rPr>
          <w:rFonts w:ascii="Times New Roman" w:hAnsi="Times New Roman" w:cs="Times New Roman"/>
          <w:b/>
          <w:bCs/>
          <w:sz w:val="28"/>
          <w:szCs w:val="28"/>
          <w:shd w:val="clear" w:color="auto" w:fill="FFFFFF"/>
        </w:rPr>
        <w:t>u</w:t>
      </w:r>
      <w:r w:rsidRPr="00C5561A">
        <w:rPr>
          <w:rFonts w:ascii="Times New Roman" w:hAnsi="Times New Roman" w:cs="Times New Roman"/>
          <w:sz w:val="28"/>
          <w:szCs w:val="28"/>
          <w:shd w:val="clear" w:color="auto" w:fill="FFFFFF"/>
        </w:rPr>
        <w:t>r is fundamental to cost–volume–profit analysis</w:t>
      </w:r>
      <w:r w:rsidR="001A1BCE"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 which helps in determining break–even volumes and contribution margins (Horngren, Datar and Rajan, 2021). The operating leverage in practice shows in the extent to which the drop in revenue was offset by the </w:t>
      </w:r>
      <w:proofErr w:type="gramStart"/>
      <w:r w:rsidRPr="00C5561A">
        <w:rPr>
          <w:rFonts w:ascii="Times New Roman" w:hAnsi="Times New Roman" w:cs="Times New Roman"/>
          <w:sz w:val="28"/>
          <w:szCs w:val="28"/>
          <w:shd w:val="clear" w:color="auto" w:fill="FFFFFF"/>
        </w:rPr>
        <w:t>drop in</w:t>
      </w:r>
      <w:proofErr w:type="gramEnd"/>
      <w:r w:rsidRPr="00C5561A">
        <w:rPr>
          <w:rFonts w:ascii="Times New Roman" w:hAnsi="Times New Roman" w:cs="Times New Roman"/>
          <w:sz w:val="28"/>
          <w:szCs w:val="28"/>
          <w:shd w:val="clear" w:color="auto" w:fill="FFFFFF"/>
        </w:rPr>
        <w:t xml:space="preserve"> Group EBIT, as in 2025, the bottom line fell by a modest 20% at Mercedes-Benz to €13.6 billion (down from €19.7 billion), which represents a 30.8% decline (Mercedes-Benz Group, 2025a; see Figure 1). </w:t>
      </w:r>
      <w:r w:rsidR="001A1BCE" w:rsidRPr="00C5561A">
        <w:rPr>
          <w:rFonts w:ascii="Times New Roman" w:hAnsi="Times New Roman" w:cs="Times New Roman"/>
          <w:b/>
          <w:bCs/>
          <w:sz w:val="28"/>
          <w:szCs w:val="28"/>
          <w:shd w:val="clear" w:color="auto" w:fill="FFFFFF"/>
        </w:rPr>
        <w:t>This</w:t>
      </w:r>
      <w:r w:rsidRPr="00C5561A">
        <w:rPr>
          <w:rFonts w:ascii="Times New Roman" w:hAnsi="Times New Roman" w:cs="Times New Roman"/>
          <w:sz w:val="28"/>
          <w:szCs w:val="28"/>
          <w:shd w:val="clear" w:color="auto" w:fill="FFFFFF"/>
        </w:rPr>
        <w:t xml:space="preserve"> was negatively impacted by weaker demand in China, unfavourable net pricing and the fixed costs (Mercedes-Benz Group, 2025c). The Group's strategy of tilting the mix towards higher-margin Top-End and Core models and scaling down the lower-margin Entry segment is essentially a contribution-led decision to protect margin per unit, and not necessarily focusing on volume (Bhimani et al., 2019). Each one of these extra premium vehicles has a high contribution margin and can </w:t>
      </w:r>
      <w:proofErr w:type="gramStart"/>
      <w:r w:rsidRPr="00C5561A">
        <w:rPr>
          <w:rFonts w:ascii="Times New Roman" w:hAnsi="Times New Roman" w:cs="Times New Roman"/>
          <w:sz w:val="28"/>
          <w:szCs w:val="28"/>
          <w:shd w:val="clear" w:color="auto" w:fill="FFFFFF"/>
        </w:rPr>
        <w:t>actually cover</w:t>
      </w:r>
      <w:proofErr w:type="gramEnd"/>
      <w:r w:rsidRPr="00C5561A">
        <w:rPr>
          <w:rFonts w:ascii="Times New Roman" w:hAnsi="Times New Roman" w:cs="Times New Roman"/>
          <w:sz w:val="28"/>
          <w:szCs w:val="28"/>
          <w:shd w:val="clear" w:color="auto" w:fill="FFFFFF"/>
        </w:rPr>
        <w:t xml:space="preserve"> total contribution margin despite the decrease in unit volumes, which is exactly what a cost–volume–profit analysis is supposed to </w:t>
      </w:r>
      <w:r w:rsidRPr="00C5561A">
        <w:rPr>
          <w:rFonts w:ascii="Times New Roman" w:hAnsi="Times New Roman" w:cs="Times New Roman"/>
          <w:sz w:val="28"/>
          <w:szCs w:val="28"/>
          <w:shd w:val="clear" w:color="auto" w:fill="FFFFFF"/>
        </w:rPr>
        <w:lastRenderedPageBreak/>
        <w:t>show. One drawback of this, however, is the assumption that the cost behaviour and selling prices will be constant in the relevant range: in a market affected by tariffs and a rapid electrification, this is not necessarily true (</w:t>
      </w:r>
      <w:proofErr w:type="spellStart"/>
      <w:r w:rsidRPr="00C5561A">
        <w:rPr>
          <w:rFonts w:ascii="Times New Roman" w:hAnsi="Times New Roman" w:cs="Times New Roman"/>
          <w:sz w:val="28"/>
          <w:szCs w:val="28"/>
          <w:shd w:val="clear" w:color="auto" w:fill="FFFFFF"/>
        </w:rPr>
        <w:t>Atrill</w:t>
      </w:r>
      <w:proofErr w:type="spellEnd"/>
      <w:r w:rsidRPr="00C5561A">
        <w:rPr>
          <w:rFonts w:ascii="Times New Roman" w:hAnsi="Times New Roman" w:cs="Times New Roman"/>
          <w:sz w:val="28"/>
          <w:szCs w:val="28"/>
          <w:shd w:val="clear" w:color="auto" w:fill="FFFFFF"/>
        </w:rPr>
        <w:t xml:space="preserve"> and McLaney, 2018).</w:t>
      </w:r>
    </w:p>
    <w:p w14:paraId="6B82027C"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sz w:val="28"/>
          <w:szCs w:val="28"/>
        </w:rPr>
        <w:t>Table 1. Selected financial highlights, Mercedes-Benz Group AG</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200"/>
        <w:gridCol w:w="2400"/>
        <w:gridCol w:w="2426"/>
      </w:tblGrid>
      <w:tr w:rsidR="00DB7763" w:rsidRPr="00C5561A" w14:paraId="28F787D8" w14:textId="77777777">
        <w:trPr>
          <w:tblHeader/>
        </w:trPr>
        <w:tc>
          <w:tcPr>
            <w:tcW w:w="4200"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75A63FD0"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color w:val="FFFFFF"/>
                <w:sz w:val="28"/>
                <w:szCs w:val="28"/>
              </w:rPr>
              <w:t>Indicator (€ bn unless stated)</w:t>
            </w:r>
          </w:p>
        </w:tc>
        <w:tc>
          <w:tcPr>
            <w:tcW w:w="2400"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05EAF6A4"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color w:val="FFFFFF"/>
                <w:sz w:val="28"/>
                <w:szCs w:val="28"/>
              </w:rPr>
              <w:t>2023</w:t>
            </w:r>
          </w:p>
        </w:tc>
        <w:tc>
          <w:tcPr>
            <w:tcW w:w="2426"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2204B098"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color w:val="FFFFFF"/>
                <w:sz w:val="28"/>
                <w:szCs w:val="28"/>
              </w:rPr>
              <w:t>2024</w:t>
            </w:r>
          </w:p>
        </w:tc>
      </w:tr>
      <w:tr w:rsidR="00DB7763" w:rsidRPr="00C5561A" w14:paraId="0FE74A90" w14:textId="77777777">
        <w:tc>
          <w:tcPr>
            <w:tcW w:w="42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3B232E07"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Group revenue</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4FA9A419"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152.4</w:t>
            </w:r>
          </w:p>
        </w:tc>
        <w:tc>
          <w:tcPr>
            <w:tcW w:w="24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3A093FF4"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145.6</w:t>
            </w:r>
          </w:p>
        </w:tc>
      </w:tr>
      <w:tr w:rsidR="00DB7763" w:rsidRPr="00C5561A" w14:paraId="1EB63DCD" w14:textId="77777777">
        <w:tc>
          <w:tcPr>
            <w:tcW w:w="42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37241E66"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Group EBIT</w:t>
            </w:r>
          </w:p>
        </w:tc>
        <w:tc>
          <w:tcPr>
            <w:tcW w:w="24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FAF0FB5"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19.7</w:t>
            </w:r>
          </w:p>
        </w:tc>
        <w:tc>
          <w:tcPr>
            <w:tcW w:w="2426"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9FA9F17"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13.6</w:t>
            </w:r>
          </w:p>
        </w:tc>
      </w:tr>
      <w:tr w:rsidR="00DB7763" w:rsidRPr="00C5561A" w14:paraId="406B6C3D" w14:textId="77777777">
        <w:tc>
          <w:tcPr>
            <w:tcW w:w="42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506DB278"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Cost of sales</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1B648CFF"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117.4</w:t>
            </w:r>
          </w:p>
        </w:tc>
        <w:tc>
          <w:tcPr>
            <w:tcW w:w="24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7B81DF96"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117.0</w:t>
            </w:r>
          </w:p>
        </w:tc>
      </w:tr>
      <w:tr w:rsidR="00DB7763" w:rsidRPr="00C5561A" w14:paraId="2E84860B" w14:textId="77777777">
        <w:tc>
          <w:tcPr>
            <w:tcW w:w="42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4242577"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Research &amp; development</w:t>
            </w:r>
          </w:p>
        </w:tc>
        <w:tc>
          <w:tcPr>
            <w:tcW w:w="24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29BE471C"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10.0</w:t>
            </w:r>
          </w:p>
        </w:tc>
        <w:tc>
          <w:tcPr>
            <w:tcW w:w="2426"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03BAC0D6"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9.7</w:t>
            </w:r>
          </w:p>
        </w:tc>
      </w:tr>
      <w:tr w:rsidR="00DB7763" w:rsidRPr="00C5561A" w14:paraId="3807DA8D" w14:textId="77777777">
        <w:tc>
          <w:tcPr>
            <w:tcW w:w="42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2D172598"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Adjusted return on sales, Cars (%)</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6C0A0AA3"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12.6</w:t>
            </w:r>
          </w:p>
        </w:tc>
        <w:tc>
          <w:tcPr>
            <w:tcW w:w="24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584707EC"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8.1</w:t>
            </w:r>
          </w:p>
        </w:tc>
      </w:tr>
      <w:tr w:rsidR="00DB7763" w:rsidRPr="00C5561A" w14:paraId="2AE083CA" w14:textId="77777777">
        <w:tc>
          <w:tcPr>
            <w:tcW w:w="42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205829B1"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Free cash flow (industrial business)</w:t>
            </w:r>
          </w:p>
        </w:tc>
        <w:tc>
          <w:tcPr>
            <w:tcW w:w="24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144364D"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11.3</w:t>
            </w:r>
          </w:p>
        </w:tc>
        <w:tc>
          <w:tcPr>
            <w:tcW w:w="2426"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60E4215B"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9.2</w:t>
            </w:r>
          </w:p>
        </w:tc>
      </w:tr>
    </w:tbl>
    <w:p w14:paraId="022CAD29"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i/>
          <w:iCs/>
          <w:color w:val="555555"/>
          <w:sz w:val="28"/>
          <w:szCs w:val="28"/>
        </w:rPr>
        <w:t xml:space="preserve">Source: Mercedes-Benz Group (2025a); </w:t>
      </w:r>
      <w:proofErr w:type="spellStart"/>
      <w:r w:rsidRPr="00C5561A">
        <w:rPr>
          <w:rFonts w:ascii="Times New Roman" w:hAnsi="Times New Roman" w:cs="Times New Roman"/>
          <w:i/>
          <w:iCs/>
          <w:color w:val="555555"/>
          <w:sz w:val="28"/>
          <w:szCs w:val="28"/>
        </w:rPr>
        <w:t>MarkLines</w:t>
      </w:r>
      <w:proofErr w:type="spellEnd"/>
      <w:r w:rsidRPr="00C5561A">
        <w:rPr>
          <w:rFonts w:ascii="Times New Roman" w:hAnsi="Times New Roman" w:cs="Times New Roman"/>
          <w:i/>
          <w:iCs/>
          <w:color w:val="555555"/>
          <w:sz w:val="28"/>
          <w:szCs w:val="28"/>
        </w:rPr>
        <w:t xml:space="preserve"> (2025).</w:t>
      </w:r>
    </w:p>
    <w:p w14:paraId="06FBAA08"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noProof/>
          <w:sz w:val="28"/>
          <w:szCs w:val="28"/>
        </w:rPr>
        <w:drawing>
          <wp:inline distT="0" distB="0" distL="0" distR="0" wp14:anchorId="6F29AF31" wp14:editId="2D32F066">
            <wp:extent cx="4305300" cy="2390775"/>
            <wp:effectExtent l="0" t="0" r="0" b="0"/>
            <wp:docPr id="1" name="Group revenue and EBIT, 2023 and 2024" descr="Group revenue and EBIT, 2023 and 2024" title="Group revenue and EBIT, 2023 and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4305300" cy="2390775"/>
                    </a:xfrm>
                    <a:prstGeom prst="rect">
                      <a:avLst/>
                    </a:prstGeom>
                  </pic:spPr>
                </pic:pic>
              </a:graphicData>
            </a:graphic>
          </wp:inline>
        </w:drawing>
      </w:r>
    </w:p>
    <w:p w14:paraId="7FB6A7DB"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i/>
          <w:iCs/>
          <w:color w:val="444444"/>
          <w:sz w:val="28"/>
          <w:szCs w:val="28"/>
        </w:rPr>
        <w:t>Figure 1. Mercedes-Benz Group revenue and EBIT, 2023–2024 (€ bn). Source: Mercedes-Benz Group (2025a).</w:t>
      </w:r>
    </w:p>
    <w:p w14:paraId="5F1E0607" w14:textId="77777777" w:rsidR="00C5561A" w:rsidRDefault="00C5561A" w:rsidP="00DC5316">
      <w:pPr>
        <w:pStyle w:val="Heading1"/>
      </w:pPr>
    </w:p>
    <w:p w14:paraId="54328F6B" w14:textId="77777777" w:rsidR="00C5561A" w:rsidRDefault="00C5561A" w:rsidP="00DC5316">
      <w:pPr>
        <w:pStyle w:val="Heading1"/>
      </w:pPr>
    </w:p>
    <w:p w14:paraId="4C94C4DC" w14:textId="1DDA210C" w:rsidR="002C0C12" w:rsidRDefault="002C0C12" w:rsidP="00DC5316">
      <w:pPr>
        <w:pStyle w:val="Heading1"/>
      </w:pPr>
      <w:bookmarkStart w:id="4" w:name="_Toc235196235"/>
      <w:bookmarkStart w:id="5" w:name="_Toc235196472"/>
      <w:r w:rsidRPr="00DC5316">
        <w:lastRenderedPageBreak/>
        <w:t>Budgeting and Financial Planning</w:t>
      </w:r>
      <w:bookmarkEnd w:id="4"/>
      <w:bookmarkEnd w:id="5"/>
    </w:p>
    <w:p w14:paraId="7AFF5E62" w14:textId="77777777" w:rsidR="00DC5316" w:rsidRPr="00DC5316" w:rsidRDefault="00DC5316" w:rsidP="00DC5316">
      <w:pPr>
        <w:pStyle w:val="Heading1"/>
      </w:pPr>
    </w:p>
    <w:p w14:paraId="09C1F87E" w14:textId="2A8BB468" w:rsidR="00CD2FC8" w:rsidRPr="00C5561A" w:rsidRDefault="00CD2FC8" w:rsidP="00C5561A">
      <w:pPr>
        <w:spacing w:line="360" w:lineRule="auto"/>
        <w:rPr>
          <w:rFonts w:ascii="Times New Roman" w:hAnsi="Times New Roman" w:cs="Times New Roman"/>
          <w:b/>
          <w:bCs/>
          <w:sz w:val="28"/>
          <w:szCs w:val="28"/>
        </w:rPr>
      </w:pPr>
      <w:r w:rsidRPr="00C5561A">
        <w:rPr>
          <w:rFonts w:ascii="Times New Roman" w:hAnsi="Times New Roman" w:cs="Times New Roman"/>
          <w:sz w:val="28"/>
          <w:szCs w:val="28"/>
          <w:shd w:val="clear" w:color="auto" w:fill="FFFFFF"/>
        </w:rPr>
        <w:t xml:space="preserve">Budgeting is a key part of the way Mercedes-Benz </w:t>
      </w:r>
      <w:proofErr w:type="gramStart"/>
      <w:r w:rsidRPr="00C5561A">
        <w:rPr>
          <w:rFonts w:ascii="Times New Roman" w:hAnsi="Times New Roman" w:cs="Times New Roman"/>
          <w:sz w:val="28"/>
          <w:szCs w:val="28"/>
          <w:shd w:val="clear" w:color="auto" w:fill="FFFFFF"/>
        </w:rPr>
        <w:t>is able to</w:t>
      </w:r>
      <w:proofErr w:type="gramEnd"/>
      <w:r w:rsidRPr="00C5561A">
        <w:rPr>
          <w:rFonts w:ascii="Times New Roman" w:hAnsi="Times New Roman" w:cs="Times New Roman"/>
          <w:sz w:val="28"/>
          <w:szCs w:val="28"/>
          <w:shd w:val="clear" w:color="auto" w:fill="FFFFFF"/>
        </w:rPr>
        <w:t xml:space="preserve"> manage an operation spread across the globe and is the tool used to break down strategy into time-bound financial plans. In essence, a budget establishes projected revenues, costs and capital expenditures for each division, determines how the resources are going to be used and serves as a tool to compare actual performance against through variance analysis later in the year (Drury, 2021). Budgeting's planning and control requirements are essential for a manufacturer spending billions on model programmes and electrification well in advance of the money's return (Weetman, 2019); capital-expenditure budgets, in particular, dictate what vehicle platforms and battery investments will be funded.</w:t>
      </w:r>
      <w:r w:rsidRPr="00C5561A">
        <w:rPr>
          <w:rFonts w:ascii="Times New Roman" w:hAnsi="Times New Roman" w:cs="Times New Roman"/>
          <w:sz w:val="28"/>
          <w:szCs w:val="28"/>
          <w:shd w:val="clear" w:color="auto" w:fill="FFFFFF"/>
        </w:rPr>
        <w:br/>
        <w:t xml:space="preserve">The year-on-year change in operating costs brings this point to a head. Both cost of sales and research and development spending were reported to be almost flat, at €117.0 billion (2023: €117.4 billion) and €9.7 billion (2023: €10.0 billion), respectively (Mercedes-Benz Group, 2025a). This stability at first sight is unimpressive but </w:t>
      </w:r>
      <w:proofErr w:type="spellStart"/>
      <w:r w:rsidRPr="00C5561A">
        <w:rPr>
          <w:rFonts w:ascii="Times New Roman" w:hAnsi="Times New Roman" w:cs="Times New Roman"/>
          <w:sz w:val="28"/>
          <w:szCs w:val="28"/>
          <w:shd w:val="clear" w:color="auto" w:fill="FFFFFF"/>
        </w:rPr>
        <w:t>harbors</w:t>
      </w:r>
      <w:proofErr w:type="spellEnd"/>
      <w:r w:rsidRPr="00C5561A">
        <w:rPr>
          <w:rFonts w:ascii="Times New Roman" w:hAnsi="Times New Roman" w:cs="Times New Roman"/>
          <w:sz w:val="28"/>
          <w:szCs w:val="28"/>
          <w:shd w:val="clear" w:color="auto" w:fill="FFFFFF"/>
        </w:rPr>
        <w:t xml:space="preserve"> counter forces. From the outside, the Group was exposed to input-cost inflation and a decline in the critical Chinese market of 7% (along with other macroeconomic factors outside of management's control), import tariffs and unfavo</w:t>
      </w:r>
      <w:r w:rsidR="007E7805" w:rsidRPr="00C5561A">
        <w:rPr>
          <w:rFonts w:ascii="Times New Roman" w:hAnsi="Times New Roman" w:cs="Times New Roman"/>
          <w:b/>
          <w:bCs/>
          <w:sz w:val="28"/>
          <w:szCs w:val="28"/>
          <w:shd w:val="clear" w:color="auto" w:fill="FFFFFF"/>
        </w:rPr>
        <w:t>u</w:t>
      </w:r>
      <w:r w:rsidRPr="00C5561A">
        <w:rPr>
          <w:rFonts w:ascii="Times New Roman" w:hAnsi="Times New Roman" w:cs="Times New Roman"/>
          <w:sz w:val="28"/>
          <w:szCs w:val="28"/>
          <w:shd w:val="clear" w:color="auto" w:fill="FFFFFF"/>
        </w:rPr>
        <w:t xml:space="preserve">rable movements in foreign exchange (Mercedes-Benz Group, 2025c; </w:t>
      </w:r>
      <w:proofErr w:type="spellStart"/>
      <w:r w:rsidRPr="00C5561A">
        <w:rPr>
          <w:rFonts w:ascii="Times New Roman" w:hAnsi="Times New Roman" w:cs="Times New Roman"/>
          <w:sz w:val="28"/>
          <w:szCs w:val="28"/>
          <w:shd w:val="clear" w:color="auto" w:fill="FFFFFF"/>
        </w:rPr>
        <w:t>MarkLines</w:t>
      </w:r>
      <w:proofErr w:type="spellEnd"/>
      <w:r w:rsidRPr="00C5561A">
        <w:rPr>
          <w:rFonts w:ascii="Times New Roman" w:hAnsi="Times New Roman" w:cs="Times New Roman"/>
          <w:sz w:val="28"/>
          <w:szCs w:val="28"/>
          <w:shd w:val="clear" w:color="auto" w:fill="FFFFFF"/>
        </w:rPr>
        <w:t>, 2025). If left unchecked</w:t>
      </w:r>
      <w:r w:rsidR="007E7805"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 these forces would have pushed up the running costs significantly.</w:t>
      </w:r>
      <w:r w:rsidRPr="00C5561A">
        <w:rPr>
          <w:rFonts w:ascii="Times New Roman" w:hAnsi="Times New Roman" w:cs="Times New Roman"/>
          <w:sz w:val="28"/>
          <w:szCs w:val="28"/>
          <w:shd w:val="clear" w:color="auto" w:fill="FFFFFF"/>
        </w:rPr>
        <w:br/>
        <w:t xml:space="preserve">On the inside, management </w:t>
      </w:r>
      <w:proofErr w:type="gramStart"/>
      <w:r w:rsidRPr="00C5561A">
        <w:rPr>
          <w:rFonts w:ascii="Times New Roman" w:hAnsi="Times New Roman" w:cs="Times New Roman"/>
          <w:sz w:val="28"/>
          <w:szCs w:val="28"/>
          <w:shd w:val="clear" w:color="auto" w:fill="FFFFFF"/>
        </w:rPr>
        <w:t>took action</w:t>
      </w:r>
      <w:proofErr w:type="gramEnd"/>
      <w:r w:rsidRPr="00C5561A">
        <w:rPr>
          <w:rFonts w:ascii="Times New Roman" w:hAnsi="Times New Roman" w:cs="Times New Roman"/>
          <w:sz w:val="28"/>
          <w:szCs w:val="28"/>
          <w:shd w:val="clear" w:color="auto" w:fill="FFFFFF"/>
        </w:rPr>
        <w:t xml:space="preserve"> on purpose to compensate for them. The biggest one was the introduction of the “Next Level Performance” programme, which aims to save about €5 billion by 2027 and 2025, a 10% reduction in the company's fixed costs, 10% reduction in production cost per unit and an 8% reduction in material costs, including a 20% cut in the fixed costs of the company's Beijing joint venture (Mercedes-Benz Group, 2025c; </w:t>
      </w:r>
      <w:proofErr w:type="spellStart"/>
      <w:r w:rsidRPr="00C5561A">
        <w:rPr>
          <w:rFonts w:ascii="Times New Roman" w:hAnsi="Times New Roman" w:cs="Times New Roman"/>
          <w:sz w:val="28"/>
          <w:szCs w:val="28"/>
          <w:shd w:val="clear" w:color="auto" w:fill="FFFFFF"/>
        </w:rPr>
        <w:t>ainvest</w:t>
      </w:r>
      <w:proofErr w:type="spellEnd"/>
      <w:r w:rsidRPr="00C5561A">
        <w:rPr>
          <w:rFonts w:ascii="Times New Roman" w:hAnsi="Times New Roman" w:cs="Times New Roman"/>
          <w:sz w:val="28"/>
          <w:szCs w:val="28"/>
          <w:shd w:val="clear" w:color="auto" w:fill="FFFFFF"/>
        </w:rPr>
        <w:t xml:space="preserve">, 2025). </w:t>
      </w:r>
      <w:r w:rsidRPr="00C5561A">
        <w:rPr>
          <w:rFonts w:ascii="Times New Roman" w:hAnsi="Times New Roman" w:cs="Times New Roman"/>
          <w:sz w:val="28"/>
          <w:szCs w:val="28"/>
          <w:shd w:val="clear" w:color="auto" w:fill="FFFFFF"/>
        </w:rPr>
        <w:lastRenderedPageBreak/>
        <w:t>These are old</w:t>
      </w:r>
      <w:r w:rsidR="007E7805"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school cost control levers; material-cost benchmarking and standard costing reveal where spend is out of budget, and the budget incorporates the necessary efficiencies as commitments at each plant (Horngren, Datar and Rajan, 2021). What the flat cost-of-sales figure thus reflects is an accomplishment, and an impressive one at that: the large number of gains in efficiency generated internally balanced out </w:t>
      </w:r>
      <w:proofErr w:type="gramStart"/>
      <w:r w:rsidRPr="00C5561A">
        <w:rPr>
          <w:rFonts w:ascii="Times New Roman" w:hAnsi="Times New Roman" w:cs="Times New Roman"/>
          <w:sz w:val="28"/>
          <w:szCs w:val="28"/>
          <w:shd w:val="clear" w:color="auto" w:fill="FFFFFF"/>
        </w:rPr>
        <w:t>on the whole</w:t>
      </w:r>
      <w:proofErr w:type="gramEnd"/>
      <w:r w:rsidRPr="00C5561A">
        <w:rPr>
          <w:rFonts w:ascii="Times New Roman" w:hAnsi="Times New Roman" w:cs="Times New Roman"/>
          <w:sz w:val="28"/>
          <w:szCs w:val="28"/>
          <w:shd w:val="clear" w:color="auto" w:fill="FFFFFF"/>
        </w:rPr>
        <w:t xml:space="preserve"> by the cost-push factors. The final step in the cycle is variance analysis to determine if the price effect is an uncontrollable one, or if it's an efficiency loss which can be controlled, and to feed that information back into the next planning cycle (Drury, 2021).</w:t>
      </w:r>
      <w:r w:rsidRPr="00C5561A">
        <w:rPr>
          <w:rFonts w:ascii="Times New Roman" w:hAnsi="Times New Roman" w:cs="Times New Roman"/>
          <w:sz w:val="28"/>
          <w:szCs w:val="28"/>
          <w:shd w:val="clear" w:color="auto" w:fill="FFFFFF"/>
        </w:rPr>
        <w:br/>
        <w:t>However, budgeting is not a purely mechanical task</w:t>
      </w:r>
      <w:r w:rsidR="007E7805"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 and it would be naive to think so! The main criticism of fixed annual budgets is that they can become brittle and out of date in fast-changing markets, both discouraging responsiveness and encouraging gaming, with the latter a point that spurred the “beyond budgeting” movement (Becker, 2014; </w:t>
      </w:r>
      <w:proofErr w:type="spellStart"/>
      <w:r w:rsidRPr="00C5561A">
        <w:rPr>
          <w:rFonts w:ascii="Times New Roman" w:hAnsi="Times New Roman" w:cs="Times New Roman"/>
          <w:sz w:val="28"/>
          <w:szCs w:val="28"/>
          <w:shd w:val="clear" w:color="auto" w:fill="FFFFFF"/>
        </w:rPr>
        <w:t>Bourmistrov</w:t>
      </w:r>
      <w:proofErr w:type="spellEnd"/>
      <w:r w:rsidRPr="00C5561A">
        <w:rPr>
          <w:rFonts w:ascii="Times New Roman" w:hAnsi="Times New Roman" w:cs="Times New Roman"/>
          <w:sz w:val="28"/>
          <w:szCs w:val="28"/>
          <w:shd w:val="clear" w:color="auto" w:fill="FFFFFF"/>
        </w:rPr>
        <w:t xml:space="preserve"> and Kaarbøe, 2013). The application of the rolling, multi-year efficiency goals, and the fact that forecasts were made repeatedly, indicate an understanding of these constraints; the goal is not to establish a single, rigid plan, but to construct a more flexible medium-term plan in collaboration with the annual plans.</w:t>
      </w:r>
    </w:p>
    <w:p w14:paraId="1FC2EBEB" w14:textId="77777777" w:rsidR="00DC5316" w:rsidRDefault="00DC5316" w:rsidP="00C5561A">
      <w:pPr>
        <w:pStyle w:val="Heading1"/>
        <w:spacing w:line="360" w:lineRule="auto"/>
      </w:pPr>
    </w:p>
    <w:p w14:paraId="44A43DF6" w14:textId="32520281" w:rsidR="00DC5316" w:rsidRPr="00DC5316" w:rsidRDefault="00000000" w:rsidP="00C5561A">
      <w:pPr>
        <w:pStyle w:val="Heading1"/>
        <w:spacing w:line="360" w:lineRule="auto"/>
      </w:pPr>
      <w:bookmarkStart w:id="6" w:name="_Toc235196236"/>
      <w:bookmarkStart w:id="7" w:name="_Toc235196473"/>
      <w:r w:rsidRPr="00DC5316">
        <w:t>Performance Measurement and Decision-Making</w:t>
      </w:r>
      <w:bookmarkEnd w:id="6"/>
      <w:bookmarkEnd w:id="7"/>
    </w:p>
    <w:p w14:paraId="780C7DFF" w14:textId="4487E13B" w:rsidR="00CD2FC8" w:rsidRPr="00C5561A" w:rsidRDefault="00CD2FC8" w:rsidP="00C5561A">
      <w:pPr>
        <w:spacing w:before="80" w:after="60" w:line="360" w:lineRule="auto"/>
        <w:rPr>
          <w:rFonts w:ascii="Times New Roman" w:hAnsi="Times New Roman" w:cs="Times New Roman"/>
          <w:color w:val="000000" w:themeColor="text1"/>
          <w:sz w:val="28"/>
          <w:szCs w:val="28"/>
          <w:shd w:val="clear" w:color="auto" w:fill="FFFFFF"/>
        </w:rPr>
      </w:pPr>
      <w:r w:rsidRPr="00C5561A">
        <w:rPr>
          <w:rFonts w:ascii="Times New Roman" w:hAnsi="Times New Roman" w:cs="Times New Roman"/>
          <w:color w:val="000000" w:themeColor="text1"/>
          <w:sz w:val="28"/>
          <w:szCs w:val="28"/>
          <w:shd w:val="clear" w:color="auto" w:fill="FFFFFF"/>
        </w:rPr>
        <w:t xml:space="preserve">Performance must be judged by clear indicators to make good decisions. Management accounting </w:t>
      </w:r>
      <w:proofErr w:type="gramStart"/>
      <w:r w:rsidRPr="00C5561A">
        <w:rPr>
          <w:rFonts w:ascii="Times New Roman" w:hAnsi="Times New Roman" w:cs="Times New Roman"/>
          <w:color w:val="000000" w:themeColor="text1"/>
          <w:sz w:val="28"/>
          <w:szCs w:val="28"/>
          <w:shd w:val="clear" w:color="auto" w:fill="FFFFFF"/>
        </w:rPr>
        <w:t>is able to</w:t>
      </w:r>
      <w:proofErr w:type="gramEnd"/>
      <w:r w:rsidRPr="00C5561A">
        <w:rPr>
          <w:rFonts w:ascii="Times New Roman" w:hAnsi="Times New Roman" w:cs="Times New Roman"/>
          <w:color w:val="000000" w:themeColor="text1"/>
          <w:sz w:val="28"/>
          <w:szCs w:val="28"/>
          <w:shd w:val="clear" w:color="auto" w:fill="FFFFFF"/>
        </w:rPr>
        <w:t xml:space="preserve"> break down key performance indicators (KPIs) into financial and non-financial categories, with the financial KPIs representing the outcomes in monetary terms, and the non-financial KPIs representing the drivers of future outcomes in the operational aspects (Kaplan and Norton, 1996). Five KPIs are in use to demonstrate the monitoring of the </w:t>
      </w:r>
      <w:r w:rsidRPr="00C5561A">
        <w:rPr>
          <w:rFonts w:ascii="Times New Roman" w:hAnsi="Times New Roman" w:cs="Times New Roman"/>
          <w:color w:val="000000" w:themeColor="text1"/>
          <w:sz w:val="28"/>
          <w:szCs w:val="28"/>
          <w:shd w:val="clear" w:color="auto" w:fill="FFFFFF"/>
        </w:rPr>
        <w:lastRenderedPageBreak/>
        <w:t>business by Mercedes-Benz (Table 2). The Group's headline profitability ratio is adjusted return on sales, which fell from 12.6% to 8.1% (Cars) in 2024, and is the one that is most closely monitored by investors (Mercedes-Benz Group, 2025a). Operating profit before financing effects (adjusted EBIT) reflects the profitability of the industrial business before financial effects, whilst free cash flow from the industrial business (€9.2 billion) demonstrates the ability to fund investment and shareholder returns (just-auto, 2025). Complementing these four financial KPIs is a fifth, non-financial KPI: The share of cars sold that are electrified in 2024 was approximately 20.5% (Mercedes-Benz Group, 2025b).</w:t>
      </w:r>
    </w:p>
    <w:p w14:paraId="339A3DD2" w14:textId="5C2E51FF" w:rsidR="00DB7763" w:rsidRPr="00C5561A" w:rsidRDefault="00000000" w:rsidP="00C5561A">
      <w:pPr>
        <w:spacing w:before="80" w:after="60" w:line="360" w:lineRule="auto"/>
        <w:rPr>
          <w:rFonts w:ascii="Times New Roman" w:hAnsi="Times New Roman" w:cs="Times New Roman"/>
          <w:sz w:val="28"/>
          <w:szCs w:val="28"/>
        </w:rPr>
      </w:pPr>
      <w:r w:rsidRPr="00C5561A">
        <w:rPr>
          <w:rFonts w:ascii="Times New Roman" w:hAnsi="Times New Roman" w:cs="Times New Roman"/>
          <w:b/>
          <w:bCs/>
          <w:sz w:val="28"/>
          <w:szCs w:val="28"/>
        </w:rPr>
        <w:t>Table 2. Five key performance indicators, 2024</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3000"/>
        <w:gridCol w:w="3626"/>
        <w:gridCol w:w="2400"/>
      </w:tblGrid>
      <w:tr w:rsidR="00DB7763" w:rsidRPr="00C5561A" w14:paraId="4E6B9084" w14:textId="77777777">
        <w:trPr>
          <w:tblHeader/>
        </w:trPr>
        <w:tc>
          <w:tcPr>
            <w:tcW w:w="3000"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3F426566"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color w:val="FFFFFF"/>
                <w:sz w:val="28"/>
                <w:szCs w:val="28"/>
              </w:rPr>
              <w:t>KPI</w:t>
            </w:r>
          </w:p>
        </w:tc>
        <w:tc>
          <w:tcPr>
            <w:tcW w:w="3626"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7138D829"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b/>
                <w:bCs/>
                <w:color w:val="FFFFFF"/>
                <w:sz w:val="28"/>
                <w:szCs w:val="28"/>
              </w:rPr>
              <w:t>Type</w:t>
            </w:r>
          </w:p>
        </w:tc>
        <w:tc>
          <w:tcPr>
            <w:tcW w:w="2400" w:type="dxa"/>
            <w:tcBorders>
              <w:top w:val="single" w:sz="4" w:space="0" w:color="AAB4BE"/>
              <w:left w:val="single" w:sz="4" w:space="0" w:color="AAB4BE"/>
              <w:bottom w:val="single" w:sz="4" w:space="0" w:color="AAB4BE"/>
              <w:right w:val="single" w:sz="4" w:space="0" w:color="AAB4BE"/>
            </w:tcBorders>
            <w:shd w:val="clear" w:color="auto" w:fill="0B1F33"/>
            <w:tcMar>
              <w:top w:w="60" w:type="dxa"/>
              <w:left w:w="120" w:type="dxa"/>
              <w:bottom w:w="60" w:type="dxa"/>
              <w:right w:w="120" w:type="dxa"/>
            </w:tcMar>
            <w:vAlign w:val="center"/>
          </w:tcPr>
          <w:p w14:paraId="2CC9A27E"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b/>
                <w:bCs/>
                <w:color w:val="FFFFFF"/>
                <w:sz w:val="28"/>
                <w:szCs w:val="28"/>
              </w:rPr>
              <w:t>2024 value</w:t>
            </w:r>
          </w:p>
        </w:tc>
      </w:tr>
      <w:tr w:rsidR="00DB7763" w:rsidRPr="00C5561A" w14:paraId="66C269C8" w14:textId="77777777">
        <w:tc>
          <w:tcPr>
            <w:tcW w:w="30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0F940281"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Group revenue</w:t>
            </w:r>
          </w:p>
        </w:tc>
        <w:tc>
          <w:tcPr>
            <w:tcW w:w="36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3C30CD94"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Financial – scale</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374B81E1"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color w:val="000000"/>
                <w:sz w:val="28"/>
                <w:szCs w:val="28"/>
              </w:rPr>
              <w:t>€145.6 bn</w:t>
            </w:r>
          </w:p>
        </w:tc>
      </w:tr>
      <w:tr w:rsidR="00DB7763" w:rsidRPr="00C5561A" w14:paraId="13D849EA" w14:textId="77777777">
        <w:tc>
          <w:tcPr>
            <w:tcW w:w="30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4B60FDB7"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Adjusted return on sales (Cars)</w:t>
            </w:r>
          </w:p>
        </w:tc>
        <w:tc>
          <w:tcPr>
            <w:tcW w:w="3626"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62F22A13"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Financial – profitability</w:t>
            </w:r>
          </w:p>
        </w:tc>
        <w:tc>
          <w:tcPr>
            <w:tcW w:w="24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F44F783"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color w:val="000000"/>
                <w:sz w:val="28"/>
                <w:szCs w:val="28"/>
              </w:rPr>
              <w:t>8.1%</w:t>
            </w:r>
          </w:p>
        </w:tc>
      </w:tr>
      <w:tr w:rsidR="00DB7763" w:rsidRPr="00C5561A" w14:paraId="65260CA4" w14:textId="77777777">
        <w:tc>
          <w:tcPr>
            <w:tcW w:w="30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6B984A15"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Group EBIT</w:t>
            </w:r>
          </w:p>
        </w:tc>
        <w:tc>
          <w:tcPr>
            <w:tcW w:w="36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4C5EEAAF"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Financial – operating profit</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705E1A5B"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color w:val="000000"/>
                <w:sz w:val="28"/>
                <w:szCs w:val="28"/>
              </w:rPr>
              <w:t>€13.6 bn</w:t>
            </w:r>
          </w:p>
        </w:tc>
      </w:tr>
      <w:tr w:rsidR="00DB7763" w:rsidRPr="00C5561A" w14:paraId="1E98DFF7" w14:textId="77777777">
        <w:tc>
          <w:tcPr>
            <w:tcW w:w="30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7FBFEBE1"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Free cash flow (industrial)</w:t>
            </w:r>
          </w:p>
        </w:tc>
        <w:tc>
          <w:tcPr>
            <w:tcW w:w="3626"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00C9240F"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Financial – liquidity</w:t>
            </w:r>
          </w:p>
        </w:tc>
        <w:tc>
          <w:tcPr>
            <w:tcW w:w="2400" w:type="dxa"/>
            <w:tcBorders>
              <w:top w:val="single" w:sz="4" w:space="0" w:color="AAB4BE"/>
              <w:left w:val="single" w:sz="4" w:space="0" w:color="AAB4BE"/>
              <w:bottom w:val="single" w:sz="4" w:space="0" w:color="AAB4BE"/>
              <w:right w:val="single" w:sz="4" w:space="0" w:color="AAB4BE"/>
            </w:tcBorders>
            <w:shd w:val="clear" w:color="auto" w:fill="EEF2F6"/>
            <w:tcMar>
              <w:top w:w="60" w:type="dxa"/>
              <w:left w:w="120" w:type="dxa"/>
              <w:bottom w:w="60" w:type="dxa"/>
              <w:right w:w="120" w:type="dxa"/>
            </w:tcMar>
            <w:vAlign w:val="center"/>
          </w:tcPr>
          <w:p w14:paraId="3F78F697"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color w:val="000000"/>
                <w:sz w:val="28"/>
                <w:szCs w:val="28"/>
              </w:rPr>
              <w:t>€9.2 bn</w:t>
            </w:r>
          </w:p>
        </w:tc>
      </w:tr>
      <w:tr w:rsidR="00DB7763" w:rsidRPr="00C5561A" w14:paraId="351A5FD6" w14:textId="77777777">
        <w:tc>
          <w:tcPr>
            <w:tcW w:w="30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69D4D541"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Electrified vehicle (</w:t>
            </w:r>
            <w:proofErr w:type="spellStart"/>
            <w:r w:rsidRPr="00C5561A">
              <w:rPr>
                <w:rFonts w:ascii="Times New Roman" w:hAnsi="Times New Roman" w:cs="Times New Roman"/>
                <w:color w:val="000000"/>
                <w:sz w:val="28"/>
                <w:szCs w:val="28"/>
              </w:rPr>
              <w:t>xEV</w:t>
            </w:r>
            <w:proofErr w:type="spellEnd"/>
            <w:r w:rsidRPr="00C5561A">
              <w:rPr>
                <w:rFonts w:ascii="Times New Roman" w:hAnsi="Times New Roman" w:cs="Times New Roman"/>
                <w:color w:val="000000"/>
                <w:sz w:val="28"/>
                <w:szCs w:val="28"/>
              </w:rPr>
              <w:t>) share</w:t>
            </w:r>
          </w:p>
        </w:tc>
        <w:tc>
          <w:tcPr>
            <w:tcW w:w="3626"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2506063E" w14:textId="77777777" w:rsidR="00DB7763" w:rsidRPr="00C5561A" w:rsidRDefault="00000000" w:rsidP="00C5561A">
            <w:pPr>
              <w:spacing w:line="360" w:lineRule="auto"/>
              <w:rPr>
                <w:rFonts w:ascii="Times New Roman" w:hAnsi="Times New Roman" w:cs="Times New Roman"/>
                <w:sz w:val="28"/>
                <w:szCs w:val="28"/>
              </w:rPr>
            </w:pPr>
            <w:r w:rsidRPr="00C5561A">
              <w:rPr>
                <w:rFonts w:ascii="Times New Roman" w:hAnsi="Times New Roman" w:cs="Times New Roman"/>
                <w:color w:val="000000"/>
                <w:sz w:val="28"/>
                <w:szCs w:val="28"/>
              </w:rPr>
              <w:t>Non-financial – strategy</w:t>
            </w:r>
          </w:p>
        </w:tc>
        <w:tc>
          <w:tcPr>
            <w:tcW w:w="2400" w:type="dxa"/>
            <w:tcBorders>
              <w:top w:val="single" w:sz="4" w:space="0" w:color="AAB4BE"/>
              <w:left w:val="single" w:sz="4" w:space="0" w:color="AAB4BE"/>
              <w:bottom w:val="single" w:sz="4" w:space="0" w:color="AAB4BE"/>
              <w:right w:val="single" w:sz="4" w:space="0" w:color="AAB4BE"/>
            </w:tcBorders>
            <w:tcMar>
              <w:top w:w="60" w:type="dxa"/>
              <w:left w:w="120" w:type="dxa"/>
              <w:bottom w:w="60" w:type="dxa"/>
              <w:right w:w="120" w:type="dxa"/>
            </w:tcMar>
            <w:vAlign w:val="center"/>
          </w:tcPr>
          <w:p w14:paraId="732A3404" w14:textId="77777777" w:rsidR="00DB7763" w:rsidRPr="00C5561A" w:rsidRDefault="00000000" w:rsidP="00C5561A">
            <w:pPr>
              <w:spacing w:line="360" w:lineRule="auto"/>
              <w:jc w:val="center"/>
              <w:rPr>
                <w:rFonts w:ascii="Times New Roman" w:hAnsi="Times New Roman" w:cs="Times New Roman"/>
                <w:sz w:val="28"/>
                <w:szCs w:val="28"/>
              </w:rPr>
            </w:pPr>
            <w:r w:rsidRPr="00C5561A">
              <w:rPr>
                <w:rFonts w:ascii="Times New Roman" w:hAnsi="Times New Roman" w:cs="Times New Roman"/>
                <w:color w:val="000000"/>
                <w:sz w:val="28"/>
                <w:szCs w:val="28"/>
              </w:rPr>
              <w:t>≈20.5%</w:t>
            </w:r>
          </w:p>
        </w:tc>
      </w:tr>
    </w:tbl>
    <w:p w14:paraId="4FDB5B40" w14:textId="77777777" w:rsidR="00DB7763" w:rsidRPr="00C5561A" w:rsidRDefault="00000000" w:rsidP="00C5561A">
      <w:pPr>
        <w:spacing w:before="40" w:after="200" w:line="360" w:lineRule="auto"/>
        <w:rPr>
          <w:rFonts w:ascii="Times New Roman" w:hAnsi="Times New Roman" w:cs="Times New Roman"/>
          <w:i/>
          <w:iCs/>
          <w:color w:val="555555"/>
          <w:sz w:val="28"/>
          <w:szCs w:val="28"/>
        </w:rPr>
      </w:pPr>
      <w:r w:rsidRPr="00C5561A">
        <w:rPr>
          <w:rFonts w:ascii="Times New Roman" w:hAnsi="Times New Roman" w:cs="Times New Roman"/>
          <w:i/>
          <w:iCs/>
          <w:color w:val="555555"/>
          <w:sz w:val="28"/>
          <w:szCs w:val="28"/>
        </w:rPr>
        <w:t>Source: Mercedes-Benz Group (2025a, 2025b); just-auto (2025).</w:t>
      </w:r>
    </w:p>
    <w:p w14:paraId="067640FD" w14:textId="77777777" w:rsidR="00DC5316" w:rsidRPr="00C5561A" w:rsidRDefault="00DC5316" w:rsidP="00C5561A">
      <w:pPr>
        <w:spacing w:before="40" w:after="200" w:line="360" w:lineRule="auto"/>
        <w:rPr>
          <w:rFonts w:ascii="Times New Roman" w:hAnsi="Times New Roman" w:cs="Times New Roman"/>
          <w:color w:val="000000" w:themeColor="text1"/>
          <w:sz w:val="28"/>
          <w:szCs w:val="28"/>
          <w:shd w:val="clear" w:color="auto" w:fill="FFFFFF"/>
        </w:rPr>
      </w:pPr>
    </w:p>
    <w:p w14:paraId="6F07B69A" w14:textId="77777777" w:rsidR="00C5561A" w:rsidRDefault="00C5561A" w:rsidP="00C5561A">
      <w:pPr>
        <w:spacing w:before="40" w:after="200" w:line="360" w:lineRule="auto"/>
        <w:rPr>
          <w:rFonts w:ascii="Times New Roman" w:hAnsi="Times New Roman" w:cs="Times New Roman"/>
          <w:color w:val="000000" w:themeColor="text1"/>
          <w:sz w:val="28"/>
          <w:szCs w:val="28"/>
          <w:shd w:val="clear" w:color="auto" w:fill="FFFFFF"/>
        </w:rPr>
      </w:pPr>
    </w:p>
    <w:p w14:paraId="7D83E3F0" w14:textId="10C4F56B" w:rsidR="00CD2FC8" w:rsidRPr="00C5561A" w:rsidRDefault="00CD2FC8" w:rsidP="00C5561A">
      <w:pPr>
        <w:spacing w:before="40" w:after="200" w:line="360" w:lineRule="auto"/>
        <w:rPr>
          <w:rFonts w:ascii="Times New Roman" w:hAnsi="Times New Roman" w:cs="Times New Roman"/>
          <w:color w:val="000000" w:themeColor="text1"/>
          <w:sz w:val="28"/>
          <w:szCs w:val="28"/>
        </w:rPr>
      </w:pPr>
      <w:r w:rsidRPr="00C5561A">
        <w:rPr>
          <w:rFonts w:ascii="Times New Roman" w:hAnsi="Times New Roman" w:cs="Times New Roman"/>
          <w:color w:val="000000" w:themeColor="text1"/>
          <w:sz w:val="28"/>
          <w:szCs w:val="28"/>
          <w:shd w:val="clear" w:color="auto" w:fill="FFFFFF"/>
        </w:rPr>
        <w:t xml:space="preserve">Non-financial indicators like share of electrified vehicles, unit volume per segment and demand for Top-End models are leading indicators, which predict financial results before they become apparent in the P&amp;L. This is the principle </w:t>
      </w:r>
      <w:r w:rsidRPr="00C5561A">
        <w:rPr>
          <w:rFonts w:ascii="Times New Roman" w:hAnsi="Times New Roman" w:cs="Times New Roman"/>
          <w:color w:val="000000" w:themeColor="text1"/>
          <w:sz w:val="28"/>
          <w:szCs w:val="28"/>
          <w:shd w:val="clear" w:color="auto" w:fill="FFFFFF"/>
        </w:rPr>
        <w:lastRenderedPageBreak/>
        <w:t>of the balanced scorecard which suggests that the financial approach to measuring performance is merely backward-looking and partial (Kaplan and Norton, 1996; Otley, 2016). But Nørreklit (2000) warns that the causal relationships that the model assumes between non-financial influences and financial results are not always as strong as the model suggests — at Mercedes-Benz, for instance, demand in the Core-segment was strong, but their earnings before interest, taxes, depreciation, and amortization (EBIT) actually fell.</w:t>
      </w:r>
      <w:r w:rsidRPr="00C5561A">
        <w:rPr>
          <w:rFonts w:ascii="Times New Roman" w:hAnsi="Times New Roman" w:cs="Times New Roman"/>
          <w:color w:val="000000" w:themeColor="text1"/>
          <w:sz w:val="28"/>
          <w:szCs w:val="28"/>
          <w:shd w:val="clear" w:color="auto" w:fill="FFFFFF"/>
        </w:rPr>
        <w:br/>
        <w:t>These KPIs are directly linked to strategic decisions. The cost-cutting programme above was triggered by the decline in return on sales, and the pressure on Top-End volumes that fell to 281,500 units, or 14% of sales (Mercedes-Benz Group, 2025b; see Figure 2). The drop in the Entry segment was due to weak, margin-dilutive demand, leading to a reduction in dependence on lower-margin small cars and focus on more profitable Core and Top-End vehicles, according to Mercedes-Benz Group (2025c). With respect to pricing, management has intentionally adopted a value-over-volume approach, safeguarding brand positioning and net pricing, instead of offering discounts to gain market share (</w:t>
      </w:r>
      <w:proofErr w:type="spellStart"/>
      <w:r w:rsidRPr="00C5561A">
        <w:rPr>
          <w:rFonts w:ascii="Times New Roman" w:hAnsi="Times New Roman" w:cs="Times New Roman"/>
          <w:color w:val="000000" w:themeColor="text1"/>
          <w:sz w:val="28"/>
          <w:szCs w:val="28"/>
          <w:shd w:val="clear" w:color="auto" w:fill="FFFFFF"/>
        </w:rPr>
        <w:t>ainvest</w:t>
      </w:r>
      <w:proofErr w:type="spellEnd"/>
      <w:r w:rsidRPr="00C5561A">
        <w:rPr>
          <w:rFonts w:ascii="Times New Roman" w:hAnsi="Times New Roman" w:cs="Times New Roman"/>
          <w:color w:val="000000" w:themeColor="text1"/>
          <w:sz w:val="28"/>
          <w:szCs w:val="28"/>
          <w:shd w:val="clear" w:color="auto" w:fill="FFFFFF"/>
        </w:rPr>
        <w:t>, 2025). Strong free-cash-flow KPIs (Mercedes-Benz Group, 2025a; CNBC, 2024) also supported the selection of the capital allocation measures, which include a proposed dividend of €4.30 per share for 2024 and a share-buyback programme. It means that the measurement of performance is directly related to decision making on expansion, cost and pricing.</w:t>
      </w:r>
    </w:p>
    <w:p w14:paraId="21C0F833" w14:textId="77777777" w:rsidR="00DB7763" w:rsidRPr="00C5561A" w:rsidRDefault="00000000" w:rsidP="00C5561A">
      <w:pPr>
        <w:spacing w:before="120" w:after="40" w:line="360" w:lineRule="auto"/>
        <w:jc w:val="center"/>
        <w:rPr>
          <w:rFonts w:ascii="Times New Roman" w:hAnsi="Times New Roman" w:cs="Times New Roman"/>
          <w:sz w:val="28"/>
          <w:szCs w:val="28"/>
        </w:rPr>
      </w:pPr>
      <w:r w:rsidRPr="00C5561A">
        <w:rPr>
          <w:rFonts w:ascii="Times New Roman" w:hAnsi="Times New Roman" w:cs="Times New Roman"/>
          <w:noProof/>
          <w:sz w:val="28"/>
          <w:szCs w:val="28"/>
        </w:rPr>
        <w:lastRenderedPageBreak/>
        <w:drawing>
          <wp:inline distT="0" distB="0" distL="0" distR="0" wp14:anchorId="163D4DCD" wp14:editId="48DE75A8">
            <wp:extent cx="4305300" cy="2390775"/>
            <wp:effectExtent l="0" t="0" r="0" b="0"/>
            <wp:docPr id="1421852155" name="Mercedes-Benz Cars unit sales by segment, 2024" descr="Mercedes-Benz Cars unit sales by segment, 2024" title="Mercedes-Benz Cars unit sales by segment,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4305300" cy="2390775"/>
                    </a:xfrm>
                    <a:prstGeom prst="rect">
                      <a:avLst/>
                    </a:prstGeom>
                  </pic:spPr>
                </pic:pic>
              </a:graphicData>
            </a:graphic>
          </wp:inline>
        </w:drawing>
      </w:r>
    </w:p>
    <w:p w14:paraId="02FE7C25" w14:textId="77777777" w:rsidR="00DB7763" w:rsidRDefault="00000000" w:rsidP="00C5561A">
      <w:pPr>
        <w:spacing w:before="80" w:after="220" w:line="360" w:lineRule="auto"/>
        <w:jc w:val="center"/>
      </w:pPr>
      <w:r w:rsidRPr="00C5561A">
        <w:rPr>
          <w:rFonts w:ascii="Times New Roman" w:hAnsi="Times New Roman" w:cs="Times New Roman"/>
          <w:i/>
          <w:iCs/>
          <w:color w:val="444444"/>
          <w:sz w:val="28"/>
          <w:szCs w:val="28"/>
        </w:rPr>
        <w:t>Figure 2. Mercedes-Benz Cars unit sales by segment, 2024. Source: Mercedes-Benz Group (202</w:t>
      </w:r>
      <w:r>
        <w:rPr>
          <w:i/>
          <w:iCs/>
          <w:color w:val="444444"/>
          <w:sz w:val="20"/>
          <w:szCs w:val="20"/>
        </w:rPr>
        <w:t>5b).</w:t>
      </w:r>
    </w:p>
    <w:p w14:paraId="5EBE837B" w14:textId="6B249817" w:rsidR="00DC5316" w:rsidRDefault="00000000" w:rsidP="00DC5316">
      <w:pPr>
        <w:pStyle w:val="Heading1"/>
      </w:pPr>
      <w:bookmarkStart w:id="8" w:name="_Toc235196237"/>
      <w:bookmarkStart w:id="9" w:name="_Toc235196474"/>
      <w:r w:rsidRPr="00DC5316">
        <w:t>Sustainability and Ethical Considerations</w:t>
      </w:r>
      <w:bookmarkEnd w:id="8"/>
      <w:bookmarkEnd w:id="9"/>
      <w:r w:rsidR="00175201" w:rsidRPr="00DC5316">
        <w:t xml:space="preserve"> </w:t>
      </w:r>
    </w:p>
    <w:p w14:paraId="739FC108" w14:textId="6951CBED" w:rsidR="00175201" w:rsidRPr="00C5561A" w:rsidRDefault="00261F6D" w:rsidP="00C5561A">
      <w:pPr>
        <w:spacing w:line="360" w:lineRule="auto"/>
        <w:rPr>
          <w:rFonts w:ascii="Times New Roman" w:hAnsi="Times New Roman" w:cs="Times New Roman"/>
          <w:b/>
          <w:bCs/>
          <w:color w:val="0B1F33"/>
          <w:sz w:val="28"/>
          <w:szCs w:val="28"/>
        </w:rPr>
      </w:pPr>
      <w:bookmarkStart w:id="10" w:name="_Toc235196238"/>
      <w:r w:rsidRPr="00C5561A">
        <w:rPr>
          <w:rFonts w:ascii="Times New Roman" w:hAnsi="Times New Roman" w:cs="Times New Roman"/>
          <w:sz w:val="28"/>
          <w:szCs w:val="28"/>
          <w:shd w:val="clear" w:color="auto" w:fill="FFFFFF"/>
        </w:rPr>
        <w:t>The automotive industry has shifted sustainability to the mainstream of financial decision</w:t>
      </w:r>
      <w:r w:rsidR="00417D27"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making</w:t>
      </w:r>
      <w:r w:rsidR="00417D27" w:rsidRPr="00C5561A">
        <w:rPr>
          <w:rFonts w:ascii="Times New Roman" w:hAnsi="Times New Roman" w:cs="Times New Roman"/>
          <w:b/>
          <w:bCs/>
          <w:sz w:val="28"/>
          <w:szCs w:val="28"/>
          <w:shd w:val="clear" w:color="auto" w:fill="FFFFFF"/>
        </w:rPr>
        <w:t xml:space="preserve">, </w:t>
      </w:r>
      <w:r w:rsidRPr="00C5561A">
        <w:rPr>
          <w:rFonts w:ascii="Times New Roman" w:hAnsi="Times New Roman" w:cs="Times New Roman"/>
          <w:sz w:val="28"/>
          <w:szCs w:val="28"/>
          <w:shd w:val="clear" w:color="auto" w:fill="FFFFFF"/>
        </w:rPr>
        <w:t>and management accounting is now increasingly including environmental costs and long</w:t>
      </w:r>
      <w:r w:rsidR="00417D27"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term climate risk (Bebbington and </w:t>
      </w:r>
      <w:proofErr w:type="spellStart"/>
      <w:r w:rsidRPr="00C5561A">
        <w:rPr>
          <w:rFonts w:ascii="Times New Roman" w:hAnsi="Times New Roman" w:cs="Times New Roman"/>
          <w:sz w:val="28"/>
          <w:szCs w:val="28"/>
          <w:shd w:val="clear" w:color="auto" w:fill="FFFFFF"/>
        </w:rPr>
        <w:t>Unerman</w:t>
      </w:r>
      <w:proofErr w:type="spellEnd"/>
      <w:r w:rsidRPr="00C5561A">
        <w:rPr>
          <w:rFonts w:ascii="Times New Roman" w:hAnsi="Times New Roman" w:cs="Times New Roman"/>
          <w:sz w:val="28"/>
          <w:szCs w:val="28"/>
          <w:shd w:val="clear" w:color="auto" w:fill="FFFFFF"/>
        </w:rPr>
        <w:t xml:space="preserve">, 2018). “Ambition 2039” represents Mercedes-Benz's flagship commitment: The Group aims to become net carbon neutral across the entire value chain with its new-vehicle fleet by 2039, with an intermediate target of around 50% reduction in CO₂ per vehicle by 2030 and the goal of using 100% renewable electricity for owned production (Mercedes-Benz Group, 2025d). It demands vast amounts of investment in electrification and battery </w:t>
      </w:r>
      <w:proofErr w:type="gramStart"/>
      <w:r w:rsidRPr="00C5561A">
        <w:rPr>
          <w:rFonts w:ascii="Times New Roman" w:hAnsi="Times New Roman" w:cs="Times New Roman"/>
          <w:sz w:val="28"/>
          <w:szCs w:val="28"/>
          <w:shd w:val="clear" w:color="auto" w:fill="FFFFFF"/>
        </w:rPr>
        <w:t>technology, and</w:t>
      </w:r>
      <w:proofErr w:type="gramEnd"/>
      <w:r w:rsidRPr="00C5561A">
        <w:rPr>
          <w:rFonts w:ascii="Times New Roman" w:hAnsi="Times New Roman" w:cs="Times New Roman"/>
          <w:sz w:val="28"/>
          <w:szCs w:val="28"/>
          <w:shd w:val="clear" w:color="auto" w:fill="FFFFFF"/>
        </w:rPr>
        <w:t xml:space="preserve"> includes climate goals as part of the investment appraisal and budgeting processes of the Group, rather than as a standalone corporate-responsibility exercise (</w:t>
      </w:r>
      <w:proofErr w:type="spellStart"/>
      <w:r w:rsidRPr="00C5561A">
        <w:rPr>
          <w:rFonts w:ascii="Times New Roman" w:hAnsi="Times New Roman" w:cs="Times New Roman"/>
          <w:sz w:val="28"/>
          <w:szCs w:val="28"/>
          <w:shd w:val="clear" w:color="auto" w:fill="FFFFFF"/>
        </w:rPr>
        <w:t>Schaltegger</w:t>
      </w:r>
      <w:proofErr w:type="spellEnd"/>
      <w:r w:rsidRPr="00C5561A">
        <w:rPr>
          <w:rFonts w:ascii="Times New Roman" w:hAnsi="Times New Roman" w:cs="Times New Roman"/>
          <w:sz w:val="28"/>
          <w:szCs w:val="28"/>
          <w:shd w:val="clear" w:color="auto" w:fill="FFFFFF"/>
        </w:rPr>
        <w:t xml:space="preserve"> and Burritt, 2018). Environmental management accounting methods, such as life-cycle costing and carbon accounting, </w:t>
      </w:r>
      <w:proofErr w:type="gramStart"/>
      <w:r w:rsidRPr="00C5561A">
        <w:rPr>
          <w:rFonts w:ascii="Times New Roman" w:hAnsi="Times New Roman" w:cs="Times New Roman"/>
          <w:sz w:val="28"/>
          <w:szCs w:val="28"/>
          <w:shd w:val="clear" w:color="auto" w:fill="FFFFFF"/>
        </w:rPr>
        <w:t>are able to</w:t>
      </w:r>
      <w:proofErr w:type="gramEnd"/>
      <w:r w:rsidRPr="00C5561A">
        <w:rPr>
          <w:rFonts w:ascii="Times New Roman" w:hAnsi="Times New Roman" w:cs="Times New Roman"/>
          <w:sz w:val="28"/>
          <w:szCs w:val="28"/>
          <w:shd w:val="clear" w:color="auto" w:fill="FFFFFF"/>
        </w:rPr>
        <w:t xml:space="preserve"> quantify these long-term costs, which can then be included in the product decision (Burritt and </w:t>
      </w:r>
      <w:proofErr w:type="spellStart"/>
      <w:r w:rsidRPr="00C5561A">
        <w:rPr>
          <w:rFonts w:ascii="Times New Roman" w:hAnsi="Times New Roman" w:cs="Times New Roman"/>
          <w:sz w:val="28"/>
          <w:szCs w:val="28"/>
          <w:shd w:val="clear" w:color="auto" w:fill="FFFFFF"/>
        </w:rPr>
        <w:t>Schaltegger</w:t>
      </w:r>
      <w:proofErr w:type="spellEnd"/>
      <w:r w:rsidRPr="00C5561A">
        <w:rPr>
          <w:rFonts w:ascii="Times New Roman" w:hAnsi="Times New Roman" w:cs="Times New Roman"/>
          <w:sz w:val="28"/>
          <w:szCs w:val="28"/>
          <w:shd w:val="clear" w:color="auto" w:fill="FFFFFF"/>
        </w:rPr>
        <w:t>, 2010). The Group's purchasing volume suppliers account for about 90</w:t>
      </w:r>
      <w:r w:rsidR="00417D27"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and about 80</w:t>
      </w:r>
      <w:r w:rsidR="00417D27" w:rsidRPr="00C5561A">
        <w:rPr>
          <w:rFonts w:ascii="Times New Roman" w:hAnsi="Times New Roman" w:cs="Times New Roman"/>
          <w:b/>
          <w:bCs/>
          <w:sz w:val="28"/>
          <w:szCs w:val="28"/>
          <w:shd w:val="clear" w:color="auto" w:fill="FFFFFF"/>
        </w:rPr>
        <w:t xml:space="preserve">% </w:t>
      </w:r>
      <w:r w:rsidRPr="00C5561A">
        <w:rPr>
          <w:rFonts w:ascii="Times New Roman" w:hAnsi="Times New Roman" w:cs="Times New Roman"/>
          <w:sz w:val="28"/>
          <w:szCs w:val="28"/>
          <w:shd w:val="clear" w:color="auto" w:fill="FFFFFF"/>
        </w:rPr>
        <w:t xml:space="preserve">of them have signed an “Ambition Letter” pledging to make their materials carbon-neutral, showing how its sustainability goals trickle down to </w:t>
      </w:r>
      <w:r w:rsidRPr="00C5561A">
        <w:rPr>
          <w:rFonts w:ascii="Times New Roman" w:hAnsi="Times New Roman" w:cs="Times New Roman"/>
          <w:sz w:val="28"/>
          <w:szCs w:val="28"/>
          <w:shd w:val="clear" w:color="auto" w:fill="FFFFFF"/>
        </w:rPr>
        <w:lastRenderedPageBreak/>
        <w:t>decisions around procurement and supplier costs (ESG Today, 2020). The financial aspect is more clear</w:t>
      </w:r>
      <w:r w:rsidR="00417D27" w:rsidRPr="00C5561A">
        <w:rPr>
          <w:rFonts w:ascii="Times New Roman" w:hAnsi="Times New Roman" w:cs="Times New Roman"/>
          <w:b/>
          <w:bCs/>
          <w:sz w:val="28"/>
          <w:szCs w:val="28"/>
          <w:shd w:val="clear" w:color="auto" w:fill="FFFFFF"/>
        </w:rPr>
        <w:t>-</w:t>
      </w:r>
      <w:r w:rsidRPr="00C5561A">
        <w:rPr>
          <w:rFonts w:ascii="Times New Roman" w:hAnsi="Times New Roman" w:cs="Times New Roman"/>
          <w:sz w:val="28"/>
          <w:szCs w:val="28"/>
          <w:shd w:val="clear" w:color="auto" w:fill="FFFFFF"/>
        </w:rPr>
        <w:t xml:space="preserve">cut when European fleet CO₂ regulation tightens, as a failure to meet the requirements puts manufacturers at risk and this cost is factored into investment appraisal (Bebbington and </w:t>
      </w:r>
      <w:proofErr w:type="spellStart"/>
      <w:r w:rsidRPr="00C5561A">
        <w:rPr>
          <w:rFonts w:ascii="Times New Roman" w:hAnsi="Times New Roman" w:cs="Times New Roman"/>
          <w:sz w:val="28"/>
          <w:szCs w:val="28"/>
          <w:shd w:val="clear" w:color="auto" w:fill="FFFFFF"/>
        </w:rPr>
        <w:t>Unerman</w:t>
      </w:r>
      <w:proofErr w:type="spellEnd"/>
      <w:r w:rsidRPr="00C5561A">
        <w:rPr>
          <w:rFonts w:ascii="Times New Roman" w:hAnsi="Times New Roman" w:cs="Times New Roman"/>
          <w:sz w:val="28"/>
          <w:szCs w:val="28"/>
          <w:shd w:val="clear" w:color="auto" w:fill="FFFFFF"/>
        </w:rPr>
        <w:t xml:space="preserve">, 2018). Ethical issues are involved in both cost management and pricing. The Next Level Performance programme is a financial rationalisation initiative with job cuts and higher pressure on suppliers, balancing the interests of the shareholders with those of the stakeholders (Manufacturing Digital, 2025). The pursuit of such aggressive supplier cost reduction may be detrimental to quality or to labour standards in the back end of the supply chain if not managed in a responsible way. A premium positioning to maintain margins </w:t>
      </w:r>
      <w:proofErr w:type="gramStart"/>
      <w:r w:rsidRPr="00C5561A">
        <w:rPr>
          <w:rFonts w:ascii="Times New Roman" w:hAnsi="Times New Roman" w:cs="Times New Roman"/>
          <w:sz w:val="28"/>
          <w:szCs w:val="28"/>
          <w:shd w:val="clear" w:color="auto" w:fill="FFFFFF"/>
        </w:rPr>
        <w:t>goes</w:t>
      </w:r>
      <w:proofErr w:type="gramEnd"/>
      <w:r w:rsidRPr="00C5561A">
        <w:rPr>
          <w:rFonts w:ascii="Times New Roman" w:hAnsi="Times New Roman" w:cs="Times New Roman"/>
          <w:sz w:val="28"/>
          <w:szCs w:val="28"/>
          <w:shd w:val="clear" w:color="auto" w:fill="FFFFFF"/>
        </w:rPr>
        <w:t xml:space="preserve"> hand in hand with fairness and transparency - especially as connected-car subscriptions and feature paywalls come under increasing scrutiny. Management accountants thus need to consider the long-term and short-term financial and ethical implications of the choice. The financial and ethical considerations of the decision are not necessarily coincident (CIMA, 2021).</w:t>
      </w:r>
      <w:bookmarkEnd w:id="10"/>
    </w:p>
    <w:p w14:paraId="68AEB44B" w14:textId="77777777" w:rsidR="002C0C12" w:rsidRDefault="002C0C12" w:rsidP="002C0C12">
      <w:pPr>
        <w:pStyle w:val="Heading1"/>
      </w:pPr>
    </w:p>
    <w:p w14:paraId="024BFE80" w14:textId="77777777" w:rsidR="002C0C12" w:rsidRDefault="002C0C12" w:rsidP="002C0C12">
      <w:pPr>
        <w:pStyle w:val="Heading1"/>
      </w:pPr>
    </w:p>
    <w:p w14:paraId="4782430A" w14:textId="77777777" w:rsidR="00C5561A" w:rsidRDefault="00C5561A" w:rsidP="00DC5316">
      <w:pPr>
        <w:pStyle w:val="Heading1"/>
      </w:pPr>
    </w:p>
    <w:p w14:paraId="140373C5" w14:textId="77777777" w:rsidR="00C5561A" w:rsidRDefault="00C5561A" w:rsidP="00DC5316">
      <w:pPr>
        <w:pStyle w:val="Heading1"/>
      </w:pPr>
      <w:bookmarkStart w:id="11" w:name="_Toc235196239"/>
    </w:p>
    <w:p w14:paraId="505D164D" w14:textId="77777777" w:rsidR="00C5561A" w:rsidRDefault="00C5561A" w:rsidP="00DC5316">
      <w:pPr>
        <w:pStyle w:val="Heading1"/>
      </w:pPr>
    </w:p>
    <w:p w14:paraId="4FA0A821" w14:textId="77777777" w:rsidR="00C5561A" w:rsidRDefault="00C5561A" w:rsidP="00DC5316">
      <w:pPr>
        <w:pStyle w:val="Heading1"/>
      </w:pPr>
    </w:p>
    <w:p w14:paraId="0DA6810E" w14:textId="77777777" w:rsidR="00C5561A" w:rsidRDefault="00C5561A" w:rsidP="00DC5316">
      <w:pPr>
        <w:pStyle w:val="Heading1"/>
      </w:pPr>
    </w:p>
    <w:p w14:paraId="0480D979" w14:textId="77777777" w:rsidR="00C5561A" w:rsidRDefault="00C5561A" w:rsidP="00DC5316">
      <w:pPr>
        <w:pStyle w:val="Heading1"/>
      </w:pPr>
    </w:p>
    <w:p w14:paraId="196AF4B5" w14:textId="77777777" w:rsidR="00C5561A" w:rsidRDefault="00C5561A" w:rsidP="00DC5316">
      <w:pPr>
        <w:pStyle w:val="Heading1"/>
      </w:pPr>
    </w:p>
    <w:p w14:paraId="587E69CB" w14:textId="77777777" w:rsidR="00C5561A" w:rsidRDefault="00C5561A" w:rsidP="00DC5316">
      <w:pPr>
        <w:pStyle w:val="Heading1"/>
      </w:pPr>
    </w:p>
    <w:p w14:paraId="6DFFB534" w14:textId="373A73EF" w:rsidR="00DB7763" w:rsidRDefault="00000000" w:rsidP="00DC5316">
      <w:pPr>
        <w:pStyle w:val="Heading1"/>
      </w:pPr>
      <w:bookmarkStart w:id="12" w:name="_Toc235196475"/>
      <w:r w:rsidRPr="00DC5316">
        <w:lastRenderedPageBreak/>
        <w:t>Conclusion and Recommendations</w:t>
      </w:r>
      <w:bookmarkEnd w:id="11"/>
      <w:bookmarkEnd w:id="12"/>
    </w:p>
    <w:p w14:paraId="4B54B494" w14:textId="63A8AAD1" w:rsidR="00DB7763" w:rsidRPr="00261F6D" w:rsidRDefault="00261F6D" w:rsidP="00261F6D">
      <w:pPr>
        <w:spacing w:line="360" w:lineRule="auto"/>
        <w:rPr>
          <w:rFonts w:ascii="Times New Roman" w:hAnsi="Times New Roman" w:cs="Times New Roman"/>
          <w:color w:val="000000" w:themeColor="text1"/>
          <w:sz w:val="28"/>
          <w:szCs w:val="28"/>
        </w:rPr>
      </w:pPr>
      <w:r w:rsidRPr="00261F6D">
        <w:rPr>
          <w:rFonts w:ascii="Times New Roman" w:hAnsi="Times New Roman" w:cs="Times New Roman"/>
          <w:color w:val="000000" w:themeColor="text1"/>
          <w:sz w:val="28"/>
          <w:szCs w:val="28"/>
          <w:shd w:val="clear" w:color="auto" w:fill="FFFFFF"/>
        </w:rPr>
        <w:t>This report shows that management accounting plays an intrinsic role in the process of financial decision-making at Mercedes-Benz. How the combination of high fixed costs and operating leverage has resulted in a more pronounced fall in EBIT from a low level gain in revenue, as well as decisions on model mix, pricing and capital allocation driven by a balanced set of financial and non-financial key performance indicators (KPIs), are all discussed in the context of cost–volume–profit analysis, budgeting and the Next Level Performance programme. These tools are being increasingly infused with sustainability and ethical issues.</w:t>
      </w:r>
      <w:r w:rsidRPr="00261F6D">
        <w:rPr>
          <w:rFonts w:ascii="Times New Roman" w:hAnsi="Times New Roman" w:cs="Times New Roman"/>
          <w:color w:val="000000" w:themeColor="text1"/>
          <w:sz w:val="28"/>
          <w:szCs w:val="28"/>
          <w:shd w:val="clear" w:color="auto" w:fill="FFFFFF"/>
        </w:rPr>
        <w:br/>
        <w:t xml:space="preserve">Three recommendations follow. The Group should speed up its transition to rolling forecasts and flexible budgeting to be more responsive to the unpredictable nature of demand than to the fixed, annual approach. Second, it should enhance </w:t>
      </w:r>
      <w:proofErr w:type="gramStart"/>
      <w:r w:rsidRPr="00261F6D">
        <w:rPr>
          <w:rFonts w:ascii="Times New Roman" w:hAnsi="Times New Roman" w:cs="Times New Roman"/>
          <w:color w:val="000000" w:themeColor="text1"/>
          <w:sz w:val="28"/>
          <w:szCs w:val="28"/>
          <w:shd w:val="clear" w:color="auto" w:fill="FFFFFF"/>
        </w:rPr>
        <w:t>activity based</w:t>
      </w:r>
      <w:proofErr w:type="gramEnd"/>
      <w:r w:rsidRPr="00261F6D">
        <w:rPr>
          <w:rFonts w:ascii="Times New Roman" w:hAnsi="Times New Roman" w:cs="Times New Roman"/>
          <w:color w:val="000000" w:themeColor="text1"/>
          <w:sz w:val="28"/>
          <w:szCs w:val="28"/>
          <w:shd w:val="clear" w:color="auto" w:fill="FFFFFF"/>
        </w:rPr>
        <w:t xml:space="preserve"> costing to more clearly reveal the profitability of each model and option, thus refining the value over volume approach. Third, it should include carbon and life cycle costing in a formal way as part of investment appraisal, ensuring that Ambition 2039 will be embedded in day-to-day financial choices.</w:t>
      </w:r>
      <w:r w:rsidRPr="00261F6D">
        <w:rPr>
          <w:rFonts w:ascii="Times New Roman" w:hAnsi="Times New Roman" w:cs="Times New Roman"/>
          <w:color w:val="000000" w:themeColor="text1"/>
          <w:sz w:val="28"/>
          <w:szCs w:val="28"/>
        </w:rPr>
        <w:br w:type="page"/>
      </w:r>
    </w:p>
    <w:p w14:paraId="0BA0719A" w14:textId="77777777" w:rsidR="00DB7763" w:rsidRDefault="00000000" w:rsidP="00DC5316">
      <w:pPr>
        <w:pStyle w:val="Heading1"/>
        <w:rPr>
          <w:rFonts w:ascii="Times New Roman" w:hAnsi="Times New Roman" w:cs="Times New Roman"/>
        </w:rPr>
      </w:pPr>
      <w:bookmarkStart w:id="13" w:name="_Toc235196240"/>
      <w:bookmarkStart w:id="14" w:name="_Toc235196476"/>
      <w:r w:rsidRPr="00DC5316">
        <w:rPr>
          <w:rFonts w:ascii="Times New Roman" w:hAnsi="Times New Roman" w:cs="Times New Roman"/>
        </w:rPr>
        <w:lastRenderedPageBreak/>
        <w:t>Reference List</w:t>
      </w:r>
      <w:bookmarkEnd w:id="13"/>
      <w:bookmarkEnd w:id="14"/>
    </w:p>
    <w:p w14:paraId="4536E35F" w14:textId="77777777" w:rsidR="00DC5316" w:rsidRPr="00DC5316" w:rsidRDefault="00DC5316" w:rsidP="00DC5316">
      <w:pPr>
        <w:pStyle w:val="Heading1"/>
        <w:rPr>
          <w:rFonts w:ascii="Times New Roman" w:hAnsi="Times New Roman" w:cs="Times New Roman"/>
        </w:rPr>
      </w:pPr>
    </w:p>
    <w:p w14:paraId="2532E0A3" w14:textId="1082FEA1" w:rsidR="00DB7763" w:rsidRDefault="00000000">
      <w:pPr>
        <w:spacing w:after="120" w:line="276" w:lineRule="auto"/>
        <w:ind w:left="360" w:hanging="360"/>
      </w:pPr>
      <w:proofErr w:type="spellStart"/>
      <w:r>
        <w:t>ainvest</w:t>
      </w:r>
      <w:proofErr w:type="spellEnd"/>
      <w:r>
        <w:t xml:space="preserve"> (2025) ‘Mercedes-Benz Group’s strategic turnaround: can “Next Level Performance” and share buybacks rebuild long-term value?’ Available at: </w:t>
      </w:r>
      <w:hyperlink r:id="rId10" w:history="1">
        <w:r w:rsidR="005222EF" w:rsidRPr="00EC7DC1">
          <w:rPr>
            <w:rStyle w:val="Hyperlink"/>
          </w:rPr>
          <w:t>https://www.ainvest.com/news/mercedes-benz-group-strategic-turnaround-level-performance-share-buybacks-rebuild-long-term-2507/</w:t>
        </w:r>
      </w:hyperlink>
      <w:r w:rsidR="005222EF">
        <w:t xml:space="preserve"> </w:t>
      </w:r>
      <w:r>
        <w:t xml:space="preserve">(Accessed: </w:t>
      </w:r>
      <w:r w:rsidR="003F6896">
        <w:t>5</w:t>
      </w:r>
      <w:r>
        <w:t xml:space="preserve"> July 2026).</w:t>
      </w:r>
    </w:p>
    <w:p w14:paraId="2BE08FD4" w14:textId="77777777" w:rsidR="00DB7763" w:rsidRDefault="00000000">
      <w:pPr>
        <w:spacing w:after="120" w:line="276" w:lineRule="auto"/>
        <w:ind w:left="360" w:hanging="360"/>
      </w:pPr>
      <w:proofErr w:type="spellStart"/>
      <w:r>
        <w:t>Atrill</w:t>
      </w:r>
      <w:proofErr w:type="spellEnd"/>
      <w:r>
        <w:t xml:space="preserve">, P. and McLaney, E. (2018) </w:t>
      </w:r>
      <w:r>
        <w:rPr>
          <w:i/>
          <w:iCs/>
        </w:rPr>
        <w:t>Management Accounting for Decision Makers</w:t>
      </w:r>
      <w:r>
        <w:t xml:space="preserve">. 9th </w:t>
      </w:r>
      <w:proofErr w:type="spellStart"/>
      <w:r>
        <w:t>edn</w:t>
      </w:r>
      <w:proofErr w:type="spellEnd"/>
      <w:r>
        <w:t>. Harlow: Pearson Education.</w:t>
      </w:r>
    </w:p>
    <w:p w14:paraId="60FA7DD9" w14:textId="77777777" w:rsidR="00DB7763" w:rsidRDefault="00000000">
      <w:pPr>
        <w:spacing w:after="120" w:line="276" w:lineRule="auto"/>
        <w:ind w:left="360" w:hanging="360"/>
      </w:pPr>
      <w:r>
        <w:t xml:space="preserve">Bebbington, J. and </w:t>
      </w:r>
      <w:proofErr w:type="spellStart"/>
      <w:r>
        <w:t>Unerman</w:t>
      </w:r>
      <w:proofErr w:type="spellEnd"/>
      <w:r>
        <w:t xml:space="preserve">, J. (2018) ‘Achieving the United Nations Sustainable Development Goals: an enabling role for accounting research’, </w:t>
      </w:r>
      <w:r>
        <w:rPr>
          <w:i/>
          <w:iCs/>
        </w:rPr>
        <w:t>Accounting, Auditing &amp; Accountability Journal</w:t>
      </w:r>
      <w:r>
        <w:t>, 31(1), pp. 2–24.</w:t>
      </w:r>
    </w:p>
    <w:p w14:paraId="04BAD2C4" w14:textId="77777777" w:rsidR="00DB7763" w:rsidRDefault="00000000">
      <w:pPr>
        <w:spacing w:after="120" w:line="276" w:lineRule="auto"/>
        <w:ind w:left="360" w:hanging="360"/>
      </w:pPr>
      <w:r>
        <w:t xml:space="preserve">Becker, S.D. (2014) ‘When organisations deinstitutionalise control practices: a multiple-case study of budget abandonment’, </w:t>
      </w:r>
      <w:r>
        <w:rPr>
          <w:i/>
          <w:iCs/>
        </w:rPr>
        <w:t>European Accounting Review</w:t>
      </w:r>
      <w:r>
        <w:t>, 23(4), pp. 593–623.</w:t>
      </w:r>
    </w:p>
    <w:p w14:paraId="0E345005" w14:textId="77777777" w:rsidR="00DB7763" w:rsidRDefault="00000000">
      <w:pPr>
        <w:spacing w:after="120" w:line="276" w:lineRule="auto"/>
        <w:ind w:left="360" w:hanging="360"/>
      </w:pPr>
      <w:r>
        <w:t xml:space="preserve">Bhimani, A., Horngren, C.T., Datar, S.M. and Rajan, M.V. (2019) </w:t>
      </w:r>
      <w:r>
        <w:rPr>
          <w:i/>
          <w:iCs/>
        </w:rPr>
        <w:t>Management and Cost Accounting</w:t>
      </w:r>
      <w:r>
        <w:t xml:space="preserve">. 7th </w:t>
      </w:r>
      <w:proofErr w:type="spellStart"/>
      <w:r>
        <w:t>edn</w:t>
      </w:r>
      <w:proofErr w:type="spellEnd"/>
      <w:r>
        <w:t>. Harlow: Pearson Education.</w:t>
      </w:r>
    </w:p>
    <w:p w14:paraId="07EE86BE" w14:textId="77777777" w:rsidR="00DB7763" w:rsidRDefault="00000000">
      <w:pPr>
        <w:spacing w:after="120" w:line="276" w:lineRule="auto"/>
        <w:ind w:left="360" w:hanging="360"/>
      </w:pPr>
      <w:r>
        <w:t xml:space="preserve">Bourmistrov, A. and Kaarbøe, K. (2013) ‘From comfort to stretch zones: a field study of two multinational companies applying “beyond budgeting” ideas’, </w:t>
      </w:r>
      <w:r>
        <w:rPr>
          <w:i/>
          <w:iCs/>
        </w:rPr>
        <w:t>Management Accounting Research</w:t>
      </w:r>
      <w:r>
        <w:t>, 24(3), pp. 196–211.</w:t>
      </w:r>
    </w:p>
    <w:p w14:paraId="64B3DFF8" w14:textId="77777777" w:rsidR="00DB7763" w:rsidRDefault="00000000">
      <w:pPr>
        <w:spacing w:after="120" w:line="276" w:lineRule="auto"/>
        <w:ind w:left="360" w:hanging="360"/>
      </w:pPr>
      <w:r>
        <w:t xml:space="preserve">Burritt, R.L. and Schaltegger, S. (2010) ‘Sustainability accounting and reporting: fad or trend?’, </w:t>
      </w:r>
      <w:r>
        <w:rPr>
          <w:i/>
          <w:iCs/>
        </w:rPr>
        <w:t>Accounting, Auditing &amp; Accountability Journal</w:t>
      </w:r>
      <w:r>
        <w:t>, 23(7), pp. 829–846.</w:t>
      </w:r>
    </w:p>
    <w:p w14:paraId="63A408BB" w14:textId="1DC54496" w:rsidR="00DB7763" w:rsidRDefault="00000000">
      <w:pPr>
        <w:spacing w:after="120" w:line="276" w:lineRule="auto"/>
        <w:ind w:left="360" w:hanging="360"/>
      </w:pPr>
      <w:r>
        <w:t xml:space="preserve">Chartered Institute of Management Accountants (CIMA) (2021) </w:t>
      </w:r>
      <w:r>
        <w:rPr>
          <w:i/>
          <w:iCs/>
        </w:rPr>
        <w:t>CIMA Code of Ethics</w:t>
      </w:r>
      <w:r>
        <w:t xml:space="preserve">. London: CIMA. Available at: </w:t>
      </w:r>
      <w:hyperlink r:id="rId11" w:history="1">
        <w:r w:rsidR="005222EF" w:rsidRPr="00EC7DC1">
          <w:rPr>
            <w:rStyle w:val="Hyperlink"/>
          </w:rPr>
          <w:t>https://www.cimaglobal.com/Documents/Ethics/2021%20Ethics/CIMA-Code-of-Ethics-2021.pdf</w:t>
        </w:r>
      </w:hyperlink>
      <w:r w:rsidR="005222EF">
        <w:t xml:space="preserve"> </w:t>
      </w:r>
      <w:r>
        <w:t xml:space="preserve">(Accessed: </w:t>
      </w:r>
      <w:r w:rsidR="003F6896">
        <w:t>7</w:t>
      </w:r>
      <w:r>
        <w:t xml:space="preserve"> July 2026).</w:t>
      </w:r>
    </w:p>
    <w:p w14:paraId="26EFCD65" w14:textId="6FA0CE8C" w:rsidR="00DB7763" w:rsidRDefault="00000000">
      <w:pPr>
        <w:spacing w:after="120" w:line="276" w:lineRule="auto"/>
        <w:ind w:left="360" w:hanging="360"/>
      </w:pPr>
      <w:r>
        <w:t xml:space="preserve">CNBC (2024) ‘Mercedes-Benz shares climb on share buyback, despite “exceptional” uncertainty ahead’. Available at: </w:t>
      </w:r>
      <w:hyperlink r:id="rId12" w:history="1">
        <w:r w:rsidR="005222EF" w:rsidRPr="00EC7DC1">
          <w:rPr>
            <w:rStyle w:val="Hyperlink"/>
          </w:rPr>
          <w:t>https://www.cnbc.com/2024/02/22/mercedes-benz-shares-climb-4percent-on-share-buyback-despite-exceptional-uncertainty-ahead.html</w:t>
        </w:r>
      </w:hyperlink>
      <w:r w:rsidR="005222EF">
        <w:t xml:space="preserve"> </w:t>
      </w:r>
      <w:r>
        <w:t xml:space="preserve">(Accessed: </w:t>
      </w:r>
      <w:r w:rsidR="003F6896">
        <w:t>7</w:t>
      </w:r>
      <w:r>
        <w:t xml:space="preserve"> July 2026).</w:t>
      </w:r>
    </w:p>
    <w:p w14:paraId="58A75EE7" w14:textId="77777777" w:rsidR="00DB7763" w:rsidRDefault="00000000">
      <w:pPr>
        <w:spacing w:after="120" w:line="276" w:lineRule="auto"/>
        <w:ind w:left="360" w:hanging="360"/>
      </w:pPr>
      <w:r>
        <w:t xml:space="preserve">Drury, C. (2021) </w:t>
      </w:r>
      <w:r>
        <w:rPr>
          <w:i/>
          <w:iCs/>
        </w:rPr>
        <w:t>Management and Cost Accounting</w:t>
      </w:r>
      <w:r>
        <w:t xml:space="preserve">. 11th </w:t>
      </w:r>
      <w:proofErr w:type="spellStart"/>
      <w:r>
        <w:t>edn</w:t>
      </w:r>
      <w:proofErr w:type="spellEnd"/>
      <w:r>
        <w:t>. Andover: Cengage Learning.</w:t>
      </w:r>
    </w:p>
    <w:p w14:paraId="27F09B23" w14:textId="7E0ABFAE" w:rsidR="00DB7763" w:rsidRDefault="00000000">
      <w:pPr>
        <w:spacing w:after="120" w:line="276" w:lineRule="auto"/>
        <w:ind w:left="360" w:hanging="360"/>
      </w:pPr>
      <w:r>
        <w:t xml:space="preserve">ESG Today (2020) ‘Mercedes-Benz targets carbon neutral supply chain’. Available at: </w:t>
      </w:r>
      <w:hyperlink r:id="rId13" w:history="1">
        <w:r w:rsidR="005222EF" w:rsidRPr="00EC7DC1">
          <w:rPr>
            <w:rStyle w:val="Hyperlink"/>
          </w:rPr>
          <w:t>https://www.esgtoday.com/mercedes-benz-targets-carbon-neutral-supply-chain/</w:t>
        </w:r>
      </w:hyperlink>
      <w:r w:rsidR="005222EF">
        <w:t xml:space="preserve"> </w:t>
      </w:r>
      <w:r>
        <w:t>(Accessed: 9 July 2026).</w:t>
      </w:r>
    </w:p>
    <w:p w14:paraId="547C51AD" w14:textId="77777777" w:rsidR="00DB7763" w:rsidRDefault="00000000">
      <w:pPr>
        <w:spacing w:after="120" w:line="276" w:lineRule="auto"/>
        <w:ind w:left="360" w:hanging="360"/>
      </w:pPr>
      <w:r>
        <w:t xml:space="preserve">Horngren, C.T., Datar, S.M. and Rajan, M.V. (2021) </w:t>
      </w:r>
      <w:r>
        <w:rPr>
          <w:i/>
          <w:iCs/>
        </w:rPr>
        <w:t>Cost Accounting: A Managerial Emphasis</w:t>
      </w:r>
      <w:r>
        <w:t xml:space="preserve">. 17th </w:t>
      </w:r>
      <w:proofErr w:type="spellStart"/>
      <w:r>
        <w:t>edn</w:t>
      </w:r>
      <w:proofErr w:type="spellEnd"/>
      <w:r>
        <w:t>. Harlow: Pearson Education.</w:t>
      </w:r>
    </w:p>
    <w:p w14:paraId="40562A05" w14:textId="77C50B0A" w:rsidR="00DB7763" w:rsidRDefault="00000000">
      <w:pPr>
        <w:spacing w:after="120" w:line="276" w:lineRule="auto"/>
        <w:ind w:left="360" w:hanging="360"/>
      </w:pPr>
      <w:r>
        <w:lastRenderedPageBreak/>
        <w:t xml:space="preserve">just-auto (2025) ‘Mercedes-Benz Group revenue dips 4.5% in 2024’. Available at: </w:t>
      </w:r>
      <w:hyperlink r:id="rId14" w:history="1">
        <w:r w:rsidR="005222EF" w:rsidRPr="00EC7DC1">
          <w:rPr>
            <w:rStyle w:val="Hyperlink"/>
          </w:rPr>
          <w:t>https://www.just-auto.com/news/mercedes-benz-revenue-2024/</w:t>
        </w:r>
      </w:hyperlink>
      <w:r w:rsidR="005222EF">
        <w:t xml:space="preserve"> </w:t>
      </w:r>
      <w:r>
        <w:t>(Accessed: 9 July 2026).</w:t>
      </w:r>
    </w:p>
    <w:p w14:paraId="4496E94B" w14:textId="77777777" w:rsidR="00DB7763" w:rsidRDefault="00000000">
      <w:pPr>
        <w:spacing w:after="120" w:line="276" w:lineRule="auto"/>
        <w:ind w:left="360" w:hanging="360"/>
      </w:pPr>
      <w:r>
        <w:t xml:space="preserve">Kaplan, R.S. and Norton, D.P. (1996) </w:t>
      </w:r>
      <w:r>
        <w:rPr>
          <w:i/>
          <w:iCs/>
        </w:rPr>
        <w:t>The Balanced Scorecard: Translating Strategy into Action</w:t>
      </w:r>
      <w:r>
        <w:t>. Boston, MA: Harvard Business School Press.</w:t>
      </w:r>
    </w:p>
    <w:p w14:paraId="6C80B62A" w14:textId="1BBE0852" w:rsidR="00DB7763" w:rsidRDefault="00000000">
      <w:pPr>
        <w:spacing w:after="120" w:line="276" w:lineRule="auto"/>
        <w:ind w:left="360" w:hanging="360"/>
      </w:pPr>
      <w:r>
        <w:t xml:space="preserve">Manufacturing Digital (2025) ‘How Mercedes is reshaping manufacturing after 57% profit dip’. Available at: </w:t>
      </w:r>
      <w:hyperlink r:id="rId15" w:history="1">
        <w:r w:rsidR="005222EF" w:rsidRPr="00EC7DC1">
          <w:rPr>
            <w:rStyle w:val="Hyperlink"/>
          </w:rPr>
          <w:t>https://manufacturingdigital.com/news/how-mercedes-is-reshaping-manufacturing-after-57-profit-dip</w:t>
        </w:r>
      </w:hyperlink>
      <w:r w:rsidR="005222EF">
        <w:t xml:space="preserve"> </w:t>
      </w:r>
      <w:r>
        <w:t xml:space="preserve">(Accessed: </w:t>
      </w:r>
      <w:r w:rsidR="003F6896">
        <w:t>10</w:t>
      </w:r>
      <w:r>
        <w:t xml:space="preserve"> July 2026).</w:t>
      </w:r>
    </w:p>
    <w:p w14:paraId="20D953E2" w14:textId="1B489BAD" w:rsidR="00DB7763" w:rsidRDefault="00000000">
      <w:pPr>
        <w:spacing w:after="120" w:line="276" w:lineRule="auto"/>
        <w:ind w:left="360" w:hanging="360"/>
      </w:pPr>
      <w:proofErr w:type="spellStart"/>
      <w:r>
        <w:t>MarkLines</w:t>
      </w:r>
      <w:proofErr w:type="spellEnd"/>
      <w:r>
        <w:t xml:space="preserve"> (2025) ‘Mercedes-Benz Group reports 2024 financial results, with revenue down by 4.5% and EBIT drops by 30.8%’. Available at: </w:t>
      </w:r>
      <w:hyperlink r:id="rId16" w:history="1">
        <w:r w:rsidR="005222EF" w:rsidRPr="00EC7DC1">
          <w:rPr>
            <w:rStyle w:val="Hyperlink"/>
          </w:rPr>
          <w:t>https://www.marklines.com/en/news/322318</w:t>
        </w:r>
      </w:hyperlink>
      <w:r w:rsidR="005222EF">
        <w:t xml:space="preserve"> </w:t>
      </w:r>
      <w:r>
        <w:t xml:space="preserve">(Accessed: </w:t>
      </w:r>
      <w:r w:rsidR="003F6896">
        <w:t>10</w:t>
      </w:r>
      <w:r>
        <w:t xml:space="preserve"> July 2026).</w:t>
      </w:r>
    </w:p>
    <w:p w14:paraId="4C73CADC" w14:textId="0D694008" w:rsidR="00DB7763" w:rsidRDefault="00000000">
      <w:pPr>
        <w:spacing w:after="120" w:line="276" w:lineRule="auto"/>
        <w:ind w:left="360" w:hanging="360"/>
      </w:pPr>
      <w:r>
        <w:t xml:space="preserve">Mercedes-Benz Group (2025a) </w:t>
      </w:r>
      <w:r>
        <w:rPr>
          <w:i/>
          <w:iCs/>
        </w:rPr>
        <w:t>Annual Report 2024</w:t>
      </w:r>
      <w:r>
        <w:t xml:space="preserve">. Stuttgart: Mercedes-Benz Group AG. Available at: </w:t>
      </w:r>
      <w:hyperlink r:id="rId17" w:history="1">
        <w:r w:rsidR="005222EF" w:rsidRPr="00EC7DC1">
          <w:rPr>
            <w:rStyle w:val="Hyperlink"/>
          </w:rPr>
          <w:t>https://group.mercedes-benz.com/investors/reports-news/annual-reports/2024/</w:t>
        </w:r>
      </w:hyperlink>
      <w:r w:rsidR="005222EF">
        <w:t xml:space="preserve"> </w:t>
      </w:r>
      <w:r>
        <w:t>(Accessed: 9 July 2026).</w:t>
      </w:r>
    </w:p>
    <w:p w14:paraId="113A37E3" w14:textId="741AD90A" w:rsidR="00DB7763" w:rsidRDefault="00000000">
      <w:pPr>
        <w:spacing w:after="120" w:line="276" w:lineRule="auto"/>
        <w:ind w:left="360" w:hanging="360"/>
      </w:pPr>
      <w:r>
        <w:t xml:space="preserve">Mercedes-Benz Group (2025b) ‘Mercedes-Benz Group finishes 2024 with a solid Q4 to reach 2.4 million annual </w:t>
      </w:r>
      <w:proofErr w:type="gramStart"/>
      <w:r>
        <w:t>sales’</w:t>
      </w:r>
      <w:proofErr w:type="gramEnd"/>
      <w:r>
        <w:t xml:space="preserve">. Available at: </w:t>
      </w:r>
      <w:hyperlink r:id="rId18" w:history="1">
        <w:r w:rsidR="005222EF" w:rsidRPr="00EC7DC1">
          <w:rPr>
            <w:rStyle w:val="Hyperlink"/>
          </w:rPr>
          <w:t>https://group.mercedes-benz.com/company/news/sales-2024.html</w:t>
        </w:r>
      </w:hyperlink>
      <w:r w:rsidR="005222EF">
        <w:t xml:space="preserve"> </w:t>
      </w:r>
      <w:r>
        <w:t xml:space="preserve">(Accessed: </w:t>
      </w:r>
      <w:r w:rsidR="003F6896">
        <w:t>11</w:t>
      </w:r>
      <w:r>
        <w:t xml:space="preserve"> July 2026).</w:t>
      </w:r>
    </w:p>
    <w:p w14:paraId="017EAA67" w14:textId="261B5AA2" w:rsidR="00DB7763" w:rsidRDefault="00000000">
      <w:pPr>
        <w:spacing w:after="120" w:line="276" w:lineRule="auto"/>
        <w:ind w:left="360" w:hanging="360"/>
      </w:pPr>
      <w:r>
        <w:t xml:space="preserve">Mercedes-Benz Group (2025c) ‘Mastering transformation: Mercedes-Benz lays out its roadmap for profitable growth’. Available at: </w:t>
      </w:r>
      <w:hyperlink r:id="rId19" w:history="1">
        <w:r w:rsidR="005222EF" w:rsidRPr="00EC7DC1">
          <w:rPr>
            <w:rStyle w:val="Hyperlink"/>
          </w:rPr>
          <w:t>https://group.mercedes-benz.com/investors/reports-news/annual-reports/2024/</w:t>
        </w:r>
      </w:hyperlink>
      <w:r w:rsidR="005222EF">
        <w:t xml:space="preserve"> </w:t>
      </w:r>
      <w:r>
        <w:t xml:space="preserve">(Accessed: </w:t>
      </w:r>
      <w:r w:rsidR="003F6896">
        <w:t>12</w:t>
      </w:r>
      <w:r>
        <w:t xml:space="preserve"> July 2026).</w:t>
      </w:r>
    </w:p>
    <w:p w14:paraId="735BE7F7" w14:textId="70A7C52E" w:rsidR="00DB7763" w:rsidRDefault="00000000">
      <w:pPr>
        <w:spacing w:after="120" w:line="276" w:lineRule="auto"/>
        <w:ind w:left="360" w:hanging="360"/>
      </w:pPr>
      <w:r>
        <w:t xml:space="preserve">Mercedes-Benz Group (2025d) </w:t>
      </w:r>
      <w:r>
        <w:rPr>
          <w:i/>
          <w:iCs/>
        </w:rPr>
        <w:t>Ambition 2039: our path to CO₂ neutrality</w:t>
      </w:r>
      <w:r>
        <w:t xml:space="preserve">. Available at: </w:t>
      </w:r>
      <w:hyperlink r:id="rId20" w:history="1">
        <w:r w:rsidR="005222EF" w:rsidRPr="00EC7DC1">
          <w:rPr>
            <w:rStyle w:val="Hyperlink"/>
          </w:rPr>
          <w:t>https://group.mercedes-benz.com/sustainability/environment-climate/decarbonisation/ambition-2039-our-path-to-co2-neutrality.html</w:t>
        </w:r>
      </w:hyperlink>
      <w:r w:rsidR="005222EF">
        <w:t xml:space="preserve"> </w:t>
      </w:r>
      <w:r>
        <w:t xml:space="preserve">(Accessed: </w:t>
      </w:r>
      <w:r w:rsidR="003F6896">
        <w:t>14</w:t>
      </w:r>
      <w:r>
        <w:t xml:space="preserve"> July 2026).</w:t>
      </w:r>
    </w:p>
    <w:p w14:paraId="27DED190" w14:textId="77777777" w:rsidR="00DB7763" w:rsidRDefault="00000000">
      <w:pPr>
        <w:spacing w:after="120" w:line="276" w:lineRule="auto"/>
        <w:ind w:left="360" w:hanging="360"/>
      </w:pPr>
      <w:r>
        <w:t xml:space="preserve">Nørreklit, H. (2000) ‘The balance on the balanced scorecard – a critical analysis of some of its assumptions’, </w:t>
      </w:r>
      <w:r>
        <w:rPr>
          <w:i/>
          <w:iCs/>
        </w:rPr>
        <w:t>Management Accounting Research</w:t>
      </w:r>
      <w:r>
        <w:t>, 11(1), pp. 65–88.</w:t>
      </w:r>
    </w:p>
    <w:p w14:paraId="2A1A56A8" w14:textId="77777777" w:rsidR="00DB7763" w:rsidRDefault="00000000">
      <w:pPr>
        <w:spacing w:after="120" w:line="276" w:lineRule="auto"/>
        <w:ind w:left="360" w:hanging="360"/>
      </w:pPr>
      <w:r>
        <w:t xml:space="preserve">Otley, D. (2016) ‘The contingency theory of management accounting and control: 1980–2014’, </w:t>
      </w:r>
      <w:r>
        <w:rPr>
          <w:i/>
          <w:iCs/>
        </w:rPr>
        <w:t>Management Accounting Research</w:t>
      </w:r>
      <w:r>
        <w:t>, 31, pp. 45–62.</w:t>
      </w:r>
    </w:p>
    <w:p w14:paraId="4F7B4099" w14:textId="77777777" w:rsidR="00DB7763" w:rsidRDefault="00000000">
      <w:pPr>
        <w:spacing w:after="120" w:line="276" w:lineRule="auto"/>
        <w:ind w:left="360" w:hanging="360"/>
      </w:pPr>
      <w:r>
        <w:t xml:space="preserve">Schaltegger, S. and Burritt, R. (2018) ‘Business cases and corporate engagement with sustainability: differentiating ethical motivations’, </w:t>
      </w:r>
      <w:r>
        <w:rPr>
          <w:i/>
          <w:iCs/>
        </w:rPr>
        <w:t>Journal of Business Ethics</w:t>
      </w:r>
      <w:r>
        <w:t>, 147(2), pp. 241–259.</w:t>
      </w:r>
    </w:p>
    <w:p w14:paraId="466A180E" w14:textId="77777777" w:rsidR="00DB7763" w:rsidRDefault="00000000">
      <w:pPr>
        <w:spacing w:after="120" w:line="276" w:lineRule="auto"/>
        <w:ind w:left="360" w:hanging="360"/>
      </w:pPr>
      <w:r>
        <w:t xml:space="preserve">Weetman, P. (2019) </w:t>
      </w:r>
      <w:r>
        <w:rPr>
          <w:i/>
          <w:iCs/>
        </w:rPr>
        <w:t>Financial and Management Accounting: An Introduction</w:t>
      </w:r>
      <w:r>
        <w:t xml:space="preserve">. 8th </w:t>
      </w:r>
      <w:proofErr w:type="spellStart"/>
      <w:r>
        <w:t>edn</w:t>
      </w:r>
      <w:proofErr w:type="spellEnd"/>
      <w:r>
        <w:t>. Harlow: Pearson Education.</w:t>
      </w:r>
    </w:p>
    <w:sectPr w:rsidR="00DB7763">
      <w:footerReference w:type="default" r:id="rId21"/>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7775CF8E" w14:textId="77777777" w:rsidR="00E63DA0" w:rsidRDefault="00E63DA0">
      <w:r>
        <w:separator/>
      </w:r>
    </w:p>
  </w:endnote>
  <w:endnote w:type="continuationSeparator" w:id="0">
    <w:p w14:paraId="401D0FED" w14:textId="77777777" w:rsidR="00E63DA0" w:rsidRDefault="00E63D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24AFE3E0" w14:textId="77777777" w:rsidR="00DB776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A43DA9">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809075F" w14:textId="77777777" w:rsidR="00E63DA0" w:rsidRDefault="00E63DA0">
      <w:r>
        <w:separator/>
      </w:r>
    </w:p>
  </w:footnote>
  <w:footnote w:type="continuationSeparator" w:id="0">
    <w:p w14:paraId="0D14B8BF" w14:textId="77777777" w:rsidR="00E63DA0" w:rsidRDefault="00E63D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45CA251C"/>
    <w:multiLevelType w:val="hybridMultilevel"/>
    <w:tmpl w:val="E5360FF0"/>
    <w:lvl w:ilvl="0" w:tplc="DBAAA684">
      <w:start w:val="1"/>
      <w:numFmt w:val="bullet"/>
      <w:lvlText w:val="●"/>
      <w:lvlJc w:val="left"/>
      <w:pPr>
        <w:ind w:left="720" w:hanging="360"/>
      </w:pPr>
    </w:lvl>
    <w:lvl w:ilvl="1" w:tplc="83062600">
      <w:start w:val="1"/>
      <w:numFmt w:val="bullet"/>
      <w:lvlText w:val="○"/>
      <w:lvlJc w:val="left"/>
      <w:pPr>
        <w:ind w:left="1440" w:hanging="360"/>
      </w:pPr>
    </w:lvl>
    <w:lvl w:ilvl="2" w:tplc="3834700C">
      <w:start w:val="1"/>
      <w:numFmt w:val="bullet"/>
      <w:lvlText w:val="■"/>
      <w:lvlJc w:val="left"/>
      <w:pPr>
        <w:ind w:left="2160" w:hanging="360"/>
      </w:pPr>
    </w:lvl>
    <w:lvl w:ilvl="3" w:tplc="F9E8F334">
      <w:start w:val="1"/>
      <w:numFmt w:val="bullet"/>
      <w:lvlText w:val="●"/>
      <w:lvlJc w:val="left"/>
      <w:pPr>
        <w:ind w:left="2880" w:hanging="360"/>
      </w:pPr>
    </w:lvl>
    <w:lvl w:ilvl="4" w:tplc="C820EDBA">
      <w:start w:val="1"/>
      <w:numFmt w:val="bullet"/>
      <w:lvlText w:val="○"/>
      <w:lvlJc w:val="left"/>
      <w:pPr>
        <w:ind w:left="3600" w:hanging="360"/>
      </w:pPr>
    </w:lvl>
    <w:lvl w:ilvl="5" w:tplc="7E02A9DC">
      <w:start w:val="1"/>
      <w:numFmt w:val="bullet"/>
      <w:lvlText w:val="■"/>
      <w:lvlJc w:val="left"/>
      <w:pPr>
        <w:ind w:left="4320" w:hanging="360"/>
      </w:pPr>
    </w:lvl>
    <w:lvl w:ilvl="6" w:tplc="E54E6FA8">
      <w:start w:val="1"/>
      <w:numFmt w:val="bullet"/>
      <w:lvlText w:val="●"/>
      <w:lvlJc w:val="left"/>
      <w:pPr>
        <w:ind w:left="5040" w:hanging="360"/>
      </w:pPr>
    </w:lvl>
    <w:lvl w:ilvl="7" w:tplc="1B7238D0">
      <w:start w:val="1"/>
      <w:numFmt w:val="bullet"/>
      <w:lvlText w:val="●"/>
      <w:lvlJc w:val="left"/>
      <w:pPr>
        <w:ind w:left="5760" w:hanging="360"/>
      </w:pPr>
    </w:lvl>
    <w:lvl w:ilvl="8" w:tplc="F134E0BC">
      <w:start w:val="1"/>
      <w:numFmt w:val="bullet"/>
      <w:lvlText w:val="●"/>
      <w:lvlJc w:val="left"/>
      <w:pPr>
        <w:ind w:left="6480" w:hanging="360"/>
      </w:pPr>
    </w:lvl>
  </w:abstractNum>
  <w:num w:numId="1" w16cid:durableId="1956249980">
    <w:abstractNumId w:val="0"/>
    <w:lvlOverride w:ilvl="0">
      <w:startOverride w:val="1"/>
    </w:lvlOverride>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7763"/>
    <w:rsid w:val="000025AB"/>
    <w:rsid w:val="00175201"/>
    <w:rsid w:val="0019268D"/>
    <w:rsid w:val="001A1BCE"/>
    <w:rsid w:val="0020523C"/>
    <w:rsid w:val="00261F6D"/>
    <w:rsid w:val="002C0C12"/>
    <w:rsid w:val="003F6896"/>
    <w:rsid w:val="00417D27"/>
    <w:rsid w:val="005222EF"/>
    <w:rsid w:val="005508A6"/>
    <w:rsid w:val="007E7805"/>
    <w:rsid w:val="0083275F"/>
    <w:rsid w:val="00847FC1"/>
    <w:rsid w:val="009D547E"/>
    <w:rsid w:val="00A43DA9"/>
    <w:rsid w:val="00B20F29"/>
    <w:rsid w:val="00C5561A"/>
    <w:rsid w:val="00CD2FC8"/>
    <w:rsid w:val="00CF275C"/>
    <w:rsid w:val="00DB7763"/>
    <w:rsid w:val="00DC5316"/>
    <w:rsid w:val="00E63DA0"/>
    <w:rsid w:val="00ED59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550658"/>
  <w15:docId w15:val="{F60AC9B5-35CC-C64B-893B-24AC43C259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Arial" w:eastAsia="Arial" w:hAnsi="Arial" w:cs="Arial"/>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00" w:after="160"/>
      <w:outlineLvl w:val="0"/>
    </w:pPr>
    <w:rPr>
      <w:b/>
      <w:bCs/>
      <w:color w:val="0B1F33"/>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5222EF"/>
    <w:rPr>
      <w:color w:val="605E5C"/>
      <w:shd w:val="clear" w:color="auto" w:fill="E1DFDD"/>
    </w:rPr>
  </w:style>
  <w:style w:type="character" w:styleId="FollowedHyperlink">
    <w:name w:val="FollowedHyperlink"/>
    <w:basedOn w:val="DefaultParagraphFont"/>
    <w:uiPriority w:val="99"/>
    <w:semiHidden/>
    <w:unhideWhenUsed/>
    <w:rsid w:val="005222EF"/>
    <w:rPr>
      <w:color w:val="96607D" w:themeColor="followedHyperlink"/>
      <w:u w:val="single"/>
    </w:rPr>
  </w:style>
  <w:style w:type="paragraph" w:styleId="TOCHeading">
    <w:name w:val="TOC Heading"/>
    <w:basedOn w:val="Heading1"/>
    <w:next w:val="Normal"/>
    <w:uiPriority w:val="39"/>
    <w:unhideWhenUsed/>
    <w:qFormat/>
    <w:rsid w:val="002C0C12"/>
    <w:pPr>
      <w:keepNext/>
      <w:keepLines/>
      <w:spacing w:before="480" w:after="0" w:line="276" w:lineRule="auto"/>
      <w:outlineLvl w:val="9"/>
    </w:pPr>
    <w:rPr>
      <w:rFonts w:asciiTheme="majorHAnsi" w:eastAsiaTheme="majorEastAsia" w:hAnsiTheme="majorHAnsi" w:cstheme="majorBidi"/>
      <w:color w:val="0F4761" w:themeColor="accent1" w:themeShade="BF"/>
      <w:lang w:val="en-US" w:eastAsia="en-US"/>
    </w:rPr>
  </w:style>
  <w:style w:type="paragraph" w:styleId="TOC1">
    <w:name w:val="toc 1"/>
    <w:basedOn w:val="Normal"/>
    <w:next w:val="Normal"/>
    <w:autoRedefine/>
    <w:uiPriority w:val="39"/>
    <w:unhideWhenUsed/>
    <w:rsid w:val="002C0C12"/>
    <w:pPr>
      <w:spacing w:before="360" w:after="360"/>
    </w:pPr>
    <w:rPr>
      <w:rFonts w:asciiTheme="minorHAnsi" w:hAnsiTheme="minorHAnsi"/>
      <w:b/>
      <w:bCs/>
      <w:caps/>
      <w:sz w:val="22"/>
      <w:szCs w:val="22"/>
      <w:u w:val="single"/>
    </w:rPr>
  </w:style>
  <w:style w:type="paragraph" w:styleId="TOC2">
    <w:name w:val="toc 2"/>
    <w:basedOn w:val="Normal"/>
    <w:next w:val="Normal"/>
    <w:autoRedefine/>
    <w:uiPriority w:val="39"/>
    <w:semiHidden/>
    <w:unhideWhenUsed/>
    <w:rsid w:val="002C0C12"/>
    <w:rPr>
      <w:rFonts w:asciiTheme="minorHAnsi" w:hAnsiTheme="minorHAnsi"/>
      <w:b/>
      <w:bCs/>
      <w:smallCaps/>
      <w:sz w:val="22"/>
      <w:szCs w:val="22"/>
    </w:rPr>
  </w:style>
  <w:style w:type="paragraph" w:styleId="TOC3">
    <w:name w:val="toc 3"/>
    <w:basedOn w:val="Normal"/>
    <w:next w:val="Normal"/>
    <w:autoRedefine/>
    <w:uiPriority w:val="39"/>
    <w:semiHidden/>
    <w:unhideWhenUsed/>
    <w:rsid w:val="002C0C12"/>
    <w:rPr>
      <w:rFonts w:asciiTheme="minorHAnsi" w:hAnsiTheme="minorHAnsi"/>
      <w:smallCaps/>
      <w:sz w:val="22"/>
      <w:szCs w:val="22"/>
    </w:rPr>
  </w:style>
  <w:style w:type="paragraph" w:styleId="TOC4">
    <w:name w:val="toc 4"/>
    <w:basedOn w:val="Normal"/>
    <w:next w:val="Normal"/>
    <w:autoRedefine/>
    <w:uiPriority w:val="39"/>
    <w:semiHidden/>
    <w:unhideWhenUsed/>
    <w:rsid w:val="002C0C12"/>
    <w:rPr>
      <w:rFonts w:asciiTheme="minorHAnsi" w:hAnsiTheme="minorHAnsi"/>
      <w:sz w:val="22"/>
      <w:szCs w:val="22"/>
    </w:rPr>
  </w:style>
  <w:style w:type="paragraph" w:styleId="TOC5">
    <w:name w:val="toc 5"/>
    <w:basedOn w:val="Normal"/>
    <w:next w:val="Normal"/>
    <w:autoRedefine/>
    <w:uiPriority w:val="39"/>
    <w:semiHidden/>
    <w:unhideWhenUsed/>
    <w:rsid w:val="002C0C12"/>
    <w:rPr>
      <w:rFonts w:asciiTheme="minorHAnsi" w:hAnsiTheme="minorHAnsi"/>
      <w:sz w:val="22"/>
      <w:szCs w:val="22"/>
    </w:rPr>
  </w:style>
  <w:style w:type="paragraph" w:styleId="TOC6">
    <w:name w:val="toc 6"/>
    <w:basedOn w:val="Normal"/>
    <w:next w:val="Normal"/>
    <w:autoRedefine/>
    <w:uiPriority w:val="39"/>
    <w:semiHidden/>
    <w:unhideWhenUsed/>
    <w:rsid w:val="002C0C12"/>
    <w:rPr>
      <w:rFonts w:asciiTheme="minorHAnsi" w:hAnsiTheme="minorHAnsi"/>
      <w:sz w:val="22"/>
      <w:szCs w:val="22"/>
    </w:rPr>
  </w:style>
  <w:style w:type="paragraph" w:styleId="TOC7">
    <w:name w:val="toc 7"/>
    <w:basedOn w:val="Normal"/>
    <w:next w:val="Normal"/>
    <w:autoRedefine/>
    <w:uiPriority w:val="39"/>
    <w:semiHidden/>
    <w:unhideWhenUsed/>
    <w:rsid w:val="002C0C12"/>
    <w:rPr>
      <w:rFonts w:asciiTheme="minorHAnsi" w:hAnsiTheme="minorHAnsi"/>
      <w:sz w:val="22"/>
      <w:szCs w:val="22"/>
    </w:rPr>
  </w:style>
  <w:style w:type="paragraph" w:styleId="TOC8">
    <w:name w:val="toc 8"/>
    <w:basedOn w:val="Normal"/>
    <w:next w:val="Normal"/>
    <w:autoRedefine/>
    <w:uiPriority w:val="39"/>
    <w:semiHidden/>
    <w:unhideWhenUsed/>
    <w:rsid w:val="002C0C12"/>
    <w:rPr>
      <w:rFonts w:asciiTheme="minorHAnsi" w:hAnsiTheme="minorHAnsi"/>
      <w:sz w:val="22"/>
      <w:szCs w:val="22"/>
    </w:rPr>
  </w:style>
  <w:style w:type="paragraph" w:styleId="TOC9">
    <w:name w:val="toc 9"/>
    <w:basedOn w:val="Normal"/>
    <w:next w:val="Normal"/>
    <w:autoRedefine/>
    <w:uiPriority w:val="39"/>
    <w:semiHidden/>
    <w:unhideWhenUsed/>
    <w:rsid w:val="002C0C12"/>
    <w:rPr>
      <w:rFonts w:asciiTheme="minorHAnsi" w:hAnsiTheme="minorHAns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sgtoday.com/mercedes-benz-targets-carbon-neutral-supply-chain/" TargetMode="External"/><Relationship Id="rId18" Type="http://schemas.openxmlformats.org/officeDocument/2006/relationships/hyperlink" Target="https://group.mercedes-benz.com/company/news/sales-2024.html"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www.cnbc.com/2024/02/22/mercedes-benz-shares-climb-4percent-on-share-buyback-despite-exceptional-uncertainty-ahead.html" TargetMode="External"/><Relationship Id="rId17" Type="http://schemas.openxmlformats.org/officeDocument/2006/relationships/hyperlink" Target="https://group.mercedes-benz.com/investors/reports-news/annual-reports/2024/" TargetMode="External"/><Relationship Id="rId2" Type="http://schemas.openxmlformats.org/officeDocument/2006/relationships/numbering" Target="numbering.xml"/><Relationship Id="rId16" Type="http://schemas.openxmlformats.org/officeDocument/2006/relationships/hyperlink" Target="https://www.marklines.com/en/news/322318" TargetMode="External"/><Relationship Id="rId20" Type="http://schemas.openxmlformats.org/officeDocument/2006/relationships/hyperlink" Target="https://group.mercedes-benz.com/sustainability/environment-climate/decarbonisation/ambition-2039-our-path-to-co2-neutrality.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maglobal.com/Documents/Ethics/2021%20Ethics/CIMA-Code-of-Ethics-2021.pdf" TargetMode="External"/><Relationship Id="rId5" Type="http://schemas.openxmlformats.org/officeDocument/2006/relationships/webSettings" Target="webSettings.xml"/><Relationship Id="rId15" Type="http://schemas.openxmlformats.org/officeDocument/2006/relationships/hyperlink" Target="https://manufacturingdigital.com/news/how-mercedes-is-reshaping-manufacturing-after-57-profit-dip" TargetMode="External"/><Relationship Id="rId23" Type="http://schemas.openxmlformats.org/officeDocument/2006/relationships/theme" Target="theme/theme1.xml"/><Relationship Id="rId10" Type="http://schemas.openxmlformats.org/officeDocument/2006/relationships/hyperlink" Target="https://www.ainvest.com/news/mercedes-benz-group-strategic-turnaround-level-performance-share-buybacks-rebuild-long-term-2507/" TargetMode="External"/><Relationship Id="rId19" Type="http://schemas.openxmlformats.org/officeDocument/2006/relationships/hyperlink" Target="https://group.mercedes-benz.com/investors/reports-news/annual-reports/202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just-auto.com/news/mercedes-benz-revenue-2024/"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26D4480-B5F1-524F-81B0-F61DDE1C92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3284</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Osama El Fadel (2313452)</cp:lastModifiedBy>
  <cp:revision>2</cp:revision>
  <dcterms:created xsi:type="dcterms:W3CDTF">2026-07-17T15:03:00Z</dcterms:created>
  <dcterms:modified xsi:type="dcterms:W3CDTF">2026-07-17T15:03:00Z</dcterms:modified>
</cp:coreProperties>
</file>