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61098311"/>
        <w:docPartObj>
          <w:docPartGallery w:val="Cover Pages"/>
          <w:docPartUnique/>
        </w:docPartObj>
      </w:sdtPr>
      <w:sdtEndPr/>
      <w:sdtContent>
        <w:p w14:paraId="1B44EB89" w14:textId="5BBFFC86" w:rsidR="008746C9" w:rsidRDefault="008746C9">
          <w:r>
            <w:rPr>
              <w:noProof/>
            </w:rPr>
            <mc:AlternateContent>
              <mc:Choice Requires="wps">
                <w:drawing>
                  <wp:anchor distT="0" distB="0" distL="114300" distR="114300" simplePos="0" relativeHeight="251659264" behindDoc="1" locked="0" layoutInCell="1" allowOverlap="0" wp14:anchorId="3E0CA243" wp14:editId="05B9C6B9">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134641" w14:paraId="57784B74" w14:textId="77777777">
                                  <w:trPr>
                                    <w:trHeight w:hRule="exact" w:val="9360"/>
                                  </w:trPr>
                                  <w:tc>
                                    <w:tcPr>
                                      <w:tcW w:w="5000" w:type="pct"/>
                                    </w:tcPr>
                                    <w:p w14:paraId="36B4F719" w14:textId="77777777" w:rsidR="00134641" w:rsidRDefault="00134641">
                                      <w:r>
                                        <w:rPr>
                                          <w:noProof/>
                                        </w:rPr>
                                        <w:drawing>
                                          <wp:inline distT="0" distB="0" distL="0" distR="0" wp14:anchorId="7128737A" wp14:editId="37E30509">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34641" w14:paraId="53EBD84C" w14:textId="77777777">
                                  <w:trPr>
                                    <w:trHeight w:hRule="exact" w:val="4320"/>
                                  </w:trPr>
                                  <w:tc>
                                    <w:tcPr>
                                      <w:tcW w:w="5000" w:type="pct"/>
                                      <w:shd w:val="clear" w:color="auto" w:fill="4472C4" w:themeFill="accent1"/>
                                      <w:vAlign w:val="center"/>
                                    </w:tcPr>
                                    <w:p w14:paraId="3CF38505" w14:textId="50A72645" w:rsidR="00134641" w:rsidRDefault="0062416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34641">
                                            <w:rPr>
                                              <w:rFonts w:asciiTheme="majorHAnsi" w:hAnsiTheme="majorHAnsi"/>
                                              <w:color w:val="FFFFFF" w:themeColor="background1"/>
                                              <w:sz w:val="96"/>
                                              <w:szCs w:val="96"/>
                                            </w:rPr>
                                            <w:t>Breach of Duty.</w:t>
                                          </w:r>
                                        </w:sdtContent>
                                      </w:sdt>
                                    </w:p>
                                    <w:p w14:paraId="6542EF86" w14:textId="736ADE2B" w:rsidR="00134641" w:rsidRDefault="0062416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134641">
                                            <w:rPr>
                                              <w:color w:val="FFFFFF" w:themeColor="background1"/>
                                              <w:sz w:val="32"/>
                                              <w:szCs w:val="32"/>
                                            </w:rPr>
                                            <w:t>Tort Law.</w:t>
                                          </w:r>
                                        </w:sdtContent>
                                      </w:sdt>
                                      <w:r w:rsidR="00134641">
                                        <w:rPr>
                                          <w:color w:val="FFFFFF" w:themeColor="background1"/>
                                          <w:sz w:val="32"/>
                                          <w:szCs w:val="32"/>
                                        </w:rPr>
                                        <w:t xml:space="preserve"> </w:t>
                                      </w:r>
                                    </w:p>
                                  </w:tc>
                                </w:tr>
                                <w:tr w:rsidR="00134641" w14:paraId="19D22D3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134641" w14:paraId="48C98F7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9D5B5AD" w14:textId="6AA26C37" w:rsidR="00134641" w:rsidRDefault="00134641">
                                                <w:pPr>
                                                  <w:pStyle w:val="NoSpacing"/>
                                                  <w:ind w:left="144" w:right="144"/>
                                                  <w:jc w:val="center"/>
                                                  <w:rPr>
                                                    <w:color w:val="FFFFFF" w:themeColor="background1"/>
                                                  </w:rPr>
                                                </w:pPr>
                                                <w:r>
                                                  <w:rPr>
                                                    <w:color w:val="FFFFFF" w:themeColor="background1"/>
                                                  </w:rPr>
                                                  <w:t>Mel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10-30T00:00:00Z">
                                                <w:dateFormat w:val="M/d/yy"/>
                                                <w:lid w:val="en-US"/>
                                                <w:storeMappedDataAs w:val="dateTime"/>
                                                <w:calendar w:val="gregorian"/>
                                              </w:date>
                                            </w:sdtPr>
                                            <w:sdtEndPr/>
                                            <w:sdtContent>
                                              <w:p w14:paraId="36A76E10" w14:textId="6443F171" w:rsidR="00134641" w:rsidRDefault="00134641">
                                                <w:pPr>
                                                  <w:pStyle w:val="NoSpacing"/>
                                                  <w:ind w:left="144" w:right="144"/>
                                                  <w:jc w:val="center"/>
                                                  <w:rPr>
                                                    <w:color w:val="FFFFFF" w:themeColor="background1"/>
                                                  </w:rPr>
                                                </w:pPr>
                                                <w:r>
                                                  <w:rPr>
                                                    <w:color w:val="FFFFFF" w:themeColor="background1"/>
                                                  </w:rPr>
                                                  <w:t>10/30/21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3628D7" w14:textId="011AC7FA" w:rsidR="00134641" w:rsidRDefault="00134641">
                                                <w:pPr>
                                                  <w:pStyle w:val="NoSpacing"/>
                                                  <w:ind w:left="144" w:right="720"/>
                                                  <w:jc w:val="right"/>
                                                  <w:rPr>
                                                    <w:color w:val="FFFFFF" w:themeColor="background1"/>
                                                  </w:rPr>
                                                </w:pPr>
                                                <w:r>
                                                  <w:rPr>
                                                    <w:color w:val="FFFFFF" w:themeColor="background1"/>
                                                  </w:rPr>
                                                  <w:t>BMLW5008</w:t>
                                                </w:r>
                                              </w:p>
                                            </w:tc>
                                          </w:sdtContent>
                                        </w:sdt>
                                      </w:tr>
                                    </w:tbl>
                                    <w:p w14:paraId="77913CB0" w14:textId="77777777" w:rsidR="00134641" w:rsidRDefault="00134641"/>
                                  </w:tc>
                                </w:tr>
                              </w:tbl>
                              <w:p w14:paraId="2F1C7104" w14:textId="77777777" w:rsidR="00134641" w:rsidRDefault="0013464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0CA243"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134641" w14:paraId="57784B74" w14:textId="77777777">
                            <w:trPr>
                              <w:trHeight w:hRule="exact" w:val="9360"/>
                            </w:trPr>
                            <w:tc>
                              <w:tcPr>
                                <w:tcW w:w="5000" w:type="pct"/>
                              </w:tcPr>
                              <w:p w14:paraId="36B4F719" w14:textId="77777777" w:rsidR="00134641" w:rsidRDefault="00134641">
                                <w:r>
                                  <w:rPr>
                                    <w:noProof/>
                                  </w:rPr>
                                  <w:drawing>
                                    <wp:inline distT="0" distB="0" distL="0" distR="0" wp14:anchorId="7128737A" wp14:editId="37E30509">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34641" w14:paraId="53EBD84C" w14:textId="77777777">
                            <w:trPr>
                              <w:trHeight w:hRule="exact" w:val="4320"/>
                            </w:trPr>
                            <w:tc>
                              <w:tcPr>
                                <w:tcW w:w="5000" w:type="pct"/>
                                <w:shd w:val="clear" w:color="auto" w:fill="4472C4" w:themeFill="accent1"/>
                                <w:vAlign w:val="center"/>
                              </w:tcPr>
                              <w:p w14:paraId="3CF38505" w14:textId="50A72645" w:rsidR="00134641" w:rsidRDefault="0062416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34641">
                                      <w:rPr>
                                        <w:rFonts w:asciiTheme="majorHAnsi" w:hAnsiTheme="majorHAnsi"/>
                                        <w:color w:val="FFFFFF" w:themeColor="background1"/>
                                        <w:sz w:val="96"/>
                                        <w:szCs w:val="96"/>
                                      </w:rPr>
                                      <w:t>Breach of Duty.</w:t>
                                    </w:r>
                                  </w:sdtContent>
                                </w:sdt>
                              </w:p>
                              <w:p w14:paraId="6542EF86" w14:textId="736ADE2B" w:rsidR="00134641" w:rsidRDefault="0062416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134641">
                                      <w:rPr>
                                        <w:color w:val="FFFFFF" w:themeColor="background1"/>
                                        <w:sz w:val="32"/>
                                        <w:szCs w:val="32"/>
                                      </w:rPr>
                                      <w:t>Tort Law.</w:t>
                                    </w:r>
                                  </w:sdtContent>
                                </w:sdt>
                                <w:r w:rsidR="00134641">
                                  <w:rPr>
                                    <w:color w:val="FFFFFF" w:themeColor="background1"/>
                                    <w:sz w:val="32"/>
                                    <w:szCs w:val="32"/>
                                  </w:rPr>
                                  <w:t xml:space="preserve"> </w:t>
                                </w:r>
                              </w:p>
                            </w:tc>
                          </w:tr>
                          <w:tr w:rsidR="00134641" w14:paraId="19D22D3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134641" w14:paraId="48C98F7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9D5B5AD" w14:textId="6AA26C37" w:rsidR="00134641" w:rsidRDefault="00134641">
                                          <w:pPr>
                                            <w:pStyle w:val="NoSpacing"/>
                                            <w:ind w:left="144" w:right="144"/>
                                            <w:jc w:val="center"/>
                                            <w:rPr>
                                              <w:color w:val="FFFFFF" w:themeColor="background1"/>
                                            </w:rPr>
                                          </w:pPr>
                                          <w:r>
                                            <w:rPr>
                                              <w:color w:val="FFFFFF" w:themeColor="background1"/>
                                            </w:rPr>
                                            <w:t>Mel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10-30T00:00:00Z">
                                          <w:dateFormat w:val="M/d/yy"/>
                                          <w:lid w:val="en-US"/>
                                          <w:storeMappedDataAs w:val="dateTime"/>
                                          <w:calendar w:val="gregorian"/>
                                        </w:date>
                                      </w:sdtPr>
                                      <w:sdtEndPr/>
                                      <w:sdtContent>
                                        <w:p w14:paraId="36A76E10" w14:textId="6443F171" w:rsidR="00134641" w:rsidRDefault="00134641">
                                          <w:pPr>
                                            <w:pStyle w:val="NoSpacing"/>
                                            <w:ind w:left="144" w:right="144"/>
                                            <w:jc w:val="center"/>
                                            <w:rPr>
                                              <w:color w:val="FFFFFF" w:themeColor="background1"/>
                                            </w:rPr>
                                          </w:pPr>
                                          <w:r>
                                            <w:rPr>
                                              <w:color w:val="FFFFFF" w:themeColor="background1"/>
                                            </w:rPr>
                                            <w:t>10/30/21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3628D7" w14:textId="011AC7FA" w:rsidR="00134641" w:rsidRDefault="00134641">
                                          <w:pPr>
                                            <w:pStyle w:val="NoSpacing"/>
                                            <w:ind w:left="144" w:right="720"/>
                                            <w:jc w:val="right"/>
                                            <w:rPr>
                                              <w:color w:val="FFFFFF" w:themeColor="background1"/>
                                            </w:rPr>
                                          </w:pPr>
                                          <w:r>
                                            <w:rPr>
                                              <w:color w:val="FFFFFF" w:themeColor="background1"/>
                                            </w:rPr>
                                            <w:t>BMLW5008</w:t>
                                          </w:r>
                                        </w:p>
                                      </w:tc>
                                    </w:sdtContent>
                                  </w:sdt>
                                </w:tr>
                              </w:tbl>
                              <w:p w14:paraId="77913CB0" w14:textId="77777777" w:rsidR="00134641" w:rsidRDefault="00134641"/>
                            </w:tc>
                          </w:tr>
                        </w:tbl>
                        <w:p w14:paraId="2F1C7104" w14:textId="77777777" w:rsidR="00134641" w:rsidRDefault="00134641"/>
                      </w:txbxContent>
                    </v:textbox>
                    <w10:wrap anchorx="page" anchory="page"/>
                  </v:shape>
                </w:pict>
              </mc:Fallback>
            </mc:AlternateContent>
          </w:r>
        </w:p>
        <w:p w14:paraId="784DC5E3" w14:textId="43096DA4" w:rsidR="008746C9" w:rsidRDefault="008746C9">
          <w:r>
            <w:br w:type="page"/>
          </w:r>
        </w:p>
      </w:sdtContent>
    </w:sdt>
    <w:p w14:paraId="2980366F" w14:textId="02B6546E" w:rsidR="00C412C0" w:rsidRDefault="00605191">
      <w:pPr>
        <w:rPr>
          <w:rFonts w:ascii="Arial" w:hAnsi="Arial" w:cs="Arial"/>
          <w:sz w:val="36"/>
          <w:szCs w:val="36"/>
          <w:u w:val="single"/>
        </w:rPr>
      </w:pPr>
      <w:r>
        <w:rPr>
          <w:rFonts w:ascii="Arial" w:hAnsi="Arial" w:cs="Arial"/>
          <w:sz w:val="36"/>
          <w:szCs w:val="36"/>
        </w:rPr>
        <w:lastRenderedPageBreak/>
        <w:t xml:space="preserve">                               </w:t>
      </w:r>
      <w:r w:rsidRPr="00605191">
        <w:rPr>
          <w:rFonts w:ascii="Arial" w:hAnsi="Arial" w:cs="Arial"/>
          <w:sz w:val="36"/>
          <w:szCs w:val="36"/>
          <w:u w:val="single"/>
        </w:rPr>
        <w:t>Breach of Duty.</w:t>
      </w:r>
    </w:p>
    <w:p w14:paraId="27D1AECB" w14:textId="466929F9" w:rsidR="00605191" w:rsidRDefault="000152A9">
      <w:pPr>
        <w:rPr>
          <w:rFonts w:ascii="Arial" w:hAnsi="Arial" w:cs="Arial"/>
          <w:sz w:val="24"/>
          <w:szCs w:val="24"/>
        </w:rPr>
      </w:pPr>
      <w:r>
        <w:rPr>
          <w:rFonts w:ascii="Arial" w:hAnsi="Arial" w:cs="Arial"/>
          <w:sz w:val="24"/>
          <w:szCs w:val="24"/>
        </w:rPr>
        <w:t>Firstly, you must have a general standard of care, this will create a consistent application of the rules. A breach of duty is seen as a fault element for negligence. The required standard of care can be described as general standard. For a good driver, there would be no requirements of reaching this standard, it just needs to be that of an average driver. To establish a breach of duty</w:t>
      </w:r>
      <w:r w:rsidR="00711694">
        <w:rPr>
          <w:rFonts w:ascii="Arial" w:hAnsi="Arial" w:cs="Arial"/>
          <w:sz w:val="24"/>
          <w:szCs w:val="24"/>
        </w:rPr>
        <w:t>, you would use the objective test. This would be the standard in which an ordinary, reasonable person would be used. This can be seen in the 1971 case of Nettleship v Weston, where a learner driver was having driving lessons from a neighbour. The defendant crashed the car, and the neighbour/ claimant injured their leg. Due to this accident, the court stated that the standard of care which is expected to be seen in a motorist was to be that of an ordinary, reasonable driver.</w:t>
      </w:r>
      <w:r w:rsidR="0034171E">
        <w:rPr>
          <w:rFonts w:ascii="Arial" w:hAnsi="Arial" w:cs="Arial"/>
          <w:sz w:val="24"/>
          <w:szCs w:val="24"/>
        </w:rPr>
        <w:t xml:space="preserve"> This is assumed that the driver has passed their test. In the above case, this wouldn’t matter that the driver/ defendant was only a learner as they had fallen below the standard of care, which is to be expected.</w:t>
      </w:r>
    </w:p>
    <w:p w14:paraId="4B7C0029" w14:textId="5ABE7776" w:rsidR="0034171E" w:rsidRDefault="0034171E">
      <w:pPr>
        <w:rPr>
          <w:rFonts w:ascii="Arial" w:hAnsi="Arial" w:cs="Arial"/>
          <w:sz w:val="24"/>
          <w:szCs w:val="24"/>
        </w:rPr>
      </w:pPr>
      <w:r>
        <w:rPr>
          <w:rFonts w:ascii="Arial" w:hAnsi="Arial" w:cs="Arial"/>
          <w:sz w:val="24"/>
          <w:szCs w:val="24"/>
        </w:rPr>
        <w:t>The expected standard of care can vary from case to case. An example of this can be found in the Bradford – Smart v West Sussex County Council (2002). This is the case where the recognised duty of a school</w:t>
      </w:r>
      <w:r w:rsidR="004013BE">
        <w:rPr>
          <w:rFonts w:ascii="Arial" w:hAnsi="Arial" w:cs="Arial"/>
          <w:sz w:val="24"/>
          <w:szCs w:val="24"/>
        </w:rPr>
        <w:t xml:space="preserve"> is to protect all pupils from any form of bullying. There is also the duty of when an employer does not expose any employees to any form of bullying by their fellow employees. (Waters v Commissioner of Police for the Metropolis (2000) 1WLR 1607. There are several other cases</w:t>
      </w:r>
      <w:r w:rsidR="00294537">
        <w:rPr>
          <w:rFonts w:ascii="Arial" w:hAnsi="Arial" w:cs="Arial"/>
          <w:sz w:val="24"/>
          <w:szCs w:val="24"/>
        </w:rPr>
        <w:t xml:space="preserve"> which also deal with varying standards of care: the doctor patient duty (Organ Retention Litigation 2005) QB 506, duty of solicitors who should conduct a client’s defence with the upmost care (Mc Loughlin v Jones 2002) 1 QB1312, this being at her Majesties pleasure of imprisonment for </w:t>
      </w:r>
      <w:proofErr w:type="gramStart"/>
      <w:r w:rsidR="00294537">
        <w:rPr>
          <w:rFonts w:ascii="Arial" w:hAnsi="Arial" w:cs="Arial"/>
          <w:sz w:val="24"/>
          <w:szCs w:val="24"/>
        </w:rPr>
        <w:t>a period of time</w:t>
      </w:r>
      <w:proofErr w:type="gramEnd"/>
      <w:r w:rsidR="00294537">
        <w:rPr>
          <w:rFonts w:ascii="Arial" w:hAnsi="Arial" w:cs="Arial"/>
          <w:sz w:val="24"/>
          <w:szCs w:val="24"/>
        </w:rPr>
        <w:t>.</w:t>
      </w:r>
      <w:r w:rsidR="00843C88">
        <w:rPr>
          <w:rFonts w:ascii="Arial" w:hAnsi="Arial" w:cs="Arial"/>
          <w:sz w:val="24"/>
          <w:szCs w:val="24"/>
        </w:rPr>
        <w:t xml:space="preserve"> (Bradbury and Rowlands 2007).</w:t>
      </w:r>
    </w:p>
    <w:p w14:paraId="2656338C" w14:textId="15E37492" w:rsidR="00294537" w:rsidRDefault="00294537">
      <w:pPr>
        <w:rPr>
          <w:rFonts w:ascii="Arial" w:hAnsi="Arial" w:cs="Arial"/>
          <w:sz w:val="24"/>
          <w:szCs w:val="24"/>
        </w:rPr>
      </w:pPr>
      <w:r>
        <w:rPr>
          <w:rFonts w:ascii="Arial" w:hAnsi="Arial" w:cs="Arial"/>
          <w:sz w:val="24"/>
          <w:szCs w:val="24"/>
        </w:rPr>
        <w:t>The standard of care</w:t>
      </w:r>
      <w:r w:rsidR="005E38A3">
        <w:rPr>
          <w:rFonts w:ascii="Arial" w:hAnsi="Arial" w:cs="Arial"/>
          <w:sz w:val="24"/>
          <w:szCs w:val="24"/>
        </w:rPr>
        <w:t xml:space="preserve">, which is set out by the courts can be affected by issues regarding policy. If a defendant has compulsory insurance, then the courts may set a high standard. This means that the claimant will indeed be entitled to some sort of compensation. In setting these high standards, would impose liability </w:t>
      </w:r>
      <w:r w:rsidR="00B05B69">
        <w:rPr>
          <w:rFonts w:ascii="Arial" w:hAnsi="Arial" w:cs="Arial"/>
          <w:sz w:val="24"/>
          <w:szCs w:val="24"/>
        </w:rPr>
        <w:t>and</w:t>
      </w:r>
      <w:r w:rsidR="005E38A3">
        <w:rPr>
          <w:rFonts w:ascii="Arial" w:hAnsi="Arial" w:cs="Arial"/>
          <w:sz w:val="24"/>
          <w:szCs w:val="24"/>
        </w:rPr>
        <w:t xml:space="preserve"> have scarce resources, so the courts may </w:t>
      </w:r>
      <w:r w:rsidR="00B05B69">
        <w:rPr>
          <w:rFonts w:ascii="Arial" w:hAnsi="Arial" w:cs="Arial"/>
          <w:sz w:val="24"/>
          <w:szCs w:val="24"/>
        </w:rPr>
        <w:t>decide</w:t>
      </w:r>
      <w:r w:rsidR="005E38A3">
        <w:rPr>
          <w:rFonts w:ascii="Arial" w:hAnsi="Arial" w:cs="Arial"/>
          <w:sz w:val="24"/>
          <w:szCs w:val="24"/>
        </w:rPr>
        <w:t xml:space="preserve"> to impose a lower standard. For a medical negligence claim</w:t>
      </w:r>
      <w:r w:rsidR="00B05B69">
        <w:rPr>
          <w:rFonts w:ascii="Arial" w:hAnsi="Arial" w:cs="Arial"/>
          <w:sz w:val="24"/>
          <w:szCs w:val="24"/>
        </w:rPr>
        <w:t>, this could affect any liability and in doing so may have to fully close a ward down to pay the claimant. This would then deprive patients of any sort of treatment necessary.</w:t>
      </w:r>
    </w:p>
    <w:p w14:paraId="51FBD583" w14:textId="27828232" w:rsidR="00B05B69" w:rsidRDefault="00B05B69">
      <w:pPr>
        <w:rPr>
          <w:rFonts w:ascii="Arial" w:hAnsi="Arial" w:cs="Arial"/>
          <w:sz w:val="24"/>
          <w:szCs w:val="24"/>
        </w:rPr>
      </w:pPr>
      <w:r>
        <w:rPr>
          <w:rFonts w:ascii="Arial" w:hAnsi="Arial" w:cs="Arial"/>
          <w:sz w:val="24"/>
          <w:szCs w:val="24"/>
        </w:rPr>
        <w:t>Over the years there has been no change to the common law test for breach of duty and courts are already aware of this situation which can be found in the case Tomlinson v Congleton Borough Council (2003)</w:t>
      </w:r>
      <w:r w:rsidR="00C0654D">
        <w:rPr>
          <w:rFonts w:ascii="Arial" w:hAnsi="Arial" w:cs="Arial"/>
          <w:sz w:val="24"/>
          <w:szCs w:val="24"/>
        </w:rPr>
        <w:t xml:space="preserve"> UKHL47;(2004) 1AC 46. This is a case which regards the duties of any occupier to anyone on their premises. This was made clear by the House of Lords that any individual claimant must keep personal responsibility for their own safety.</w:t>
      </w:r>
      <w:r w:rsidR="009B4141">
        <w:rPr>
          <w:rFonts w:ascii="Arial" w:hAnsi="Arial" w:cs="Arial"/>
          <w:sz w:val="24"/>
          <w:szCs w:val="24"/>
        </w:rPr>
        <w:t xml:space="preserve"> In this </w:t>
      </w:r>
      <w:r w:rsidR="00EB3601">
        <w:rPr>
          <w:rFonts w:ascii="Arial" w:hAnsi="Arial" w:cs="Arial"/>
          <w:sz w:val="24"/>
          <w:szCs w:val="24"/>
        </w:rPr>
        <w:t>case</w:t>
      </w:r>
      <w:r w:rsidR="009B4141">
        <w:rPr>
          <w:rFonts w:ascii="Arial" w:hAnsi="Arial" w:cs="Arial"/>
          <w:sz w:val="24"/>
          <w:szCs w:val="24"/>
        </w:rPr>
        <w:t xml:space="preserve"> the local authority would be held liable if the defendant failed to take reasonable steps to make their claimants safe. There was an act of carelessness where the claimant, a teenager broke his neck after diving into too shallow water. This rendered the teenager as a tetraplegic. Lord Hoffmann was to state that tort does not operate simply to compensate people for </w:t>
      </w:r>
      <w:r w:rsidR="009B4141">
        <w:rPr>
          <w:rFonts w:ascii="Arial" w:hAnsi="Arial" w:cs="Arial"/>
          <w:sz w:val="24"/>
          <w:szCs w:val="24"/>
        </w:rPr>
        <w:lastRenderedPageBreak/>
        <w:t>such tragedies.</w:t>
      </w:r>
      <w:r w:rsidR="00264417">
        <w:rPr>
          <w:rFonts w:ascii="Arial" w:hAnsi="Arial" w:cs="Arial"/>
          <w:sz w:val="24"/>
          <w:szCs w:val="24"/>
        </w:rPr>
        <w:t xml:space="preserve"> There is only liability if there has been a breach of duty by the defendant.</w:t>
      </w:r>
      <w:r w:rsidR="00843C88">
        <w:rPr>
          <w:rFonts w:ascii="Arial" w:hAnsi="Arial" w:cs="Arial"/>
          <w:sz w:val="24"/>
          <w:szCs w:val="24"/>
        </w:rPr>
        <w:t xml:space="preserve"> (Steele 2007).</w:t>
      </w:r>
    </w:p>
    <w:p w14:paraId="545E396A" w14:textId="735E4DF9" w:rsidR="000178F9" w:rsidRDefault="000178F9">
      <w:pPr>
        <w:rPr>
          <w:rFonts w:ascii="Arial" w:hAnsi="Arial" w:cs="Arial"/>
          <w:sz w:val="24"/>
          <w:szCs w:val="24"/>
        </w:rPr>
      </w:pPr>
      <w:r>
        <w:rPr>
          <w:rFonts w:ascii="Arial" w:hAnsi="Arial" w:cs="Arial"/>
          <w:sz w:val="24"/>
          <w:szCs w:val="24"/>
        </w:rPr>
        <w:t xml:space="preserve">The consequences of breaching a duty of care are functional which may put an individual or an organisation under lots of pressure. This could end up being very expensive and very time consuming and could cause negative publicity for anyone involved by damaging their reputation and the morale of anyone </w:t>
      </w:r>
      <w:r w:rsidR="00EB3601">
        <w:rPr>
          <w:rFonts w:ascii="Arial" w:hAnsi="Arial" w:cs="Arial"/>
          <w:sz w:val="24"/>
          <w:szCs w:val="24"/>
        </w:rPr>
        <w:t>else</w:t>
      </w:r>
      <w:r>
        <w:rPr>
          <w:rFonts w:ascii="Arial" w:hAnsi="Arial" w:cs="Arial"/>
          <w:sz w:val="24"/>
          <w:szCs w:val="24"/>
        </w:rPr>
        <w:t xml:space="preserve"> who is associated </w:t>
      </w:r>
      <w:r w:rsidR="00EB3601">
        <w:rPr>
          <w:rFonts w:ascii="Arial" w:hAnsi="Arial" w:cs="Arial"/>
          <w:sz w:val="24"/>
          <w:szCs w:val="24"/>
        </w:rPr>
        <w:t xml:space="preserve">with them. </w:t>
      </w:r>
      <w:r w:rsidR="00291070">
        <w:rPr>
          <w:rFonts w:ascii="Arial" w:hAnsi="Arial" w:cs="Arial"/>
          <w:sz w:val="24"/>
          <w:szCs w:val="24"/>
        </w:rPr>
        <w:t xml:space="preserve"> (</w:t>
      </w:r>
      <w:proofErr w:type="spellStart"/>
      <w:r w:rsidR="00291070">
        <w:rPr>
          <w:rFonts w:ascii="Arial" w:hAnsi="Arial" w:cs="Arial"/>
          <w:sz w:val="24"/>
          <w:szCs w:val="24"/>
        </w:rPr>
        <w:t>Educare</w:t>
      </w:r>
      <w:proofErr w:type="spellEnd"/>
      <w:r w:rsidR="00291070">
        <w:rPr>
          <w:rFonts w:ascii="Arial" w:hAnsi="Arial" w:cs="Arial"/>
          <w:sz w:val="24"/>
          <w:szCs w:val="24"/>
        </w:rPr>
        <w:t xml:space="preserve"> 2021).</w:t>
      </w:r>
    </w:p>
    <w:p w14:paraId="03E24910" w14:textId="1078A739" w:rsidR="00291070" w:rsidRDefault="00520852">
      <w:pPr>
        <w:rPr>
          <w:rFonts w:ascii="Arial" w:hAnsi="Arial" w:cs="Arial"/>
          <w:sz w:val="24"/>
          <w:szCs w:val="24"/>
        </w:rPr>
      </w:pPr>
      <w:r>
        <w:rPr>
          <w:rFonts w:ascii="Arial" w:hAnsi="Arial" w:cs="Arial"/>
          <w:sz w:val="24"/>
          <w:szCs w:val="24"/>
        </w:rPr>
        <w:t>An inquiry by the courts into a person’s capabilities can become rather impossible, so an objective test was chosen. A statement was given by Alderson B in Blyth v Birmingham Waterworks Co (1856) 11 EX 781: Negligence would be the act or omission to do something which a reasonable person</w:t>
      </w:r>
      <w:r w:rsidR="00E82455">
        <w:rPr>
          <w:rFonts w:ascii="Arial" w:hAnsi="Arial" w:cs="Arial"/>
          <w:sz w:val="24"/>
          <w:szCs w:val="24"/>
        </w:rPr>
        <w:t xml:space="preserve"> would do, or not do. As the test is seen to be objective, no individual account of disabilities or peculiarities or person’s age, competence or experience are taken into consideration</w:t>
      </w:r>
      <w:r w:rsidR="00E1083B">
        <w:rPr>
          <w:rFonts w:ascii="Arial" w:hAnsi="Arial" w:cs="Arial"/>
          <w:sz w:val="24"/>
          <w:szCs w:val="24"/>
        </w:rPr>
        <w:t xml:space="preserve"> they will be judged by a standard of what they should have done under the circumstances.</w:t>
      </w:r>
    </w:p>
    <w:p w14:paraId="7FB3E1E9" w14:textId="2296993F" w:rsidR="00E1083B" w:rsidRDefault="00E1083B">
      <w:pPr>
        <w:rPr>
          <w:rFonts w:ascii="Arial" w:hAnsi="Arial" w:cs="Arial"/>
          <w:sz w:val="24"/>
          <w:szCs w:val="24"/>
        </w:rPr>
      </w:pPr>
      <w:r>
        <w:rPr>
          <w:rFonts w:ascii="Arial" w:hAnsi="Arial" w:cs="Arial"/>
          <w:sz w:val="24"/>
          <w:szCs w:val="24"/>
        </w:rPr>
        <w:t xml:space="preserve">In the next case Roberts v Ramsbottom (1980 </w:t>
      </w:r>
      <w:r w:rsidR="009A48FC">
        <w:rPr>
          <w:rFonts w:ascii="Arial" w:hAnsi="Arial" w:cs="Arial"/>
          <w:sz w:val="24"/>
          <w:szCs w:val="24"/>
        </w:rPr>
        <w:t>)</w:t>
      </w:r>
      <w:r>
        <w:rPr>
          <w:rFonts w:ascii="Arial" w:hAnsi="Arial" w:cs="Arial"/>
          <w:sz w:val="24"/>
          <w:szCs w:val="24"/>
        </w:rPr>
        <w:t xml:space="preserve">1 WLR 823 – a defendant was to drive his car after he suffered a cerebral </w:t>
      </w:r>
      <w:r w:rsidR="0050448E">
        <w:rPr>
          <w:rFonts w:ascii="Arial" w:hAnsi="Arial" w:cs="Arial"/>
          <w:sz w:val="24"/>
          <w:szCs w:val="24"/>
        </w:rPr>
        <w:t>haemorrhage,</w:t>
      </w:r>
      <w:r>
        <w:rPr>
          <w:rFonts w:ascii="Arial" w:hAnsi="Arial" w:cs="Arial"/>
          <w:sz w:val="24"/>
          <w:szCs w:val="24"/>
        </w:rPr>
        <w:t xml:space="preserve"> and he was not fit to drive</w:t>
      </w:r>
      <w:r w:rsidR="0050448E">
        <w:rPr>
          <w:rFonts w:ascii="Arial" w:hAnsi="Arial" w:cs="Arial"/>
          <w:sz w:val="24"/>
          <w:szCs w:val="24"/>
        </w:rPr>
        <w:t xml:space="preserve">. He ran into a stationary van, followed by a parked car. This was held that he had carried on driving after he had a seizure which would affect his reactions and was found negligent in doing so. </w:t>
      </w:r>
      <w:r w:rsidR="003B3155">
        <w:rPr>
          <w:rFonts w:ascii="Arial" w:hAnsi="Arial" w:cs="Arial"/>
          <w:sz w:val="24"/>
          <w:szCs w:val="24"/>
        </w:rPr>
        <w:t xml:space="preserve">In the Mansfield v Weetabix Ltd (1998) 1 WLR 1263, The defendant who at the time was driving a lorry, crashed into the </w:t>
      </w:r>
      <w:r w:rsidR="00B821A0">
        <w:rPr>
          <w:rFonts w:ascii="Arial" w:hAnsi="Arial" w:cs="Arial"/>
          <w:sz w:val="24"/>
          <w:szCs w:val="24"/>
        </w:rPr>
        <w:t>claimant’s</w:t>
      </w:r>
      <w:r w:rsidR="003B3155">
        <w:rPr>
          <w:rFonts w:ascii="Arial" w:hAnsi="Arial" w:cs="Arial"/>
          <w:sz w:val="24"/>
          <w:szCs w:val="24"/>
        </w:rPr>
        <w:t xml:space="preserve"> shop causing extensive damage. The defendant had a hypoglyc</w:t>
      </w:r>
      <w:r w:rsidR="00B821A0">
        <w:rPr>
          <w:rFonts w:ascii="Arial" w:hAnsi="Arial" w:cs="Arial"/>
          <w:sz w:val="24"/>
          <w:szCs w:val="24"/>
        </w:rPr>
        <w:t xml:space="preserve">aemic attack, which caused a lack of glucose to the brain so therefore was unable to function properly. </w:t>
      </w:r>
      <w:r w:rsidR="005755AB">
        <w:rPr>
          <w:rFonts w:ascii="Arial" w:hAnsi="Arial" w:cs="Arial"/>
          <w:sz w:val="24"/>
          <w:szCs w:val="24"/>
        </w:rPr>
        <w:t xml:space="preserve">A judge had said it would be unlikely that the defendant had completely lost consciousness before he had the accident. The </w:t>
      </w:r>
      <w:r w:rsidR="001B5BE5">
        <w:rPr>
          <w:rFonts w:ascii="Arial" w:hAnsi="Arial" w:cs="Arial"/>
          <w:sz w:val="24"/>
          <w:szCs w:val="24"/>
        </w:rPr>
        <w:t>driver’s</w:t>
      </w:r>
      <w:r w:rsidR="005755AB">
        <w:rPr>
          <w:rFonts w:ascii="Arial" w:hAnsi="Arial" w:cs="Arial"/>
          <w:sz w:val="24"/>
          <w:szCs w:val="24"/>
        </w:rPr>
        <w:t xml:space="preserve"> inability was impaired due to the </w:t>
      </w:r>
      <w:r w:rsidR="001B5BE5">
        <w:rPr>
          <w:rFonts w:ascii="Arial" w:hAnsi="Arial" w:cs="Arial"/>
          <w:sz w:val="24"/>
          <w:szCs w:val="24"/>
        </w:rPr>
        <w:t>hypoglycaemia,</w:t>
      </w:r>
      <w:r w:rsidR="005755AB">
        <w:rPr>
          <w:rFonts w:ascii="Arial" w:hAnsi="Arial" w:cs="Arial"/>
          <w:sz w:val="24"/>
          <w:szCs w:val="24"/>
        </w:rPr>
        <w:t xml:space="preserve"> and he was not aware</w:t>
      </w:r>
      <w:r w:rsidR="001B5BE5">
        <w:rPr>
          <w:rFonts w:ascii="Arial" w:hAnsi="Arial" w:cs="Arial"/>
          <w:sz w:val="24"/>
          <w:szCs w:val="24"/>
        </w:rPr>
        <w:t xml:space="preserve"> that his ability was impaired. If he had been conscious, he would have stopped driving. As the driver had not lost all control of his vehicle the judge found him guilty of negligence. This was appealed and </w:t>
      </w:r>
      <w:r w:rsidR="00507E48">
        <w:rPr>
          <w:rFonts w:ascii="Arial" w:hAnsi="Arial" w:cs="Arial"/>
          <w:sz w:val="24"/>
          <w:szCs w:val="24"/>
        </w:rPr>
        <w:t>was said that a driver is not liable in negligence if a disabling event stopped him from driving. In this case, the defendant was unable to avoid the accident, this type of case can cause problems for the law of negligence. If you cannot fulfil the objective standard of care</w:t>
      </w:r>
      <w:r w:rsidR="00775B58">
        <w:rPr>
          <w:rFonts w:ascii="Arial" w:hAnsi="Arial" w:cs="Arial"/>
          <w:sz w:val="24"/>
          <w:szCs w:val="24"/>
        </w:rPr>
        <w:t xml:space="preserve">, then this will be set aside, otherwise strict liability could be imposed. The court did </w:t>
      </w:r>
      <w:r w:rsidR="009D15F7">
        <w:rPr>
          <w:rFonts w:ascii="Arial" w:hAnsi="Arial" w:cs="Arial"/>
          <w:sz w:val="24"/>
          <w:szCs w:val="24"/>
        </w:rPr>
        <w:t>consider</w:t>
      </w:r>
      <w:r w:rsidR="00775B58">
        <w:rPr>
          <w:rFonts w:ascii="Arial" w:hAnsi="Arial" w:cs="Arial"/>
          <w:sz w:val="24"/>
          <w:szCs w:val="24"/>
        </w:rPr>
        <w:t xml:space="preserve"> subjective characteristics of the defendant in this case.</w:t>
      </w:r>
      <w:r w:rsidR="009D15F7">
        <w:rPr>
          <w:rFonts w:ascii="Arial" w:hAnsi="Arial" w:cs="Arial"/>
          <w:sz w:val="24"/>
          <w:szCs w:val="24"/>
        </w:rPr>
        <w:t xml:space="preserve"> In a case with children, the standard would still be an objective one, but this is not the standard of a reasonable adult, but that of a reasonable child of the same age.</w:t>
      </w:r>
    </w:p>
    <w:p w14:paraId="009B7134" w14:textId="4D49D4C4" w:rsidR="009D15F7" w:rsidRDefault="009D15F7">
      <w:pPr>
        <w:rPr>
          <w:rFonts w:ascii="Arial" w:hAnsi="Arial" w:cs="Arial"/>
          <w:sz w:val="24"/>
          <w:szCs w:val="24"/>
        </w:rPr>
      </w:pPr>
      <w:r>
        <w:rPr>
          <w:rFonts w:ascii="Arial" w:hAnsi="Arial" w:cs="Arial"/>
          <w:sz w:val="24"/>
          <w:szCs w:val="24"/>
        </w:rPr>
        <w:t xml:space="preserve">With children it is not just simply the foreseeable injury, but the question would be interlinked with the question of whether their conduct should be held </w:t>
      </w:r>
      <w:r w:rsidR="00E37957">
        <w:rPr>
          <w:rFonts w:ascii="Arial" w:hAnsi="Arial" w:cs="Arial"/>
          <w:sz w:val="24"/>
          <w:szCs w:val="24"/>
        </w:rPr>
        <w:t>culpable. Was the conduct of this child to fall below the standard that would objectively be that of a child at a similar age.</w:t>
      </w:r>
      <w:r w:rsidR="00193A7D">
        <w:rPr>
          <w:rFonts w:ascii="Arial" w:hAnsi="Arial" w:cs="Arial"/>
          <w:sz w:val="24"/>
          <w:szCs w:val="24"/>
        </w:rPr>
        <w:t xml:space="preserve"> The Mulin v Richards (1998) 1 ALL ER 920 where two fifteen-year-old schoolgirls were fencing with plastic rulers and one of these rulers snapped catching one girl in her eye causing her to lose sight in that eye. In this case there was little evidence to prove foreseeability to a normal fifteen – year -old </w:t>
      </w:r>
      <w:r w:rsidR="00D532A4">
        <w:rPr>
          <w:rFonts w:ascii="Arial" w:hAnsi="Arial" w:cs="Arial"/>
          <w:sz w:val="24"/>
          <w:szCs w:val="24"/>
        </w:rPr>
        <w:t>schoolgirl</w:t>
      </w:r>
      <w:r w:rsidR="00193A7D">
        <w:rPr>
          <w:rFonts w:ascii="Arial" w:hAnsi="Arial" w:cs="Arial"/>
          <w:sz w:val="24"/>
          <w:szCs w:val="24"/>
        </w:rPr>
        <w:t xml:space="preserve">. </w:t>
      </w:r>
      <w:r w:rsidR="00D532A4">
        <w:rPr>
          <w:rFonts w:ascii="Arial" w:hAnsi="Arial" w:cs="Arial"/>
          <w:sz w:val="24"/>
          <w:szCs w:val="24"/>
        </w:rPr>
        <w:t xml:space="preserve"> The case of Mc Hale v Watson (1966) ALR 531 was applied to this </w:t>
      </w:r>
      <w:proofErr w:type="gramStart"/>
      <w:r w:rsidR="00D532A4">
        <w:rPr>
          <w:rFonts w:ascii="Arial" w:hAnsi="Arial" w:cs="Arial"/>
          <w:sz w:val="24"/>
          <w:szCs w:val="24"/>
        </w:rPr>
        <w:t>particular case</w:t>
      </w:r>
      <w:proofErr w:type="gramEnd"/>
      <w:r w:rsidR="00D532A4">
        <w:rPr>
          <w:rFonts w:ascii="Arial" w:hAnsi="Arial" w:cs="Arial"/>
          <w:sz w:val="24"/>
          <w:szCs w:val="24"/>
        </w:rPr>
        <w:t>. (Cooke 2015).</w:t>
      </w:r>
    </w:p>
    <w:p w14:paraId="247450D3" w14:textId="74A51748" w:rsidR="00BE0F9E" w:rsidRDefault="00BE0F9E">
      <w:pPr>
        <w:rPr>
          <w:rFonts w:ascii="Arial" w:hAnsi="Arial" w:cs="Arial"/>
          <w:sz w:val="24"/>
          <w:szCs w:val="24"/>
        </w:rPr>
      </w:pPr>
      <w:r>
        <w:rPr>
          <w:rFonts w:ascii="Arial" w:hAnsi="Arial" w:cs="Arial"/>
          <w:sz w:val="24"/>
          <w:szCs w:val="24"/>
        </w:rPr>
        <w:lastRenderedPageBreak/>
        <w:t xml:space="preserve">The United Kingdom may well be turning into a culture of compensation, this has been under attack from the government. Back in 2004, there was an </w:t>
      </w:r>
      <w:r w:rsidR="005E1106">
        <w:rPr>
          <w:rFonts w:ascii="Arial" w:hAnsi="Arial" w:cs="Arial"/>
          <w:sz w:val="24"/>
          <w:szCs w:val="24"/>
        </w:rPr>
        <w:t xml:space="preserve">Office publication by the Cabinet which was entitled Better Regulation Task Force in Better Routes to Redress. This was to state that compensation culture is </w:t>
      </w:r>
      <w:proofErr w:type="gramStart"/>
      <w:r w:rsidR="005E1106">
        <w:rPr>
          <w:rFonts w:ascii="Arial" w:hAnsi="Arial" w:cs="Arial"/>
          <w:sz w:val="24"/>
          <w:szCs w:val="24"/>
        </w:rPr>
        <w:t>actually a</w:t>
      </w:r>
      <w:proofErr w:type="gramEnd"/>
      <w:r w:rsidR="005E1106">
        <w:rPr>
          <w:rFonts w:ascii="Arial" w:hAnsi="Arial" w:cs="Arial"/>
          <w:sz w:val="24"/>
          <w:szCs w:val="24"/>
        </w:rPr>
        <w:t xml:space="preserve"> myth, but the public still insist on its belief. There is a provision in s1 of the 2006 Compensation Act, where the government state that the current test on a breach of duty in negligence would be if a defendant had taken certain steps within which to meet a particular standard of care, </w:t>
      </w:r>
      <w:proofErr w:type="gramStart"/>
      <w:r w:rsidR="005E1106">
        <w:rPr>
          <w:rFonts w:ascii="Arial" w:hAnsi="Arial" w:cs="Arial"/>
          <w:sz w:val="24"/>
          <w:szCs w:val="24"/>
        </w:rPr>
        <w:t>and also</w:t>
      </w:r>
      <w:proofErr w:type="gramEnd"/>
      <w:r w:rsidR="005E1106">
        <w:rPr>
          <w:rFonts w:ascii="Arial" w:hAnsi="Arial" w:cs="Arial"/>
          <w:sz w:val="24"/>
          <w:szCs w:val="24"/>
        </w:rPr>
        <w:t xml:space="preserve"> a regard as to a requirement to take steps in. This is to prevent an activity from being done at all, if it is a particular extent, or undertaken in a particular way. This is also done or stated to try to discourage anyone from participating in these activities. </w:t>
      </w:r>
      <w:r w:rsidR="004615D7">
        <w:rPr>
          <w:rFonts w:ascii="Arial" w:hAnsi="Arial" w:cs="Arial"/>
          <w:sz w:val="24"/>
          <w:szCs w:val="24"/>
        </w:rPr>
        <w:t>(Cooke 2015).</w:t>
      </w:r>
    </w:p>
    <w:p w14:paraId="7C7B2043" w14:textId="5319921B" w:rsidR="00E27E52" w:rsidRDefault="003E1A18">
      <w:pPr>
        <w:rPr>
          <w:rFonts w:ascii="Arial" w:hAnsi="Arial" w:cs="Arial"/>
          <w:sz w:val="24"/>
          <w:szCs w:val="24"/>
        </w:rPr>
      </w:pPr>
      <w:r>
        <w:rPr>
          <w:rFonts w:ascii="Arial" w:hAnsi="Arial" w:cs="Arial"/>
          <w:sz w:val="24"/>
          <w:szCs w:val="24"/>
        </w:rPr>
        <w:t xml:space="preserve">A claimant’s case in the third element would be that of damages. This is an essential part of tort as this is not actionable per se, this is to mean you do not have to prove you suffered any loss or damages </w:t>
      </w:r>
      <w:proofErr w:type="gramStart"/>
      <w:r>
        <w:rPr>
          <w:rFonts w:ascii="Arial" w:hAnsi="Arial" w:cs="Arial"/>
          <w:sz w:val="24"/>
          <w:szCs w:val="24"/>
        </w:rPr>
        <w:t>in order to</w:t>
      </w:r>
      <w:proofErr w:type="gramEnd"/>
      <w:r>
        <w:rPr>
          <w:rFonts w:ascii="Arial" w:hAnsi="Arial" w:cs="Arial"/>
          <w:sz w:val="24"/>
          <w:szCs w:val="24"/>
        </w:rPr>
        <w:t xml:space="preserve"> take a case to court. The defendant’s breach must have caused the damage to the claimant, and that any damage was not too remote. Causation deals with whether the damage or damages were caused by a breach of duty or care. To ascertain in whether a defendant’s breach of duty is the actual cause of the claimant’s damages would be the “but for test”. This test looks at whether damages would not have happened but for the breach of duty. This purpose is to remove any irrelevant causes. It must be established on the balance of probabilities that the breach of duty was a cause of the defendant’s damage. A balance of probabilities is lower than criminal standard which is beyond all reasonable doubt. There </w:t>
      </w:r>
      <w:proofErr w:type="gramStart"/>
      <w:r>
        <w:rPr>
          <w:rFonts w:ascii="Arial" w:hAnsi="Arial" w:cs="Arial"/>
          <w:sz w:val="24"/>
          <w:szCs w:val="24"/>
        </w:rPr>
        <w:t>has to</w:t>
      </w:r>
      <w:proofErr w:type="gramEnd"/>
      <w:r>
        <w:rPr>
          <w:rFonts w:ascii="Arial" w:hAnsi="Arial" w:cs="Arial"/>
          <w:sz w:val="24"/>
          <w:szCs w:val="24"/>
        </w:rPr>
        <w:t xml:space="preserve"> be a fifty percent chance that the defendant’s breach of duty caused any </w:t>
      </w:r>
      <w:r w:rsidR="00270FB3">
        <w:rPr>
          <w:rFonts w:ascii="Arial" w:hAnsi="Arial" w:cs="Arial"/>
          <w:sz w:val="24"/>
          <w:szCs w:val="24"/>
        </w:rPr>
        <w:t>damage,</w:t>
      </w:r>
      <w:r>
        <w:rPr>
          <w:rFonts w:ascii="Arial" w:hAnsi="Arial" w:cs="Arial"/>
          <w:sz w:val="24"/>
          <w:szCs w:val="24"/>
        </w:rPr>
        <w:t xml:space="preserve"> and the claimant must show this.</w:t>
      </w:r>
      <w:r w:rsidR="00080E5D">
        <w:rPr>
          <w:rFonts w:ascii="Arial" w:hAnsi="Arial" w:cs="Arial"/>
          <w:sz w:val="24"/>
          <w:szCs w:val="24"/>
        </w:rPr>
        <w:t xml:space="preserve"> (Cooke 2015).</w:t>
      </w:r>
    </w:p>
    <w:p w14:paraId="2F81ECC8" w14:textId="0E8D0D73" w:rsidR="00270FB3" w:rsidRDefault="00270FB3">
      <w:pPr>
        <w:rPr>
          <w:rFonts w:ascii="Arial" w:hAnsi="Arial" w:cs="Arial"/>
          <w:sz w:val="24"/>
          <w:szCs w:val="24"/>
        </w:rPr>
      </w:pPr>
      <w:r>
        <w:rPr>
          <w:rFonts w:ascii="Arial" w:hAnsi="Arial" w:cs="Arial"/>
          <w:sz w:val="24"/>
          <w:szCs w:val="24"/>
        </w:rPr>
        <w:t>The “but for test2 was used in the Barnett v Chelsea and Kensington Hospital Management committee (1969) 1 QB 428. The claimant’s husband went to the hospital of the defendant and proceeded to complain of vomiting, the doctor on duty would not examine him and pointed him in the direction of his own doctor if he was to still feel unwell the following morning. During the night, the claimant’s husband died of arsenic poisoning. The defendant, in this case the doctor on duty at the hospital owed the dead man a duty of care which they breached as they had failed to examine him. It was held that the hospital was not actually liable as evidence showed that he would still have died regardless of an examination.</w:t>
      </w:r>
      <w:r w:rsidR="00080E5D">
        <w:rPr>
          <w:rFonts w:ascii="Arial" w:hAnsi="Arial" w:cs="Arial"/>
          <w:sz w:val="24"/>
          <w:szCs w:val="24"/>
        </w:rPr>
        <w:t xml:space="preserve"> This breach of duty was not the cause of the claimant’s husband’s death.</w:t>
      </w:r>
    </w:p>
    <w:p w14:paraId="3939A520" w14:textId="38788992" w:rsidR="00080E5D" w:rsidRDefault="00080E5D">
      <w:pPr>
        <w:rPr>
          <w:rFonts w:ascii="Arial" w:hAnsi="Arial" w:cs="Arial"/>
          <w:sz w:val="24"/>
          <w:szCs w:val="24"/>
        </w:rPr>
      </w:pPr>
      <w:r>
        <w:rPr>
          <w:rFonts w:ascii="Arial" w:hAnsi="Arial" w:cs="Arial"/>
          <w:sz w:val="24"/>
          <w:szCs w:val="24"/>
        </w:rPr>
        <w:t xml:space="preserve">The “but for test” can present with problems at times. These problems would be to do with more than one cause of harm, like a degree of probability of the damage that has occurred in cases like medical negligence or even disease. This would produce any unjust results and no doubt some sort of economic loss. Courts do not always use the “but for test”, this was explained in the case of Fairchild v </w:t>
      </w:r>
      <w:proofErr w:type="spellStart"/>
      <w:r>
        <w:rPr>
          <w:rFonts w:ascii="Arial" w:hAnsi="Arial" w:cs="Arial"/>
          <w:sz w:val="24"/>
          <w:szCs w:val="24"/>
        </w:rPr>
        <w:t>Glenhaven</w:t>
      </w:r>
      <w:proofErr w:type="spellEnd"/>
      <w:r>
        <w:rPr>
          <w:rFonts w:ascii="Arial" w:hAnsi="Arial" w:cs="Arial"/>
          <w:sz w:val="24"/>
          <w:szCs w:val="24"/>
        </w:rPr>
        <w:t xml:space="preserve"> Funeral Services Ltd (2002) 3 A11 ER 305.</w:t>
      </w:r>
      <w:r w:rsidR="00F03762">
        <w:rPr>
          <w:rFonts w:ascii="Arial" w:hAnsi="Arial" w:cs="Arial"/>
          <w:sz w:val="24"/>
          <w:szCs w:val="24"/>
        </w:rPr>
        <w:t xml:space="preserve"> The extent of damages that a defendant is responsible for is limited even if this passes the “but for test”.</w:t>
      </w:r>
    </w:p>
    <w:p w14:paraId="03427385" w14:textId="2B8ACEA6" w:rsidR="00F03762" w:rsidRDefault="00F03762">
      <w:pPr>
        <w:rPr>
          <w:rFonts w:ascii="Arial" w:hAnsi="Arial" w:cs="Arial"/>
          <w:sz w:val="24"/>
          <w:szCs w:val="24"/>
        </w:rPr>
      </w:pPr>
      <w:r>
        <w:rPr>
          <w:rFonts w:ascii="Arial" w:hAnsi="Arial" w:cs="Arial"/>
          <w:sz w:val="24"/>
          <w:szCs w:val="24"/>
        </w:rPr>
        <w:t xml:space="preserve">In the case of </w:t>
      </w:r>
      <w:proofErr w:type="spellStart"/>
      <w:r>
        <w:rPr>
          <w:rFonts w:ascii="Arial" w:hAnsi="Arial" w:cs="Arial"/>
          <w:sz w:val="24"/>
          <w:szCs w:val="24"/>
        </w:rPr>
        <w:t>Wilsher</w:t>
      </w:r>
      <w:proofErr w:type="spellEnd"/>
      <w:r>
        <w:rPr>
          <w:rFonts w:ascii="Arial" w:hAnsi="Arial" w:cs="Arial"/>
          <w:sz w:val="24"/>
          <w:szCs w:val="24"/>
        </w:rPr>
        <w:t xml:space="preserve"> v Essex Area Health Authority (1988) 1 All ER 871 – a claimant was born too early which caused them to suffer from a lack of oxygen deficiency. Because of the negligence of the doctor, the claimant was given too </w:t>
      </w:r>
      <w:r>
        <w:rPr>
          <w:rFonts w:ascii="Arial" w:hAnsi="Arial" w:cs="Arial"/>
          <w:sz w:val="24"/>
          <w:szCs w:val="24"/>
        </w:rPr>
        <w:lastRenderedPageBreak/>
        <w:t xml:space="preserve">much oxygen. This caused the claimant to suffer with problematic </w:t>
      </w:r>
      <w:r w:rsidR="00B636C0">
        <w:rPr>
          <w:rFonts w:ascii="Arial" w:hAnsi="Arial" w:cs="Arial"/>
          <w:sz w:val="24"/>
          <w:szCs w:val="24"/>
        </w:rPr>
        <w:t>eyesight</w:t>
      </w:r>
      <w:r>
        <w:rPr>
          <w:rFonts w:ascii="Arial" w:hAnsi="Arial" w:cs="Arial"/>
          <w:sz w:val="24"/>
          <w:szCs w:val="24"/>
        </w:rPr>
        <w:t xml:space="preserve"> and nearly became blind. It was found that the negligence </w:t>
      </w:r>
      <w:r w:rsidR="00B636C0">
        <w:rPr>
          <w:rFonts w:ascii="Arial" w:hAnsi="Arial" w:cs="Arial"/>
          <w:sz w:val="24"/>
          <w:szCs w:val="24"/>
        </w:rPr>
        <w:t>and the over – use of oxygen had gone on to cause the blindness</w:t>
      </w:r>
      <w:r w:rsidR="00B215A8">
        <w:rPr>
          <w:rFonts w:ascii="Arial" w:hAnsi="Arial" w:cs="Arial"/>
          <w:sz w:val="24"/>
          <w:szCs w:val="24"/>
        </w:rPr>
        <w:t xml:space="preserve"> in premature babies. This was not the only contributing factor to the cause of blindness. The House of Lords stated that the claimant must establish, on balance of probabilities that the breach of duty had been the initial cause of the injury sustained. </w:t>
      </w:r>
    </w:p>
    <w:p w14:paraId="07268C1A" w14:textId="171AADD1" w:rsidR="002E0543" w:rsidRDefault="002E0543">
      <w:pPr>
        <w:rPr>
          <w:rFonts w:ascii="Arial" w:hAnsi="Arial" w:cs="Arial"/>
          <w:sz w:val="24"/>
          <w:szCs w:val="24"/>
        </w:rPr>
      </w:pPr>
      <w:r>
        <w:rPr>
          <w:rFonts w:ascii="Arial" w:hAnsi="Arial" w:cs="Arial"/>
          <w:sz w:val="24"/>
          <w:szCs w:val="24"/>
        </w:rPr>
        <w:t xml:space="preserve">The House of Lords had to consider a decision in the Mc Ghee v National Coal Board (1973) 1 WLR 1. This stated that this </w:t>
      </w:r>
      <w:proofErr w:type="gramStart"/>
      <w:r>
        <w:rPr>
          <w:rFonts w:ascii="Arial" w:hAnsi="Arial" w:cs="Arial"/>
          <w:sz w:val="24"/>
          <w:szCs w:val="24"/>
        </w:rPr>
        <w:t>particular case</w:t>
      </w:r>
      <w:proofErr w:type="gramEnd"/>
      <w:r>
        <w:rPr>
          <w:rFonts w:ascii="Arial" w:hAnsi="Arial" w:cs="Arial"/>
          <w:sz w:val="24"/>
          <w:szCs w:val="24"/>
        </w:rPr>
        <w:t xml:space="preserve"> was a small one which did not represent the law. Lord Wilberforce went on to propose a test where a person has, by breach of their duty</w:t>
      </w:r>
      <w:r w:rsidR="00030A7E">
        <w:rPr>
          <w:rFonts w:ascii="Arial" w:hAnsi="Arial" w:cs="Arial"/>
          <w:sz w:val="24"/>
          <w:szCs w:val="24"/>
        </w:rPr>
        <w:t xml:space="preserve"> of care created a risk and this can cause injuries to occur. Also, that a loss should be taken upon himself, unless it was shown to have some other cause. The Mc Ghee v National Coal Board claimant worked in the brick kilns of the defendant. The claimant was working in very hot and dusty</w:t>
      </w:r>
      <w:r w:rsidR="00440093">
        <w:rPr>
          <w:rFonts w:ascii="Arial" w:hAnsi="Arial" w:cs="Arial"/>
          <w:sz w:val="24"/>
          <w:szCs w:val="24"/>
        </w:rPr>
        <w:t xml:space="preserve"> conditions. After finishing work, the claimant had to cycle home without being able to wash as there were no washing facilities provided by the defendant in question. Because of the lack of sanitisation or ways to clean, the claimant contracted dermatitis and all evidence pointed to the brick dust and hot conditions, this was accepted by the court. Even if there had been washing facilities, it may not have prevented the risk of dermatitis to the claimant. The claimant failed in his </w:t>
      </w:r>
      <w:r w:rsidR="00DA793B">
        <w:rPr>
          <w:rFonts w:ascii="Arial" w:hAnsi="Arial" w:cs="Arial"/>
          <w:sz w:val="24"/>
          <w:szCs w:val="24"/>
        </w:rPr>
        <w:t>case;</w:t>
      </w:r>
      <w:r w:rsidR="00440093">
        <w:rPr>
          <w:rFonts w:ascii="Arial" w:hAnsi="Arial" w:cs="Arial"/>
          <w:sz w:val="24"/>
          <w:szCs w:val="24"/>
        </w:rPr>
        <w:t xml:space="preserve"> this was on the grounds</w:t>
      </w:r>
      <w:r w:rsidR="00DA793B">
        <w:rPr>
          <w:rFonts w:ascii="Arial" w:hAnsi="Arial" w:cs="Arial"/>
          <w:sz w:val="24"/>
          <w:szCs w:val="24"/>
        </w:rPr>
        <w:t xml:space="preserve"> that he had not discharged the burden of proof of causation. There was to be an appeal which the claimant succeeded with in the House of Lords. (Horsey &amp; Rackley 2017).</w:t>
      </w:r>
    </w:p>
    <w:p w14:paraId="758AF4BA" w14:textId="16AECFAF" w:rsidR="00DA793B" w:rsidRDefault="00DA793B">
      <w:pPr>
        <w:rPr>
          <w:rFonts w:ascii="Arial" w:hAnsi="Arial" w:cs="Arial"/>
          <w:sz w:val="24"/>
          <w:szCs w:val="24"/>
        </w:rPr>
      </w:pPr>
      <w:r>
        <w:rPr>
          <w:rFonts w:ascii="Arial" w:hAnsi="Arial" w:cs="Arial"/>
          <w:sz w:val="24"/>
          <w:szCs w:val="24"/>
        </w:rPr>
        <w:t xml:space="preserve">In the case of Watt v Hertfordshire County Council (1954) </w:t>
      </w:r>
      <w:r w:rsidR="00207E9A">
        <w:rPr>
          <w:rFonts w:ascii="Arial" w:hAnsi="Arial" w:cs="Arial"/>
          <w:sz w:val="24"/>
          <w:szCs w:val="24"/>
        </w:rPr>
        <w:t xml:space="preserve">1 WLR 835 it concerned an accident which was close to a fire station, where a woman was trapped underneath a rather heavy lorry. The lorry which had the heavy jack for lifting was stationed at the fire station but was being used on another call – out. The jack was hoisted onto another lorry which had no means to secure the jack in place correctly. During the travel to the incident the lorry had to brake sharp which caused the jack to move forwards. This caused an injury to the claimant’s ankle. The defendants were not negligent in this case in sending out the jack unsecured. Lord Justice Singleton was to use the reasonable person test in this case. He was to state would the head of the station done anything differently other than what his sub – officers did? The answer for this question would have been no. Could it </w:t>
      </w:r>
      <w:proofErr w:type="gramStart"/>
      <w:r w:rsidR="00207E9A">
        <w:rPr>
          <w:rFonts w:ascii="Arial" w:hAnsi="Arial" w:cs="Arial"/>
          <w:sz w:val="24"/>
          <w:szCs w:val="24"/>
        </w:rPr>
        <w:t>actually be</w:t>
      </w:r>
      <w:proofErr w:type="gramEnd"/>
      <w:r w:rsidR="00207E9A">
        <w:rPr>
          <w:rFonts w:ascii="Arial" w:hAnsi="Arial" w:cs="Arial"/>
          <w:sz w:val="24"/>
          <w:szCs w:val="24"/>
        </w:rPr>
        <w:t xml:space="preserve"> said then that there was a duty of the employers to have a lorry which was fit out to carry the jack at all times when needed, or if not to use the jack only for shorter journeys of no more than three hundred yards or so</w:t>
      </w:r>
      <w:r w:rsidR="00DB4E38">
        <w:rPr>
          <w:rFonts w:ascii="Arial" w:hAnsi="Arial" w:cs="Arial"/>
          <w:sz w:val="24"/>
          <w:szCs w:val="24"/>
        </w:rPr>
        <w:t>?</w:t>
      </w:r>
    </w:p>
    <w:p w14:paraId="619F549B" w14:textId="619320FB" w:rsidR="00343196" w:rsidRDefault="00DB4E38">
      <w:pPr>
        <w:rPr>
          <w:rFonts w:ascii="Arial" w:hAnsi="Arial" w:cs="Arial"/>
          <w:sz w:val="24"/>
          <w:szCs w:val="24"/>
        </w:rPr>
      </w:pPr>
      <w:r>
        <w:rPr>
          <w:rFonts w:ascii="Arial" w:hAnsi="Arial" w:cs="Arial"/>
          <w:sz w:val="24"/>
          <w:szCs w:val="24"/>
        </w:rPr>
        <w:t>In the Bolton V Stone (1951) AC 850 case this is sport related and how the standard of care would apply to them in question. Stone was the claimant who was initially struck by a cricket ball which had been hit out of the grounds at Cheetham Hill in Manchester. There was a fence surrounding the cricket grounds this was only 17 feet above the level of the pitch. The striker and the claimant were only 78 yards away from this fence when the ball was hit approximately one hundred yards. A member of the cricket club had thought that six balls had been hit outside the grounds in about twenty – eight years, none of which had ever caused an injury to anyone. The cricket club in this case was not held negligent.</w:t>
      </w:r>
      <w:r w:rsidR="00002DAC">
        <w:rPr>
          <w:rFonts w:ascii="Arial" w:hAnsi="Arial" w:cs="Arial"/>
          <w:sz w:val="24"/>
          <w:szCs w:val="24"/>
        </w:rPr>
        <w:t xml:space="preserve"> The theory of this is </w:t>
      </w:r>
      <w:r w:rsidR="00002DAC">
        <w:rPr>
          <w:rFonts w:ascii="Arial" w:hAnsi="Arial" w:cs="Arial"/>
          <w:sz w:val="24"/>
          <w:szCs w:val="24"/>
        </w:rPr>
        <w:lastRenderedPageBreak/>
        <w:t xml:space="preserve">foreseeability alone could make it irrelevant if they were to ask how many times a ball could land in the road. This would not even matter if the road was a busy one either or even a quiet country lane somewhere. The only difference in this case would be its degree of risk. </w:t>
      </w:r>
      <w:r w:rsidR="00343196">
        <w:rPr>
          <w:rFonts w:ascii="Arial" w:hAnsi="Arial" w:cs="Arial"/>
          <w:sz w:val="24"/>
          <w:szCs w:val="24"/>
        </w:rPr>
        <w:t>(Horsey &amp; Rackley 2017.</w:t>
      </w:r>
    </w:p>
    <w:p w14:paraId="6465325F" w14:textId="194A43A6" w:rsidR="00343196" w:rsidRDefault="00343196">
      <w:pPr>
        <w:rPr>
          <w:rFonts w:ascii="Arial" w:hAnsi="Arial" w:cs="Arial"/>
          <w:sz w:val="24"/>
          <w:szCs w:val="24"/>
        </w:rPr>
      </w:pPr>
    </w:p>
    <w:p w14:paraId="511208AD" w14:textId="3BE3B8BA" w:rsidR="00343196" w:rsidRDefault="00343196">
      <w:pPr>
        <w:rPr>
          <w:rFonts w:ascii="Arial" w:hAnsi="Arial" w:cs="Arial"/>
          <w:sz w:val="24"/>
          <w:szCs w:val="24"/>
        </w:rPr>
      </w:pPr>
    </w:p>
    <w:p w14:paraId="2A329648" w14:textId="71BC1268" w:rsidR="00343196" w:rsidRDefault="00343196">
      <w:pPr>
        <w:rPr>
          <w:rFonts w:ascii="Arial" w:hAnsi="Arial" w:cs="Arial"/>
          <w:sz w:val="24"/>
          <w:szCs w:val="24"/>
        </w:rPr>
      </w:pPr>
    </w:p>
    <w:p w14:paraId="571B2035" w14:textId="46AF77FB" w:rsidR="00343196" w:rsidRDefault="00343196">
      <w:pPr>
        <w:rPr>
          <w:rFonts w:ascii="Arial" w:hAnsi="Arial" w:cs="Arial"/>
          <w:sz w:val="24"/>
          <w:szCs w:val="24"/>
        </w:rPr>
      </w:pPr>
    </w:p>
    <w:p w14:paraId="549AB325" w14:textId="4DD77FE9" w:rsidR="00343196" w:rsidRDefault="00343196">
      <w:pPr>
        <w:rPr>
          <w:rFonts w:ascii="Arial" w:hAnsi="Arial" w:cs="Arial"/>
          <w:sz w:val="24"/>
          <w:szCs w:val="24"/>
        </w:rPr>
      </w:pPr>
    </w:p>
    <w:p w14:paraId="5F52F5F1" w14:textId="0CB218C3" w:rsidR="00343196" w:rsidRDefault="00343196">
      <w:pPr>
        <w:rPr>
          <w:rFonts w:ascii="Arial" w:hAnsi="Arial" w:cs="Arial"/>
          <w:sz w:val="24"/>
          <w:szCs w:val="24"/>
        </w:rPr>
      </w:pPr>
    </w:p>
    <w:p w14:paraId="276CAE22" w14:textId="0F611829" w:rsidR="00343196" w:rsidRDefault="00343196">
      <w:pPr>
        <w:rPr>
          <w:rFonts w:ascii="Arial" w:hAnsi="Arial" w:cs="Arial"/>
          <w:sz w:val="24"/>
          <w:szCs w:val="24"/>
        </w:rPr>
      </w:pPr>
    </w:p>
    <w:p w14:paraId="1AE88D27" w14:textId="667BC3BE" w:rsidR="00343196" w:rsidRDefault="00343196">
      <w:pPr>
        <w:rPr>
          <w:rFonts w:ascii="Arial" w:hAnsi="Arial" w:cs="Arial"/>
          <w:sz w:val="24"/>
          <w:szCs w:val="24"/>
        </w:rPr>
      </w:pPr>
    </w:p>
    <w:p w14:paraId="3511412B" w14:textId="71FDCCBC" w:rsidR="00343196" w:rsidRDefault="00343196">
      <w:pPr>
        <w:rPr>
          <w:rFonts w:ascii="Arial" w:hAnsi="Arial" w:cs="Arial"/>
          <w:sz w:val="24"/>
          <w:szCs w:val="24"/>
        </w:rPr>
      </w:pPr>
    </w:p>
    <w:p w14:paraId="30A43864" w14:textId="271423FB" w:rsidR="00343196" w:rsidRDefault="00343196">
      <w:pPr>
        <w:rPr>
          <w:rFonts w:ascii="Arial" w:hAnsi="Arial" w:cs="Arial"/>
          <w:sz w:val="24"/>
          <w:szCs w:val="24"/>
        </w:rPr>
      </w:pPr>
    </w:p>
    <w:p w14:paraId="4AB50AE2" w14:textId="1E6F4A82" w:rsidR="00343196" w:rsidRDefault="00343196">
      <w:pPr>
        <w:rPr>
          <w:rFonts w:ascii="Arial" w:hAnsi="Arial" w:cs="Arial"/>
          <w:sz w:val="24"/>
          <w:szCs w:val="24"/>
        </w:rPr>
      </w:pPr>
    </w:p>
    <w:p w14:paraId="2E8A1EDD" w14:textId="03CEE2A0" w:rsidR="00343196" w:rsidRDefault="00343196">
      <w:pPr>
        <w:rPr>
          <w:rFonts w:ascii="Arial" w:hAnsi="Arial" w:cs="Arial"/>
          <w:sz w:val="24"/>
          <w:szCs w:val="24"/>
        </w:rPr>
      </w:pPr>
    </w:p>
    <w:p w14:paraId="32D8BB8A" w14:textId="3F9F6570" w:rsidR="00343196" w:rsidRDefault="00343196">
      <w:pPr>
        <w:rPr>
          <w:rFonts w:ascii="Arial" w:hAnsi="Arial" w:cs="Arial"/>
          <w:sz w:val="24"/>
          <w:szCs w:val="24"/>
        </w:rPr>
      </w:pPr>
    </w:p>
    <w:p w14:paraId="61035E64" w14:textId="594900F6" w:rsidR="00343196" w:rsidRDefault="00343196">
      <w:pPr>
        <w:rPr>
          <w:rFonts w:ascii="Arial" w:hAnsi="Arial" w:cs="Arial"/>
          <w:sz w:val="24"/>
          <w:szCs w:val="24"/>
        </w:rPr>
      </w:pPr>
    </w:p>
    <w:p w14:paraId="60B6C704" w14:textId="5EFDC2A3" w:rsidR="00343196" w:rsidRDefault="00343196">
      <w:pPr>
        <w:rPr>
          <w:rFonts w:ascii="Arial" w:hAnsi="Arial" w:cs="Arial"/>
          <w:sz w:val="24"/>
          <w:szCs w:val="24"/>
        </w:rPr>
      </w:pPr>
    </w:p>
    <w:p w14:paraId="4820CD6B" w14:textId="2D75526C" w:rsidR="00343196" w:rsidRDefault="00343196">
      <w:pPr>
        <w:rPr>
          <w:rFonts w:ascii="Arial" w:hAnsi="Arial" w:cs="Arial"/>
          <w:sz w:val="24"/>
          <w:szCs w:val="24"/>
        </w:rPr>
      </w:pPr>
    </w:p>
    <w:p w14:paraId="08E7B6D4" w14:textId="3C5DA255" w:rsidR="00343196" w:rsidRDefault="00343196">
      <w:pPr>
        <w:rPr>
          <w:rFonts w:ascii="Arial" w:hAnsi="Arial" w:cs="Arial"/>
          <w:sz w:val="24"/>
          <w:szCs w:val="24"/>
        </w:rPr>
      </w:pPr>
    </w:p>
    <w:p w14:paraId="6F295D02" w14:textId="20E21688" w:rsidR="00343196" w:rsidRDefault="00343196">
      <w:pPr>
        <w:rPr>
          <w:rFonts w:ascii="Arial" w:hAnsi="Arial" w:cs="Arial"/>
          <w:sz w:val="24"/>
          <w:szCs w:val="24"/>
        </w:rPr>
      </w:pPr>
    </w:p>
    <w:p w14:paraId="1C871C2D" w14:textId="0650A9BE" w:rsidR="00343196" w:rsidRDefault="00343196">
      <w:pPr>
        <w:rPr>
          <w:rFonts w:ascii="Arial" w:hAnsi="Arial" w:cs="Arial"/>
          <w:sz w:val="24"/>
          <w:szCs w:val="24"/>
        </w:rPr>
      </w:pPr>
    </w:p>
    <w:p w14:paraId="5F8C84C3" w14:textId="2CCE0329" w:rsidR="00343196" w:rsidRDefault="00343196">
      <w:pPr>
        <w:rPr>
          <w:rFonts w:ascii="Arial" w:hAnsi="Arial" w:cs="Arial"/>
          <w:sz w:val="24"/>
          <w:szCs w:val="24"/>
        </w:rPr>
      </w:pPr>
    </w:p>
    <w:p w14:paraId="765BF8F5" w14:textId="416AD0A1" w:rsidR="00343196" w:rsidRDefault="00343196">
      <w:pPr>
        <w:rPr>
          <w:rFonts w:ascii="Arial" w:hAnsi="Arial" w:cs="Arial"/>
          <w:sz w:val="24"/>
          <w:szCs w:val="24"/>
        </w:rPr>
      </w:pPr>
    </w:p>
    <w:p w14:paraId="39D2939E" w14:textId="5E75FA26" w:rsidR="00343196" w:rsidRDefault="00343196">
      <w:pPr>
        <w:rPr>
          <w:rFonts w:ascii="Arial" w:hAnsi="Arial" w:cs="Arial"/>
          <w:sz w:val="24"/>
          <w:szCs w:val="24"/>
        </w:rPr>
      </w:pPr>
    </w:p>
    <w:p w14:paraId="6F0A7744" w14:textId="7F8E6861" w:rsidR="00343196" w:rsidRDefault="00343196">
      <w:pPr>
        <w:rPr>
          <w:rFonts w:ascii="Arial" w:hAnsi="Arial" w:cs="Arial"/>
          <w:sz w:val="24"/>
          <w:szCs w:val="24"/>
        </w:rPr>
      </w:pPr>
    </w:p>
    <w:p w14:paraId="15475B09" w14:textId="6D7C1D3E" w:rsidR="00343196" w:rsidRDefault="00343196">
      <w:pPr>
        <w:rPr>
          <w:rFonts w:ascii="Arial" w:hAnsi="Arial" w:cs="Arial"/>
          <w:sz w:val="24"/>
          <w:szCs w:val="24"/>
        </w:rPr>
      </w:pPr>
    </w:p>
    <w:p w14:paraId="4D7ABD79" w14:textId="78C39ECC" w:rsidR="00343196" w:rsidRDefault="00343196">
      <w:pPr>
        <w:rPr>
          <w:rFonts w:ascii="Arial" w:hAnsi="Arial" w:cs="Arial"/>
          <w:sz w:val="24"/>
          <w:szCs w:val="24"/>
        </w:rPr>
      </w:pPr>
    </w:p>
    <w:p w14:paraId="03B00222" w14:textId="124E75F2" w:rsidR="00343196" w:rsidRDefault="00343196">
      <w:pPr>
        <w:rPr>
          <w:rFonts w:ascii="Arial" w:hAnsi="Arial" w:cs="Arial"/>
          <w:sz w:val="24"/>
          <w:szCs w:val="24"/>
        </w:rPr>
      </w:pPr>
    </w:p>
    <w:p w14:paraId="4FBE221B" w14:textId="4C2F3934" w:rsidR="00343196" w:rsidRDefault="00343196">
      <w:pPr>
        <w:rPr>
          <w:rFonts w:ascii="Arial" w:hAnsi="Arial" w:cs="Arial"/>
          <w:sz w:val="24"/>
          <w:szCs w:val="24"/>
        </w:rPr>
      </w:pPr>
    </w:p>
    <w:p w14:paraId="4AB26019" w14:textId="2E6968AE" w:rsidR="00343196" w:rsidRDefault="00343196">
      <w:pPr>
        <w:rPr>
          <w:rFonts w:ascii="Arial" w:hAnsi="Arial" w:cs="Arial"/>
          <w:sz w:val="40"/>
          <w:szCs w:val="40"/>
          <w:u w:val="single"/>
        </w:rPr>
      </w:pPr>
      <w:r>
        <w:rPr>
          <w:rFonts w:ascii="Arial" w:hAnsi="Arial" w:cs="Arial"/>
          <w:sz w:val="24"/>
          <w:szCs w:val="24"/>
        </w:rPr>
        <w:lastRenderedPageBreak/>
        <w:t xml:space="preserve">                                                  </w:t>
      </w:r>
      <w:r w:rsidRPr="00343196">
        <w:rPr>
          <w:rFonts w:ascii="Arial" w:hAnsi="Arial" w:cs="Arial"/>
          <w:sz w:val="40"/>
          <w:szCs w:val="40"/>
          <w:u w:val="single"/>
        </w:rPr>
        <w:t>Referencing.</w:t>
      </w:r>
    </w:p>
    <w:p w14:paraId="1C381570" w14:textId="0CFD3B96" w:rsidR="00343196" w:rsidRDefault="00343196" w:rsidP="00343196">
      <w:pPr>
        <w:pStyle w:val="ListParagraph"/>
        <w:ind w:left="420"/>
        <w:rPr>
          <w:rFonts w:ascii="Arial" w:hAnsi="Arial" w:cs="Arial"/>
          <w:sz w:val="24"/>
          <w:szCs w:val="24"/>
        </w:rPr>
      </w:pPr>
      <w:r w:rsidRPr="00343196">
        <w:rPr>
          <w:rFonts w:ascii="Arial" w:hAnsi="Arial" w:cs="Arial"/>
          <w:sz w:val="24"/>
          <w:szCs w:val="24"/>
        </w:rPr>
        <w:t>Bradbury</w:t>
      </w:r>
      <w:r>
        <w:rPr>
          <w:rFonts w:ascii="Arial" w:hAnsi="Arial" w:cs="Arial"/>
          <w:sz w:val="24"/>
          <w:szCs w:val="24"/>
        </w:rPr>
        <w:t>, E (2007) A2 Law – Tort Law, Oxfordshire, Philip Allan.</w:t>
      </w:r>
    </w:p>
    <w:p w14:paraId="69E3983F" w14:textId="3BCEB1CA" w:rsidR="00343196" w:rsidRDefault="00343196" w:rsidP="00343196">
      <w:pPr>
        <w:pStyle w:val="ListParagraph"/>
        <w:ind w:left="420"/>
        <w:rPr>
          <w:rFonts w:ascii="Arial" w:hAnsi="Arial" w:cs="Arial"/>
          <w:sz w:val="24"/>
          <w:szCs w:val="24"/>
        </w:rPr>
      </w:pPr>
      <w:r>
        <w:rPr>
          <w:rFonts w:ascii="Arial" w:hAnsi="Arial" w:cs="Arial"/>
          <w:sz w:val="24"/>
          <w:szCs w:val="24"/>
        </w:rPr>
        <w:t>Cooke, J (2015) Law of Tort, Harlow</w:t>
      </w:r>
      <w:r w:rsidR="00C338CD">
        <w:rPr>
          <w:rFonts w:ascii="Arial" w:hAnsi="Arial" w:cs="Arial"/>
          <w:sz w:val="24"/>
          <w:szCs w:val="24"/>
        </w:rPr>
        <w:t>, Pearson.</w:t>
      </w:r>
    </w:p>
    <w:p w14:paraId="0387633C" w14:textId="2CD1D892" w:rsidR="00C338CD" w:rsidRDefault="00C338CD" w:rsidP="00343196">
      <w:pPr>
        <w:pStyle w:val="ListParagraph"/>
        <w:ind w:left="420"/>
        <w:rPr>
          <w:rFonts w:ascii="Arial" w:hAnsi="Arial" w:cs="Arial"/>
          <w:sz w:val="24"/>
          <w:szCs w:val="24"/>
        </w:rPr>
      </w:pPr>
      <w:r>
        <w:rPr>
          <w:rFonts w:ascii="Arial" w:hAnsi="Arial" w:cs="Arial"/>
          <w:sz w:val="24"/>
          <w:szCs w:val="24"/>
        </w:rPr>
        <w:t xml:space="preserve">Horsey, K (2017) </w:t>
      </w:r>
      <w:proofErr w:type="spellStart"/>
      <w:r>
        <w:rPr>
          <w:rFonts w:ascii="Arial" w:hAnsi="Arial" w:cs="Arial"/>
          <w:sz w:val="24"/>
          <w:szCs w:val="24"/>
        </w:rPr>
        <w:t>Kinder’s</w:t>
      </w:r>
      <w:proofErr w:type="spellEnd"/>
      <w:r>
        <w:rPr>
          <w:rFonts w:ascii="Arial" w:hAnsi="Arial" w:cs="Arial"/>
          <w:sz w:val="24"/>
          <w:szCs w:val="24"/>
        </w:rPr>
        <w:t xml:space="preserve"> Casebook on Torts, Oxford, Oxford University Press.</w:t>
      </w:r>
    </w:p>
    <w:p w14:paraId="096E21CC" w14:textId="548DC598" w:rsidR="00C338CD" w:rsidRDefault="00C338CD" w:rsidP="00343196">
      <w:pPr>
        <w:pStyle w:val="ListParagraph"/>
        <w:ind w:left="420"/>
        <w:rPr>
          <w:rFonts w:ascii="Arial" w:hAnsi="Arial" w:cs="Arial"/>
          <w:sz w:val="24"/>
          <w:szCs w:val="24"/>
        </w:rPr>
      </w:pPr>
      <w:r>
        <w:rPr>
          <w:rFonts w:ascii="Arial" w:hAnsi="Arial" w:cs="Arial"/>
          <w:sz w:val="24"/>
          <w:szCs w:val="24"/>
        </w:rPr>
        <w:t>Steele, J (2007) Tort Law Text, Cases and Materials, Oxford, Oxford University Press.</w:t>
      </w:r>
    </w:p>
    <w:p w14:paraId="5DE24BFB" w14:textId="5A0E71ED" w:rsidR="00C338CD" w:rsidRDefault="00C338CD" w:rsidP="00343196">
      <w:pPr>
        <w:pStyle w:val="ListParagraph"/>
        <w:ind w:left="420"/>
        <w:rPr>
          <w:rFonts w:ascii="Arial" w:hAnsi="Arial" w:cs="Arial"/>
          <w:sz w:val="24"/>
          <w:szCs w:val="24"/>
        </w:rPr>
      </w:pPr>
      <w:r>
        <w:rPr>
          <w:rFonts w:ascii="Arial" w:hAnsi="Arial" w:cs="Arial"/>
          <w:sz w:val="24"/>
          <w:szCs w:val="24"/>
        </w:rPr>
        <w:t xml:space="preserve">Available at: </w:t>
      </w:r>
      <w:hyperlink r:id="rId8" w:history="1">
        <w:r w:rsidRPr="00F8617F">
          <w:rPr>
            <w:rStyle w:val="Hyperlink"/>
            <w:rFonts w:ascii="Arial" w:hAnsi="Arial" w:cs="Arial"/>
            <w:sz w:val="24"/>
            <w:szCs w:val="24"/>
          </w:rPr>
          <w:t>https://www.educare.co.uk/news/what-is-duty-of-care</w:t>
        </w:r>
      </w:hyperlink>
      <w:r>
        <w:rPr>
          <w:rFonts w:ascii="Arial" w:hAnsi="Arial" w:cs="Arial"/>
          <w:sz w:val="24"/>
          <w:szCs w:val="24"/>
        </w:rPr>
        <w:t xml:space="preserve"> </w:t>
      </w:r>
    </w:p>
    <w:p w14:paraId="77358921" w14:textId="5BDAB6BD" w:rsidR="00C338CD" w:rsidRDefault="00C338CD" w:rsidP="00343196">
      <w:pPr>
        <w:pStyle w:val="ListParagraph"/>
        <w:ind w:left="420"/>
        <w:rPr>
          <w:rFonts w:ascii="Arial" w:hAnsi="Arial" w:cs="Arial"/>
          <w:sz w:val="24"/>
          <w:szCs w:val="24"/>
        </w:rPr>
      </w:pPr>
    </w:p>
    <w:p w14:paraId="70A16552" w14:textId="7AB8F3DF" w:rsidR="00C338CD" w:rsidRDefault="00C338CD" w:rsidP="00343196">
      <w:pPr>
        <w:pStyle w:val="ListParagraph"/>
        <w:ind w:left="420"/>
        <w:rPr>
          <w:rFonts w:ascii="Arial" w:hAnsi="Arial" w:cs="Arial"/>
          <w:sz w:val="24"/>
          <w:szCs w:val="24"/>
        </w:rPr>
      </w:pPr>
    </w:p>
    <w:p w14:paraId="2470A03C" w14:textId="0FBFD8C5" w:rsidR="00C338CD" w:rsidRDefault="00C338CD" w:rsidP="00343196">
      <w:pPr>
        <w:pStyle w:val="ListParagraph"/>
        <w:ind w:left="420"/>
        <w:rPr>
          <w:rFonts w:ascii="Arial" w:hAnsi="Arial" w:cs="Arial"/>
          <w:sz w:val="24"/>
          <w:szCs w:val="24"/>
        </w:rPr>
      </w:pPr>
    </w:p>
    <w:p w14:paraId="4DEBAF2B" w14:textId="0681D2C4" w:rsidR="00C338CD" w:rsidRDefault="00C338CD" w:rsidP="00343196">
      <w:pPr>
        <w:pStyle w:val="ListParagraph"/>
        <w:ind w:left="420"/>
        <w:rPr>
          <w:rFonts w:ascii="Arial" w:hAnsi="Arial" w:cs="Arial"/>
          <w:sz w:val="24"/>
          <w:szCs w:val="24"/>
        </w:rPr>
      </w:pPr>
      <w:r>
        <w:rPr>
          <w:rFonts w:ascii="Arial" w:hAnsi="Arial" w:cs="Arial"/>
          <w:sz w:val="24"/>
          <w:szCs w:val="24"/>
        </w:rPr>
        <w:t>Cases that have been used in this work are as follows:</w:t>
      </w:r>
    </w:p>
    <w:p w14:paraId="3D7F6A9E" w14:textId="5C29F8D4" w:rsidR="009A48FC" w:rsidRDefault="009A48FC" w:rsidP="00343196">
      <w:pPr>
        <w:pStyle w:val="ListParagraph"/>
        <w:ind w:left="420"/>
        <w:rPr>
          <w:rFonts w:ascii="Arial" w:hAnsi="Arial" w:cs="Arial"/>
          <w:sz w:val="24"/>
          <w:szCs w:val="24"/>
        </w:rPr>
      </w:pPr>
    </w:p>
    <w:p w14:paraId="513BB727" w14:textId="1BA3D268" w:rsidR="009A48FC" w:rsidRDefault="009A48FC" w:rsidP="00343196">
      <w:pPr>
        <w:pStyle w:val="ListParagraph"/>
        <w:ind w:left="420"/>
        <w:rPr>
          <w:rFonts w:ascii="Arial" w:hAnsi="Arial" w:cs="Arial"/>
          <w:sz w:val="24"/>
          <w:szCs w:val="24"/>
        </w:rPr>
      </w:pPr>
      <w:r>
        <w:rPr>
          <w:rFonts w:ascii="Arial" w:hAnsi="Arial" w:cs="Arial"/>
          <w:sz w:val="24"/>
          <w:szCs w:val="24"/>
        </w:rPr>
        <w:t xml:space="preserve">Barnett v Chelsea and Kensington Hospital Management Committee </w:t>
      </w:r>
    </w:p>
    <w:p w14:paraId="76CB8EFC" w14:textId="0CA45533" w:rsidR="009A48FC" w:rsidRDefault="009A48FC" w:rsidP="00343196">
      <w:pPr>
        <w:pStyle w:val="ListParagraph"/>
        <w:ind w:left="420"/>
        <w:rPr>
          <w:rFonts w:ascii="Arial" w:hAnsi="Arial" w:cs="Arial"/>
          <w:sz w:val="24"/>
          <w:szCs w:val="24"/>
        </w:rPr>
      </w:pPr>
      <w:r>
        <w:rPr>
          <w:rFonts w:ascii="Arial" w:hAnsi="Arial" w:cs="Arial"/>
          <w:sz w:val="24"/>
          <w:szCs w:val="24"/>
        </w:rPr>
        <w:t>(1969) 1QB 428.</w:t>
      </w:r>
    </w:p>
    <w:p w14:paraId="17652B98" w14:textId="1F462430" w:rsidR="009A48FC" w:rsidRDefault="009A48FC" w:rsidP="00343196">
      <w:pPr>
        <w:pStyle w:val="ListParagraph"/>
        <w:ind w:left="420"/>
        <w:rPr>
          <w:rFonts w:ascii="Arial" w:hAnsi="Arial" w:cs="Arial"/>
          <w:sz w:val="24"/>
          <w:szCs w:val="24"/>
        </w:rPr>
      </w:pPr>
    </w:p>
    <w:p w14:paraId="60E7013B" w14:textId="31F69F20" w:rsidR="009A48FC" w:rsidRDefault="009A48FC" w:rsidP="00343196">
      <w:pPr>
        <w:pStyle w:val="ListParagraph"/>
        <w:ind w:left="420"/>
        <w:rPr>
          <w:rFonts w:ascii="Arial" w:hAnsi="Arial" w:cs="Arial"/>
          <w:sz w:val="24"/>
          <w:szCs w:val="24"/>
        </w:rPr>
      </w:pPr>
      <w:r>
        <w:rPr>
          <w:rFonts w:ascii="Arial" w:hAnsi="Arial" w:cs="Arial"/>
          <w:sz w:val="24"/>
          <w:szCs w:val="24"/>
        </w:rPr>
        <w:t>Blyth v Birmingham Waterworks Co</w:t>
      </w:r>
    </w:p>
    <w:p w14:paraId="5D436803" w14:textId="7419379F" w:rsidR="009A48FC" w:rsidRDefault="009A48FC" w:rsidP="00343196">
      <w:pPr>
        <w:pStyle w:val="ListParagraph"/>
        <w:ind w:left="420"/>
        <w:rPr>
          <w:rFonts w:ascii="Arial" w:hAnsi="Arial" w:cs="Arial"/>
          <w:sz w:val="24"/>
          <w:szCs w:val="24"/>
        </w:rPr>
      </w:pPr>
      <w:r>
        <w:rPr>
          <w:rFonts w:ascii="Arial" w:hAnsi="Arial" w:cs="Arial"/>
          <w:sz w:val="24"/>
          <w:szCs w:val="24"/>
        </w:rPr>
        <w:t>(1856) 11 EX 781</w:t>
      </w:r>
    </w:p>
    <w:p w14:paraId="0677B9FD" w14:textId="3A26DB3A" w:rsidR="009A48FC" w:rsidRDefault="009A48FC" w:rsidP="00343196">
      <w:pPr>
        <w:pStyle w:val="ListParagraph"/>
        <w:ind w:left="420"/>
        <w:rPr>
          <w:rFonts w:ascii="Arial" w:hAnsi="Arial" w:cs="Arial"/>
          <w:sz w:val="24"/>
          <w:szCs w:val="24"/>
        </w:rPr>
      </w:pPr>
    </w:p>
    <w:p w14:paraId="7FB5225F" w14:textId="62F5343A" w:rsidR="009A48FC" w:rsidRDefault="009A48FC" w:rsidP="00343196">
      <w:pPr>
        <w:pStyle w:val="ListParagraph"/>
        <w:ind w:left="420"/>
        <w:rPr>
          <w:rFonts w:ascii="Arial" w:hAnsi="Arial" w:cs="Arial"/>
          <w:sz w:val="24"/>
          <w:szCs w:val="24"/>
        </w:rPr>
      </w:pPr>
      <w:r>
        <w:rPr>
          <w:rFonts w:ascii="Arial" w:hAnsi="Arial" w:cs="Arial"/>
          <w:sz w:val="24"/>
          <w:szCs w:val="24"/>
        </w:rPr>
        <w:t>Bolton v Stone</w:t>
      </w:r>
    </w:p>
    <w:p w14:paraId="6369A9BB" w14:textId="1E4488EE" w:rsidR="009A48FC" w:rsidRDefault="009A48FC" w:rsidP="009A48FC">
      <w:pPr>
        <w:pStyle w:val="ListParagraph"/>
        <w:ind w:left="420"/>
        <w:rPr>
          <w:rFonts w:ascii="Arial" w:hAnsi="Arial" w:cs="Arial"/>
          <w:sz w:val="24"/>
          <w:szCs w:val="24"/>
        </w:rPr>
      </w:pPr>
      <w:r>
        <w:rPr>
          <w:rFonts w:ascii="Arial" w:hAnsi="Arial" w:cs="Arial"/>
          <w:sz w:val="24"/>
          <w:szCs w:val="24"/>
        </w:rPr>
        <w:t>(1951) AC 850</w:t>
      </w:r>
    </w:p>
    <w:p w14:paraId="4645CE07" w14:textId="7EFDCBE3" w:rsidR="009A48FC" w:rsidRDefault="009A48FC" w:rsidP="009A48FC">
      <w:pPr>
        <w:pStyle w:val="ListParagraph"/>
        <w:ind w:left="420"/>
        <w:rPr>
          <w:rFonts w:ascii="Arial" w:hAnsi="Arial" w:cs="Arial"/>
          <w:sz w:val="24"/>
          <w:szCs w:val="24"/>
        </w:rPr>
      </w:pPr>
    </w:p>
    <w:p w14:paraId="6983D280" w14:textId="1314320C" w:rsidR="009A48FC" w:rsidRDefault="009A48FC" w:rsidP="009A48FC">
      <w:pPr>
        <w:pStyle w:val="ListParagraph"/>
        <w:ind w:left="420"/>
        <w:rPr>
          <w:rFonts w:ascii="Arial" w:hAnsi="Arial" w:cs="Arial"/>
          <w:sz w:val="24"/>
          <w:szCs w:val="24"/>
        </w:rPr>
      </w:pPr>
      <w:r>
        <w:rPr>
          <w:rFonts w:ascii="Arial" w:hAnsi="Arial" w:cs="Arial"/>
          <w:sz w:val="24"/>
          <w:szCs w:val="24"/>
        </w:rPr>
        <w:t>Bradford – Smart v West Sussex County Council</w:t>
      </w:r>
    </w:p>
    <w:p w14:paraId="08D0A259" w14:textId="223BC4CB" w:rsidR="009A48FC" w:rsidRDefault="009A48FC" w:rsidP="009A48FC">
      <w:pPr>
        <w:pStyle w:val="ListParagraph"/>
        <w:ind w:left="420"/>
        <w:rPr>
          <w:rFonts w:ascii="Arial" w:hAnsi="Arial" w:cs="Arial"/>
          <w:sz w:val="24"/>
          <w:szCs w:val="24"/>
        </w:rPr>
      </w:pPr>
      <w:r>
        <w:rPr>
          <w:rFonts w:ascii="Arial" w:hAnsi="Arial" w:cs="Arial"/>
          <w:sz w:val="24"/>
          <w:szCs w:val="24"/>
        </w:rPr>
        <w:t>(2002) EWCA CIV 7</w:t>
      </w:r>
    </w:p>
    <w:p w14:paraId="69F95864" w14:textId="1DC0DA75" w:rsidR="009A48FC" w:rsidRDefault="009A48FC" w:rsidP="009A48FC">
      <w:pPr>
        <w:pStyle w:val="ListParagraph"/>
        <w:ind w:left="420"/>
        <w:rPr>
          <w:rFonts w:ascii="Arial" w:hAnsi="Arial" w:cs="Arial"/>
          <w:sz w:val="24"/>
          <w:szCs w:val="24"/>
        </w:rPr>
      </w:pPr>
    </w:p>
    <w:p w14:paraId="0A898416" w14:textId="0BB71FB4" w:rsidR="009A48FC" w:rsidRDefault="00FE74CB" w:rsidP="009A48FC">
      <w:pPr>
        <w:pStyle w:val="ListParagraph"/>
        <w:ind w:left="420"/>
        <w:rPr>
          <w:rFonts w:ascii="Arial" w:hAnsi="Arial" w:cs="Arial"/>
          <w:sz w:val="24"/>
          <w:szCs w:val="24"/>
        </w:rPr>
      </w:pPr>
      <w:r>
        <w:rPr>
          <w:rFonts w:ascii="Arial" w:hAnsi="Arial" w:cs="Arial"/>
          <w:sz w:val="24"/>
          <w:szCs w:val="24"/>
        </w:rPr>
        <w:t xml:space="preserve">Fairchild v </w:t>
      </w:r>
      <w:proofErr w:type="spellStart"/>
      <w:r>
        <w:rPr>
          <w:rFonts w:ascii="Arial" w:hAnsi="Arial" w:cs="Arial"/>
          <w:sz w:val="24"/>
          <w:szCs w:val="24"/>
        </w:rPr>
        <w:t>Glenhaven</w:t>
      </w:r>
      <w:proofErr w:type="spellEnd"/>
      <w:r>
        <w:rPr>
          <w:rFonts w:ascii="Arial" w:hAnsi="Arial" w:cs="Arial"/>
          <w:sz w:val="24"/>
          <w:szCs w:val="24"/>
        </w:rPr>
        <w:t xml:space="preserve"> Funeral Services Ltd</w:t>
      </w:r>
    </w:p>
    <w:p w14:paraId="0B48041A" w14:textId="4A31876D" w:rsidR="00FE74CB" w:rsidRDefault="00FE74CB" w:rsidP="009A48FC">
      <w:pPr>
        <w:pStyle w:val="ListParagraph"/>
        <w:ind w:left="420"/>
        <w:rPr>
          <w:rFonts w:ascii="Arial" w:hAnsi="Arial" w:cs="Arial"/>
          <w:sz w:val="24"/>
          <w:szCs w:val="24"/>
        </w:rPr>
      </w:pPr>
      <w:r>
        <w:rPr>
          <w:rFonts w:ascii="Arial" w:hAnsi="Arial" w:cs="Arial"/>
          <w:sz w:val="24"/>
          <w:szCs w:val="24"/>
        </w:rPr>
        <w:t>(2002) 3 A11 ER 305</w:t>
      </w:r>
    </w:p>
    <w:p w14:paraId="69252CB9" w14:textId="5231A406" w:rsidR="00FE74CB" w:rsidRDefault="00FE74CB" w:rsidP="009A48FC">
      <w:pPr>
        <w:pStyle w:val="ListParagraph"/>
        <w:ind w:left="420"/>
        <w:rPr>
          <w:rFonts w:ascii="Arial" w:hAnsi="Arial" w:cs="Arial"/>
          <w:sz w:val="24"/>
          <w:szCs w:val="24"/>
        </w:rPr>
      </w:pPr>
    </w:p>
    <w:p w14:paraId="412051F9" w14:textId="58385F02" w:rsidR="00FE74CB" w:rsidRDefault="00FE74CB" w:rsidP="00FE74CB">
      <w:pPr>
        <w:pStyle w:val="ListParagraph"/>
        <w:ind w:left="420"/>
        <w:rPr>
          <w:rFonts w:ascii="Arial" w:hAnsi="Arial" w:cs="Arial"/>
          <w:sz w:val="24"/>
          <w:szCs w:val="24"/>
        </w:rPr>
      </w:pPr>
      <w:r>
        <w:rPr>
          <w:rFonts w:ascii="Arial" w:hAnsi="Arial" w:cs="Arial"/>
          <w:sz w:val="24"/>
          <w:szCs w:val="24"/>
        </w:rPr>
        <w:t>Mansfield V Weetabix Ltd</w:t>
      </w:r>
    </w:p>
    <w:p w14:paraId="05A1B436" w14:textId="1A4E46AB" w:rsidR="00FE74CB" w:rsidRDefault="00FE74CB" w:rsidP="00FE74CB">
      <w:pPr>
        <w:pStyle w:val="ListParagraph"/>
        <w:ind w:left="420"/>
        <w:rPr>
          <w:rFonts w:ascii="Arial" w:hAnsi="Arial" w:cs="Arial"/>
          <w:sz w:val="24"/>
          <w:szCs w:val="24"/>
        </w:rPr>
      </w:pPr>
      <w:r>
        <w:rPr>
          <w:rFonts w:ascii="Arial" w:hAnsi="Arial" w:cs="Arial"/>
          <w:sz w:val="24"/>
          <w:szCs w:val="24"/>
        </w:rPr>
        <w:t>(1998) 1 WLR 1263</w:t>
      </w:r>
    </w:p>
    <w:p w14:paraId="47F9D23B" w14:textId="5602FF8B" w:rsidR="00FE74CB" w:rsidRDefault="00FE74CB" w:rsidP="00FE74CB">
      <w:pPr>
        <w:pStyle w:val="ListParagraph"/>
        <w:ind w:left="420"/>
        <w:rPr>
          <w:rFonts w:ascii="Arial" w:hAnsi="Arial" w:cs="Arial"/>
          <w:sz w:val="24"/>
          <w:szCs w:val="24"/>
        </w:rPr>
      </w:pPr>
    </w:p>
    <w:p w14:paraId="4C1256BB" w14:textId="1227C07F" w:rsidR="00FE74CB" w:rsidRDefault="00FE74CB" w:rsidP="00FE74CB">
      <w:pPr>
        <w:pStyle w:val="ListParagraph"/>
        <w:ind w:left="420"/>
        <w:rPr>
          <w:rFonts w:ascii="Arial" w:hAnsi="Arial" w:cs="Arial"/>
          <w:sz w:val="24"/>
          <w:szCs w:val="24"/>
        </w:rPr>
      </w:pPr>
      <w:r>
        <w:rPr>
          <w:rFonts w:ascii="Arial" w:hAnsi="Arial" w:cs="Arial"/>
          <w:sz w:val="24"/>
          <w:szCs w:val="24"/>
        </w:rPr>
        <w:t>Mc Ghee v National Coal Board</w:t>
      </w:r>
    </w:p>
    <w:p w14:paraId="1A1095FD" w14:textId="5A86760F" w:rsidR="00FE74CB" w:rsidRDefault="00FE74CB" w:rsidP="00FE74CB">
      <w:pPr>
        <w:pStyle w:val="ListParagraph"/>
        <w:ind w:left="420"/>
        <w:rPr>
          <w:rFonts w:ascii="Arial" w:hAnsi="Arial" w:cs="Arial"/>
          <w:sz w:val="24"/>
          <w:szCs w:val="24"/>
        </w:rPr>
      </w:pPr>
      <w:r>
        <w:rPr>
          <w:rFonts w:ascii="Arial" w:hAnsi="Arial" w:cs="Arial"/>
          <w:sz w:val="24"/>
          <w:szCs w:val="24"/>
        </w:rPr>
        <w:t>(1973) 1 WLR 1</w:t>
      </w:r>
    </w:p>
    <w:p w14:paraId="736BF736" w14:textId="0FF7C3B0" w:rsidR="00FE74CB" w:rsidRDefault="00FE74CB" w:rsidP="00FE74CB">
      <w:pPr>
        <w:pStyle w:val="ListParagraph"/>
        <w:ind w:left="420"/>
        <w:rPr>
          <w:rFonts w:ascii="Arial" w:hAnsi="Arial" w:cs="Arial"/>
          <w:sz w:val="24"/>
          <w:szCs w:val="24"/>
        </w:rPr>
      </w:pPr>
    </w:p>
    <w:p w14:paraId="2F1AEE29" w14:textId="3A65BCC1" w:rsidR="00FE74CB" w:rsidRDefault="00FE74CB" w:rsidP="00FE74CB">
      <w:pPr>
        <w:pStyle w:val="ListParagraph"/>
        <w:ind w:left="420"/>
        <w:rPr>
          <w:rFonts w:ascii="Arial" w:hAnsi="Arial" w:cs="Arial"/>
          <w:sz w:val="24"/>
          <w:szCs w:val="24"/>
        </w:rPr>
      </w:pPr>
      <w:r>
        <w:rPr>
          <w:rFonts w:ascii="Arial" w:hAnsi="Arial" w:cs="Arial"/>
          <w:sz w:val="24"/>
          <w:szCs w:val="24"/>
        </w:rPr>
        <w:t xml:space="preserve">Mc Hale v Watson </w:t>
      </w:r>
    </w:p>
    <w:p w14:paraId="6C071DF0" w14:textId="296B4451" w:rsidR="00FE74CB" w:rsidRDefault="00FE74CB" w:rsidP="00FE74CB">
      <w:pPr>
        <w:pStyle w:val="ListParagraph"/>
        <w:ind w:left="420"/>
        <w:rPr>
          <w:rFonts w:ascii="Arial" w:hAnsi="Arial" w:cs="Arial"/>
          <w:sz w:val="24"/>
          <w:szCs w:val="24"/>
        </w:rPr>
      </w:pPr>
      <w:r>
        <w:rPr>
          <w:rFonts w:ascii="Arial" w:hAnsi="Arial" w:cs="Arial"/>
          <w:sz w:val="24"/>
          <w:szCs w:val="24"/>
        </w:rPr>
        <w:t>(1966) ALR 531</w:t>
      </w:r>
    </w:p>
    <w:p w14:paraId="1328967B" w14:textId="1721AD9D" w:rsidR="00FE74CB" w:rsidRDefault="00FE74CB" w:rsidP="00FE74CB">
      <w:pPr>
        <w:pStyle w:val="ListParagraph"/>
        <w:ind w:left="420"/>
        <w:rPr>
          <w:rFonts w:ascii="Arial" w:hAnsi="Arial" w:cs="Arial"/>
          <w:sz w:val="24"/>
          <w:szCs w:val="24"/>
        </w:rPr>
      </w:pPr>
    </w:p>
    <w:p w14:paraId="020E0F5B" w14:textId="31EA7209" w:rsidR="00FE74CB" w:rsidRDefault="00FE74CB" w:rsidP="00FE74CB">
      <w:pPr>
        <w:pStyle w:val="ListParagraph"/>
        <w:ind w:left="420"/>
        <w:rPr>
          <w:rFonts w:ascii="Arial" w:hAnsi="Arial" w:cs="Arial"/>
          <w:sz w:val="24"/>
          <w:szCs w:val="24"/>
        </w:rPr>
      </w:pPr>
      <w:proofErr w:type="spellStart"/>
      <w:r>
        <w:rPr>
          <w:rFonts w:ascii="Arial" w:hAnsi="Arial" w:cs="Arial"/>
          <w:sz w:val="24"/>
          <w:szCs w:val="24"/>
        </w:rPr>
        <w:t>Mulin</w:t>
      </w:r>
      <w:proofErr w:type="spellEnd"/>
      <w:r>
        <w:rPr>
          <w:rFonts w:ascii="Arial" w:hAnsi="Arial" w:cs="Arial"/>
          <w:sz w:val="24"/>
          <w:szCs w:val="24"/>
        </w:rPr>
        <w:t xml:space="preserve"> v Richards</w:t>
      </w:r>
    </w:p>
    <w:p w14:paraId="0A2592FF" w14:textId="3A367C1E" w:rsidR="00FE74CB" w:rsidRDefault="00FE74CB" w:rsidP="00FE74CB">
      <w:pPr>
        <w:pStyle w:val="ListParagraph"/>
        <w:ind w:left="420"/>
        <w:rPr>
          <w:rFonts w:ascii="Arial" w:hAnsi="Arial" w:cs="Arial"/>
          <w:sz w:val="24"/>
          <w:szCs w:val="24"/>
        </w:rPr>
      </w:pPr>
      <w:r>
        <w:rPr>
          <w:rFonts w:ascii="Arial" w:hAnsi="Arial" w:cs="Arial"/>
          <w:sz w:val="24"/>
          <w:szCs w:val="24"/>
        </w:rPr>
        <w:t>(1998) 1 ALL ER 920</w:t>
      </w:r>
    </w:p>
    <w:p w14:paraId="5744578D" w14:textId="73DF8F17" w:rsidR="00FE74CB" w:rsidRDefault="00FE74CB" w:rsidP="00FE74CB">
      <w:pPr>
        <w:pStyle w:val="ListParagraph"/>
        <w:ind w:left="420"/>
        <w:rPr>
          <w:rFonts w:ascii="Arial" w:hAnsi="Arial" w:cs="Arial"/>
          <w:sz w:val="24"/>
          <w:szCs w:val="24"/>
        </w:rPr>
      </w:pPr>
    </w:p>
    <w:p w14:paraId="62816183" w14:textId="4DA39259" w:rsidR="00FE74CB" w:rsidRDefault="00FE74CB" w:rsidP="00FE74CB">
      <w:pPr>
        <w:pStyle w:val="ListParagraph"/>
        <w:ind w:left="420"/>
        <w:rPr>
          <w:rFonts w:ascii="Arial" w:hAnsi="Arial" w:cs="Arial"/>
          <w:sz w:val="24"/>
          <w:szCs w:val="24"/>
        </w:rPr>
      </w:pPr>
      <w:r>
        <w:rPr>
          <w:rFonts w:ascii="Arial" w:hAnsi="Arial" w:cs="Arial"/>
          <w:sz w:val="24"/>
          <w:szCs w:val="24"/>
        </w:rPr>
        <w:t>Nettleship v Weston</w:t>
      </w:r>
    </w:p>
    <w:p w14:paraId="17323D52" w14:textId="7F5B3734" w:rsidR="00FE74CB" w:rsidRDefault="00FE74CB" w:rsidP="00FE74CB">
      <w:pPr>
        <w:pStyle w:val="ListParagraph"/>
        <w:ind w:left="420"/>
        <w:rPr>
          <w:rFonts w:ascii="Arial" w:hAnsi="Arial" w:cs="Arial"/>
          <w:sz w:val="24"/>
          <w:szCs w:val="24"/>
        </w:rPr>
      </w:pPr>
      <w:r>
        <w:rPr>
          <w:rFonts w:ascii="Arial" w:hAnsi="Arial" w:cs="Arial"/>
          <w:sz w:val="24"/>
          <w:szCs w:val="24"/>
        </w:rPr>
        <w:t>(1971) 2 QB 691</w:t>
      </w:r>
    </w:p>
    <w:p w14:paraId="6961C87D" w14:textId="67555453" w:rsidR="00FE74CB" w:rsidRDefault="00FE74CB" w:rsidP="00FE74CB">
      <w:pPr>
        <w:pStyle w:val="ListParagraph"/>
        <w:ind w:left="420"/>
        <w:rPr>
          <w:rFonts w:ascii="Arial" w:hAnsi="Arial" w:cs="Arial"/>
          <w:sz w:val="24"/>
          <w:szCs w:val="24"/>
        </w:rPr>
      </w:pPr>
    </w:p>
    <w:p w14:paraId="4F90EA17" w14:textId="7A9567CD" w:rsidR="00FE74CB" w:rsidRDefault="00FE74CB" w:rsidP="00FE74CB">
      <w:pPr>
        <w:pStyle w:val="ListParagraph"/>
        <w:ind w:left="420"/>
        <w:rPr>
          <w:rFonts w:ascii="Arial" w:hAnsi="Arial" w:cs="Arial"/>
          <w:sz w:val="24"/>
          <w:szCs w:val="24"/>
        </w:rPr>
      </w:pPr>
      <w:r>
        <w:rPr>
          <w:rFonts w:ascii="Arial" w:hAnsi="Arial" w:cs="Arial"/>
          <w:sz w:val="24"/>
          <w:szCs w:val="24"/>
        </w:rPr>
        <w:t>Robert v Ramsbottom</w:t>
      </w:r>
    </w:p>
    <w:p w14:paraId="50BC2BFE" w14:textId="390CA306" w:rsidR="00FE74CB" w:rsidRDefault="00FE74CB" w:rsidP="00FE74CB">
      <w:pPr>
        <w:pStyle w:val="ListParagraph"/>
        <w:ind w:left="420"/>
        <w:rPr>
          <w:rFonts w:ascii="Arial" w:hAnsi="Arial" w:cs="Arial"/>
          <w:sz w:val="24"/>
          <w:szCs w:val="24"/>
        </w:rPr>
      </w:pPr>
      <w:r>
        <w:rPr>
          <w:rFonts w:ascii="Arial" w:hAnsi="Arial" w:cs="Arial"/>
          <w:sz w:val="24"/>
          <w:szCs w:val="24"/>
        </w:rPr>
        <w:t>(1980) 1 WLR 823</w:t>
      </w:r>
    </w:p>
    <w:p w14:paraId="34D6F380" w14:textId="35483291" w:rsidR="00FE74CB" w:rsidRDefault="00FE74CB" w:rsidP="00FE74CB">
      <w:pPr>
        <w:pStyle w:val="ListParagraph"/>
        <w:ind w:left="420"/>
        <w:rPr>
          <w:rFonts w:ascii="Arial" w:hAnsi="Arial" w:cs="Arial"/>
          <w:sz w:val="24"/>
          <w:szCs w:val="24"/>
        </w:rPr>
      </w:pPr>
    </w:p>
    <w:p w14:paraId="2DC8BFF1" w14:textId="2B18EDAB" w:rsidR="00FE74CB" w:rsidRDefault="00FE74CB" w:rsidP="00FE74CB">
      <w:pPr>
        <w:pStyle w:val="ListParagraph"/>
        <w:ind w:left="420"/>
        <w:rPr>
          <w:rFonts w:ascii="Arial" w:hAnsi="Arial" w:cs="Arial"/>
          <w:sz w:val="24"/>
          <w:szCs w:val="24"/>
        </w:rPr>
      </w:pPr>
      <w:r>
        <w:rPr>
          <w:rFonts w:ascii="Arial" w:hAnsi="Arial" w:cs="Arial"/>
          <w:sz w:val="24"/>
          <w:szCs w:val="24"/>
        </w:rPr>
        <w:lastRenderedPageBreak/>
        <w:t>Tomlinson v Congleton Borough Council</w:t>
      </w:r>
    </w:p>
    <w:p w14:paraId="766275BC" w14:textId="3EA4C223" w:rsidR="00FE74CB" w:rsidRDefault="00FE74CB" w:rsidP="00FE74CB">
      <w:pPr>
        <w:pStyle w:val="ListParagraph"/>
        <w:ind w:left="420"/>
        <w:rPr>
          <w:rFonts w:ascii="Arial" w:hAnsi="Arial" w:cs="Arial"/>
          <w:sz w:val="24"/>
          <w:szCs w:val="24"/>
        </w:rPr>
      </w:pPr>
      <w:r>
        <w:rPr>
          <w:rFonts w:ascii="Arial" w:hAnsi="Arial" w:cs="Arial"/>
          <w:sz w:val="24"/>
          <w:szCs w:val="24"/>
        </w:rPr>
        <w:t>(2003) UKHL 47; (2004) 1 AC 46</w:t>
      </w:r>
    </w:p>
    <w:p w14:paraId="51B89E64" w14:textId="32A14ED3" w:rsidR="00FE74CB" w:rsidRDefault="00FE74CB" w:rsidP="00FE74CB">
      <w:pPr>
        <w:pStyle w:val="ListParagraph"/>
        <w:ind w:left="420"/>
        <w:rPr>
          <w:rFonts w:ascii="Arial" w:hAnsi="Arial" w:cs="Arial"/>
          <w:sz w:val="24"/>
          <w:szCs w:val="24"/>
        </w:rPr>
      </w:pPr>
    </w:p>
    <w:p w14:paraId="7159CF17" w14:textId="317DDE89" w:rsidR="00FE74CB" w:rsidRDefault="00FE74CB" w:rsidP="00FE74CB">
      <w:pPr>
        <w:pStyle w:val="ListParagraph"/>
        <w:ind w:left="420"/>
        <w:rPr>
          <w:rFonts w:ascii="Arial" w:hAnsi="Arial" w:cs="Arial"/>
          <w:sz w:val="24"/>
          <w:szCs w:val="24"/>
        </w:rPr>
      </w:pPr>
      <w:r>
        <w:rPr>
          <w:rFonts w:ascii="Arial" w:hAnsi="Arial" w:cs="Arial"/>
          <w:sz w:val="24"/>
          <w:szCs w:val="24"/>
        </w:rPr>
        <w:t xml:space="preserve">Watt v Hertfordshire County Council </w:t>
      </w:r>
    </w:p>
    <w:p w14:paraId="44CEEC8F" w14:textId="12B3484D" w:rsidR="00FE74CB" w:rsidRDefault="00FE74CB" w:rsidP="00FE74CB">
      <w:pPr>
        <w:pStyle w:val="ListParagraph"/>
        <w:ind w:left="420"/>
        <w:rPr>
          <w:rFonts w:ascii="Arial" w:hAnsi="Arial" w:cs="Arial"/>
          <w:sz w:val="24"/>
          <w:szCs w:val="24"/>
        </w:rPr>
      </w:pPr>
      <w:r>
        <w:rPr>
          <w:rFonts w:ascii="Arial" w:hAnsi="Arial" w:cs="Arial"/>
          <w:sz w:val="24"/>
          <w:szCs w:val="24"/>
        </w:rPr>
        <w:t>(1954) 1 WLR 835</w:t>
      </w:r>
    </w:p>
    <w:p w14:paraId="02E96993" w14:textId="4F83D756" w:rsidR="00FE74CB" w:rsidRDefault="00FE74CB" w:rsidP="00FE74CB">
      <w:pPr>
        <w:pStyle w:val="ListParagraph"/>
        <w:ind w:left="420"/>
        <w:rPr>
          <w:rFonts w:ascii="Arial" w:hAnsi="Arial" w:cs="Arial"/>
          <w:sz w:val="24"/>
          <w:szCs w:val="24"/>
        </w:rPr>
      </w:pPr>
    </w:p>
    <w:p w14:paraId="0FE8DB29" w14:textId="1938A20E" w:rsidR="00FE74CB" w:rsidRDefault="00FE74CB" w:rsidP="00FE74CB">
      <w:pPr>
        <w:pStyle w:val="ListParagraph"/>
        <w:ind w:left="420"/>
        <w:rPr>
          <w:rFonts w:ascii="Arial" w:hAnsi="Arial" w:cs="Arial"/>
          <w:sz w:val="24"/>
          <w:szCs w:val="24"/>
        </w:rPr>
      </w:pPr>
      <w:proofErr w:type="spellStart"/>
      <w:r>
        <w:rPr>
          <w:rFonts w:ascii="Arial" w:hAnsi="Arial" w:cs="Arial"/>
          <w:sz w:val="24"/>
          <w:szCs w:val="24"/>
        </w:rPr>
        <w:t>Wilsher</w:t>
      </w:r>
      <w:proofErr w:type="spellEnd"/>
      <w:r>
        <w:rPr>
          <w:rFonts w:ascii="Arial" w:hAnsi="Arial" w:cs="Arial"/>
          <w:sz w:val="24"/>
          <w:szCs w:val="24"/>
        </w:rPr>
        <w:t xml:space="preserve"> v Essex Area Health</w:t>
      </w:r>
      <w:r w:rsidR="00624169">
        <w:rPr>
          <w:rFonts w:ascii="Arial" w:hAnsi="Arial" w:cs="Arial"/>
          <w:sz w:val="24"/>
          <w:szCs w:val="24"/>
        </w:rPr>
        <w:t xml:space="preserve"> Authority</w:t>
      </w:r>
    </w:p>
    <w:p w14:paraId="2CADC19D" w14:textId="59DB6F26" w:rsidR="00624169" w:rsidRPr="00FE74CB" w:rsidRDefault="00624169" w:rsidP="00FE74CB">
      <w:pPr>
        <w:pStyle w:val="ListParagraph"/>
        <w:ind w:left="420"/>
        <w:rPr>
          <w:rFonts w:ascii="Arial" w:hAnsi="Arial" w:cs="Arial"/>
          <w:sz w:val="24"/>
          <w:szCs w:val="24"/>
        </w:rPr>
      </w:pPr>
      <w:r>
        <w:rPr>
          <w:rFonts w:ascii="Arial" w:hAnsi="Arial" w:cs="Arial"/>
          <w:sz w:val="24"/>
          <w:szCs w:val="24"/>
        </w:rPr>
        <w:t>(1988) 1 A11 ER 871</w:t>
      </w:r>
    </w:p>
    <w:p w14:paraId="3E066C4A" w14:textId="17752ED3" w:rsidR="00C338CD" w:rsidRDefault="00C338CD" w:rsidP="00343196">
      <w:pPr>
        <w:pStyle w:val="ListParagraph"/>
        <w:ind w:left="420"/>
        <w:rPr>
          <w:rFonts w:ascii="Arial" w:hAnsi="Arial" w:cs="Arial"/>
          <w:sz w:val="24"/>
          <w:szCs w:val="24"/>
        </w:rPr>
      </w:pPr>
    </w:p>
    <w:p w14:paraId="05920343" w14:textId="77777777" w:rsidR="00C338CD" w:rsidRPr="00343196" w:rsidRDefault="00C338CD" w:rsidP="00343196">
      <w:pPr>
        <w:pStyle w:val="ListParagraph"/>
        <w:ind w:left="420"/>
        <w:rPr>
          <w:rFonts w:ascii="Arial" w:hAnsi="Arial" w:cs="Arial"/>
          <w:sz w:val="24"/>
          <w:szCs w:val="24"/>
        </w:rPr>
      </w:pPr>
    </w:p>
    <w:sectPr w:rsidR="00C338CD" w:rsidRPr="00343196" w:rsidSect="008746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AC0C3B"/>
    <w:multiLevelType w:val="hybridMultilevel"/>
    <w:tmpl w:val="22404700"/>
    <w:lvl w:ilvl="0" w:tplc="AC42ED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C9"/>
    <w:rsid w:val="00002DAC"/>
    <w:rsid w:val="000152A9"/>
    <w:rsid w:val="000178F9"/>
    <w:rsid w:val="00030A7E"/>
    <w:rsid w:val="00080E5D"/>
    <w:rsid w:val="00134641"/>
    <w:rsid w:val="00193A7D"/>
    <w:rsid w:val="001B5BE5"/>
    <w:rsid w:val="00207E9A"/>
    <w:rsid w:val="00264417"/>
    <w:rsid w:val="00270FB3"/>
    <w:rsid w:val="00291070"/>
    <w:rsid w:val="00294537"/>
    <w:rsid w:val="002E0543"/>
    <w:rsid w:val="0034171E"/>
    <w:rsid w:val="00343196"/>
    <w:rsid w:val="003B3155"/>
    <w:rsid w:val="003E1A18"/>
    <w:rsid w:val="004013BE"/>
    <w:rsid w:val="00440093"/>
    <w:rsid w:val="004615D7"/>
    <w:rsid w:val="004F63B0"/>
    <w:rsid w:val="0050448E"/>
    <w:rsid w:val="00507E48"/>
    <w:rsid w:val="00520852"/>
    <w:rsid w:val="005755AB"/>
    <w:rsid w:val="005E1106"/>
    <w:rsid w:val="005E38A3"/>
    <w:rsid w:val="00605191"/>
    <w:rsid w:val="00624169"/>
    <w:rsid w:val="006A04AC"/>
    <w:rsid w:val="00711694"/>
    <w:rsid w:val="00775B58"/>
    <w:rsid w:val="0083071A"/>
    <w:rsid w:val="00843C88"/>
    <w:rsid w:val="008746C9"/>
    <w:rsid w:val="009A48FC"/>
    <w:rsid w:val="009B4141"/>
    <w:rsid w:val="009D15F7"/>
    <w:rsid w:val="00B05B69"/>
    <w:rsid w:val="00B215A8"/>
    <w:rsid w:val="00B636C0"/>
    <w:rsid w:val="00B821A0"/>
    <w:rsid w:val="00BE0F9E"/>
    <w:rsid w:val="00C0654D"/>
    <w:rsid w:val="00C338CD"/>
    <w:rsid w:val="00C412C0"/>
    <w:rsid w:val="00D532A4"/>
    <w:rsid w:val="00DA793B"/>
    <w:rsid w:val="00DB4E38"/>
    <w:rsid w:val="00E1083B"/>
    <w:rsid w:val="00E27E52"/>
    <w:rsid w:val="00E37957"/>
    <w:rsid w:val="00E82455"/>
    <w:rsid w:val="00E96489"/>
    <w:rsid w:val="00EB3601"/>
    <w:rsid w:val="00F03762"/>
    <w:rsid w:val="00FB5688"/>
    <w:rsid w:val="00FE7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7C988"/>
  <w15:chartTrackingRefBased/>
  <w15:docId w15:val="{539CF46D-F534-4AAD-8743-F3648B18D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46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46C9"/>
    <w:rPr>
      <w:rFonts w:eastAsiaTheme="minorEastAsia"/>
      <w:lang w:val="en-US"/>
    </w:rPr>
  </w:style>
  <w:style w:type="paragraph" w:styleId="Title">
    <w:name w:val="Title"/>
    <w:basedOn w:val="Normal"/>
    <w:next w:val="Normal"/>
    <w:link w:val="TitleChar"/>
    <w:uiPriority w:val="10"/>
    <w:qFormat/>
    <w:rsid w:val="008746C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746C9"/>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746C9"/>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746C9"/>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343196"/>
    <w:pPr>
      <w:ind w:left="720"/>
      <w:contextualSpacing/>
    </w:pPr>
  </w:style>
  <w:style w:type="character" w:styleId="Hyperlink">
    <w:name w:val="Hyperlink"/>
    <w:basedOn w:val="DefaultParagraphFont"/>
    <w:uiPriority w:val="99"/>
    <w:unhideWhenUsed/>
    <w:rsid w:val="00C338CD"/>
    <w:rPr>
      <w:color w:val="0563C1" w:themeColor="hyperlink"/>
      <w:u w:val="single"/>
    </w:rPr>
  </w:style>
  <w:style w:type="character" w:styleId="UnresolvedMention">
    <w:name w:val="Unresolved Mention"/>
    <w:basedOn w:val="DefaultParagraphFont"/>
    <w:uiPriority w:val="99"/>
    <w:semiHidden/>
    <w:unhideWhenUsed/>
    <w:rsid w:val="00C33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465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re.co.uk/news/what-is-duty-of-care" TargetMode="External"/><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Bra07</b:Tag>
    <b:SourceType>Book</b:SourceType>
    <b:Guid>{C01B1033-1929-4C4B-B897-65FFA56BBC79}</b:Guid>
    <b:Author>
      <b:Author>
        <b:NameList>
          <b:Person>
            <b:Last>Rowlands</b:Last>
            <b:First>Bradbury</b:First>
            <b:Middle>&amp;</b:Middle>
          </b:Person>
        </b:NameList>
      </b:Author>
    </b:Author>
    <b:Title>A2 Law Tort Law</b:Title>
    <b:Year>2007</b:Year>
    <b:City>Oxfordshire</b:City>
    <b:Publisher>Phillip Allan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37CDAD-D927-4373-B829-7384D5637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2300</Words>
  <Characters>13111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Breach of Duty.</vt:lpstr>
    </vt:vector>
  </TitlesOfParts>
  <Company/>
  <LinksUpToDate>false</LinksUpToDate>
  <CharactersWithSpaces>15381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Breach of Duty.</dc:title>
  <dc:subject>Tort Law.</dc:subject>
  <dc:creator>Mel Jane Box</dc:creator>
  <cp:keywords/>
  <dc:description/>
  <cp:lastModifiedBy>Mel Jane Box (2003707)</cp:lastModifiedBy>
  <cp:revision>2</cp:revision>
  <dcterms:created xsi:type="dcterms:W3CDTF">2021-11-02T13:41:00Z</dcterms:created>
  <dcterms:modified xsi:type="dcterms:W3CDTF">2021-11-02T13:41:00Z</dcterms:modified>
  <cp:category>BMLW5008</cp:category>
</cp:coreProperties>
</file>