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13A1CE" w14:textId="56E523CF" w:rsidR="0041780D" w:rsidRPr="00F30082" w:rsidRDefault="00993D38" w:rsidP="002F0925">
      <w:pPr>
        <w:spacing w:before="1600"/>
        <w:jc w:val="center"/>
        <w:rPr>
          <w:b/>
          <w:sz w:val="40"/>
        </w:rPr>
      </w:pPr>
      <w:r w:rsidRPr="00F30082">
        <w:rPr>
          <w:rFonts w:ascii="Arial" w:hAnsi="Arial" w:cs="Arial"/>
          <w:noProof/>
        </w:rPr>
        <w:drawing>
          <wp:anchor distT="0" distB="0" distL="114300" distR="114300" simplePos="0" relativeHeight="251659776" behindDoc="1" locked="0" layoutInCell="1" allowOverlap="1" wp14:anchorId="5FC005F5" wp14:editId="09DC1526">
            <wp:simplePos x="0" y="0"/>
            <wp:positionH relativeFrom="column">
              <wp:posOffset>3867150</wp:posOffset>
            </wp:positionH>
            <wp:positionV relativeFrom="paragraph">
              <wp:posOffset>-7620</wp:posOffset>
            </wp:positionV>
            <wp:extent cx="1638300" cy="723900"/>
            <wp:effectExtent l="0" t="0" r="0" b="0"/>
            <wp:wrapTight wrapText="bothSides">
              <wp:wrapPolygon edited="0">
                <wp:start x="0" y="0"/>
                <wp:lineTo x="0" y="14779"/>
                <wp:lineTo x="2009" y="19326"/>
                <wp:lineTo x="2009" y="19895"/>
                <wp:lineTo x="8540" y="21032"/>
                <wp:lineTo x="9544" y="21032"/>
                <wp:lineTo x="18084" y="19895"/>
                <wp:lineTo x="17833" y="19326"/>
                <wp:lineTo x="21349" y="15916"/>
                <wp:lineTo x="21349" y="10232"/>
                <wp:lineTo x="19088" y="10232"/>
                <wp:lineTo x="19842" y="1137"/>
                <wp:lineTo x="15321" y="0"/>
                <wp:lineTo x="0" y="0"/>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63830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B53CB" w:rsidRPr="00F30082">
        <w:rPr>
          <w:b/>
          <w:sz w:val="32"/>
        </w:rPr>
        <w:t>A Critical Analysis of Primark</w:t>
      </w: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F0925" w:rsidRPr="00F30082" w14:paraId="1493E94F" w14:textId="77777777" w:rsidTr="002F0925">
        <w:trPr>
          <w:jc w:val="center"/>
        </w:trPr>
        <w:tc>
          <w:tcPr>
            <w:tcW w:w="2093" w:type="dxa"/>
          </w:tcPr>
          <w:p w14:paraId="35A4AF11" w14:textId="77777777" w:rsidR="002F0925" w:rsidRPr="00F30082" w:rsidRDefault="002F0925" w:rsidP="002F40E4">
            <w:pPr>
              <w:spacing w:before="120"/>
              <w:rPr>
                <w:rFonts w:ascii="Arial" w:hAnsi="Arial" w:cs="Arial"/>
                <w:b/>
                <w:sz w:val="22"/>
              </w:rPr>
            </w:pPr>
            <w:r w:rsidRPr="00F30082">
              <w:rPr>
                <w:rFonts w:ascii="Arial" w:hAnsi="Arial" w:cs="Arial"/>
                <w:b/>
                <w:sz w:val="22"/>
              </w:rPr>
              <w:t>Student name:</w:t>
            </w:r>
          </w:p>
        </w:tc>
        <w:tc>
          <w:tcPr>
            <w:tcW w:w="3293" w:type="dxa"/>
          </w:tcPr>
          <w:p w14:paraId="09DCE77C" w14:textId="5CFB60F9" w:rsidR="002F0925" w:rsidRPr="00F30082" w:rsidRDefault="002F0925" w:rsidP="002F40E4">
            <w:pPr>
              <w:spacing w:before="120"/>
              <w:rPr>
                <w:rFonts w:ascii="Arial" w:hAnsi="Arial" w:cs="Arial"/>
                <w:b/>
                <w:sz w:val="22"/>
              </w:rPr>
            </w:pPr>
            <w:r w:rsidRPr="00F30082">
              <w:rPr>
                <w:szCs w:val="24"/>
              </w:rPr>
              <w:t>Winston Hall</w:t>
            </w:r>
          </w:p>
        </w:tc>
        <w:tc>
          <w:tcPr>
            <w:tcW w:w="2268" w:type="dxa"/>
            <w:shd w:val="clear" w:color="auto" w:fill="D9D9D9" w:themeFill="background1" w:themeFillShade="D9"/>
          </w:tcPr>
          <w:p w14:paraId="7AA93E62" w14:textId="77777777" w:rsidR="002F0925" w:rsidRPr="00F30082" w:rsidRDefault="002F0925" w:rsidP="002F40E4">
            <w:pPr>
              <w:spacing w:before="120"/>
              <w:rPr>
                <w:rFonts w:ascii="Arial" w:hAnsi="Arial" w:cs="Arial"/>
                <w:b/>
                <w:sz w:val="22"/>
              </w:rPr>
            </w:pPr>
            <w:r w:rsidRPr="00F30082">
              <w:rPr>
                <w:rFonts w:ascii="Arial" w:hAnsi="Arial" w:cs="Arial"/>
                <w:b/>
                <w:sz w:val="22"/>
              </w:rPr>
              <w:t>Student ID number:</w:t>
            </w:r>
          </w:p>
        </w:tc>
        <w:tc>
          <w:tcPr>
            <w:tcW w:w="2268" w:type="dxa"/>
          </w:tcPr>
          <w:p w14:paraId="49CB3A99" w14:textId="77777777" w:rsidR="002F0925" w:rsidRPr="00F30082" w:rsidRDefault="002F0925" w:rsidP="002F40E4">
            <w:pPr>
              <w:spacing w:before="120"/>
              <w:rPr>
                <w:rFonts w:ascii="Arial" w:hAnsi="Arial" w:cs="Arial"/>
                <w:b/>
                <w:sz w:val="22"/>
              </w:rPr>
            </w:pPr>
            <w:r w:rsidRPr="00F30082">
              <w:rPr>
                <w:szCs w:val="24"/>
              </w:rPr>
              <w:t>2422871</w:t>
            </w:r>
          </w:p>
        </w:tc>
      </w:tr>
      <w:tr w:rsidR="002F0925" w:rsidRPr="00F30082" w14:paraId="3E2345B2" w14:textId="77777777" w:rsidTr="002F0925">
        <w:trPr>
          <w:jc w:val="center"/>
        </w:trPr>
        <w:tc>
          <w:tcPr>
            <w:tcW w:w="2093" w:type="dxa"/>
          </w:tcPr>
          <w:p w14:paraId="096A3A7E" w14:textId="77777777" w:rsidR="002F0925" w:rsidRPr="00F30082" w:rsidRDefault="002F0925" w:rsidP="002F40E4">
            <w:pPr>
              <w:spacing w:before="120"/>
              <w:rPr>
                <w:rFonts w:ascii="Arial" w:hAnsi="Arial" w:cs="Arial"/>
                <w:b/>
                <w:sz w:val="22"/>
              </w:rPr>
            </w:pPr>
            <w:proofErr w:type="spellStart"/>
            <w:r w:rsidRPr="00F30082">
              <w:rPr>
                <w:rFonts w:ascii="Arial" w:hAnsi="Arial" w:cs="Arial"/>
                <w:b/>
                <w:sz w:val="22"/>
              </w:rPr>
              <w:t>Programme</w:t>
            </w:r>
            <w:proofErr w:type="spellEnd"/>
            <w:r w:rsidRPr="00F30082">
              <w:rPr>
                <w:rFonts w:ascii="Arial" w:hAnsi="Arial" w:cs="Arial"/>
                <w:b/>
                <w:sz w:val="22"/>
              </w:rPr>
              <w:t>:</w:t>
            </w:r>
          </w:p>
        </w:tc>
        <w:tc>
          <w:tcPr>
            <w:tcW w:w="7829" w:type="dxa"/>
            <w:gridSpan w:val="3"/>
          </w:tcPr>
          <w:p w14:paraId="4B52AF7E" w14:textId="77777777" w:rsidR="002F0925" w:rsidRPr="00F30082" w:rsidRDefault="002F0925" w:rsidP="002F40E4">
            <w:pPr>
              <w:pStyle w:val="TableParagraph"/>
              <w:spacing w:before="119"/>
              <w:ind w:left="105"/>
              <w:rPr>
                <w:b/>
              </w:rPr>
            </w:pPr>
            <w:r w:rsidRPr="00F30082">
              <w:rPr>
                <w:b/>
                <w:sz w:val="21"/>
                <w:lang w:val="en-GB"/>
              </w:rPr>
              <w:t>BA (Hons) Leadership and Management Skills for the Workplace</w:t>
            </w:r>
          </w:p>
        </w:tc>
      </w:tr>
      <w:tr w:rsidR="002F0925" w:rsidRPr="00F30082" w14:paraId="4136248A" w14:textId="77777777" w:rsidTr="002F0925">
        <w:trPr>
          <w:jc w:val="center"/>
        </w:trPr>
        <w:tc>
          <w:tcPr>
            <w:tcW w:w="2093" w:type="dxa"/>
          </w:tcPr>
          <w:p w14:paraId="6A359E18" w14:textId="77777777" w:rsidR="002F0925" w:rsidRPr="00F30082" w:rsidRDefault="002F0925" w:rsidP="002F40E4">
            <w:pPr>
              <w:spacing w:before="120"/>
              <w:rPr>
                <w:rFonts w:ascii="Arial" w:hAnsi="Arial" w:cs="Arial"/>
                <w:b/>
                <w:sz w:val="22"/>
              </w:rPr>
            </w:pPr>
            <w:r w:rsidRPr="00F30082">
              <w:rPr>
                <w:rFonts w:ascii="Arial" w:hAnsi="Arial" w:cs="Arial"/>
                <w:b/>
                <w:sz w:val="22"/>
              </w:rPr>
              <w:t>Module:</w:t>
            </w:r>
          </w:p>
        </w:tc>
        <w:tc>
          <w:tcPr>
            <w:tcW w:w="7829" w:type="dxa"/>
            <w:gridSpan w:val="3"/>
          </w:tcPr>
          <w:p w14:paraId="25FEF628" w14:textId="77777777" w:rsidR="002F0925" w:rsidRPr="00F30082" w:rsidRDefault="002F0925" w:rsidP="002F40E4">
            <w:pPr>
              <w:pStyle w:val="TableParagraph"/>
              <w:spacing w:before="119"/>
              <w:ind w:left="105"/>
              <w:rPr>
                <w:b/>
              </w:rPr>
            </w:pPr>
            <w:r w:rsidRPr="00F30082">
              <w:rPr>
                <w:b/>
                <w:sz w:val="21"/>
                <w:lang w:val="en-GB"/>
              </w:rPr>
              <w:t>Organisational Culture</w:t>
            </w:r>
          </w:p>
        </w:tc>
      </w:tr>
      <w:tr w:rsidR="002F0925" w:rsidRPr="00F30082" w14:paraId="50FF9AF6" w14:textId="77777777" w:rsidTr="002F0925">
        <w:trPr>
          <w:jc w:val="center"/>
        </w:trPr>
        <w:tc>
          <w:tcPr>
            <w:tcW w:w="2093" w:type="dxa"/>
          </w:tcPr>
          <w:p w14:paraId="55248AF6" w14:textId="77777777" w:rsidR="002F0925" w:rsidRPr="00F30082" w:rsidRDefault="002F0925" w:rsidP="002F40E4">
            <w:pPr>
              <w:spacing w:before="120"/>
              <w:rPr>
                <w:rFonts w:ascii="Arial" w:hAnsi="Arial" w:cs="Arial"/>
                <w:b/>
                <w:sz w:val="22"/>
              </w:rPr>
            </w:pPr>
            <w:r w:rsidRPr="00F30082">
              <w:rPr>
                <w:rFonts w:ascii="Arial" w:hAnsi="Arial" w:cs="Arial"/>
                <w:b/>
                <w:sz w:val="22"/>
              </w:rPr>
              <w:t>Module code:</w:t>
            </w:r>
          </w:p>
        </w:tc>
        <w:tc>
          <w:tcPr>
            <w:tcW w:w="3293" w:type="dxa"/>
          </w:tcPr>
          <w:p w14:paraId="75F3EE7C" w14:textId="77777777" w:rsidR="002F0925" w:rsidRPr="00F30082" w:rsidRDefault="002F0925" w:rsidP="002F40E4">
            <w:pPr>
              <w:pStyle w:val="TableParagraph"/>
              <w:spacing w:before="122"/>
              <w:ind w:left="105"/>
              <w:rPr>
                <w:b/>
              </w:rPr>
            </w:pPr>
            <w:r w:rsidRPr="00F30082">
              <w:rPr>
                <w:b/>
                <w:sz w:val="21"/>
                <w:lang w:val="en-GB"/>
              </w:rPr>
              <w:t>LCLM 5005</w:t>
            </w:r>
          </w:p>
        </w:tc>
        <w:tc>
          <w:tcPr>
            <w:tcW w:w="2268" w:type="dxa"/>
            <w:shd w:val="clear" w:color="auto" w:fill="D9D9D9" w:themeFill="background1" w:themeFillShade="D9"/>
          </w:tcPr>
          <w:p w14:paraId="2A10F333" w14:textId="77777777" w:rsidR="002F0925" w:rsidRPr="00F30082" w:rsidRDefault="002F0925" w:rsidP="00705AA8">
            <w:r w:rsidRPr="00F30082">
              <w:t>Contribution to Overall Module Assessment (%):</w:t>
            </w:r>
          </w:p>
        </w:tc>
        <w:tc>
          <w:tcPr>
            <w:tcW w:w="2268" w:type="dxa"/>
          </w:tcPr>
          <w:p w14:paraId="674EB195" w14:textId="77777777" w:rsidR="002F0925" w:rsidRPr="00F30082" w:rsidRDefault="002F0925" w:rsidP="002F40E4">
            <w:pPr>
              <w:spacing w:before="120"/>
              <w:rPr>
                <w:rFonts w:ascii="Arial" w:hAnsi="Arial" w:cs="Arial"/>
                <w:b/>
                <w:sz w:val="22"/>
              </w:rPr>
            </w:pPr>
            <w:r w:rsidRPr="00F30082">
              <w:rPr>
                <w:b/>
                <w:sz w:val="21"/>
              </w:rPr>
              <w:t>70%</w:t>
            </w:r>
          </w:p>
        </w:tc>
      </w:tr>
      <w:tr w:rsidR="002F0925" w:rsidRPr="00F30082" w14:paraId="198A0DB3" w14:textId="77777777" w:rsidTr="002F0925">
        <w:trPr>
          <w:jc w:val="center"/>
        </w:trPr>
        <w:tc>
          <w:tcPr>
            <w:tcW w:w="2093" w:type="dxa"/>
          </w:tcPr>
          <w:p w14:paraId="78E8B68A" w14:textId="77777777" w:rsidR="002F0925" w:rsidRPr="00F30082" w:rsidRDefault="002F0925" w:rsidP="002F40E4">
            <w:pPr>
              <w:spacing w:before="120"/>
              <w:rPr>
                <w:rFonts w:ascii="Arial" w:hAnsi="Arial" w:cs="Arial"/>
                <w:b/>
                <w:sz w:val="22"/>
              </w:rPr>
            </w:pPr>
            <w:r w:rsidRPr="00F30082">
              <w:rPr>
                <w:rFonts w:ascii="Arial" w:hAnsi="Arial" w:cs="Arial"/>
                <w:b/>
                <w:sz w:val="22"/>
              </w:rPr>
              <w:t>Lecturer:</w:t>
            </w:r>
          </w:p>
        </w:tc>
        <w:tc>
          <w:tcPr>
            <w:tcW w:w="3293" w:type="dxa"/>
          </w:tcPr>
          <w:p w14:paraId="12AFD0E9" w14:textId="77777777" w:rsidR="002F0925" w:rsidRPr="00F30082" w:rsidRDefault="002F0925" w:rsidP="002F40E4">
            <w:pPr>
              <w:spacing w:before="120"/>
              <w:rPr>
                <w:rFonts w:ascii="Arial" w:hAnsi="Arial" w:cs="Arial"/>
                <w:b/>
                <w:sz w:val="22"/>
              </w:rPr>
            </w:pPr>
            <w:r w:rsidRPr="00F30082">
              <w:rPr>
                <w:b/>
              </w:rPr>
              <w:t>Taonga Kaonga</w:t>
            </w:r>
          </w:p>
          <w:p w14:paraId="7DEE2906" w14:textId="77777777" w:rsidR="002F0925" w:rsidRPr="00F30082" w:rsidRDefault="002F0925" w:rsidP="002F40E4">
            <w:pPr>
              <w:spacing w:before="120"/>
              <w:rPr>
                <w:rFonts w:ascii="Arial" w:hAnsi="Arial" w:cs="Arial"/>
                <w:b/>
                <w:sz w:val="22"/>
              </w:rPr>
            </w:pPr>
            <w:proofErr w:type="spellStart"/>
            <w:r w:rsidRPr="00F30082">
              <w:rPr>
                <w:b/>
              </w:rPr>
              <w:t>Sobere</w:t>
            </w:r>
            <w:proofErr w:type="spellEnd"/>
            <w:r w:rsidRPr="00F30082">
              <w:rPr>
                <w:b/>
              </w:rPr>
              <w:t xml:space="preserve"> </w:t>
            </w:r>
            <w:proofErr w:type="spellStart"/>
            <w:r w:rsidRPr="00F30082">
              <w:rPr>
                <w:b/>
              </w:rPr>
              <w:t>Snithers</w:t>
            </w:r>
            <w:proofErr w:type="spellEnd"/>
          </w:p>
        </w:tc>
        <w:tc>
          <w:tcPr>
            <w:tcW w:w="2268" w:type="dxa"/>
            <w:shd w:val="clear" w:color="auto" w:fill="D9D9D9" w:themeFill="background1" w:themeFillShade="D9"/>
          </w:tcPr>
          <w:p w14:paraId="34A8B5BB" w14:textId="77777777" w:rsidR="002F0925" w:rsidRPr="00F30082" w:rsidRDefault="002F0925" w:rsidP="002F40E4">
            <w:pPr>
              <w:spacing w:before="120"/>
              <w:rPr>
                <w:rFonts w:ascii="Arial" w:hAnsi="Arial" w:cs="Arial"/>
                <w:b/>
                <w:sz w:val="22"/>
              </w:rPr>
            </w:pPr>
            <w:r w:rsidRPr="00F30082">
              <w:rPr>
                <w:rFonts w:ascii="Arial" w:hAnsi="Arial" w:cs="Arial"/>
                <w:b/>
                <w:sz w:val="22"/>
              </w:rPr>
              <w:t>Internal Verifier:</w:t>
            </w:r>
          </w:p>
        </w:tc>
        <w:tc>
          <w:tcPr>
            <w:tcW w:w="2268" w:type="dxa"/>
          </w:tcPr>
          <w:p w14:paraId="475085CC" w14:textId="77777777" w:rsidR="002F0925" w:rsidRPr="00F30082" w:rsidRDefault="002F0925" w:rsidP="002F40E4">
            <w:pPr>
              <w:pStyle w:val="TableParagraph"/>
              <w:spacing w:before="119"/>
              <w:ind w:left="105"/>
              <w:rPr>
                <w:b/>
                <w:sz w:val="21"/>
                <w:lang w:val="en-GB"/>
              </w:rPr>
            </w:pPr>
            <w:r w:rsidRPr="00F30082">
              <w:rPr>
                <w:b/>
                <w:sz w:val="21"/>
                <w:lang w:val="en-GB"/>
              </w:rPr>
              <w:t>MD Kalam</w:t>
            </w:r>
          </w:p>
          <w:p w14:paraId="7729CC28" w14:textId="77777777" w:rsidR="002F0925" w:rsidRPr="00F30082" w:rsidRDefault="002F0925" w:rsidP="002F40E4">
            <w:pPr>
              <w:pStyle w:val="TableParagraph"/>
              <w:spacing w:before="119"/>
              <w:ind w:left="105"/>
              <w:rPr>
                <w:b/>
              </w:rPr>
            </w:pPr>
            <w:r w:rsidRPr="00F30082">
              <w:rPr>
                <w:b/>
                <w:sz w:val="21"/>
                <w:lang w:val="en-GB"/>
              </w:rPr>
              <w:t>Samuel Ofori</w:t>
            </w:r>
          </w:p>
        </w:tc>
      </w:tr>
      <w:tr w:rsidR="002F0925" w:rsidRPr="00F30082" w14:paraId="6E78ED8C" w14:textId="77777777" w:rsidTr="002F0925">
        <w:trPr>
          <w:jc w:val="center"/>
        </w:trPr>
        <w:tc>
          <w:tcPr>
            <w:tcW w:w="2093" w:type="dxa"/>
          </w:tcPr>
          <w:p w14:paraId="603C468B" w14:textId="77777777" w:rsidR="002F0925" w:rsidRPr="00F30082" w:rsidRDefault="002F0925" w:rsidP="002F40E4">
            <w:pPr>
              <w:spacing w:before="120"/>
              <w:rPr>
                <w:rFonts w:ascii="Arial" w:hAnsi="Arial" w:cs="Arial"/>
                <w:b/>
                <w:sz w:val="22"/>
              </w:rPr>
            </w:pPr>
            <w:r w:rsidRPr="00F30082">
              <w:rPr>
                <w:rFonts w:ascii="Arial" w:hAnsi="Arial" w:cs="Arial"/>
                <w:b/>
                <w:sz w:val="22"/>
              </w:rPr>
              <w:t>Assignment Title:</w:t>
            </w:r>
          </w:p>
        </w:tc>
        <w:tc>
          <w:tcPr>
            <w:tcW w:w="3293" w:type="dxa"/>
          </w:tcPr>
          <w:p w14:paraId="036B3D62" w14:textId="77777777" w:rsidR="002F0925" w:rsidRPr="00F30082" w:rsidRDefault="002F0925" w:rsidP="002F40E4">
            <w:pPr>
              <w:pStyle w:val="TableParagraph"/>
              <w:spacing w:before="119"/>
              <w:ind w:left="105" w:right="93"/>
              <w:rPr>
                <w:b/>
                <w:bCs/>
                <w:color w:val="FF0000"/>
                <w:lang w:val="en-GB"/>
              </w:rPr>
            </w:pPr>
            <w:r w:rsidRPr="00F30082">
              <w:rPr>
                <w:b/>
                <w:bCs/>
                <w:color w:val="FF0000"/>
                <w:lang w:val="en-GB"/>
              </w:rPr>
              <w:t>Component 1</w:t>
            </w:r>
          </w:p>
          <w:p w14:paraId="441E87E2" w14:textId="77777777" w:rsidR="002F0925" w:rsidRPr="00F30082" w:rsidRDefault="002F0925" w:rsidP="002F40E4">
            <w:pPr>
              <w:pStyle w:val="TableParagraph"/>
              <w:spacing w:before="119"/>
              <w:ind w:right="93"/>
              <w:rPr>
                <w:b/>
                <w:bCs/>
                <w:lang w:val="en-GB"/>
              </w:rPr>
            </w:pPr>
            <w:r w:rsidRPr="00F30082">
              <w:rPr>
                <w:b/>
                <w:bCs/>
                <w:lang w:val="en-GB"/>
              </w:rPr>
              <w:t>Organisational Culture:</w:t>
            </w:r>
          </w:p>
          <w:p w14:paraId="624FB42E" w14:textId="77777777" w:rsidR="002F0925" w:rsidRPr="00F30082" w:rsidRDefault="002F0925" w:rsidP="002F40E4">
            <w:pPr>
              <w:pStyle w:val="TableParagraph"/>
              <w:spacing w:before="119"/>
              <w:ind w:right="93"/>
              <w:rPr>
                <w:b/>
              </w:rPr>
            </w:pPr>
            <w:r w:rsidRPr="00F30082">
              <w:rPr>
                <w:b/>
                <w:bCs/>
                <w:lang w:val="en-GB"/>
              </w:rPr>
              <w:t>Individual Report</w:t>
            </w:r>
          </w:p>
        </w:tc>
        <w:tc>
          <w:tcPr>
            <w:tcW w:w="2268" w:type="dxa"/>
          </w:tcPr>
          <w:p w14:paraId="26C022B4" w14:textId="77777777" w:rsidR="002F0925" w:rsidRPr="00F30082" w:rsidRDefault="002F0925" w:rsidP="002F40E4">
            <w:pPr>
              <w:spacing w:before="120"/>
              <w:rPr>
                <w:rFonts w:ascii="Arial" w:hAnsi="Arial" w:cs="Arial"/>
                <w:b/>
                <w:sz w:val="22"/>
              </w:rPr>
            </w:pPr>
            <w:r w:rsidRPr="00F30082">
              <w:rPr>
                <w:rFonts w:ascii="Arial" w:hAnsi="Arial" w:cs="Arial"/>
                <w:b/>
                <w:sz w:val="22"/>
              </w:rPr>
              <w:t>Word count (or equivalent):</w:t>
            </w:r>
          </w:p>
        </w:tc>
        <w:tc>
          <w:tcPr>
            <w:tcW w:w="2268" w:type="dxa"/>
          </w:tcPr>
          <w:p w14:paraId="00F19A5E" w14:textId="24380F80" w:rsidR="002F0925" w:rsidRPr="00F30082" w:rsidRDefault="00E43EBA" w:rsidP="002F40E4">
            <w:pPr>
              <w:pStyle w:val="TableParagraph"/>
              <w:spacing w:before="1"/>
              <w:ind w:left="108"/>
              <w:rPr>
                <w:b/>
                <w:sz w:val="20"/>
                <w:szCs w:val="20"/>
                <w:lang w:val="en-GB"/>
              </w:rPr>
            </w:pPr>
            <w:r>
              <w:rPr>
                <w:b/>
                <w:sz w:val="20"/>
                <w:szCs w:val="20"/>
                <w:lang w:val="en-GB"/>
              </w:rPr>
              <w:t>3.204</w:t>
            </w:r>
          </w:p>
          <w:p w14:paraId="4FBBB0C2" w14:textId="77777777" w:rsidR="002F0925" w:rsidRPr="00F30082" w:rsidRDefault="002F0925" w:rsidP="002F40E4">
            <w:pPr>
              <w:spacing w:before="120"/>
              <w:rPr>
                <w:rFonts w:ascii="Arial" w:hAnsi="Arial" w:cs="Arial"/>
                <w:b/>
                <w:sz w:val="22"/>
              </w:rPr>
            </w:pPr>
          </w:p>
        </w:tc>
      </w:tr>
      <w:tr w:rsidR="002F0925" w:rsidRPr="00F30082" w14:paraId="58762B72" w14:textId="77777777" w:rsidTr="00705AA8">
        <w:trPr>
          <w:trHeight w:val="1812"/>
          <w:jc w:val="center"/>
        </w:trPr>
        <w:tc>
          <w:tcPr>
            <w:tcW w:w="2093" w:type="dxa"/>
          </w:tcPr>
          <w:p w14:paraId="303E0ED1" w14:textId="77777777" w:rsidR="002F0925" w:rsidRPr="00F30082" w:rsidRDefault="002F0925" w:rsidP="002F40E4">
            <w:pPr>
              <w:spacing w:before="120"/>
              <w:rPr>
                <w:rFonts w:ascii="Arial" w:hAnsi="Arial" w:cs="Arial"/>
                <w:b/>
                <w:sz w:val="22"/>
              </w:rPr>
            </w:pPr>
            <w:r w:rsidRPr="00F30082">
              <w:rPr>
                <w:rFonts w:ascii="Arial" w:hAnsi="Arial" w:cs="Arial"/>
                <w:b/>
                <w:sz w:val="22"/>
              </w:rPr>
              <w:t>Submission deadline:</w:t>
            </w:r>
          </w:p>
        </w:tc>
        <w:tc>
          <w:tcPr>
            <w:tcW w:w="3293" w:type="dxa"/>
          </w:tcPr>
          <w:p w14:paraId="57CB449C" w14:textId="77777777" w:rsidR="002F0925" w:rsidRPr="00F30082" w:rsidRDefault="002F0925" w:rsidP="002F40E4">
            <w:pPr>
              <w:spacing w:before="119" w:line="360" w:lineRule="auto"/>
              <w:jc w:val="center"/>
              <w:rPr>
                <w:rFonts w:ascii="Arial" w:eastAsia="Aptos Narrow" w:hAnsi="Arial" w:cs="Arial"/>
                <w:color w:val="000000" w:themeColor="text1"/>
              </w:rPr>
            </w:pPr>
            <w:r w:rsidRPr="00F30082">
              <w:rPr>
                <w:rFonts w:ascii="Arial" w:eastAsia="Aptos Narrow" w:hAnsi="Arial" w:cs="Arial"/>
                <w:b/>
                <w:bCs/>
                <w:color w:val="000000" w:themeColor="text1"/>
                <w:sz w:val="22"/>
              </w:rPr>
              <w:t>Weekdays/Weekends</w:t>
            </w:r>
          </w:p>
          <w:p w14:paraId="2C1408F6" w14:textId="77777777" w:rsidR="002F0925" w:rsidRPr="00F30082" w:rsidRDefault="002F0925" w:rsidP="002F40E4">
            <w:pPr>
              <w:spacing w:before="119" w:line="360" w:lineRule="auto"/>
              <w:jc w:val="center"/>
            </w:pPr>
            <w:r w:rsidRPr="00F30082">
              <w:rPr>
                <w:rFonts w:ascii="Aptos Narrow" w:eastAsia="Aptos Narrow" w:hAnsi="Aptos Narrow" w:cs="Aptos Narrow"/>
                <w:b/>
                <w:bCs/>
                <w:color w:val="000000" w:themeColor="text1"/>
                <w:sz w:val="22"/>
              </w:rPr>
              <w:t>02/11/2026</w:t>
            </w:r>
          </w:p>
          <w:p w14:paraId="17A89B9D" w14:textId="77777777" w:rsidR="002F0925" w:rsidRPr="00F30082" w:rsidRDefault="002F0925" w:rsidP="002F40E4">
            <w:pPr>
              <w:spacing w:before="119" w:line="360" w:lineRule="auto"/>
              <w:jc w:val="center"/>
            </w:pPr>
            <w:r w:rsidRPr="00F30082">
              <w:rPr>
                <w:rFonts w:ascii="Aptos Narrow" w:eastAsia="Aptos Narrow" w:hAnsi="Aptos Narrow" w:cs="Aptos Narrow"/>
                <w:b/>
                <w:bCs/>
                <w:color w:val="000000" w:themeColor="text1"/>
                <w:sz w:val="22"/>
              </w:rPr>
              <w:t>2pm</w:t>
            </w:r>
          </w:p>
          <w:p w14:paraId="3A668C22" w14:textId="77777777" w:rsidR="002F0925" w:rsidRPr="00F30082" w:rsidRDefault="002F0925" w:rsidP="002F40E4">
            <w:pPr>
              <w:spacing w:before="120"/>
              <w:jc w:val="center"/>
              <w:rPr>
                <w:b/>
                <w:bCs/>
                <w:sz w:val="21"/>
                <w:szCs w:val="21"/>
              </w:rPr>
            </w:pPr>
          </w:p>
          <w:p w14:paraId="0B1AD3BD" w14:textId="77777777" w:rsidR="002F0925" w:rsidRPr="00F30082" w:rsidRDefault="002F0925" w:rsidP="002F40E4">
            <w:pPr>
              <w:spacing w:before="120"/>
              <w:jc w:val="center"/>
              <w:rPr>
                <w:rFonts w:ascii="Arial" w:hAnsi="Arial" w:cs="Arial"/>
                <w:b/>
                <w:bCs/>
                <w:sz w:val="21"/>
                <w:szCs w:val="21"/>
              </w:rPr>
            </w:pPr>
          </w:p>
          <w:p w14:paraId="1F39B5E8" w14:textId="77777777" w:rsidR="002F0925" w:rsidRPr="00F30082" w:rsidRDefault="002F0925" w:rsidP="002F40E4">
            <w:pPr>
              <w:spacing w:before="120"/>
              <w:jc w:val="center"/>
              <w:rPr>
                <w:rFonts w:ascii="Arial" w:hAnsi="Arial" w:cs="Arial"/>
                <w:b/>
                <w:sz w:val="22"/>
              </w:rPr>
            </w:pPr>
          </w:p>
        </w:tc>
        <w:tc>
          <w:tcPr>
            <w:tcW w:w="2268" w:type="dxa"/>
          </w:tcPr>
          <w:p w14:paraId="04043A42" w14:textId="77777777" w:rsidR="002F0925" w:rsidRPr="00F30082" w:rsidRDefault="002F0925" w:rsidP="002F40E4">
            <w:pPr>
              <w:spacing w:before="120"/>
              <w:rPr>
                <w:rFonts w:ascii="Arial" w:hAnsi="Arial" w:cs="Arial"/>
                <w:b/>
                <w:sz w:val="22"/>
              </w:rPr>
            </w:pPr>
            <w:r w:rsidRPr="00F30082">
              <w:rPr>
                <w:rFonts w:ascii="Arial" w:hAnsi="Arial" w:cs="Arial"/>
                <w:b/>
                <w:sz w:val="22"/>
              </w:rPr>
              <w:t>Return date of provisional marks &amp; written feedback:</w:t>
            </w:r>
          </w:p>
        </w:tc>
        <w:tc>
          <w:tcPr>
            <w:tcW w:w="2268" w:type="dxa"/>
          </w:tcPr>
          <w:p w14:paraId="313BB990" w14:textId="77777777" w:rsidR="002F0925" w:rsidRPr="00F30082" w:rsidRDefault="002F0925" w:rsidP="002F40E4">
            <w:pPr>
              <w:spacing w:before="119" w:line="360" w:lineRule="auto"/>
              <w:jc w:val="center"/>
            </w:pPr>
            <w:r w:rsidRPr="00F30082">
              <w:rPr>
                <w:rFonts w:ascii="Aptos Narrow" w:eastAsia="Aptos Narrow" w:hAnsi="Aptos Narrow" w:cs="Aptos Narrow"/>
                <w:b/>
                <w:bCs/>
                <w:color w:val="000000" w:themeColor="text1"/>
                <w:sz w:val="22"/>
              </w:rPr>
              <w:t>15/12/2026</w:t>
            </w:r>
          </w:p>
          <w:p w14:paraId="5B4A9D02" w14:textId="77777777" w:rsidR="002F0925" w:rsidRPr="00F30082" w:rsidRDefault="002F0925" w:rsidP="002F40E4">
            <w:pPr>
              <w:spacing w:before="120"/>
              <w:rPr>
                <w:rFonts w:ascii="Arial" w:hAnsi="Arial" w:cs="Arial"/>
                <w:b/>
                <w:sz w:val="22"/>
              </w:rPr>
            </w:pPr>
          </w:p>
        </w:tc>
      </w:tr>
    </w:tbl>
    <w:p w14:paraId="43EB73DC" w14:textId="12EFA27E" w:rsidR="00705AA8" w:rsidRDefault="00705AA8" w:rsidP="00705AA8">
      <w:pPr>
        <w:spacing w:before="600"/>
      </w:pPr>
    </w:p>
    <w:p w14:paraId="0E397A91" w14:textId="77777777" w:rsidR="00705AA8" w:rsidRDefault="00705AA8">
      <w:pPr>
        <w:spacing w:after="200" w:line="276" w:lineRule="auto"/>
        <w:jc w:val="left"/>
      </w:pPr>
      <w:r>
        <w:br w:type="page"/>
      </w:r>
    </w:p>
    <w:sdt>
      <w:sdtPr>
        <w:rPr>
          <w:rFonts w:ascii="Times New Roman" w:eastAsia="Times New Roman" w:hAnsi="Times New Roman" w:cstheme="minorBidi"/>
          <w:b w:val="0"/>
          <w:bCs w:val="0"/>
          <w:color w:val="auto"/>
          <w:szCs w:val="22"/>
        </w:rPr>
        <w:id w:val="-1915693671"/>
        <w:docPartObj>
          <w:docPartGallery w:val="Table of Contents"/>
          <w:docPartUnique/>
        </w:docPartObj>
      </w:sdtPr>
      <w:sdtEndPr>
        <w:rPr>
          <w:noProof/>
        </w:rPr>
      </w:sdtEndPr>
      <w:sdtContent>
        <w:p w14:paraId="0FB9F240" w14:textId="6D49E526" w:rsidR="00705AA8" w:rsidRDefault="00705AA8" w:rsidP="00705AA8">
          <w:pPr>
            <w:pStyle w:val="TOCHeading"/>
            <w:jc w:val="center"/>
          </w:pPr>
          <w:r>
            <w:t>Contents</w:t>
          </w:r>
        </w:p>
        <w:p w14:paraId="10CCA7F0" w14:textId="261DD695" w:rsidR="00705AA8" w:rsidRDefault="00705AA8">
          <w:pPr>
            <w:pStyle w:val="TOC1"/>
            <w:tabs>
              <w:tab w:val="right" w:leader="dot" w:pos="935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241846605" w:history="1">
            <w:r w:rsidRPr="0057117A">
              <w:rPr>
                <w:rStyle w:val="Hyperlink"/>
                <w:noProof/>
              </w:rPr>
              <w:t>1. Introduction</w:t>
            </w:r>
            <w:r>
              <w:rPr>
                <w:noProof/>
                <w:webHidden/>
              </w:rPr>
              <w:tab/>
            </w:r>
            <w:r>
              <w:rPr>
                <w:noProof/>
                <w:webHidden/>
              </w:rPr>
              <w:fldChar w:fldCharType="begin"/>
            </w:r>
            <w:r>
              <w:rPr>
                <w:noProof/>
                <w:webHidden/>
              </w:rPr>
              <w:instrText xml:space="preserve"> PAGEREF _Toc241846605 \h </w:instrText>
            </w:r>
            <w:r>
              <w:rPr>
                <w:noProof/>
                <w:webHidden/>
              </w:rPr>
            </w:r>
            <w:r>
              <w:rPr>
                <w:noProof/>
                <w:webHidden/>
              </w:rPr>
              <w:fldChar w:fldCharType="separate"/>
            </w:r>
            <w:r w:rsidR="00887540">
              <w:rPr>
                <w:noProof/>
                <w:webHidden/>
              </w:rPr>
              <w:t>3</w:t>
            </w:r>
            <w:r>
              <w:rPr>
                <w:noProof/>
                <w:webHidden/>
              </w:rPr>
              <w:fldChar w:fldCharType="end"/>
            </w:r>
          </w:hyperlink>
        </w:p>
        <w:p w14:paraId="165350CC" w14:textId="4AAB61F3" w:rsidR="00705AA8" w:rsidRDefault="00705AA8">
          <w:pPr>
            <w:pStyle w:val="TOC1"/>
            <w:tabs>
              <w:tab w:val="right" w:leader="dot" w:pos="9350"/>
            </w:tabs>
            <w:rPr>
              <w:rFonts w:asciiTheme="minorHAnsi" w:eastAsiaTheme="minorEastAsia" w:hAnsiTheme="minorHAnsi"/>
              <w:noProof/>
              <w:kern w:val="2"/>
              <w:szCs w:val="24"/>
              <w14:ligatures w14:val="standardContextual"/>
            </w:rPr>
          </w:pPr>
          <w:hyperlink w:anchor="_Toc241846606" w:history="1">
            <w:r w:rsidRPr="0057117A">
              <w:rPr>
                <w:rStyle w:val="Hyperlink"/>
                <w:noProof/>
              </w:rPr>
              <w:t>2. Organisational Context and Cultural Profile</w:t>
            </w:r>
            <w:r>
              <w:rPr>
                <w:noProof/>
                <w:webHidden/>
              </w:rPr>
              <w:tab/>
            </w:r>
            <w:r>
              <w:rPr>
                <w:noProof/>
                <w:webHidden/>
              </w:rPr>
              <w:fldChar w:fldCharType="begin"/>
            </w:r>
            <w:r>
              <w:rPr>
                <w:noProof/>
                <w:webHidden/>
              </w:rPr>
              <w:instrText xml:space="preserve"> PAGEREF _Toc241846606 \h </w:instrText>
            </w:r>
            <w:r>
              <w:rPr>
                <w:noProof/>
                <w:webHidden/>
              </w:rPr>
            </w:r>
            <w:r>
              <w:rPr>
                <w:noProof/>
                <w:webHidden/>
              </w:rPr>
              <w:fldChar w:fldCharType="separate"/>
            </w:r>
            <w:r w:rsidR="00887540">
              <w:rPr>
                <w:noProof/>
                <w:webHidden/>
              </w:rPr>
              <w:t>3</w:t>
            </w:r>
            <w:r>
              <w:rPr>
                <w:noProof/>
                <w:webHidden/>
              </w:rPr>
              <w:fldChar w:fldCharType="end"/>
            </w:r>
          </w:hyperlink>
        </w:p>
        <w:p w14:paraId="154F54D7" w14:textId="5551AA01" w:rsidR="00705AA8" w:rsidRDefault="00705AA8">
          <w:pPr>
            <w:pStyle w:val="TOC1"/>
            <w:tabs>
              <w:tab w:val="right" w:leader="dot" w:pos="9350"/>
            </w:tabs>
            <w:rPr>
              <w:rFonts w:asciiTheme="minorHAnsi" w:eastAsiaTheme="minorEastAsia" w:hAnsiTheme="minorHAnsi"/>
              <w:noProof/>
              <w:kern w:val="2"/>
              <w:szCs w:val="24"/>
              <w14:ligatures w14:val="standardContextual"/>
            </w:rPr>
          </w:pPr>
          <w:hyperlink w:anchor="_Toc241846607" w:history="1">
            <w:r w:rsidRPr="0057117A">
              <w:rPr>
                <w:rStyle w:val="Hyperlink"/>
                <w:noProof/>
              </w:rPr>
              <w:t>3. Influence of Culture on Structure and Decision-Making</w:t>
            </w:r>
            <w:r>
              <w:rPr>
                <w:noProof/>
                <w:webHidden/>
              </w:rPr>
              <w:tab/>
            </w:r>
            <w:r>
              <w:rPr>
                <w:noProof/>
                <w:webHidden/>
              </w:rPr>
              <w:fldChar w:fldCharType="begin"/>
            </w:r>
            <w:r>
              <w:rPr>
                <w:noProof/>
                <w:webHidden/>
              </w:rPr>
              <w:instrText xml:space="preserve"> PAGEREF _Toc241846607 \h </w:instrText>
            </w:r>
            <w:r>
              <w:rPr>
                <w:noProof/>
                <w:webHidden/>
              </w:rPr>
            </w:r>
            <w:r>
              <w:rPr>
                <w:noProof/>
                <w:webHidden/>
              </w:rPr>
              <w:fldChar w:fldCharType="separate"/>
            </w:r>
            <w:r w:rsidR="00887540">
              <w:rPr>
                <w:noProof/>
                <w:webHidden/>
              </w:rPr>
              <w:t>3</w:t>
            </w:r>
            <w:r>
              <w:rPr>
                <w:noProof/>
                <w:webHidden/>
              </w:rPr>
              <w:fldChar w:fldCharType="end"/>
            </w:r>
          </w:hyperlink>
        </w:p>
        <w:p w14:paraId="1F766E76" w14:textId="7D0058F2" w:rsidR="00705AA8" w:rsidRDefault="00705AA8">
          <w:pPr>
            <w:pStyle w:val="TOC1"/>
            <w:tabs>
              <w:tab w:val="right" w:leader="dot" w:pos="9350"/>
            </w:tabs>
            <w:rPr>
              <w:rFonts w:asciiTheme="minorHAnsi" w:eastAsiaTheme="minorEastAsia" w:hAnsiTheme="minorHAnsi"/>
              <w:noProof/>
              <w:kern w:val="2"/>
              <w:szCs w:val="24"/>
              <w14:ligatures w14:val="standardContextual"/>
            </w:rPr>
          </w:pPr>
          <w:hyperlink w:anchor="_Toc241846608" w:history="1">
            <w:r w:rsidRPr="0057117A">
              <w:rPr>
                <w:rStyle w:val="Hyperlink"/>
                <w:noProof/>
              </w:rPr>
              <w:t>4. Identifying Primark's Organisational Culture</w:t>
            </w:r>
            <w:r>
              <w:rPr>
                <w:noProof/>
                <w:webHidden/>
              </w:rPr>
              <w:tab/>
            </w:r>
            <w:r>
              <w:rPr>
                <w:noProof/>
                <w:webHidden/>
              </w:rPr>
              <w:fldChar w:fldCharType="begin"/>
            </w:r>
            <w:r>
              <w:rPr>
                <w:noProof/>
                <w:webHidden/>
              </w:rPr>
              <w:instrText xml:space="preserve"> PAGEREF _Toc241846608 \h </w:instrText>
            </w:r>
            <w:r>
              <w:rPr>
                <w:noProof/>
                <w:webHidden/>
              </w:rPr>
            </w:r>
            <w:r>
              <w:rPr>
                <w:noProof/>
                <w:webHidden/>
              </w:rPr>
              <w:fldChar w:fldCharType="separate"/>
            </w:r>
            <w:r w:rsidR="00887540">
              <w:rPr>
                <w:noProof/>
                <w:webHidden/>
              </w:rPr>
              <w:t>5</w:t>
            </w:r>
            <w:r>
              <w:rPr>
                <w:noProof/>
                <w:webHidden/>
              </w:rPr>
              <w:fldChar w:fldCharType="end"/>
            </w:r>
          </w:hyperlink>
        </w:p>
        <w:p w14:paraId="1D785ABE" w14:textId="56C86533" w:rsidR="00705AA8" w:rsidRDefault="00705AA8">
          <w:pPr>
            <w:pStyle w:val="TOC2"/>
            <w:tabs>
              <w:tab w:val="right" w:leader="dot" w:pos="9350"/>
            </w:tabs>
            <w:rPr>
              <w:rFonts w:asciiTheme="minorHAnsi" w:eastAsiaTheme="minorEastAsia" w:hAnsiTheme="minorHAnsi"/>
              <w:noProof/>
              <w:kern w:val="2"/>
              <w:szCs w:val="24"/>
              <w14:ligatures w14:val="standardContextual"/>
            </w:rPr>
          </w:pPr>
          <w:hyperlink w:anchor="_Toc241846609" w:history="1">
            <w:r w:rsidRPr="0057117A">
              <w:rPr>
                <w:rStyle w:val="Hyperlink"/>
                <w:noProof/>
              </w:rPr>
              <w:t>4.1 Schein's Layered Model</w:t>
            </w:r>
            <w:r>
              <w:rPr>
                <w:noProof/>
                <w:webHidden/>
              </w:rPr>
              <w:tab/>
            </w:r>
            <w:r>
              <w:rPr>
                <w:noProof/>
                <w:webHidden/>
              </w:rPr>
              <w:fldChar w:fldCharType="begin"/>
            </w:r>
            <w:r>
              <w:rPr>
                <w:noProof/>
                <w:webHidden/>
              </w:rPr>
              <w:instrText xml:space="preserve"> PAGEREF _Toc241846609 \h </w:instrText>
            </w:r>
            <w:r>
              <w:rPr>
                <w:noProof/>
                <w:webHidden/>
              </w:rPr>
            </w:r>
            <w:r>
              <w:rPr>
                <w:noProof/>
                <w:webHidden/>
              </w:rPr>
              <w:fldChar w:fldCharType="separate"/>
            </w:r>
            <w:r w:rsidR="00887540">
              <w:rPr>
                <w:noProof/>
                <w:webHidden/>
              </w:rPr>
              <w:t>5</w:t>
            </w:r>
            <w:r>
              <w:rPr>
                <w:noProof/>
                <w:webHidden/>
              </w:rPr>
              <w:fldChar w:fldCharType="end"/>
            </w:r>
          </w:hyperlink>
        </w:p>
        <w:p w14:paraId="2D3DF581" w14:textId="6D039C80" w:rsidR="00705AA8" w:rsidRDefault="00705AA8">
          <w:pPr>
            <w:pStyle w:val="TOC2"/>
            <w:tabs>
              <w:tab w:val="right" w:leader="dot" w:pos="9350"/>
            </w:tabs>
            <w:rPr>
              <w:rFonts w:asciiTheme="minorHAnsi" w:eastAsiaTheme="minorEastAsia" w:hAnsiTheme="minorHAnsi"/>
              <w:noProof/>
              <w:kern w:val="2"/>
              <w:szCs w:val="24"/>
              <w14:ligatures w14:val="standardContextual"/>
            </w:rPr>
          </w:pPr>
          <w:hyperlink w:anchor="_Toc241846610" w:history="1">
            <w:r w:rsidRPr="0057117A">
              <w:rPr>
                <w:rStyle w:val="Hyperlink"/>
                <w:noProof/>
              </w:rPr>
              <w:t>4.2 Handy's Cultural Types</w:t>
            </w:r>
            <w:r>
              <w:rPr>
                <w:noProof/>
                <w:webHidden/>
              </w:rPr>
              <w:tab/>
            </w:r>
            <w:r>
              <w:rPr>
                <w:noProof/>
                <w:webHidden/>
              </w:rPr>
              <w:fldChar w:fldCharType="begin"/>
            </w:r>
            <w:r>
              <w:rPr>
                <w:noProof/>
                <w:webHidden/>
              </w:rPr>
              <w:instrText xml:space="preserve"> PAGEREF _Toc241846610 \h </w:instrText>
            </w:r>
            <w:r>
              <w:rPr>
                <w:noProof/>
                <w:webHidden/>
              </w:rPr>
            </w:r>
            <w:r>
              <w:rPr>
                <w:noProof/>
                <w:webHidden/>
              </w:rPr>
              <w:fldChar w:fldCharType="separate"/>
            </w:r>
            <w:r w:rsidR="00887540">
              <w:rPr>
                <w:noProof/>
                <w:webHidden/>
              </w:rPr>
              <w:t>6</w:t>
            </w:r>
            <w:r>
              <w:rPr>
                <w:noProof/>
                <w:webHidden/>
              </w:rPr>
              <w:fldChar w:fldCharType="end"/>
            </w:r>
          </w:hyperlink>
        </w:p>
        <w:p w14:paraId="3D001E78" w14:textId="5F2485CC" w:rsidR="00705AA8" w:rsidRDefault="00705AA8">
          <w:pPr>
            <w:pStyle w:val="TOC2"/>
            <w:tabs>
              <w:tab w:val="right" w:leader="dot" w:pos="9350"/>
            </w:tabs>
            <w:rPr>
              <w:rFonts w:asciiTheme="minorHAnsi" w:eastAsiaTheme="minorEastAsia" w:hAnsiTheme="minorHAnsi"/>
              <w:noProof/>
              <w:kern w:val="2"/>
              <w:szCs w:val="24"/>
              <w14:ligatures w14:val="standardContextual"/>
            </w:rPr>
          </w:pPr>
          <w:hyperlink w:anchor="_Toc241846611" w:history="1">
            <w:r w:rsidRPr="0057117A">
              <w:rPr>
                <w:rStyle w:val="Hyperlink"/>
                <w:noProof/>
              </w:rPr>
              <w:t>4.3 Hofstede and International Variation</w:t>
            </w:r>
            <w:r>
              <w:rPr>
                <w:noProof/>
                <w:webHidden/>
              </w:rPr>
              <w:tab/>
            </w:r>
            <w:r>
              <w:rPr>
                <w:noProof/>
                <w:webHidden/>
              </w:rPr>
              <w:fldChar w:fldCharType="begin"/>
            </w:r>
            <w:r>
              <w:rPr>
                <w:noProof/>
                <w:webHidden/>
              </w:rPr>
              <w:instrText xml:space="preserve"> PAGEREF _Toc241846611 \h </w:instrText>
            </w:r>
            <w:r>
              <w:rPr>
                <w:noProof/>
                <w:webHidden/>
              </w:rPr>
            </w:r>
            <w:r>
              <w:rPr>
                <w:noProof/>
                <w:webHidden/>
              </w:rPr>
              <w:fldChar w:fldCharType="separate"/>
            </w:r>
            <w:r w:rsidR="00887540">
              <w:rPr>
                <w:noProof/>
                <w:webHidden/>
              </w:rPr>
              <w:t>6</w:t>
            </w:r>
            <w:r>
              <w:rPr>
                <w:noProof/>
                <w:webHidden/>
              </w:rPr>
              <w:fldChar w:fldCharType="end"/>
            </w:r>
          </w:hyperlink>
        </w:p>
        <w:p w14:paraId="489DBBCF" w14:textId="5576713E" w:rsidR="00705AA8" w:rsidRDefault="00705AA8">
          <w:pPr>
            <w:pStyle w:val="TOC2"/>
            <w:tabs>
              <w:tab w:val="right" w:leader="dot" w:pos="9350"/>
            </w:tabs>
            <w:rPr>
              <w:rFonts w:asciiTheme="minorHAnsi" w:eastAsiaTheme="minorEastAsia" w:hAnsiTheme="minorHAnsi"/>
              <w:noProof/>
              <w:kern w:val="2"/>
              <w:szCs w:val="24"/>
              <w14:ligatures w14:val="standardContextual"/>
            </w:rPr>
          </w:pPr>
          <w:hyperlink w:anchor="_Toc241846612" w:history="1">
            <w:r w:rsidRPr="0057117A">
              <w:rPr>
                <w:rStyle w:val="Hyperlink"/>
                <w:noProof/>
              </w:rPr>
              <w:t>4.4 Overall Judgement on the Prevailing Culture</w:t>
            </w:r>
            <w:r>
              <w:rPr>
                <w:noProof/>
                <w:webHidden/>
              </w:rPr>
              <w:tab/>
            </w:r>
            <w:r>
              <w:rPr>
                <w:noProof/>
                <w:webHidden/>
              </w:rPr>
              <w:fldChar w:fldCharType="begin"/>
            </w:r>
            <w:r>
              <w:rPr>
                <w:noProof/>
                <w:webHidden/>
              </w:rPr>
              <w:instrText xml:space="preserve"> PAGEREF _Toc241846612 \h </w:instrText>
            </w:r>
            <w:r>
              <w:rPr>
                <w:noProof/>
                <w:webHidden/>
              </w:rPr>
            </w:r>
            <w:r>
              <w:rPr>
                <w:noProof/>
                <w:webHidden/>
              </w:rPr>
              <w:fldChar w:fldCharType="separate"/>
            </w:r>
            <w:r w:rsidR="00887540">
              <w:rPr>
                <w:noProof/>
                <w:webHidden/>
              </w:rPr>
              <w:t>6</w:t>
            </w:r>
            <w:r>
              <w:rPr>
                <w:noProof/>
                <w:webHidden/>
              </w:rPr>
              <w:fldChar w:fldCharType="end"/>
            </w:r>
          </w:hyperlink>
        </w:p>
        <w:p w14:paraId="663AC259" w14:textId="19114A1E" w:rsidR="00705AA8" w:rsidRDefault="00705AA8">
          <w:pPr>
            <w:pStyle w:val="TOC1"/>
            <w:tabs>
              <w:tab w:val="right" w:leader="dot" w:pos="9350"/>
            </w:tabs>
            <w:rPr>
              <w:rFonts w:asciiTheme="minorHAnsi" w:eastAsiaTheme="minorEastAsia" w:hAnsiTheme="minorHAnsi"/>
              <w:noProof/>
              <w:kern w:val="2"/>
              <w:szCs w:val="24"/>
              <w14:ligatures w14:val="standardContextual"/>
            </w:rPr>
          </w:pPr>
          <w:hyperlink w:anchor="_Toc241846613" w:history="1">
            <w:r w:rsidRPr="0057117A">
              <w:rPr>
                <w:rStyle w:val="Hyperlink"/>
                <w:noProof/>
              </w:rPr>
              <w:t>5. Culture and Adaptation to the External Environment</w:t>
            </w:r>
            <w:r>
              <w:rPr>
                <w:noProof/>
                <w:webHidden/>
              </w:rPr>
              <w:tab/>
            </w:r>
            <w:r>
              <w:rPr>
                <w:noProof/>
                <w:webHidden/>
              </w:rPr>
              <w:fldChar w:fldCharType="begin"/>
            </w:r>
            <w:r>
              <w:rPr>
                <w:noProof/>
                <w:webHidden/>
              </w:rPr>
              <w:instrText xml:space="preserve"> PAGEREF _Toc241846613 \h </w:instrText>
            </w:r>
            <w:r>
              <w:rPr>
                <w:noProof/>
                <w:webHidden/>
              </w:rPr>
            </w:r>
            <w:r>
              <w:rPr>
                <w:noProof/>
                <w:webHidden/>
              </w:rPr>
              <w:fldChar w:fldCharType="separate"/>
            </w:r>
            <w:r w:rsidR="00887540">
              <w:rPr>
                <w:noProof/>
                <w:webHidden/>
              </w:rPr>
              <w:t>7</w:t>
            </w:r>
            <w:r>
              <w:rPr>
                <w:noProof/>
                <w:webHidden/>
              </w:rPr>
              <w:fldChar w:fldCharType="end"/>
            </w:r>
          </w:hyperlink>
        </w:p>
        <w:p w14:paraId="773EBB7A" w14:textId="2A98E365" w:rsidR="00705AA8" w:rsidRDefault="00705AA8">
          <w:pPr>
            <w:pStyle w:val="TOC1"/>
            <w:tabs>
              <w:tab w:val="right" w:leader="dot" w:pos="9350"/>
            </w:tabs>
            <w:rPr>
              <w:rFonts w:asciiTheme="minorHAnsi" w:eastAsiaTheme="minorEastAsia" w:hAnsiTheme="minorHAnsi"/>
              <w:noProof/>
              <w:kern w:val="2"/>
              <w:szCs w:val="24"/>
              <w14:ligatures w14:val="standardContextual"/>
            </w:rPr>
          </w:pPr>
          <w:hyperlink w:anchor="_Toc241846614" w:history="1">
            <w:r w:rsidRPr="0057117A">
              <w:rPr>
                <w:rStyle w:val="Hyperlink"/>
                <w:noProof/>
              </w:rPr>
              <w:t>6. Organisational Culture as Enabler and Barrier</w:t>
            </w:r>
            <w:r>
              <w:rPr>
                <w:noProof/>
                <w:webHidden/>
              </w:rPr>
              <w:tab/>
            </w:r>
            <w:r>
              <w:rPr>
                <w:noProof/>
                <w:webHidden/>
              </w:rPr>
              <w:fldChar w:fldCharType="begin"/>
            </w:r>
            <w:r>
              <w:rPr>
                <w:noProof/>
                <w:webHidden/>
              </w:rPr>
              <w:instrText xml:space="preserve"> PAGEREF _Toc241846614 \h </w:instrText>
            </w:r>
            <w:r>
              <w:rPr>
                <w:noProof/>
                <w:webHidden/>
              </w:rPr>
            </w:r>
            <w:r>
              <w:rPr>
                <w:noProof/>
                <w:webHidden/>
              </w:rPr>
              <w:fldChar w:fldCharType="separate"/>
            </w:r>
            <w:r w:rsidR="00887540">
              <w:rPr>
                <w:noProof/>
                <w:webHidden/>
              </w:rPr>
              <w:t>8</w:t>
            </w:r>
            <w:r>
              <w:rPr>
                <w:noProof/>
                <w:webHidden/>
              </w:rPr>
              <w:fldChar w:fldCharType="end"/>
            </w:r>
          </w:hyperlink>
        </w:p>
        <w:p w14:paraId="3CAB2DC8" w14:textId="496664D0" w:rsidR="00705AA8" w:rsidRDefault="00705AA8">
          <w:pPr>
            <w:pStyle w:val="TOC1"/>
            <w:tabs>
              <w:tab w:val="right" w:leader="dot" w:pos="9350"/>
            </w:tabs>
            <w:rPr>
              <w:rFonts w:asciiTheme="minorHAnsi" w:eastAsiaTheme="minorEastAsia" w:hAnsiTheme="minorHAnsi"/>
              <w:noProof/>
              <w:kern w:val="2"/>
              <w:szCs w:val="24"/>
              <w14:ligatures w14:val="standardContextual"/>
            </w:rPr>
          </w:pPr>
          <w:hyperlink w:anchor="_Toc241846615" w:history="1">
            <w:r w:rsidRPr="0057117A">
              <w:rPr>
                <w:rStyle w:val="Hyperlink"/>
                <w:noProof/>
              </w:rPr>
              <w:t>7. Performance Impact and Evidence-Based Recommendations</w:t>
            </w:r>
            <w:r>
              <w:rPr>
                <w:noProof/>
                <w:webHidden/>
              </w:rPr>
              <w:tab/>
            </w:r>
            <w:r>
              <w:rPr>
                <w:noProof/>
                <w:webHidden/>
              </w:rPr>
              <w:fldChar w:fldCharType="begin"/>
            </w:r>
            <w:r>
              <w:rPr>
                <w:noProof/>
                <w:webHidden/>
              </w:rPr>
              <w:instrText xml:space="preserve"> PAGEREF _Toc241846615 \h </w:instrText>
            </w:r>
            <w:r>
              <w:rPr>
                <w:noProof/>
                <w:webHidden/>
              </w:rPr>
            </w:r>
            <w:r>
              <w:rPr>
                <w:noProof/>
                <w:webHidden/>
              </w:rPr>
              <w:fldChar w:fldCharType="separate"/>
            </w:r>
            <w:r w:rsidR="00887540">
              <w:rPr>
                <w:noProof/>
                <w:webHidden/>
              </w:rPr>
              <w:t>9</w:t>
            </w:r>
            <w:r>
              <w:rPr>
                <w:noProof/>
                <w:webHidden/>
              </w:rPr>
              <w:fldChar w:fldCharType="end"/>
            </w:r>
          </w:hyperlink>
        </w:p>
        <w:p w14:paraId="0E08323E" w14:textId="5783BC6D" w:rsidR="00705AA8" w:rsidRDefault="00705AA8">
          <w:pPr>
            <w:pStyle w:val="TOC2"/>
            <w:tabs>
              <w:tab w:val="right" w:leader="dot" w:pos="9350"/>
            </w:tabs>
            <w:rPr>
              <w:rFonts w:asciiTheme="minorHAnsi" w:eastAsiaTheme="minorEastAsia" w:hAnsiTheme="minorHAnsi"/>
              <w:noProof/>
              <w:kern w:val="2"/>
              <w:szCs w:val="24"/>
              <w14:ligatures w14:val="standardContextual"/>
            </w:rPr>
          </w:pPr>
          <w:hyperlink w:anchor="_Toc241846616" w:history="1">
            <w:r w:rsidRPr="0057117A">
              <w:rPr>
                <w:rStyle w:val="Hyperlink"/>
                <w:noProof/>
              </w:rPr>
              <w:t>7.1 Convert values into an auditable behavioural scorecard</w:t>
            </w:r>
            <w:r>
              <w:rPr>
                <w:noProof/>
                <w:webHidden/>
              </w:rPr>
              <w:tab/>
            </w:r>
            <w:r>
              <w:rPr>
                <w:noProof/>
                <w:webHidden/>
              </w:rPr>
              <w:fldChar w:fldCharType="begin"/>
            </w:r>
            <w:r>
              <w:rPr>
                <w:noProof/>
                <w:webHidden/>
              </w:rPr>
              <w:instrText xml:space="preserve"> PAGEREF _Toc241846616 \h </w:instrText>
            </w:r>
            <w:r>
              <w:rPr>
                <w:noProof/>
                <w:webHidden/>
              </w:rPr>
            </w:r>
            <w:r>
              <w:rPr>
                <w:noProof/>
                <w:webHidden/>
              </w:rPr>
              <w:fldChar w:fldCharType="separate"/>
            </w:r>
            <w:r w:rsidR="00887540">
              <w:rPr>
                <w:noProof/>
                <w:webHidden/>
              </w:rPr>
              <w:t>9</w:t>
            </w:r>
            <w:r>
              <w:rPr>
                <w:noProof/>
                <w:webHidden/>
              </w:rPr>
              <w:fldChar w:fldCharType="end"/>
            </w:r>
          </w:hyperlink>
        </w:p>
        <w:p w14:paraId="6B7C2D2B" w14:textId="0761F88D" w:rsidR="00705AA8" w:rsidRDefault="00705AA8">
          <w:pPr>
            <w:pStyle w:val="TOC2"/>
            <w:tabs>
              <w:tab w:val="right" w:leader="dot" w:pos="9350"/>
            </w:tabs>
            <w:rPr>
              <w:rFonts w:asciiTheme="minorHAnsi" w:eastAsiaTheme="minorEastAsia" w:hAnsiTheme="minorHAnsi"/>
              <w:noProof/>
              <w:kern w:val="2"/>
              <w:szCs w:val="24"/>
              <w14:ligatures w14:val="standardContextual"/>
            </w:rPr>
          </w:pPr>
          <w:hyperlink w:anchor="_Toc241846617" w:history="1">
            <w:r w:rsidRPr="0057117A">
              <w:rPr>
                <w:rStyle w:val="Hyperlink"/>
                <w:noProof/>
              </w:rPr>
              <w:t>7.2 Institutionalise constructive challenge</w:t>
            </w:r>
            <w:r>
              <w:rPr>
                <w:noProof/>
                <w:webHidden/>
              </w:rPr>
              <w:tab/>
            </w:r>
            <w:r>
              <w:rPr>
                <w:noProof/>
                <w:webHidden/>
              </w:rPr>
              <w:fldChar w:fldCharType="begin"/>
            </w:r>
            <w:r>
              <w:rPr>
                <w:noProof/>
                <w:webHidden/>
              </w:rPr>
              <w:instrText xml:space="preserve"> PAGEREF _Toc241846617 \h </w:instrText>
            </w:r>
            <w:r>
              <w:rPr>
                <w:noProof/>
                <w:webHidden/>
              </w:rPr>
            </w:r>
            <w:r>
              <w:rPr>
                <w:noProof/>
                <w:webHidden/>
              </w:rPr>
              <w:fldChar w:fldCharType="separate"/>
            </w:r>
            <w:r w:rsidR="00887540">
              <w:rPr>
                <w:noProof/>
                <w:webHidden/>
              </w:rPr>
              <w:t>9</w:t>
            </w:r>
            <w:r>
              <w:rPr>
                <w:noProof/>
                <w:webHidden/>
              </w:rPr>
              <w:fldChar w:fldCharType="end"/>
            </w:r>
          </w:hyperlink>
        </w:p>
        <w:p w14:paraId="15DDB0C0" w14:textId="240FDF26" w:rsidR="00705AA8" w:rsidRDefault="00705AA8">
          <w:pPr>
            <w:pStyle w:val="TOC2"/>
            <w:tabs>
              <w:tab w:val="right" w:leader="dot" w:pos="9350"/>
            </w:tabs>
            <w:rPr>
              <w:rFonts w:asciiTheme="minorHAnsi" w:eastAsiaTheme="minorEastAsia" w:hAnsiTheme="minorHAnsi"/>
              <w:noProof/>
              <w:kern w:val="2"/>
              <w:szCs w:val="24"/>
              <w14:ligatures w14:val="standardContextual"/>
            </w:rPr>
          </w:pPr>
          <w:hyperlink w:anchor="_Toc241846618" w:history="1">
            <w:r w:rsidRPr="0057117A">
              <w:rPr>
                <w:rStyle w:val="Hyperlink"/>
                <w:noProof/>
              </w:rPr>
              <w:t>7.3 Use data to empower rather than recentralise</w:t>
            </w:r>
            <w:r>
              <w:rPr>
                <w:noProof/>
                <w:webHidden/>
              </w:rPr>
              <w:tab/>
            </w:r>
            <w:r>
              <w:rPr>
                <w:noProof/>
                <w:webHidden/>
              </w:rPr>
              <w:fldChar w:fldCharType="begin"/>
            </w:r>
            <w:r>
              <w:rPr>
                <w:noProof/>
                <w:webHidden/>
              </w:rPr>
              <w:instrText xml:space="preserve"> PAGEREF _Toc241846618 \h </w:instrText>
            </w:r>
            <w:r>
              <w:rPr>
                <w:noProof/>
                <w:webHidden/>
              </w:rPr>
            </w:r>
            <w:r>
              <w:rPr>
                <w:noProof/>
                <w:webHidden/>
              </w:rPr>
              <w:fldChar w:fldCharType="separate"/>
            </w:r>
            <w:r w:rsidR="00887540">
              <w:rPr>
                <w:noProof/>
                <w:webHidden/>
              </w:rPr>
              <w:t>10</w:t>
            </w:r>
            <w:r>
              <w:rPr>
                <w:noProof/>
                <w:webHidden/>
              </w:rPr>
              <w:fldChar w:fldCharType="end"/>
            </w:r>
          </w:hyperlink>
        </w:p>
        <w:p w14:paraId="74D27F67" w14:textId="18E27588" w:rsidR="00705AA8" w:rsidRDefault="00705AA8">
          <w:pPr>
            <w:pStyle w:val="TOC2"/>
            <w:tabs>
              <w:tab w:val="right" w:leader="dot" w:pos="9350"/>
            </w:tabs>
            <w:rPr>
              <w:rFonts w:asciiTheme="minorHAnsi" w:eastAsiaTheme="minorEastAsia" w:hAnsiTheme="minorHAnsi"/>
              <w:noProof/>
              <w:kern w:val="2"/>
              <w:szCs w:val="24"/>
              <w14:ligatures w14:val="standardContextual"/>
            </w:rPr>
          </w:pPr>
          <w:hyperlink w:anchor="_Toc241846619" w:history="1">
            <w:r w:rsidRPr="0057117A">
              <w:rPr>
                <w:rStyle w:val="Hyperlink"/>
                <w:noProof/>
              </w:rPr>
              <w:t>7.4 Embed sustainability in commercial governance</w:t>
            </w:r>
            <w:r>
              <w:rPr>
                <w:noProof/>
                <w:webHidden/>
              </w:rPr>
              <w:tab/>
            </w:r>
            <w:r>
              <w:rPr>
                <w:noProof/>
                <w:webHidden/>
              </w:rPr>
              <w:fldChar w:fldCharType="begin"/>
            </w:r>
            <w:r>
              <w:rPr>
                <w:noProof/>
                <w:webHidden/>
              </w:rPr>
              <w:instrText xml:space="preserve"> PAGEREF _Toc241846619 \h </w:instrText>
            </w:r>
            <w:r>
              <w:rPr>
                <w:noProof/>
                <w:webHidden/>
              </w:rPr>
            </w:r>
            <w:r>
              <w:rPr>
                <w:noProof/>
                <w:webHidden/>
              </w:rPr>
              <w:fldChar w:fldCharType="separate"/>
            </w:r>
            <w:r w:rsidR="00887540">
              <w:rPr>
                <w:noProof/>
                <w:webHidden/>
              </w:rPr>
              <w:t>10</w:t>
            </w:r>
            <w:r>
              <w:rPr>
                <w:noProof/>
                <w:webHidden/>
              </w:rPr>
              <w:fldChar w:fldCharType="end"/>
            </w:r>
          </w:hyperlink>
        </w:p>
        <w:p w14:paraId="4A6E8176" w14:textId="6767AD98" w:rsidR="00705AA8" w:rsidRDefault="00705AA8">
          <w:pPr>
            <w:pStyle w:val="TOC2"/>
            <w:tabs>
              <w:tab w:val="right" w:leader="dot" w:pos="9350"/>
            </w:tabs>
            <w:rPr>
              <w:rFonts w:asciiTheme="minorHAnsi" w:eastAsiaTheme="minorEastAsia" w:hAnsiTheme="minorHAnsi"/>
              <w:noProof/>
              <w:kern w:val="2"/>
              <w:szCs w:val="24"/>
              <w14:ligatures w14:val="standardContextual"/>
            </w:rPr>
          </w:pPr>
          <w:hyperlink w:anchor="_Toc241846620" w:history="1">
            <w:r w:rsidRPr="0057117A">
              <w:rPr>
                <w:rStyle w:val="Hyperlink"/>
                <w:noProof/>
              </w:rPr>
              <w:t>7.5 Make leadership accountability visibly symmetric</w:t>
            </w:r>
            <w:r>
              <w:rPr>
                <w:noProof/>
                <w:webHidden/>
              </w:rPr>
              <w:tab/>
            </w:r>
            <w:r>
              <w:rPr>
                <w:noProof/>
                <w:webHidden/>
              </w:rPr>
              <w:fldChar w:fldCharType="begin"/>
            </w:r>
            <w:r>
              <w:rPr>
                <w:noProof/>
                <w:webHidden/>
              </w:rPr>
              <w:instrText xml:space="preserve"> PAGEREF _Toc241846620 \h </w:instrText>
            </w:r>
            <w:r>
              <w:rPr>
                <w:noProof/>
                <w:webHidden/>
              </w:rPr>
            </w:r>
            <w:r>
              <w:rPr>
                <w:noProof/>
                <w:webHidden/>
              </w:rPr>
              <w:fldChar w:fldCharType="separate"/>
            </w:r>
            <w:r w:rsidR="00887540">
              <w:rPr>
                <w:noProof/>
                <w:webHidden/>
              </w:rPr>
              <w:t>10</w:t>
            </w:r>
            <w:r>
              <w:rPr>
                <w:noProof/>
                <w:webHidden/>
              </w:rPr>
              <w:fldChar w:fldCharType="end"/>
            </w:r>
          </w:hyperlink>
        </w:p>
        <w:p w14:paraId="0C696D34" w14:textId="1372F02B" w:rsidR="00705AA8" w:rsidRDefault="00705AA8">
          <w:pPr>
            <w:pStyle w:val="TOC2"/>
            <w:tabs>
              <w:tab w:val="right" w:leader="dot" w:pos="9350"/>
            </w:tabs>
            <w:rPr>
              <w:rFonts w:asciiTheme="minorHAnsi" w:eastAsiaTheme="minorEastAsia" w:hAnsiTheme="minorHAnsi"/>
              <w:noProof/>
              <w:kern w:val="2"/>
              <w:szCs w:val="24"/>
              <w14:ligatures w14:val="standardContextual"/>
            </w:rPr>
          </w:pPr>
          <w:hyperlink w:anchor="_Toc241846621" w:history="1">
            <w:r w:rsidRPr="0057117A">
              <w:rPr>
                <w:rStyle w:val="Hyperlink"/>
                <w:noProof/>
              </w:rPr>
              <w:t>7.6 Implementation Priorities</w:t>
            </w:r>
            <w:r>
              <w:rPr>
                <w:noProof/>
                <w:webHidden/>
              </w:rPr>
              <w:tab/>
            </w:r>
            <w:r>
              <w:rPr>
                <w:noProof/>
                <w:webHidden/>
              </w:rPr>
              <w:fldChar w:fldCharType="begin"/>
            </w:r>
            <w:r>
              <w:rPr>
                <w:noProof/>
                <w:webHidden/>
              </w:rPr>
              <w:instrText xml:space="preserve"> PAGEREF _Toc241846621 \h </w:instrText>
            </w:r>
            <w:r>
              <w:rPr>
                <w:noProof/>
                <w:webHidden/>
              </w:rPr>
            </w:r>
            <w:r>
              <w:rPr>
                <w:noProof/>
                <w:webHidden/>
              </w:rPr>
              <w:fldChar w:fldCharType="separate"/>
            </w:r>
            <w:r w:rsidR="00887540">
              <w:rPr>
                <w:noProof/>
                <w:webHidden/>
              </w:rPr>
              <w:t>11</w:t>
            </w:r>
            <w:r>
              <w:rPr>
                <w:noProof/>
                <w:webHidden/>
              </w:rPr>
              <w:fldChar w:fldCharType="end"/>
            </w:r>
          </w:hyperlink>
        </w:p>
        <w:p w14:paraId="438F157E" w14:textId="7CC2C5C8" w:rsidR="00705AA8" w:rsidRDefault="00705AA8">
          <w:pPr>
            <w:pStyle w:val="TOC1"/>
            <w:tabs>
              <w:tab w:val="right" w:leader="dot" w:pos="9350"/>
            </w:tabs>
            <w:rPr>
              <w:rFonts w:asciiTheme="minorHAnsi" w:eastAsiaTheme="minorEastAsia" w:hAnsiTheme="minorHAnsi"/>
              <w:noProof/>
              <w:kern w:val="2"/>
              <w:szCs w:val="24"/>
              <w14:ligatures w14:val="standardContextual"/>
            </w:rPr>
          </w:pPr>
          <w:hyperlink w:anchor="_Toc241846622" w:history="1">
            <w:r w:rsidRPr="0057117A">
              <w:rPr>
                <w:rStyle w:val="Hyperlink"/>
                <w:noProof/>
              </w:rPr>
              <w:t>8. Conclusion</w:t>
            </w:r>
            <w:r>
              <w:rPr>
                <w:noProof/>
                <w:webHidden/>
              </w:rPr>
              <w:tab/>
            </w:r>
            <w:r>
              <w:rPr>
                <w:noProof/>
                <w:webHidden/>
              </w:rPr>
              <w:fldChar w:fldCharType="begin"/>
            </w:r>
            <w:r>
              <w:rPr>
                <w:noProof/>
                <w:webHidden/>
              </w:rPr>
              <w:instrText xml:space="preserve"> PAGEREF _Toc241846622 \h </w:instrText>
            </w:r>
            <w:r>
              <w:rPr>
                <w:noProof/>
                <w:webHidden/>
              </w:rPr>
            </w:r>
            <w:r>
              <w:rPr>
                <w:noProof/>
                <w:webHidden/>
              </w:rPr>
              <w:fldChar w:fldCharType="separate"/>
            </w:r>
            <w:r w:rsidR="00887540">
              <w:rPr>
                <w:noProof/>
                <w:webHidden/>
              </w:rPr>
              <w:t>11</w:t>
            </w:r>
            <w:r>
              <w:rPr>
                <w:noProof/>
                <w:webHidden/>
              </w:rPr>
              <w:fldChar w:fldCharType="end"/>
            </w:r>
          </w:hyperlink>
        </w:p>
        <w:p w14:paraId="6338660D" w14:textId="12E3F21B" w:rsidR="00705AA8" w:rsidRDefault="00705AA8">
          <w:pPr>
            <w:pStyle w:val="TOC1"/>
            <w:tabs>
              <w:tab w:val="right" w:leader="dot" w:pos="9350"/>
            </w:tabs>
            <w:rPr>
              <w:rFonts w:asciiTheme="minorHAnsi" w:eastAsiaTheme="minorEastAsia" w:hAnsiTheme="minorHAnsi"/>
              <w:noProof/>
              <w:kern w:val="2"/>
              <w:szCs w:val="24"/>
              <w14:ligatures w14:val="standardContextual"/>
            </w:rPr>
          </w:pPr>
          <w:hyperlink w:anchor="_Toc241846623" w:history="1">
            <w:r w:rsidRPr="0057117A">
              <w:rPr>
                <w:rStyle w:val="Hyperlink"/>
                <w:noProof/>
              </w:rPr>
              <w:t>References</w:t>
            </w:r>
            <w:r>
              <w:rPr>
                <w:noProof/>
                <w:webHidden/>
              </w:rPr>
              <w:tab/>
            </w:r>
            <w:r>
              <w:rPr>
                <w:noProof/>
                <w:webHidden/>
              </w:rPr>
              <w:fldChar w:fldCharType="begin"/>
            </w:r>
            <w:r>
              <w:rPr>
                <w:noProof/>
                <w:webHidden/>
              </w:rPr>
              <w:instrText xml:space="preserve"> PAGEREF _Toc241846623 \h </w:instrText>
            </w:r>
            <w:r>
              <w:rPr>
                <w:noProof/>
                <w:webHidden/>
              </w:rPr>
            </w:r>
            <w:r>
              <w:rPr>
                <w:noProof/>
                <w:webHidden/>
              </w:rPr>
              <w:fldChar w:fldCharType="separate"/>
            </w:r>
            <w:r w:rsidR="00887540">
              <w:rPr>
                <w:noProof/>
                <w:webHidden/>
              </w:rPr>
              <w:t>12</w:t>
            </w:r>
            <w:r>
              <w:rPr>
                <w:noProof/>
                <w:webHidden/>
              </w:rPr>
              <w:fldChar w:fldCharType="end"/>
            </w:r>
          </w:hyperlink>
        </w:p>
        <w:p w14:paraId="6B8F2C42" w14:textId="05AFF46A" w:rsidR="00705AA8" w:rsidRDefault="00705AA8" w:rsidP="00705AA8">
          <w:pPr>
            <w:jc w:val="center"/>
          </w:pPr>
          <w:r>
            <w:rPr>
              <w:b/>
              <w:bCs/>
              <w:noProof/>
            </w:rPr>
            <w:fldChar w:fldCharType="end"/>
          </w:r>
        </w:p>
      </w:sdtContent>
    </w:sdt>
    <w:p w14:paraId="65C00794" w14:textId="77777777" w:rsidR="0041780D" w:rsidRPr="00F30082" w:rsidRDefault="0041780D" w:rsidP="00705AA8">
      <w:pPr>
        <w:spacing w:before="600"/>
      </w:pPr>
    </w:p>
    <w:p w14:paraId="3AC8A460" w14:textId="77777777" w:rsidR="0041780D" w:rsidRPr="00F30082" w:rsidRDefault="00CB53CB">
      <w:r w:rsidRPr="00F30082">
        <w:br w:type="page"/>
      </w:r>
    </w:p>
    <w:p w14:paraId="3E56CE77" w14:textId="77777777" w:rsidR="0041780D" w:rsidRPr="00F30082" w:rsidRDefault="00CB53CB" w:rsidP="00E67658">
      <w:pPr>
        <w:pStyle w:val="Heading1"/>
      </w:pPr>
      <w:bookmarkStart w:id="0" w:name="_Toc241846605"/>
      <w:r w:rsidRPr="00F30082">
        <w:lastRenderedPageBreak/>
        <w:t>1. Introduction</w:t>
      </w:r>
      <w:bookmarkEnd w:id="0"/>
    </w:p>
    <w:p w14:paraId="233B9209" w14:textId="62186623" w:rsidR="0041780D" w:rsidRPr="00F30082" w:rsidRDefault="0028536A" w:rsidP="00E67658">
      <w:pPr>
        <w:spacing w:line="360" w:lineRule="auto"/>
      </w:pPr>
      <w:proofErr w:type="spellStart"/>
      <w:r w:rsidRPr="00F30082">
        <w:t>Organisational</w:t>
      </w:r>
      <w:proofErr w:type="spellEnd"/>
      <w:r w:rsidRPr="00F30082">
        <w:t xml:space="preserve"> culture is the set of shared meanings and assumptions that influence how groups and individuals understand priorities, coordinate work, exercise authority and evaluate appropriate </w:t>
      </w:r>
      <w:proofErr w:type="spellStart"/>
      <w:r w:rsidRPr="00F30082">
        <w:t>behaviour</w:t>
      </w:r>
      <w:proofErr w:type="spellEnd"/>
      <w:r w:rsidRPr="00F30082">
        <w:t xml:space="preserve">. Mullins and Christy (2016, p. 574) suggest that culture affects decision-making, structure, group </w:t>
      </w:r>
      <w:proofErr w:type="spellStart"/>
      <w:r w:rsidRPr="00F30082">
        <w:t>behaviour</w:t>
      </w:r>
      <w:proofErr w:type="spellEnd"/>
      <w:r w:rsidRPr="00F30082">
        <w:t xml:space="preserve">, motivation, job satisfaction and management control, and that cultural coherence is becoming more difficult in the context of </w:t>
      </w:r>
      <w:proofErr w:type="spellStart"/>
      <w:r w:rsidRPr="00F30082">
        <w:t>globalisation</w:t>
      </w:r>
      <w:proofErr w:type="spellEnd"/>
      <w:r w:rsidRPr="00F30082">
        <w:t xml:space="preserve"> in the context of a diverse workforce. Primark is a good example because it has a low-price retail strategy, is expanding quickly internationally, has a fragmented supply chain and is under increased pressure to </w:t>
      </w:r>
      <w:proofErr w:type="spellStart"/>
      <w:r w:rsidRPr="00F30082">
        <w:t>digitalise</w:t>
      </w:r>
      <w:proofErr w:type="spellEnd"/>
      <w:r w:rsidRPr="00F30082">
        <w:t xml:space="preserve"> and improve their sustainability. This report assesses the culture's impact on structure and decision making, uses the lenses of Schein, Handy and Hofstede to identify the dominant culture in Primark, reviews the culture's response to the external pressures and examines the extent to which the culture will support or hinder performance. It suggests that culture is currently facilitating Primark, but that its value relies on sustaining leadership practice, challenging constructively and embedding sustainability and digital learning into the commercial practice.</w:t>
      </w:r>
    </w:p>
    <w:p w14:paraId="3F5E1ED7" w14:textId="77777777" w:rsidR="0041780D" w:rsidRPr="00F30082" w:rsidRDefault="00CB53CB" w:rsidP="00E67658">
      <w:pPr>
        <w:pStyle w:val="Heading1"/>
      </w:pPr>
      <w:bookmarkStart w:id="1" w:name="_Toc241846606"/>
      <w:r w:rsidRPr="00F30082">
        <w:t xml:space="preserve">2. </w:t>
      </w:r>
      <w:proofErr w:type="spellStart"/>
      <w:r w:rsidRPr="00F30082">
        <w:t>Organisational</w:t>
      </w:r>
      <w:proofErr w:type="spellEnd"/>
      <w:r w:rsidRPr="00F30082">
        <w:t xml:space="preserve"> Context and Cultural Profile</w:t>
      </w:r>
      <w:bookmarkEnd w:id="1"/>
    </w:p>
    <w:p w14:paraId="666A853D" w14:textId="77777777" w:rsidR="0028536A" w:rsidRPr="00F30082" w:rsidRDefault="0028536A" w:rsidP="0028536A">
      <w:pPr>
        <w:spacing w:line="360" w:lineRule="auto"/>
      </w:pPr>
      <w:r w:rsidRPr="00F30082">
        <w:t xml:space="preserve">Primark's </w:t>
      </w:r>
      <w:proofErr w:type="spellStart"/>
      <w:r w:rsidRPr="00F30082">
        <w:t>organisational</w:t>
      </w:r>
      <w:proofErr w:type="spellEnd"/>
      <w:r w:rsidRPr="00F30082">
        <w:t xml:space="preserve"> environment is large-scale but constantly changing. It opened its 500th store on 1 September 2026, operating across 19 countries, and with over 80,000 colleagues from around 190 nationalities (Primark, 2026a). The cultural challenge is exacerbated by this scale, with Primark needing to make thousands of decisions every day, both in store and office, across sourcing markets and partners, without introducing bureaucracy that hinders local responsiveness.</w:t>
      </w:r>
    </w:p>
    <w:p w14:paraId="46B51808" w14:textId="0AE22671" w:rsidR="0041780D" w:rsidRPr="00F30082" w:rsidRDefault="0028536A" w:rsidP="0028536A">
      <w:pPr>
        <w:spacing w:line="360" w:lineRule="auto"/>
      </w:pPr>
      <w:r w:rsidRPr="00F30082">
        <w:t xml:space="preserve">The values that Primark has are Caring, Dynamic and Together. They were co-created with over 300 </w:t>
      </w:r>
      <w:r w:rsidR="002716CC" w:rsidRPr="00F30082">
        <w:t>colleagues and</w:t>
      </w:r>
      <w:r w:rsidRPr="00F30082">
        <w:t xml:space="preserve"> were launched due to the company's awareness that the culture needed to support its 2030 goals was not being clearly communicated (Primark, 2024). They are not just an internal brand, therefore. When values are shaped by leadership, structures, systems and everyday practice, that is when culture becomes consequential</w:t>
      </w:r>
      <w:r w:rsidR="00651F3B">
        <w:t xml:space="preserve"> (</w:t>
      </w:r>
      <w:r w:rsidRPr="00F30082">
        <w:t xml:space="preserve">Sackmann (2022). </w:t>
      </w:r>
    </w:p>
    <w:p w14:paraId="2C67BB3B" w14:textId="77777777" w:rsidR="0041780D" w:rsidRPr="00F30082" w:rsidRDefault="00CB53CB" w:rsidP="00E67658">
      <w:pPr>
        <w:pStyle w:val="Heading1"/>
      </w:pPr>
      <w:bookmarkStart w:id="2" w:name="_Toc241846607"/>
      <w:r w:rsidRPr="00F30082">
        <w:t>3. Influence of Culture on Structure and Decision-Making</w:t>
      </w:r>
      <w:bookmarkEnd w:id="2"/>
    </w:p>
    <w:p w14:paraId="22543C2A" w14:textId="281A1EF1" w:rsidR="000C37A0" w:rsidRPr="00F30082" w:rsidRDefault="000C37A0" w:rsidP="000C37A0">
      <w:pPr>
        <w:spacing w:line="360" w:lineRule="auto"/>
      </w:pPr>
      <w:r w:rsidRPr="00F30082">
        <w:t xml:space="preserve">Primark is part of Associated British Foods' traditional </w:t>
      </w:r>
      <w:proofErr w:type="spellStart"/>
      <w:r w:rsidRPr="00F30082">
        <w:t>decentralised</w:t>
      </w:r>
      <w:proofErr w:type="spellEnd"/>
      <w:r w:rsidRPr="00F30082">
        <w:t xml:space="preserve"> approach to management. ABF explains that objectives are designed from the bottom up and operational decisions are made at a local level by those who are closest to customers and markets. This reflects Primark's </w:t>
      </w:r>
      <w:r w:rsidRPr="00F30082">
        <w:lastRenderedPageBreak/>
        <w:t xml:space="preserve">values: Dynamic supports speed, </w:t>
      </w:r>
      <w:r w:rsidR="002716CC" w:rsidRPr="00F30082">
        <w:t>together</w:t>
      </w:r>
      <w:r w:rsidRPr="00F30082">
        <w:t xml:space="preserve"> supports coordination and Caring broadens attention away from short-term trading. Its primary benefit is that it lets local teams make decisions quickly and easily without having to go through much central approval.</w:t>
      </w:r>
    </w:p>
    <w:p w14:paraId="1494CEDC" w14:textId="16FD1D23" w:rsidR="000C37A0" w:rsidRPr="00F30082" w:rsidRDefault="000C37A0" w:rsidP="000C37A0">
      <w:pPr>
        <w:spacing w:line="360" w:lineRule="auto"/>
      </w:pPr>
      <w:r w:rsidRPr="00F30082">
        <w:t xml:space="preserve">Technology can, however, have a negative impact on </w:t>
      </w:r>
      <w:proofErr w:type="spellStart"/>
      <w:r w:rsidRPr="00F30082">
        <w:t>decentralisation</w:t>
      </w:r>
      <w:proofErr w:type="spellEnd"/>
      <w:r w:rsidRPr="00F30082">
        <w:t xml:space="preserve"> if it is introduced to enhance the quality of decisions. With analytical culture and information systems, it is possible to support data-driven management and at the same time to </w:t>
      </w:r>
      <w:proofErr w:type="spellStart"/>
      <w:r w:rsidRPr="00F30082">
        <w:t>centralise</w:t>
      </w:r>
      <w:proofErr w:type="spellEnd"/>
      <w:r w:rsidRPr="00F30082">
        <w:t xml:space="preserve"> decision-making, as senior managers can monitor the performance level of the local units more closely (Szukits and Moricz 2024). Primark thus has a structural dilemma: digital orders, customer data, </w:t>
      </w:r>
      <w:proofErr w:type="spellStart"/>
      <w:r w:rsidRPr="00F30082">
        <w:t>standardised</w:t>
      </w:r>
      <w:proofErr w:type="spellEnd"/>
      <w:r w:rsidRPr="00F30082">
        <w:t xml:space="preserve"> reporting can help to make things more </w:t>
      </w:r>
      <w:r w:rsidR="002716CC" w:rsidRPr="00F30082">
        <w:t>consistent but</w:t>
      </w:r>
      <w:r w:rsidRPr="00F30082">
        <w:t xml:space="preserve"> can also lead to headquarters deciding what to do locally. It is better to have bounded </w:t>
      </w:r>
      <w:proofErr w:type="spellStart"/>
      <w:r w:rsidRPr="00F30082">
        <w:t>decentralisation</w:t>
      </w:r>
      <w:proofErr w:type="spellEnd"/>
      <w:r w:rsidRPr="00F30082">
        <w:t>: central leaders establish ethical, safety, brand, data and financial non-negotiable standards, and markets have freedom of action in terms of the low-risk execution.</w:t>
      </w:r>
    </w:p>
    <w:p w14:paraId="2BD078DB" w14:textId="0E4E7F3B" w:rsidR="000C37A0" w:rsidRPr="00F30082" w:rsidRDefault="000C37A0" w:rsidP="000C37A0">
      <w:pPr>
        <w:spacing w:line="360" w:lineRule="auto"/>
      </w:pPr>
      <w:r w:rsidRPr="00F30082">
        <w:t xml:space="preserve">How knowledge flows within functions is also shaped by culture. Meta-analytic evidence reveals that </w:t>
      </w:r>
      <w:proofErr w:type="spellStart"/>
      <w:r w:rsidRPr="00F30082">
        <w:t>organisational</w:t>
      </w:r>
      <w:proofErr w:type="spellEnd"/>
      <w:r w:rsidRPr="00F30082">
        <w:t xml:space="preserve"> culture has an impact on knowledge creation, dissemination and application (</w:t>
      </w:r>
      <w:proofErr w:type="spellStart"/>
      <w:r w:rsidRPr="00F30082">
        <w:t>Aichouche</w:t>
      </w:r>
      <w:proofErr w:type="spellEnd"/>
      <w:r w:rsidRPr="00F30082">
        <w:t xml:space="preserve"> et al., 2022). Shared information is a key input to product, retail, digital, logistics and sustainability decisions for Primark. Together can foster integrated knowledge, while a culture of functional protectionism would impede learning. The new role of Chief Commercial Officer, which brings together product, retail, digital and customer, is driving </w:t>
      </w:r>
      <w:r w:rsidR="002716CC" w:rsidRPr="00F30082">
        <w:t>needs</w:t>
      </w:r>
      <w:r w:rsidRPr="00F30082">
        <w:t xml:space="preserve"> for horizontal coordination (Primark, 2026b). It must be evaluated based on better cross-functional problem-solving, not by adding a new layer of senior executives.</w:t>
      </w:r>
    </w:p>
    <w:p w14:paraId="77B94677" w14:textId="77777777" w:rsidR="000C37A0" w:rsidRPr="00F30082" w:rsidRDefault="000C37A0" w:rsidP="000C37A0">
      <w:pPr>
        <w:spacing w:line="360" w:lineRule="auto"/>
      </w:pPr>
      <w:r w:rsidRPr="00F30082">
        <w:t xml:space="preserve">Primark's cultural boundary also extends to its supply chain since the buying </w:t>
      </w:r>
      <w:proofErr w:type="spellStart"/>
      <w:r w:rsidRPr="00F30082">
        <w:t>decisionss</w:t>
      </w:r>
      <w:proofErr w:type="spellEnd"/>
      <w:r w:rsidRPr="00F30082">
        <w:t xml:space="preserve"> have an impact on the working conditions of the suppliers. Independent benchmarking also acts as a counter to company self-reporting: In the 2023 apparel and footwear benchmark, Primark achieved 46/100 (compared to a sector average of 21/100) for its practice, reflecting comparatively better practice but also demonstrating that there is significant room for improvement (</w:t>
      </w:r>
      <w:proofErr w:type="spellStart"/>
      <w:r w:rsidRPr="00F30082">
        <w:t>KnowTheChain</w:t>
      </w:r>
      <w:proofErr w:type="spellEnd"/>
      <w:r w:rsidRPr="00F30082">
        <w:t>, 2023). To achieve this requires supplier voice, credible grievance channels and purchasing pressures that are not counter to public commitments in the form of a mature culture. If Caring is to be a real guide to decision, rather than a goal, it must overcome cost and time constraints.</w:t>
      </w:r>
    </w:p>
    <w:p w14:paraId="7C002CB5" w14:textId="49D66CAC" w:rsidR="0041780D" w:rsidRPr="00F30082" w:rsidRDefault="000C37A0" w:rsidP="000C37A0">
      <w:pPr>
        <w:spacing w:line="360" w:lineRule="auto"/>
      </w:pPr>
      <w:r w:rsidRPr="00F30082">
        <w:t xml:space="preserve">Another structural challenge is the ABF Primark separation. In April 2026, ABF announced its plans to separate Primark into a separate business with a view to listing by the end of 2027 (Davey and Young, 2026). The change will further enhance strategic focus and accountability </w:t>
      </w:r>
      <w:r w:rsidRPr="00F30082">
        <w:lastRenderedPageBreak/>
        <w:t>but will also remove some of the institutional background of how Primark grew up. Clear rights of decision, expectations of leadership and shared assumptions will therefore be of great importance to avoid that governance change creates fragmentation or short-termism.</w:t>
      </w:r>
    </w:p>
    <w:p w14:paraId="7BD14459" w14:textId="62798590" w:rsidR="000939A7" w:rsidRPr="00F30082" w:rsidRDefault="00CC082A">
      <w:pPr>
        <w:pStyle w:val="Heading1"/>
      </w:pPr>
      <w:bookmarkStart w:id="3" w:name="_Toc241846608"/>
      <w:r w:rsidRPr="00F30082">
        <w:t xml:space="preserve">4. Identifying Primark's </w:t>
      </w:r>
      <w:proofErr w:type="spellStart"/>
      <w:r w:rsidRPr="00F30082">
        <w:t>Organisational</w:t>
      </w:r>
      <w:proofErr w:type="spellEnd"/>
      <w:r w:rsidRPr="00F30082">
        <w:t xml:space="preserve"> Culture</w:t>
      </w:r>
      <w:bookmarkEnd w:id="3"/>
    </w:p>
    <w:p w14:paraId="73233BB6" w14:textId="26F4B2C0" w:rsidR="002D53FA" w:rsidRPr="00F30082" w:rsidRDefault="00CB53CB" w:rsidP="002D53FA">
      <w:pPr>
        <w:pStyle w:val="Heading2"/>
      </w:pPr>
      <w:bookmarkStart w:id="4" w:name="_Toc241846609"/>
      <w:r w:rsidRPr="00F30082">
        <w:t>4.1 Schein's Layered Model</w:t>
      </w:r>
      <w:bookmarkEnd w:id="4"/>
    </w:p>
    <w:p w14:paraId="3DE378FD" w14:textId="147A2926" w:rsidR="0041780D" w:rsidRPr="00F30082" w:rsidRDefault="002716CC" w:rsidP="00E67658">
      <w:pPr>
        <w:spacing w:line="360" w:lineRule="auto"/>
      </w:pPr>
      <w:r w:rsidRPr="00F30082">
        <w:rPr>
          <w:noProof/>
        </w:rPr>
        <w:drawing>
          <wp:anchor distT="0" distB="0" distL="114300" distR="114300" simplePos="0" relativeHeight="251658752" behindDoc="0" locked="0" layoutInCell="1" allowOverlap="1" wp14:anchorId="7632F49D" wp14:editId="5D14B7D7">
            <wp:simplePos x="0" y="0"/>
            <wp:positionH relativeFrom="column">
              <wp:posOffset>3448050</wp:posOffset>
            </wp:positionH>
            <wp:positionV relativeFrom="paragraph">
              <wp:posOffset>55880</wp:posOffset>
            </wp:positionV>
            <wp:extent cx="2790825" cy="2180590"/>
            <wp:effectExtent l="0" t="0" r="9525" b="0"/>
            <wp:wrapSquare wrapText="bothSides"/>
            <wp:docPr id="178378030" name="Picture 1" descr="Edgar Schein's Organizational Cultur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dgar Schein's Organizational Culture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90825" cy="21805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37A0" w:rsidRPr="00F30082">
        <w:t xml:space="preserve"> </w:t>
      </w:r>
      <w:r w:rsidR="000C37A0" w:rsidRPr="00F30082">
        <w:rPr>
          <w:noProof/>
        </w:rPr>
        <w:t>Schein's layered approach separates the visible artefacts, espoused values and underlying assumptions. The levels are interdependent, meaning that visible practices can indicate culture, but cannot substantiate culture as it pertains to the employees' beliefs (Sackmann, 2022). In Primark, artefacts are high volume stores, fast rate of merchandise turnover, low pricing communication, colleagues' networks, sustainability reporting and digital interfaces. It is particularly interesting that Click &amp; Collect has been rolled out in 187 stores throughout Great Britain in May 2025, as this is an example of adaptation without giving up the store-led model (Primark, 2025a).</w:t>
      </w:r>
    </w:p>
    <w:p w14:paraId="2574AC38" w14:textId="42C68414" w:rsidR="000C37A0" w:rsidRPr="00F30082" w:rsidRDefault="000C37A0" w:rsidP="000C37A0">
      <w:pPr>
        <w:spacing w:line="360" w:lineRule="auto"/>
      </w:pPr>
      <w:r w:rsidRPr="00F30082">
        <w:t xml:space="preserve">Caring, Dynamic and Together form a simple </w:t>
      </w:r>
      <w:proofErr w:type="spellStart"/>
      <w:r w:rsidRPr="00F30082">
        <w:t>behavioural</w:t>
      </w:r>
      <w:proofErr w:type="spellEnd"/>
      <w:r w:rsidRPr="00F30082">
        <w:t xml:space="preserve"> architecture at the espoused level. Deeper assumptions seem to be the notions that fashion should be accessible, that simplicity and scale creates value, and that growth requires orchestrated execution. Assumptions are used to conduct trade-offs and are not necessarily true. Brahm and Poblete (2024) suggest that </w:t>
      </w:r>
      <w:r w:rsidR="002716CC" w:rsidRPr="00F30082">
        <w:t>adaptive</w:t>
      </w:r>
      <w:r w:rsidRPr="00F30082">
        <w:t xml:space="preserve"> performance can rely, at least in part, on the representation of value creation in the </w:t>
      </w:r>
      <w:proofErr w:type="spellStart"/>
      <w:r w:rsidRPr="00F30082">
        <w:t>organisational</w:t>
      </w:r>
      <w:proofErr w:type="spellEnd"/>
      <w:r w:rsidRPr="00F30082">
        <w:t xml:space="preserve"> beliefs and whether successful practices spread within the </w:t>
      </w:r>
      <w:proofErr w:type="spellStart"/>
      <w:r w:rsidRPr="00F30082">
        <w:t>organisation</w:t>
      </w:r>
      <w:proofErr w:type="spellEnd"/>
      <w:r w:rsidRPr="00F30082">
        <w:t xml:space="preserve">. The cultural risk of Primark is rigidity, however, because the logic created </w:t>
      </w:r>
      <w:r w:rsidR="002716CC" w:rsidRPr="00F30082">
        <w:t>based on</w:t>
      </w:r>
      <w:r w:rsidRPr="00F30082">
        <w:t xml:space="preserve"> the store model might become less true as the convenience and digital engagement of customers, along with sustainability, shape their purchasing decisions.</w:t>
      </w:r>
    </w:p>
    <w:p w14:paraId="16923158" w14:textId="528E3637" w:rsidR="0041780D" w:rsidRPr="00F30082" w:rsidRDefault="000C37A0" w:rsidP="000C37A0">
      <w:pPr>
        <w:spacing w:line="360" w:lineRule="auto"/>
      </w:pPr>
      <w:r w:rsidRPr="00F30082">
        <w:t xml:space="preserve">A similar limitation is also apparent in the model. Corporate documents primarily capture artefacts and values; they cannot make assumptions about more than 80,000 colleagues. A strong diagnosis would involve carrying out engagement surveys, turnover, promotion trends, speak-up cases, supplier feedback, observed decisions and qualitative listening. It is important that intended culture, enacted culture and experienced culture are distinguished because Primark can </w:t>
      </w:r>
      <w:r w:rsidRPr="00F30082">
        <w:lastRenderedPageBreak/>
        <w:t>communicate Caring, and employees feel pressured, or they can communicate Together and dissent is discouraged.</w:t>
      </w:r>
    </w:p>
    <w:p w14:paraId="017BC2CE" w14:textId="77777777" w:rsidR="0041780D" w:rsidRPr="00F30082" w:rsidRDefault="00CB53CB" w:rsidP="00E67658">
      <w:pPr>
        <w:pStyle w:val="Heading2"/>
      </w:pPr>
      <w:bookmarkStart w:id="5" w:name="_Toc241846610"/>
      <w:r w:rsidRPr="00F30082">
        <w:t>4.2 Handy's Cultural Types</w:t>
      </w:r>
      <w:bookmarkEnd w:id="5"/>
    </w:p>
    <w:p w14:paraId="16908F3F" w14:textId="77777777" w:rsidR="00B161F2" w:rsidRPr="00F30082" w:rsidRDefault="00B161F2" w:rsidP="00B161F2">
      <w:pPr>
        <w:spacing w:line="360" w:lineRule="auto"/>
      </w:pPr>
      <w:r w:rsidRPr="00F30082">
        <w:t>Handy differentiates power, role, task and person cultures. Modern use points out that role cultures are based on formal authority and procedure, whereas task cultures have a focus on problems and projects, and involve the sharing of expertise (Gasela, 2022). Primark is better viewed as a hybrid. When it's multinational in scope, it has a role dimension, because it's in the store routines, sourcing controls and compliance requirements; when it's digital, it's in the market entry, accessibility and circular-design work, it has a cross-functional task culture in which expertise can cross departmental lines.</w:t>
      </w:r>
    </w:p>
    <w:p w14:paraId="39A79799" w14:textId="42D41C88" w:rsidR="0041780D" w:rsidRPr="00F30082" w:rsidRDefault="00B161F2" w:rsidP="00B161F2">
      <w:pPr>
        <w:spacing w:line="360" w:lineRule="auto"/>
      </w:pPr>
      <w:r w:rsidRPr="00F30082">
        <w:t xml:space="preserve">It is more likely to be a hybrid rather than Primark having to be </w:t>
      </w:r>
      <w:proofErr w:type="spellStart"/>
      <w:r w:rsidRPr="00F30082">
        <w:t>categorised</w:t>
      </w:r>
      <w:proofErr w:type="spellEnd"/>
      <w:r w:rsidRPr="00F30082">
        <w:t>. Too much role culture could help to reinforce consistency but delay adaptation and exacerbate silos; too much task culture could help with creativity but add to duplication and inconsistent standards. Studies on culture archetypes also reveal that there is no universally optimal culture and that culture patterns based on people, customers and performance have different associations to outcomes (O'Reilly, Cao and Sull, 2024). Primark thus seems to be best positioned as a disciplined performance culture where the roles are controlled, tasks are shared and people and customers are better protected.</w:t>
      </w:r>
    </w:p>
    <w:p w14:paraId="6D6F8B00" w14:textId="77777777" w:rsidR="0041780D" w:rsidRPr="00F30082" w:rsidRDefault="00CB53CB" w:rsidP="00E67658">
      <w:pPr>
        <w:pStyle w:val="Heading2"/>
      </w:pPr>
      <w:bookmarkStart w:id="6" w:name="_Toc241846611"/>
      <w:r w:rsidRPr="00F30082">
        <w:t>4.3 Hofstede and International Variation</w:t>
      </w:r>
      <w:bookmarkEnd w:id="6"/>
    </w:p>
    <w:p w14:paraId="6B34655A" w14:textId="5622DEAF" w:rsidR="0041780D" w:rsidRPr="00F30082" w:rsidRDefault="00B161F2" w:rsidP="00E67658">
      <w:pPr>
        <w:spacing w:line="360" w:lineRule="auto"/>
      </w:pPr>
      <w:r w:rsidRPr="00F30082">
        <w:t>Hofstede's national-culture dimensions can be used as a tool to predict differences in hierarchy, individualism and uncertainty tolerance in Primark's markets, but should be treated as a contextual factor rather than a country label. The external validity and internal consistency of Hofstede's later scales are raised by Gerlach and Eriksson (2021) and it is not safe to extrapolate from the national level to the individual level. Therefore, the global values at Primark should remain unchanged and leadership and participation practices adjusted. Together might need to have a stronger managerial invitation to communicate in settings with high power distance, whereas low power distance teams might be expecting more autonomy.</w:t>
      </w:r>
    </w:p>
    <w:p w14:paraId="54210C54" w14:textId="77777777" w:rsidR="0041780D" w:rsidRPr="00F30082" w:rsidRDefault="00CB53CB" w:rsidP="00E67658">
      <w:pPr>
        <w:pStyle w:val="Heading2"/>
      </w:pPr>
      <w:bookmarkStart w:id="7" w:name="_Toc241846612"/>
      <w:r w:rsidRPr="00F30082">
        <w:t>4.4 Overall Judgement on the Prevailing Culture</w:t>
      </w:r>
      <w:bookmarkEnd w:id="7"/>
    </w:p>
    <w:p w14:paraId="12E2DC3E" w14:textId="55ADFB70" w:rsidR="0041780D" w:rsidRPr="00F30082" w:rsidRDefault="00550483" w:rsidP="00E67658">
      <w:pPr>
        <w:spacing w:line="360" w:lineRule="auto"/>
      </w:pPr>
      <w:r w:rsidRPr="00F30082">
        <w:t xml:space="preserve">The three frameworks complement each other and provide a stronger diagnosis than any single framework. Schein reveals discrepancies between stated values and assumptions, and between </w:t>
      </w:r>
      <w:r w:rsidRPr="00F30082">
        <w:lastRenderedPageBreak/>
        <w:t>visible practices; Handy makes managers aware of the differences between procedural control and project collaboration; Hofstede brings to light differences in values across nations. The culture that prevails at Primark is therefore a hybrid culture that is performance-driven, with role discipline tempering task-oriented collaboration, as the latter becomes more adaptive and is increasingly moderated by Caring. This judgement is provisional as it is easier to see intended and observable culture in public than it is for employees' assumptions which are taken for granted.</w:t>
      </w:r>
    </w:p>
    <w:p w14:paraId="2427F551" w14:textId="77777777" w:rsidR="0041780D" w:rsidRPr="00F30082" w:rsidRDefault="00CB53CB" w:rsidP="00E67658">
      <w:pPr>
        <w:pStyle w:val="Heading1"/>
      </w:pPr>
      <w:bookmarkStart w:id="8" w:name="_Toc241846613"/>
      <w:r w:rsidRPr="00F30082">
        <w:t>5. Culture and Adaptation to the External Environment</w:t>
      </w:r>
      <w:bookmarkEnd w:id="8"/>
    </w:p>
    <w:p w14:paraId="64F4255D" w14:textId="77777777" w:rsidR="00550483" w:rsidRPr="00F30082" w:rsidRDefault="00550483" w:rsidP="00550483">
      <w:pPr>
        <w:spacing w:line="360" w:lineRule="auto"/>
      </w:pPr>
      <w:r w:rsidRPr="00F30082">
        <w:t>Primark is experiencing a multi-layered economic, technological, social and environmental challenge. Its low-price proposition is still a good one economically, but it is possible that new-store growth can mask weak underlying trading. ABF's September 2026 update forecast full-year sales growth of around 2% and like-for-like sales were around 2.6% lower, especially in continental Europe (Associated British Foods, 2026). Dynamic is therefore useful only when it helps managers to pay attention to weak signals and experiment with interventions and end unsuccessful initiatives, rather than believing that activity is adaptation.</w:t>
      </w:r>
    </w:p>
    <w:p w14:paraId="054A55D4" w14:textId="77777777" w:rsidR="00550483" w:rsidRPr="00F30082" w:rsidRDefault="00550483" w:rsidP="00550483">
      <w:pPr>
        <w:spacing w:line="360" w:lineRule="auto"/>
      </w:pPr>
      <w:r w:rsidRPr="00F30082">
        <w:t xml:space="preserve">Technology is increasingly an outside force that is disruptive. </w:t>
      </w:r>
      <w:proofErr w:type="spellStart"/>
      <w:r w:rsidRPr="00F30082">
        <w:t>Digitalisation</w:t>
      </w:r>
      <w:proofErr w:type="spellEnd"/>
      <w:r w:rsidRPr="00F30082">
        <w:t xml:space="preserve"> does more than provide a sales channel, it can also fundamentally transform routines, information flows and power (Grover, Tseng and Pu, 2022). Primark has moved from website discovery to Click &amp; Collect across the country, apps and CRM; and in September 2026 revealed plans for home delivery in Great Britain. The cultural challenge is to develop ecommerce capability without the import costs which detract from the value proposition. It doesn't have to be a retailer that is an online business to make online convenience a part of its store-led business.</w:t>
      </w:r>
    </w:p>
    <w:p w14:paraId="0FCB4EDB" w14:textId="12D15395" w:rsidR="00550483" w:rsidRPr="00F30082" w:rsidRDefault="00550483" w:rsidP="00550483">
      <w:pPr>
        <w:spacing w:line="360" w:lineRule="auto"/>
      </w:pPr>
      <w:r w:rsidRPr="00F30082">
        <w:t xml:space="preserve">Expectations for an affordable mass-market retailer are also influenced by social expectations. Caring is linked to Primark's policy of inclusion and employee voice, and its customer proposition is becoming </w:t>
      </w:r>
      <w:r w:rsidR="002716CC" w:rsidRPr="00F30082">
        <w:t>increasingly</w:t>
      </w:r>
      <w:r w:rsidRPr="00F30082">
        <w:t xml:space="preserve"> inclusive with the introduction of accessibility and adaptive products (Primark, 2024). This is strategically important: workforce diversity can help to gain insight into a wide spectrum of customers if employees can add to the mix and not simply conform. Inclusion needs to be demonstrated in all product decisions, store decisions, career decisions and communication decisions as it becomes a way of life and is not a campaign.</w:t>
      </w:r>
    </w:p>
    <w:p w14:paraId="059CDAD0" w14:textId="77777777" w:rsidR="00550483" w:rsidRPr="00F30082" w:rsidRDefault="00550483" w:rsidP="00550483">
      <w:pPr>
        <w:spacing w:line="360" w:lineRule="auto"/>
      </w:pPr>
      <w:r w:rsidRPr="00F30082">
        <w:t xml:space="preserve">The fundamental question of product design and volume is challenged by environmental regulation. The EU Action Plan on Sustainable and Circular Textiles aims at sustainable and </w:t>
      </w:r>
      <w:r w:rsidRPr="00F30082">
        <w:lastRenderedPageBreak/>
        <w:t xml:space="preserve">circular textiles, which includes durable, repairable and recyclable products, and expressly covers the issue of fast-fashion consumption (European Commission, 2022). In the transition, the connection with product design, resource use, waste and business-model expectations is growing stronger (see policy analysis). In 2024/25, 74% of the Primark's clothing contained recycled or more sustainable </w:t>
      </w:r>
      <w:proofErr w:type="spellStart"/>
      <w:r w:rsidRPr="00F30082">
        <w:t>fibres</w:t>
      </w:r>
      <w:proofErr w:type="spellEnd"/>
      <w:r w:rsidRPr="00F30082">
        <w:t>, and the company's circular design efforts are growing (Primark, 2025b). While these are significant changes, circularity research cautions against taking a piecemeal approach that cannot replace systemic change throughout the design, sourcing, use and end-of-life processes (Brydges, 2021).</w:t>
      </w:r>
    </w:p>
    <w:p w14:paraId="66790DE0" w14:textId="6D831A54" w:rsidR="0041780D" w:rsidRPr="00F30082" w:rsidRDefault="00550483" w:rsidP="00550483">
      <w:pPr>
        <w:spacing w:line="360" w:lineRule="auto"/>
      </w:pPr>
      <w:r w:rsidRPr="00F30082">
        <w:t xml:space="preserve">Another adaptation pressure is caused by international growth. Connecting to 500 stores in 19 countries makes it even more important to have standards, but does not mean that one way of communicating is suitable for all stores. It also raises the reputational risk for local poor conduct, </w:t>
      </w:r>
      <w:proofErr w:type="spellStart"/>
      <w:r w:rsidRPr="00F30082">
        <w:t>labour</w:t>
      </w:r>
      <w:proofErr w:type="spellEnd"/>
      <w:r w:rsidRPr="00F30082">
        <w:t xml:space="preserve"> standards or customer experience. The best adaptive culture is thus not overly </w:t>
      </w:r>
      <w:proofErr w:type="spellStart"/>
      <w:r w:rsidRPr="00F30082">
        <w:t>standardised</w:t>
      </w:r>
      <w:proofErr w:type="spellEnd"/>
      <w:r w:rsidRPr="00F30082">
        <w:t xml:space="preserve">, nor entirely </w:t>
      </w:r>
      <w:proofErr w:type="spellStart"/>
      <w:r w:rsidRPr="00F30082">
        <w:t>localised</w:t>
      </w:r>
      <w:proofErr w:type="spellEnd"/>
      <w:r w:rsidRPr="00F30082">
        <w:t>, but a mix of brand and ethical principles that are unwavering, and local learning and authority.</w:t>
      </w:r>
    </w:p>
    <w:p w14:paraId="4D163991" w14:textId="77777777" w:rsidR="0041780D" w:rsidRPr="00F30082" w:rsidRDefault="00CB53CB" w:rsidP="00E67658">
      <w:pPr>
        <w:pStyle w:val="Heading1"/>
      </w:pPr>
      <w:bookmarkStart w:id="9" w:name="_Toc241846614"/>
      <w:r w:rsidRPr="00F30082">
        <w:t xml:space="preserve">6. </w:t>
      </w:r>
      <w:proofErr w:type="spellStart"/>
      <w:r w:rsidRPr="00F30082">
        <w:t>Organisational</w:t>
      </w:r>
      <w:proofErr w:type="spellEnd"/>
      <w:r w:rsidRPr="00F30082">
        <w:t xml:space="preserve"> Culture as Enabler and Barrier</w:t>
      </w:r>
      <w:bookmarkEnd w:id="9"/>
    </w:p>
    <w:p w14:paraId="39399BA9" w14:textId="77777777" w:rsidR="00550483" w:rsidRPr="00F30082" w:rsidRDefault="00550483" w:rsidP="00550483">
      <w:pPr>
        <w:spacing w:line="360" w:lineRule="auto"/>
      </w:pPr>
      <w:r w:rsidRPr="00F30082">
        <w:t xml:space="preserve">On balance, it is more of an enabler than a hindrance, but it is a conditional judgement for Primark. It allows for effective functioning when Dynamic </w:t>
      </w:r>
      <w:proofErr w:type="spellStart"/>
      <w:r w:rsidRPr="00F30082">
        <w:t>legitimises</w:t>
      </w:r>
      <w:proofErr w:type="spellEnd"/>
      <w:r w:rsidRPr="00F30082">
        <w:t xml:space="preserve"> experimentation, Together coordinates functions, and Caring extends attention to go beyond short-term sales. Preliminary studies indicate that fostering a proactively supportive and developmental culture can boost the competitive benefit of proactively responding to environmental issues (Bortolotti, </w:t>
      </w:r>
      <w:proofErr w:type="spellStart"/>
      <w:r w:rsidRPr="00F30082">
        <w:t>Boscari</w:t>
      </w:r>
      <w:proofErr w:type="spellEnd"/>
      <w:r w:rsidRPr="00F30082">
        <w:t xml:space="preserve"> and Xiao, 2024). Culture can thus be a tool for Primark to transform external pressure into coordinated action and not compliance.</w:t>
      </w:r>
    </w:p>
    <w:p w14:paraId="72157C3B" w14:textId="77777777" w:rsidR="00550483" w:rsidRPr="00F30082" w:rsidRDefault="00550483" w:rsidP="00550483">
      <w:pPr>
        <w:spacing w:line="360" w:lineRule="auto"/>
      </w:pPr>
      <w:r w:rsidRPr="00F30082">
        <w:t xml:space="preserve">The same culture can be a barrier when there are underlying assumptions go unchallenged. Low price, high volume and store economics are still very salient with Primark. But the research on fast fashion suggests that there are structural barriers to sustainability, as growth continues to rely on increased consumption (Garcia-Ortega et al., 2023). Cultural reflexivity is therefore a requirement for Primark, as managers must be able to challenge some of the historic success formula, but not </w:t>
      </w:r>
      <w:proofErr w:type="spellStart"/>
      <w:r w:rsidRPr="00F30082">
        <w:t>jeopardise</w:t>
      </w:r>
      <w:proofErr w:type="spellEnd"/>
      <w:r w:rsidRPr="00F30082">
        <w:t xml:space="preserve"> the brand's accessibility proposition which is what sets it apart.</w:t>
      </w:r>
    </w:p>
    <w:p w14:paraId="3D313277" w14:textId="3D4BDB78" w:rsidR="0041780D" w:rsidRPr="00F30082" w:rsidRDefault="00550483" w:rsidP="00550483">
      <w:pPr>
        <w:spacing w:line="360" w:lineRule="auto"/>
      </w:pPr>
      <w:r w:rsidRPr="00F30082">
        <w:t xml:space="preserve">Another important test is the leadership credibility. Former chief executive Paul Marchant stepped down in March 2025 following an external investigation into actions that were deemed to be "below expectations" by ABF (Davey, 2025). The episode is a representation of cultural </w:t>
      </w:r>
      <w:r w:rsidRPr="00F30082">
        <w:lastRenderedPageBreak/>
        <w:t xml:space="preserve">risk and enforcement. When senior status seems to be an exception to a values-led </w:t>
      </w:r>
      <w:proofErr w:type="spellStart"/>
      <w:r w:rsidRPr="00F30082">
        <w:t>organisation</w:t>
      </w:r>
      <w:proofErr w:type="spellEnd"/>
      <w:r w:rsidRPr="00F30082">
        <w:t xml:space="preserve">, it undermines the </w:t>
      </w:r>
      <w:proofErr w:type="spellStart"/>
      <w:r w:rsidRPr="00F30082">
        <w:t>organisation</w:t>
      </w:r>
      <w:proofErr w:type="spellEnd"/>
      <w:r w:rsidRPr="00F30082">
        <w:t xml:space="preserve">; when governance sets </w:t>
      </w:r>
      <w:proofErr w:type="spellStart"/>
      <w:r w:rsidRPr="00F30082">
        <w:t>behavioural</w:t>
      </w:r>
      <w:proofErr w:type="spellEnd"/>
      <w:r w:rsidRPr="00F30082">
        <w:t xml:space="preserve"> expectations consistently, it strengthens a values-led </w:t>
      </w:r>
      <w:proofErr w:type="spellStart"/>
      <w:r w:rsidRPr="00F30082">
        <w:t>organisation</w:t>
      </w:r>
      <w:proofErr w:type="spellEnd"/>
      <w:r w:rsidRPr="00F30082">
        <w:t xml:space="preserve">. </w:t>
      </w:r>
      <w:r w:rsidRPr="002716CC">
        <w:rPr>
          <w:lang w:val="en-GB"/>
        </w:rPr>
        <w:t>Asymmetric accountability along the hierarchy, particularly in times of fast strategic change, is to be avoided in the future if credibility is to be maintained.</w:t>
      </w:r>
    </w:p>
    <w:p w14:paraId="2369C4C4" w14:textId="77777777" w:rsidR="0041780D" w:rsidRPr="00F30082" w:rsidRDefault="00CB53CB" w:rsidP="00E67658">
      <w:pPr>
        <w:pStyle w:val="Heading1"/>
      </w:pPr>
      <w:bookmarkStart w:id="10" w:name="_Toc241846615"/>
      <w:r w:rsidRPr="00F30082">
        <w:t>7. Performance Impact and Evidence-Based Recommendations</w:t>
      </w:r>
      <w:bookmarkEnd w:id="10"/>
    </w:p>
    <w:p w14:paraId="1EB3E9E1" w14:textId="5A0B96BD" w:rsidR="00AE51E1" w:rsidRPr="00F30082" w:rsidRDefault="00AE51E1" w:rsidP="00AE51E1">
      <w:pPr>
        <w:spacing w:line="360" w:lineRule="auto"/>
      </w:pPr>
      <w:r w:rsidRPr="00F30082">
        <w:t xml:space="preserve">Culture can affect Primark's performance in a variety of ways: coordination, cost discipline, customer focus, learning and legitimacy, but there is no causal relationship to be taken for granted. In 2025, the revenue of Primark was £9.489 billion, the adjusted operating profit was £1.126 billion and the adjusted operating margin was 11.9% (Associated British Foods, 2025). The results are consistent with good operational discipline and are also influenced by pricing, sourcing, expansion of stores, demand, property economics and macro-economic factors. </w:t>
      </w:r>
    </w:p>
    <w:p w14:paraId="5B162DA3" w14:textId="77201096" w:rsidR="0041780D" w:rsidRPr="00F30082" w:rsidRDefault="00AE51E1" w:rsidP="00AE51E1">
      <w:pPr>
        <w:spacing w:line="360" w:lineRule="auto"/>
      </w:pPr>
      <w:r w:rsidRPr="00F30082">
        <w:t xml:space="preserve">The need for an adaptive, and not celebratory, culture is further reinforced in 2026 due to performance pressure. Primark needs to apply some of the lessons it has learned from its weaker like-for-like performance in parts of Europe as it expands store, online and franchise operations. Rather than cultural symbolism, the consistency of </w:t>
      </w:r>
      <w:proofErr w:type="spellStart"/>
      <w:r w:rsidRPr="00F30082">
        <w:t>behaviour</w:t>
      </w:r>
      <w:proofErr w:type="spellEnd"/>
      <w:r w:rsidRPr="00F30082">
        <w:t>, evidence-based challenge and cross-functional learning are more important. The following recommendations are in response to the above tensions.</w:t>
      </w:r>
    </w:p>
    <w:p w14:paraId="7CE1A200" w14:textId="77777777" w:rsidR="0041780D" w:rsidRPr="00F30082" w:rsidRDefault="00CB53CB" w:rsidP="00E67658">
      <w:pPr>
        <w:pStyle w:val="Heading2"/>
      </w:pPr>
      <w:bookmarkStart w:id="11" w:name="_Toc241846616"/>
      <w:r w:rsidRPr="00F30082">
        <w:t xml:space="preserve">7.1 Convert values into an auditable </w:t>
      </w:r>
      <w:proofErr w:type="spellStart"/>
      <w:r w:rsidRPr="00F30082">
        <w:t>behavioural</w:t>
      </w:r>
      <w:proofErr w:type="spellEnd"/>
      <w:r w:rsidRPr="00F30082">
        <w:t xml:space="preserve"> scorecard</w:t>
      </w:r>
      <w:bookmarkEnd w:id="11"/>
    </w:p>
    <w:p w14:paraId="7710C764" w14:textId="59FDD81A" w:rsidR="0041780D" w:rsidRPr="00F30082" w:rsidRDefault="00AE51E1" w:rsidP="00E67658">
      <w:pPr>
        <w:spacing w:line="360" w:lineRule="auto"/>
      </w:pPr>
      <w:r w:rsidRPr="00F30082">
        <w:t>Primark needs to translate the words Caring, Dynamic and Together into a few meaningful metrics that can be discussed when it comes to sales and margin. These measures should include employee voice, psychological safety, internal mobility, customer access, digital adoption, supplier feedback and sustainability execution. This would help close the gap between espoused and enacted culture and enhance accountability of leadership based on evidence. As well as through the reinforcement of culture, there are stated values that help to sustain it, as highlighted by Sackmann (2022). The KPI should not be a single engagement score, but instead a quarterly culture dashboard, which includes market-level trends and named owners.</w:t>
      </w:r>
    </w:p>
    <w:p w14:paraId="59BE4F06" w14:textId="77777777" w:rsidR="0041780D" w:rsidRPr="00F30082" w:rsidRDefault="00CB53CB" w:rsidP="00E67658">
      <w:pPr>
        <w:pStyle w:val="Heading2"/>
      </w:pPr>
      <w:bookmarkStart w:id="12" w:name="_Toc241846617"/>
      <w:r w:rsidRPr="00F30082">
        <w:t xml:space="preserve">7.2 </w:t>
      </w:r>
      <w:proofErr w:type="spellStart"/>
      <w:r w:rsidRPr="00F30082">
        <w:t>Institutionalise</w:t>
      </w:r>
      <w:proofErr w:type="spellEnd"/>
      <w:r w:rsidRPr="00F30082">
        <w:t xml:space="preserve"> constructive challenge</w:t>
      </w:r>
      <w:bookmarkEnd w:id="12"/>
    </w:p>
    <w:p w14:paraId="74EA7138" w14:textId="5BA21DD9" w:rsidR="0041780D" w:rsidRPr="00F30082" w:rsidRDefault="00AE51E1" w:rsidP="00E67658">
      <w:pPr>
        <w:spacing w:line="360" w:lineRule="auto"/>
      </w:pPr>
      <w:r w:rsidRPr="00F30082">
        <w:t xml:space="preserve">Together, they should clearly state that they will disagree in a respectful way. A named challenger from another function should be included in major product, sourcing, technology and </w:t>
      </w:r>
      <w:r w:rsidRPr="00F30082">
        <w:lastRenderedPageBreak/>
        <w:t xml:space="preserve">market decisions and there is evidence from stores, </w:t>
      </w:r>
      <w:r w:rsidR="0020377E" w:rsidRPr="00F30082">
        <w:t>customers</w:t>
      </w:r>
      <w:r w:rsidRPr="00F30082">
        <w:t xml:space="preserve"> or supplier. This would prevent groupthink and enhance the beliefs of the </w:t>
      </w:r>
      <w:proofErr w:type="spellStart"/>
      <w:r w:rsidRPr="00F30082">
        <w:t>organisation</w:t>
      </w:r>
      <w:proofErr w:type="spellEnd"/>
      <w:r w:rsidRPr="00F30082">
        <w:t xml:space="preserve"> needed for adaptation (Brahm and Poblete, 2024). The KPI should be the percentage of major reviews that include the following: alternatives, assumptions and post-implementation learning.</w:t>
      </w:r>
    </w:p>
    <w:p w14:paraId="61065B97" w14:textId="77777777" w:rsidR="0041780D" w:rsidRPr="00F30082" w:rsidRDefault="00CB53CB" w:rsidP="00E67658">
      <w:pPr>
        <w:pStyle w:val="Heading2"/>
      </w:pPr>
      <w:bookmarkStart w:id="13" w:name="_Toc241846618"/>
      <w:r w:rsidRPr="00F30082">
        <w:t xml:space="preserve">7.3 Use data to empower rather than </w:t>
      </w:r>
      <w:proofErr w:type="spellStart"/>
      <w:r w:rsidRPr="00F30082">
        <w:t>recentralise</w:t>
      </w:r>
      <w:bookmarkEnd w:id="13"/>
      <w:proofErr w:type="spellEnd"/>
    </w:p>
    <w:p w14:paraId="4BF49F93" w14:textId="2EB2EA19" w:rsidR="0041780D" w:rsidRPr="00F30082" w:rsidRDefault="0020377E" w:rsidP="00E67658">
      <w:pPr>
        <w:spacing w:line="360" w:lineRule="auto"/>
      </w:pPr>
      <w:r w:rsidRPr="00F30082">
        <w:t>Primark should provide trading and store teams with easy-to-use dashboards that integrate the metrics of trading, stock, digital-order and customer feedback; at the same time, allowing the teams some autonomy to run experiments at low risk. Governance design can be either central controlled or local decision quality supported, depending on the data visibility level (Szukits and Moricz, 2024). To be effective, KPIs should be a mix of local test velocity, insight-to-action cycle time and a percentage of successful experiments scaled across markets.</w:t>
      </w:r>
    </w:p>
    <w:p w14:paraId="029A9D94" w14:textId="77777777" w:rsidR="0041780D" w:rsidRPr="00F30082" w:rsidRDefault="00CB53CB" w:rsidP="00E67658">
      <w:pPr>
        <w:pStyle w:val="Heading2"/>
      </w:pPr>
      <w:bookmarkStart w:id="14" w:name="_Toc241846619"/>
      <w:r w:rsidRPr="00F30082">
        <w:t>7.4 Embed sustainability in commercial governance</w:t>
      </w:r>
      <w:bookmarkEnd w:id="14"/>
    </w:p>
    <w:p w14:paraId="009BDBB6" w14:textId="4522906E" w:rsidR="0041780D" w:rsidRPr="00F30082" w:rsidRDefault="0020377E" w:rsidP="00E67658">
      <w:pPr>
        <w:spacing w:line="360" w:lineRule="auto"/>
      </w:pPr>
      <w:r w:rsidRPr="00F30082">
        <w:t xml:space="preserve">Sustainability should be included in mainstream range and sourcing and not be a parallel ESG workstream. Durability, preferred materials, criteria for circular design, supplier risk and wage related purchasing practices should be </w:t>
      </w:r>
      <w:r w:rsidR="00F30082" w:rsidRPr="00F30082">
        <w:t>considered</w:t>
      </w:r>
      <w:r w:rsidRPr="00F30082">
        <w:t xml:space="preserve"> in major reviews along with price and margin. When environmental practices generate competitive value, it is more likely to happen when they are culturally aligned (Bortolotti, </w:t>
      </w:r>
      <w:proofErr w:type="spellStart"/>
      <w:r w:rsidRPr="00F30082">
        <w:t>Boscari</w:t>
      </w:r>
      <w:proofErr w:type="spellEnd"/>
      <w:r w:rsidRPr="00F30082">
        <w:t xml:space="preserve"> and Xiao, 2024). KPIs should monitor ranges to meet the criteria of a circular design, and supplier-risk closure/commercial reviews to document any sustainability trade-offs.</w:t>
      </w:r>
    </w:p>
    <w:p w14:paraId="76487749" w14:textId="77777777" w:rsidR="0041780D" w:rsidRPr="00F30082" w:rsidRDefault="00CB53CB" w:rsidP="00E67658">
      <w:pPr>
        <w:pStyle w:val="Heading2"/>
      </w:pPr>
      <w:bookmarkStart w:id="15" w:name="_Toc241846620"/>
      <w:r w:rsidRPr="00F30082">
        <w:t>7.5 Make leadership accountability visibly symmetric</w:t>
      </w:r>
      <w:bookmarkEnd w:id="15"/>
    </w:p>
    <w:p w14:paraId="551515C3" w14:textId="11C2F6E9" w:rsidR="0041780D" w:rsidRPr="00F30082" w:rsidRDefault="0020377E" w:rsidP="00E67658">
      <w:pPr>
        <w:spacing w:line="360" w:lineRule="auto"/>
      </w:pPr>
      <w:r w:rsidRPr="00F30082">
        <w:t>Senior leaders should be assessed in the same way as colleagues and have the same communication standards and speak-up procedures where these are in place, with clear handling principles. This is imperative for the 2025 leadership episode. When there is hierarchy, exemptions are possible, and this undermines the authority of the conduct standards, as posited by Mullins and Christy (2016) who view culture as a form of management control. Speak-up confidence, case-resolution timeliness, repeat conduct issues and percentage of senior reviews with formal culture and conduct assessment are examples of KPIs. This would enhance psychological safety and reduce reliance on personalities.</w:t>
      </w:r>
    </w:p>
    <w:p w14:paraId="24F0B661" w14:textId="77777777" w:rsidR="0041780D" w:rsidRPr="00F30082" w:rsidRDefault="00CB53CB" w:rsidP="00E67658">
      <w:pPr>
        <w:pStyle w:val="Heading2"/>
      </w:pPr>
      <w:bookmarkStart w:id="16" w:name="_Toc241846621"/>
      <w:r w:rsidRPr="00F30082">
        <w:lastRenderedPageBreak/>
        <w:t>7.6 Implementation Priorities</w:t>
      </w:r>
      <w:bookmarkEnd w:id="16"/>
    </w:p>
    <w:p w14:paraId="4191673A" w14:textId="7F10372A" w:rsidR="0041780D" w:rsidRPr="00F30082" w:rsidRDefault="0020377E" w:rsidP="00E67658">
      <w:pPr>
        <w:spacing w:line="360" w:lineRule="auto"/>
      </w:pPr>
      <w:r w:rsidRPr="00F30082">
        <w:t xml:space="preserve">Implementation needs to be sequenced and not a wide-ranging culture-change campaign. Primark should establish </w:t>
      </w:r>
      <w:proofErr w:type="spellStart"/>
      <w:r w:rsidRPr="00F30082">
        <w:t>behavioural</w:t>
      </w:r>
      <w:proofErr w:type="spellEnd"/>
      <w:r w:rsidRPr="00F30082">
        <w:t xml:space="preserve"> indicators, establish a baseline of employee and supplier voice, establish decision rights and identify pilot markets during the first six months. In the first six to 18 months, challenge routines, local digital experimentation and sustainability criteria need to be integrated into existing commercial forums as a part of the commercial process, not as a new bureaucracy. The results should then be compared between markets before broad scaling. This helps to avoid feedback loops and </w:t>
      </w:r>
      <w:proofErr w:type="spellStart"/>
      <w:r w:rsidRPr="00F30082">
        <w:t>minimises</w:t>
      </w:r>
      <w:proofErr w:type="spellEnd"/>
      <w:r w:rsidRPr="00F30082">
        <w:t xml:space="preserve"> the chance of values activity being seen as communication, but not </w:t>
      </w:r>
      <w:proofErr w:type="spellStart"/>
      <w:r w:rsidRPr="00F30082">
        <w:t>behavioural</w:t>
      </w:r>
      <w:proofErr w:type="spellEnd"/>
      <w:r w:rsidRPr="00F30082">
        <w:t xml:space="preserve"> change.</w:t>
      </w:r>
    </w:p>
    <w:p w14:paraId="0231FA8F" w14:textId="77777777" w:rsidR="0041780D" w:rsidRPr="00F30082" w:rsidRDefault="00CB53CB" w:rsidP="00E67658">
      <w:pPr>
        <w:pStyle w:val="Heading1"/>
      </w:pPr>
      <w:bookmarkStart w:id="17" w:name="_Toc241846622"/>
      <w:r w:rsidRPr="00F30082">
        <w:t>8. Conclusion</w:t>
      </w:r>
      <w:bookmarkEnd w:id="17"/>
    </w:p>
    <w:p w14:paraId="5265F54C" w14:textId="35A1EBD4" w:rsidR="0041780D" w:rsidRPr="00F30082" w:rsidRDefault="0020377E" w:rsidP="00E67658">
      <w:pPr>
        <w:spacing w:line="360" w:lineRule="auto"/>
      </w:pPr>
      <w:r w:rsidRPr="00F30082">
        <w:t xml:space="preserve">Mullins and Christy's proposition is well evidenced in Primark, which is saturated in culture, structure, decisions, motivation and control. It has a culture that is a blend of performance and task, supported by role discipline and task-oriented collaboration, and explicitly grounded in Caring, Dynamic and Together. Culture has helped to facilitate international expansion and adaptation, but can become problematic when togetherness stifles dissent, digital visibility </w:t>
      </w:r>
      <w:proofErr w:type="spellStart"/>
      <w:r w:rsidRPr="00F30082">
        <w:t>centralises</w:t>
      </w:r>
      <w:proofErr w:type="spellEnd"/>
      <w:r w:rsidRPr="00F30082">
        <w:t xml:space="preserve"> power, and low price/high volume models are not open to challenge. It is important that culture should be made testable and accountable, rather than replaced, by Primark. The five dimensions of </w:t>
      </w:r>
      <w:proofErr w:type="spellStart"/>
      <w:r w:rsidRPr="00F30082">
        <w:t>behavioural</w:t>
      </w:r>
      <w:proofErr w:type="spellEnd"/>
      <w:r w:rsidRPr="00F30082">
        <w:t xml:space="preserve"> metrics, protected challenge, empowered data use and commercially embedded sustainability and symmetric leadership standards can help keep Primark fast and cheap, while improving resilience, legitimacy and learning in a changing international business. This supports affordable growth without sacrificing operational efficiency or ethics or learning.</w:t>
      </w:r>
    </w:p>
    <w:p w14:paraId="2C804B0A" w14:textId="77777777" w:rsidR="0041780D" w:rsidRPr="00F30082" w:rsidRDefault="00CB53CB" w:rsidP="00E67658">
      <w:pPr>
        <w:spacing w:line="360" w:lineRule="auto"/>
      </w:pPr>
      <w:r w:rsidRPr="00F30082">
        <w:br w:type="page"/>
      </w:r>
    </w:p>
    <w:p w14:paraId="50CB94BA" w14:textId="77777777" w:rsidR="0041780D" w:rsidRPr="00F30082" w:rsidRDefault="00CB53CB" w:rsidP="00E67658">
      <w:pPr>
        <w:pStyle w:val="Heading1"/>
      </w:pPr>
      <w:bookmarkStart w:id="18" w:name="_Toc241846623"/>
      <w:r w:rsidRPr="00F30082">
        <w:lastRenderedPageBreak/>
        <w:t>References</w:t>
      </w:r>
      <w:bookmarkEnd w:id="18"/>
    </w:p>
    <w:p w14:paraId="2D157219" w14:textId="77777777" w:rsidR="0041780D" w:rsidRPr="00F30082" w:rsidRDefault="00CB53CB" w:rsidP="006375B7">
      <w:pPr>
        <w:spacing w:after="100" w:line="360" w:lineRule="auto"/>
        <w:ind w:left="720" w:hanging="720"/>
      </w:pPr>
      <w:proofErr w:type="spellStart"/>
      <w:r w:rsidRPr="00F30082">
        <w:t>Aichouche</w:t>
      </w:r>
      <w:proofErr w:type="spellEnd"/>
      <w:r w:rsidRPr="00F30082">
        <w:t xml:space="preserve">, R., Chergui, K., </w:t>
      </w:r>
      <w:proofErr w:type="spellStart"/>
      <w:r w:rsidRPr="00F30082">
        <w:t>Brika</w:t>
      </w:r>
      <w:proofErr w:type="spellEnd"/>
      <w:r w:rsidRPr="00F30082">
        <w:t xml:space="preserve">, S.K.M., El Mezher, M., Musa, A. and </w:t>
      </w:r>
      <w:proofErr w:type="spellStart"/>
      <w:r w:rsidRPr="00F30082">
        <w:t>Laamari</w:t>
      </w:r>
      <w:proofErr w:type="spellEnd"/>
      <w:r w:rsidRPr="00F30082">
        <w:t xml:space="preserve">, A. (2022) 'Exploring the relationship between organizational culture types and knowledge management processes: A meta-analytic path analysis', Frontiers in Psychology, 13, 856234. </w:t>
      </w:r>
      <w:proofErr w:type="spellStart"/>
      <w:r w:rsidRPr="00F30082">
        <w:t>doi</w:t>
      </w:r>
      <w:proofErr w:type="spellEnd"/>
      <w:r w:rsidRPr="00F30082">
        <w:t>: 10.3389/fpsyg.2022.856234.</w:t>
      </w:r>
    </w:p>
    <w:p w14:paraId="2AC6EA59" w14:textId="77777777" w:rsidR="0041780D" w:rsidRPr="00F30082" w:rsidRDefault="00CB53CB" w:rsidP="006375B7">
      <w:pPr>
        <w:spacing w:after="100" w:line="360" w:lineRule="auto"/>
        <w:ind w:left="720" w:hanging="720"/>
      </w:pPr>
      <w:r w:rsidRPr="00F30082">
        <w:t>Associated British Foods plc (2025) Annual Report 2025. Available at: https://www.abf.co.uk/investors/annual-report-2025 (Accessed: 2 October 2026).</w:t>
      </w:r>
    </w:p>
    <w:p w14:paraId="2C1913D4" w14:textId="77777777" w:rsidR="0041780D" w:rsidRPr="00F30082" w:rsidRDefault="00CB53CB" w:rsidP="006375B7">
      <w:pPr>
        <w:spacing w:after="100" w:line="360" w:lineRule="auto"/>
        <w:ind w:left="720" w:hanging="720"/>
      </w:pPr>
      <w:r w:rsidRPr="00F30082">
        <w:t>Associated British Foods plc (2026) 'Trading Update', 10 September. Available at: https://www.abf.co.uk/media/news/2026/trading-update-september-2026 (Accessed: 2 October 2026).</w:t>
      </w:r>
    </w:p>
    <w:p w14:paraId="591A6808" w14:textId="77777777" w:rsidR="0041780D" w:rsidRPr="00F30082" w:rsidRDefault="00CB53CB" w:rsidP="006375B7">
      <w:pPr>
        <w:spacing w:after="100" w:line="360" w:lineRule="auto"/>
        <w:ind w:left="720" w:hanging="720"/>
      </w:pPr>
      <w:r w:rsidRPr="00F30082">
        <w:t xml:space="preserve">Bortolotti, T., </w:t>
      </w:r>
      <w:proofErr w:type="spellStart"/>
      <w:r w:rsidRPr="00F30082">
        <w:t>Boscari</w:t>
      </w:r>
      <w:proofErr w:type="spellEnd"/>
      <w:r w:rsidRPr="00F30082">
        <w:t xml:space="preserve">, S. and Xiao, C.-Y. (2024) 'Leveraging organizational culture to create competitive value from environmental practices', International Journal of Production Economics, 272, 109252. </w:t>
      </w:r>
      <w:proofErr w:type="spellStart"/>
      <w:r w:rsidRPr="00F30082">
        <w:t>doi</w:t>
      </w:r>
      <w:proofErr w:type="spellEnd"/>
      <w:r w:rsidRPr="00F30082">
        <w:t>: 10.1016/j.ijpe.2024.109252.</w:t>
      </w:r>
    </w:p>
    <w:p w14:paraId="6515E7B3" w14:textId="77777777" w:rsidR="0041780D" w:rsidRPr="00F30082" w:rsidRDefault="00CB53CB" w:rsidP="006375B7">
      <w:pPr>
        <w:spacing w:after="100" w:line="360" w:lineRule="auto"/>
        <w:ind w:left="720" w:hanging="720"/>
      </w:pPr>
      <w:r w:rsidRPr="00F30082">
        <w:t xml:space="preserve">Brahm, F. and Poblete, J. (2024) 'Organizational culture, adaptation, and performance', Organization Science, 35(5), pp. 1823-1848. </w:t>
      </w:r>
      <w:proofErr w:type="spellStart"/>
      <w:r w:rsidRPr="00F30082">
        <w:t>doi</w:t>
      </w:r>
      <w:proofErr w:type="spellEnd"/>
      <w:r w:rsidRPr="00F30082">
        <w:t>: 10.1287/orsc.2022.16791.</w:t>
      </w:r>
    </w:p>
    <w:p w14:paraId="1466B458" w14:textId="77777777" w:rsidR="0041780D" w:rsidRPr="00F30082" w:rsidRDefault="00CB53CB" w:rsidP="006375B7">
      <w:pPr>
        <w:spacing w:after="100" w:line="360" w:lineRule="auto"/>
        <w:ind w:left="720" w:hanging="720"/>
      </w:pPr>
      <w:r w:rsidRPr="00F30082">
        <w:t xml:space="preserve">Brydges, T. (2021) 'Closing the loop on take, make, waste: Investigating circular economy practices in the Swedish fashion industry', Journal of Cleaner Production, 293, 126245. </w:t>
      </w:r>
      <w:proofErr w:type="spellStart"/>
      <w:r w:rsidRPr="00F30082">
        <w:t>doi</w:t>
      </w:r>
      <w:proofErr w:type="spellEnd"/>
      <w:r w:rsidRPr="00F30082">
        <w:t>: 10.1016/j.jclepro.2021.126245.</w:t>
      </w:r>
    </w:p>
    <w:p w14:paraId="4321402D" w14:textId="77777777" w:rsidR="0041780D" w:rsidRPr="00F30082" w:rsidRDefault="00CB53CB" w:rsidP="006375B7">
      <w:pPr>
        <w:spacing w:after="100" w:line="360" w:lineRule="auto"/>
        <w:ind w:left="720" w:hanging="720"/>
      </w:pPr>
      <w:r w:rsidRPr="00F30082">
        <w:t>Davey, J. (2025) 'Primark boss Marchant resigns after error of judgment with a woman', Reuters, 31 March. Available at: https://www.reuters.com/business/retail-consumer/primark-boss-paul-marchant-resigns-after-error-judgement-2025-03-31/ (Accessed: 2 October 2026).</w:t>
      </w:r>
    </w:p>
    <w:p w14:paraId="6DA7DEA1" w14:textId="77777777" w:rsidR="0041780D" w:rsidRPr="00F30082" w:rsidRDefault="00CB53CB" w:rsidP="006375B7">
      <w:pPr>
        <w:spacing w:after="100" w:line="360" w:lineRule="auto"/>
        <w:ind w:left="720" w:hanging="720"/>
      </w:pPr>
      <w:r w:rsidRPr="00F30082">
        <w:t>Davey, J. and Young, S. (2026) 'AB Foods to spin off Primark in bid to unlock group's value', Reuters, 21 April. Available at: https://www.reuters.com/business/retail-consumer/ab-foods-split-primark-its-food-businesses-2026-04-21/ (Accessed: 2 October 2026).</w:t>
      </w:r>
    </w:p>
    <w:p w14:paraId="5C14AFFC" w14:textId="77777777" w:rsidR="0041780D" w:rsidRPr="00F30082" w:rsidRDefault="00CB53CB" w:rsidP="006375B7">
      <w:pPr>
        <w:spacing w:after="100" w:line="360" w:lineRule="auto"/>
        <w:ind w:left="720" w:hanging="720"/>
      </w:pPr>
      <w:r w:rsidRPr="00F30082">
        <w:t>European Commission (2022) EU Strategy for Sustainable and Circular Textiles. Available at: https://environment.ec.europa.eu/strategy/textiles-strategy_en (Accessed: 2 October 2026).</w:t>
      </w:r>
    </w:p>
    <w:p w14:paraId="20B04D29" w14:textId="77777777" w:rsidR="0041780D" w:rsidRPr="00F30082" w:rsidRDefault="00CB53CB" w:rsidP="006375B7">
      <w:pPr>
        <w:spacing w:after="100" w:line="360" w:lineRule="auto"/>
        <w:ind w:left="720" w:hanging="720"/>
      </w:pPr>
      <w:r w:rsidRPr="00F30082">
        <w:t xml:space="preserve">Garcia-Ortega, B., Galan-Cubillo, J., Llorens-Montes, F.J. and de-Miguel-Molina, B. (2023) 'Sufficient consumption as a missing link toward sustainability: The case of fast fashion', Journal of Cleaner Production, 399, 136678. </w:t>
      </w:r>
      <w:proofErr w:type="spellStart"/>
      <w:r w:rsidRPr="00F30082">
        <w:t>doi</w:t>
      </w:r>
      <w:proofErr w:type="spellEnd"/>
      <w:r w:rsidRPr="00F30082">
        <w:t>: 10.1016/j.jclepro.2023.136678.</w:t>
      </w:r>
    </w:p>
    <w:p w14:paraId="268CE5FA" w14:textId="77777777" w:rsidR="0041780D" w:rsidRPr="00F30082" w:rsidRDefault="00CB53CB" w:rsidP="006375B7">
      <w:pPr>
        <w:spacing w:after="100" w:line="360" w:lineRule="auto"/>
        <w:ind w:left="720" w:hanging="720"/>
      </w:pPr>
      <w:r w:rsidRPr="00F30082">
        <w:lastRenderedPageBreak/>
        <w:t xml:space="preserve">Gasela, M.M. (2022) 'The influence of organizational culture on performance in public entities of South Africa', Africa's Public Service Delivery and Performance Review, 10(1), a563. </w:t>
      </w:r>
      <w:proofErr w:type="spellStart"/>
      <w:r w:rsidRPr="00F30082">
        <w:t>doi</w:t>
      </w:r>
      <w:proofErr w:type="spellEnd"/>
      <w:r w:rsidRPr="00F30082">
        <w:t>: 10.4102/apsdpr.v10i1.563.</w:t>
      </w:r>
    </w:p>
    <w:p w14:paraId="065F779F" w14:textId="77777777" w:rsidR="0041780D" w:rsidRPr="00F30082" w:rsidRDefault="00CB53CB" w:rsidP="006375B7">
      <w:pPr>
        <w:spacing w:after="100" w:line="360" w:lineRule="auto"/>
        <w:ind w:left="720" w:hanging="720"/>
      </w:pPr>
      <w:r w:rsidRPr="00F30082">
        <w:t xml:space="preserve">Gerlach, P. and Eriksson, K. (2021) 'Measuring cultural dimensions: External validity and internal consistency of Hofstede's VSM 2013 scales', Frontiers in Psychology, 12, 662604. </w:t>
      </w:r>
      <w:proofErr w:type="spellStart"/>
      <w:r w:rsidRPr="00F30082">
        <w:t>doi</w:t>
      </w:r>
      <w:proofErr w:type="spellEnd"/>
      <w:r w:rsidRPr="00F30082">
        <w:t>: 10.3389/fpsyg.2021.662604.</w:t>
      </w:r>
    </w:p>
    <w:p w14:paraId="177CD366" w14:textId="77777777" w:rsidR="0041780D" w:rsidRPr="00F30082" w:rsidRDefault="00CB53CB" w:rsidP="006375B7">
      <w:pPr>
        <w:spacing w:after="100" w:line="360" w:lineRule="auto"/>
        <w:ind w:left="720" w:hanging="720"/>
      </w:pPr>
      <w:r w:rsidRPr="00F30082">
        <w:t xml:space="preserve">Grover, V., Tseng, S.-L. and Pu, W. (2022) 'A theoretical perspective on organizational culture and digitalization', Information &amp; Management, 59(4), 103639. </w:t>
      </w:r>
      <w:proofErr w:type="spellStart"/>
      <w:r w:rsidRPr="00F30082">
        <w:t>doi</w:t>
      </w:r>
      <w:proofErr w:type="spellEnd"/>
      <w:r w:rsidRPr="00F30082">
        <w:t>: 10.1016/j.im.2022.103639.</w:t>
      </w:r>
    </w:p>
    <w:p w14:paraId="2AC6B238" w14:textId="77777777" w:rsidR="0041780D" w:rsidRPr="00F30082" w:rsidRDefault="00CB53CB" w:rsidP="006375B7">
      <w:pPr>
        <w:spacing w:after="100" w:line="360" w:lineRule="auto"/>
        <w:ind w:left="720" w:hanging="720"/>
      </w:pPr>
      <w:proofErr w:type="spellStart"/>
      <w:r w:rsidRPr="00F30082">
        <w:t>KnowTheChain</w:t>
      </w:r>
      <w:proofErr w:type="spellEnd"/>
      <w:r w:rsidRPr="00F30082">
        <w:t xml:space="preserve"> (2023) 2023 Apparel &amp; Footwear Benchmark Findings Report. Available at: https://knowthechain.org/wp-content/uploads/KTC-2023-AF-Benchmark-Report.pdf (Accessed: 2 October 2026).</w:t>
      </w:r>
    </w:p>
    <w:p w14:paraId="23AFD0BB" w14:textId="77777777" w:rsidR="0041780D" w:rsidRPr="00F30082" w:rsidRDefault="00CB53CB" w:rsidP="006375B7">
      <w:pPr>
        <w:spacing w:after="100" w:line="360" w:lineRule="auto"/>
        <w:ind w:left="720" w:hanging="720"/>
      </w:pPr>
      <w:r w:rsidRPr="00F30082">
        <w:t xml:space="preserve">Mullins, L. and Christy, G. (2016) Management and </w:t>
      </w:r>
      <w:proofErr w:type="spellStart"/>
      <w:r w:rsidRPr="00F30082">
        <w:t>Organisational</w:t>
      </w:r>
      <w:proofErr w:type="spellEnd"/>
      <w:r w:rsidRPr="00F30082">
        <w:t xml:space="preserve"> </w:t>
      </w:r>
      <w:proofErr w:type="spellStart"/>
      <w:r w:rsidRPr="00F30082">
        <w:t>Behaviour</w:t>
      </w:r>
      <w:proofErr w:type="spellEnd"/>
      <w:r w:rsidRPr="00F30082">
        <w:t xml:space="preserve">. 11th </w:t>
      </w:r>
      <w:proofErr w:type="spellStart"/>
      <w:r w:rsidRPr="00F30082">
        <w:t>edn</w:t>
      </w:r>
      <w:proofErr w:type="spellEnd"/>
      <w:r w:rsidRPr="00F30082">
        <w:t>. Harlow: Pearson Education Limited.</w:t>
      </w:r>
    </w:p>
    <w:p w14:paraId="2AE76D3A" w14:textId="77777777" w:rsidR="0041780D" w:rsidRPr="00F30082" w:rsidRDefault="00CB53CB" w:rsidP="006375B7">
      <w:pPr>
        <w:spacing w:after="100" w:line="360" w:lineRule="auto"/>
        <w:ind w:left="720" w:hanging="720"/>
      </w:pPr>
      <w:r w:rsidRPr="00F30082">
        <w:t xml:space="preserve">O'Reilly, C.A., Cao, X. and Sull, D. (2024) 'Organizational culture archetypes and firm performance', Journal of Business Research, 182, 114780. </w:t>
      </w:r>
      <w:proofErr w:type="spellStart"/>
      <w:r w:rsidRPr="00F30082">
        <w:t>doi</w:t>
      </w:r>
      <w:proofErr w:type="spellEnd"/>
      <w:r w:rsidRPr="00F30082">
        <w:t>: 10.1016/j.jbusres.2024.114780.</w:t>
      </w:r>
    </w:p>
    <w:p w14:paraId="0B561501" w14:textId="77777777" w:rsidR="0041780D" w:rsidRPr="00F30082" w:rsidRDefault="00CB53CB" w:rsidP="006375B7">
      <w:pPr>
        <w:spacing w:after="100" w:line="360" w:lineRule="auto"/>
        <w:ind w:left="720" w:hanging="720"/>
      </w:pPr>
      <w:r w:rsidRPr="00F30082">
        <w:t>Primark (2024) Sustainability and Ethics Progress Report 2023/24. Available at: https://primark.a.bigcontent.io/v1/static/Primark-Sustainability-and-Ethics-Progress-Report-2023-2024 (Accessed: 2 October 2026).</w:t>
      </w:r>
    </w:p>
    <w:p w14:paraId="00706D0E" w14:textId="77777777" w:rsidR="0041780D" w:rsidRPr="00F30082" w:rsidRDefault="00CB53CB" w:rsidP="006375B7">
      <w:pPr>
        <w:spacing w:after="100" w:line="360" w:lineRule="auto"/>
        <w:ind w:left="720" w:hanging="720"/>
      </w:pPr>
      <w:r w:rsidRPr="00F30082">
        <w:t>Primark (2025a) 'Ready, set, click! Click &amp; Collect now live in all Primark stores across Great Britain', 21 May. Available at: https://corporate.primark.com/en-gb/a/news/corporate-news/click-and-collect-now-live-in-all-primark-stores-across-great-britain (Accessed: 2 October 2026).</w:t>
      </w:r>
    </w:p>
    <w:p w14:paraId="74147392" w14:textId="77777777" w:rsidR="0041780D" w:rsidRPr="00F30082" w:rsidRDefault="00CB53CB" w:rsidP="006375B7">
      <w:pPr>
        <w:spacing w:after="100" w:line="360" w:lineRule="auto"/>
        <w:ind w:left="720" w:hanging="720"/>
      </w:pPr>
      <w:r w:rsidRPr="00F30082">
        <w:t>Primark (2025b) Sustainability and Ethics Progress Report 2024/25. Available at: https://corporate.primark.com/en-us/primark-cares/sustainability-report (Accessed: 2 October 2026).</w:t>
      </w:r>
    </w:p>
    <w:p w14:paraId="4FA29ECD" w14:textId="77777777" w:rsidR="0041780D" w:rsidRPr="00F30082" w:rsidRDefault="00CB53CB" w:rsidP="006375B7">
      <w:pPr>
        <w:spacing w:after="100" w:line="360" w:lineRule="auto"/>
        <w:ind w:left="720" w:hanging="720"/>
      </w:pPr>
      <w:r w:rsidRPr="00F30082">
        <w:t>Primark (2026a) 'Primark reaches new growth milestone as it opens its 500th store', 1 September. Available at: https://corporate.primark.com/en-gb/a/news/corporate-news/primark-reaches-new-growth-milestone-as-it-opens-its-500th-store (Accessed: 2 October 2026).</w:t>
      </w:r>
    </w:p>
    <w:p w14:paraId="2CB3001B" w14:textId="77777777" w:rsidR="0041780D" w:rsidRPr="00F30082" w:rsidRDefault="00CB53CB" w:rsidP="006375B7">
      <w:pPr>
        <w:spacing w:after="100" w:line="360" w:lineRule="auto"/>
        <w:ind w:left="720" w:hanging="720"/>
      </w:pPr>
      <w:r w:rsidRPr="00F30082">
        <w:lastRenderedPageBreak/>
        <w:t>Primark (2026b) 'Primark CEO Appointment: Eoin Tonge appointed as Primark Chief Executive', 5 March. Available at: https://corporate.primark.com/en-ie/a/news/corporate-news/eoin-tonge-appointed-as-primark-chief-executive (Accessed: 2 October 2026).</w:t>
      </w:r>
    </w:p>
    <w:p w14:paraId="6A17D948" w14:textId="77777777" w:rsidR="0041780D" w:rsidRPr="00F30082" w:rsidRDefault="00CB53CB" w:rsidP="006375B7">
      <w:pPr>
        <w:spacing w:after="100" w:line="360" w:lineRule="auto"/>
        <w:ind w:left="720" w:hanging="720"/>
      </w:pPr>
      <w:r w:rsidRPr="00F30082">
        <w:t xml:space="preserve">Puglia, M., Parker, L., Clube, R.K.M., Demirel, P. and </w:t>
      </w:r>
      <w:proofErr w:type="spellStart"/>
      <w:r w:rsidRPr="00F30082">
        <w:t>Aurisicchio</w:t>
      </w:r>
      <w:proofErr w:type="spellEnd"/>
      <w:r w:rsidRPr="00F30082">
        <w:t xml:space="preserve">, M. (2024) 'The circular policy canvas: Mapping the European Union's policies for a sustainable fashion textiles industry', Resources, Conservation and Recycling, 204, 107459. </w:t>
      </w:r>
      <w:proofErr w:type="spellStart"/>
      <w:r w:rsidRPr="00F30082">
        <w:t>doi</w:t>
      </w:r>
      <w:proofErr w:type="spellEnd"/>
      <w:r w:rsidRPr="00F30082">
        <w:t>: 10.1016/j.resconrec.2024.107459.</w:t>
      </w:r>
    </w:p>
    <w:p w14:paraId="2FF79851" w14:textId="77777777" w:rsidR="0041780D" w:rsidRPr="00F30082" w:rsidRDefault="00CB53CB" w:rsidP="006375B7">
      <w:pPr>
        <w:spacing w:after="100" w:line="360" w:lineRule="auto"/>
        <w:ind w:left="720" w:hanging="720"/>
      </w:pPr>
      <w:r w:rsidRPr="00F30082">
        <w:t xml:space="preserve">Sackmann, S.A. (2022) Culture in Organizations: Development, Impact and Culture-Mindful Leadership. Cham: Springer. </w:t>
      </w:r>
      <w:proofErr w:type="spellStart"/>
      <w:r w:rsidRPr="00F30082">
        <w:t>doi</w:t>
      </w:r>
      <w:proofErr w:type="spellEnd"/>
      <w:r w:rsidRPr="00F30082">
        <w:t>: 10.1007/978-3-030-86080-6.</w:t>
      </w:r>
    </w:p>
    <w:p w14:paraId="489B2A40" w14:textId="77777777" w:rsidR="0041780D" w:rsidRDefault="00CB53CB" w:rsidP="006375B7">
      <w:pPr>
        <w:spacing w:after="100" w:line="360" w:lineRule="auto"/>
        <w:ind w:left="720" w:hanging="720"/>
      </w:pPr>
      <w:r w:rsidRPr="00F30082">
        <w:t xml:space="preserve">Szukits, A. and Moricz, P. (2024) 'Towards data-driven decision making: The role of analytical culture and centralization efforts', Review of Managerial Science, 18, pp. 2849-2887. </w:t>
      </w:r>
      <w:proofErr w:type="spellStart"/>
      <w:r w:rsidRPr="00F30082">
        <w:t>doi</w:t>
      </w:r>
      <w:proofErr w:type="spellEnd"/>
      <w:r w:rsidRPr="00F30082">
        <w:t>: 10.1007/s11846-023-00694-1.</w:t>
      </w:r>
    </w:p>
    <w:sectPr w:rsidR="0041780D" w:rsidSect="00034616">
      <w:headerReference w:type="default" r:id="rId11"/>
      <w:footerReference w:type="default" r:id="rId12"/>
      <w:pgSz w:w="12240" w:h="15840"/>
      <w:pgMar w:top="1152" w:right="1440" w:bottom="108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BEE652" w14:textId="77777777" w:rsidR="000D33D4" w:rsidRDefault="000D33D4">
      <w:pPr>
        <w:spacing w:after="0" w:line="240" w:lineRule="auto"/>
      </w:pPr>
      <w:r>
        <w:separator/>
      </w:r>
    </w:p>
  </w:endnote>
  <w:endnote w:type="continuationSeparator" w:id="0">
    <w:p w14:paraId="1D6D8E18" w14:textId="77777777" w:rsidR="000D33D4" w:rsidRDefault="000D33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52E1D2" w14:textId="5EE8B099" w:rsidR="0041780D" w:rsidRDefault="00CB53CB">
    <w:pPr>
      <w:pStyle w:val="Footer"/>
      <w:jc w:val="center"/>
    </w:pPr>
    <w:r>
      <w:rPr>
        <w:sz w:val="18"/>
      </w:rPr>
      <w:t xml:space="preserve">Page </w:t>
    </w:r>
    <w:r>
      <w:fldChar w:fldCharType="begin"/>
    </w:r>
    <w:r>
      <w:instrText>PAGE</w:instrText>
    </w:r>
    <w:r>
      <w:fldChar w:fldCharType="separate"/>
    </w:r>
    <w:r w:rsidR="00E67658">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310AEF" w14:textId="77777777" w:rsidR="000D33D4" w:rsidRDefault="000D33D4">
      <w:pPr>
        <w:spacing w:after="0" w:line="240" w:lineRule="auto"/>
      </w:pPr>
      <w:r>
        <w:separator/>
      </w:r>
    </w:p>
  </w:footnote>
  <w:footnote w:type="continuationSeparator" w:id="0">
    <w:p w14:paraId="41767384" w14:textId="77777777" w:rsidR="000D33D4" w:rsidRDefault="000D33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DEFC4D" w14:textId="5C2DE267" w:rsidR="0041780D" w:rsidRDefault="0041780D">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02090437">
    <w:abstractNumId w:val="8"/>
  </w:num>
  <w:num w:numId="2" w16cid:durableId="302469176">
    <w:abstractNumId w:val="6"/>
  </w:num>
  <w:num w:numId="3" w16cid:durableId="1516503433">
    <w:abstractNumId w:val="5"/>
  </w:num>
  <w:num w:numId="4" w16cid:durableId="2117214656">
    <w:abstractNumId w:val="4"/>
  </w:num>
  <w:num w:numId="5" w16cid:durableId="29688978">
    <w:abstractNumId w:val="7"/>
  </w:num>
  <w:num w:numId="6" w16cid:durableId="1169325769">
    <w:abstractNumId w:val="3"/>
  </w:num>
  <w:num w:numId="7" w16cid:durableId="154880681">
    <w:abstractNumId w:val="2"/>
  </w:num>
  <w:num w:numId="8" w16cid:durableId="1254781944">
    <w:abstractNumId w:val="1"/>
  </w:num>
  <w:num w:numId="9" w16cid:durableId="250939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939A7"/>
    <w:rsid w:val="000C37A0"/>
    <w:rsid w:val="000D33D4"/>
    <w:rsid w:val="00107CC3"/>
    <w:rsid w:val="0015074B"/>
    <w:rsid w:val="0020377E"/>
    <w:rsid w:val="002716CC"/>
    <w:rsid w:val="0028536A"/>
    <w:rsid w:val="0029639D"/>
    <w:rsid w:val="002D53FA"/>
    <w:rsid w:val="002F0925"/>
    <w:rsid w:val="00326F90"/>
    <w:rsid w:val="0041780D"/>
    <w:rsid w:val="00550483"/>
    <w:rsid w:val="005E68E4"/>
    <w:rsid w:val="006375B7"/>
    <w:rsid w:val="00651F3B"/>
    <w:rsid w:val="007042E3"/>
    <w:rsid w:val="00705AA8"/>
    <w:rsid w:val="008420C0"/>
    <w:rsid w:val="00887540"/>
    <w:rsid w:val="00993D38"/>
    <w:rsid w:val="00A81EBD"/>
    <w:rsid w:val="00AA1D8D"/>
    <w:rsid w:val="00AE51E1"/>
    <w:rsid w:val="00B161F2"/>
    <w:rsid w:val="00B47730"/>
    <w:rsid w:val="00C847B6"/>
    <w:rsid w:val="00CB0664"/>
    <w:rsid w:val="00CB53CB"/>
    <w:rsid w:val="00CC082A"/>
    <w:rsid w:val="00E43EBA"/>
    <w:rsid w:val="00E67658"/>
    <w:rsid w:val="00F3008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D79B4AC6-7E45-42C6-8EEB-85A33598C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48"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E67658"/>
    <w:pPr>
      <w:keepNext/>
      <w:keepLines/>
      <w:spacing w:before="200" w:after="100" w:line="360" w:lineRule="auto"/>
      <w:outlineLvl w:val="0"/>
    </w:pPr>
    <w:rPr>
      <w:rFonts w:asciiTheme="majorBidi" w:eastAsiaTheme="majorEastAsia" w:hAnsiTheme="majorBidi" w:cstheme="majorBidi"/>
      <w:b/>
      <w:bCs/>
      <w:color w:val="000000"/>
      <w:szCs w:val="24"/>
    </w:rPr>
  </w:style>
  <w:style w:type="paragraph" w:styleId="Heading2">
    <w:name w:val="heading 2"/>
    <w:basedOn w:val="Normal"/>
    <w:next w:val="Normal"/>
    <w:link w:val="Heading2Char"/>
    <w:uiPriority w:val="9"/>
    <w:unhideWhenUsed/>
    <w:qFormat/>
    <w:rsid w:val="00E67658"/>
    <w:pPr>
      <w:keepNext/>
      <w:keepLines/>
      <w:spacing w:before="200" w:after="100" w:line="360" w:lineRule="auto"/>
      <w:outlineLvl w:val="1"/>
    </w:pPr>
    <w:rPr>
      <w:rFonts w:asciiTheme="majorBidi" w:eastAsiaTheme="majorEastAsia" w:hAnsiTheme="majorBidi" w:cstheme="majorBidi"/>
      <w:b/>
      <w:bCs/>
      <w:i/>
      <w:iCs/>
      <w:color w:val="000000"/>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E67658"/>
    <w:rPr>
      <w:rFonts w:asciiTheme="majorBidi" w:eastAsiaTheme="majorEastAsia" w:hAnsiTheme="majorBidi" w:cstheme="majorBidi"/>
      <w:b/>
      <w:bCs/>
      <w:color w:val="000000"/>
      <w:sz w:val="24"/>
      <w:szCs w:val="24"/>
    </w:rPr>
  </w:style>
  <w:style w:type="character" w:customStyle="1" w:styleId="Heading2Char">
    <w:name w:val="Heading 2 Char"/>
    <w:basedOn w:val="DefaultParagraphFont"/>
    <w:link w:val="Heading2"/>
    <w:uiPriority w:val="9"/>
    <w:rsid w:val="00E67658"/>
    <w:rPr>
      <w:rFonts w:asciiTheme="majorBidi" w:eastAsiaTheme="majorEastAsia" w:hAnsiTheme="majorBidi" w:cstheme="majorBidi"/>
      <w:b/>
      <w:bCs/>
      <w:i/>
      <w:iCs/>
      <w:color w:val="000000"/>
      <w:sz w:val="24"/>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6"/>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2F0925"/>
    <w:pPr>
      <w:widowControl w:val="0"/>
      <w:spacing w:after="0" w:line="240" w:lineRule="auto"/>
      <w:jc w:val="left"/>
    </w:pPr>
    <w:rPr>
      <w:rFonts w:ascii="Arial" w:eastAsia="Arial" w:hAnsi="Arial" w:cs="Arial"/>
      <w:sz w:val="22"/>
    </w:rPr>
  </w:style>
  <w:style w:type="paragraph" w:styleId="TOC2">
    <w:name w:val="toc 2"/>
    <w:basedOn w:val="Normal"/>
    <w:next w:val="Normal"/>
    <w:autoRedefine/>
    <w:uiPriority w:val="39"/>
    <w:unhideWhenUsed/>
    <w:rsid w:val="00705AA8"/>
    <w:pPr>
      <w:spacing w:after="100"/>
      <w:ind w:left="240"/>
    </w:pPr>
  </w:style>
  <w:style w:type="paragraph" w:styleId="TOC1">
    <w:name w:val="toc 1"/>
    <w:basedOn w:val="Normal"/>
    <w:next w:val="Normal"/>
    <w:autoRedefine/>
    <w:uiPriority w:val="39"/>
    <w:unhideWhenUsed/>
    <w:rsid w:val="00705AA8"/>
    <w:pPr>
      <w:spacing w:after="100"/>
    </w:pPr>
  </w:style>
  <w:style w:type="character" w:styleId="Hyperlink">
    <w:name w:val="Hyperlink"/>
    <w:basedOn w:val="DefaultParagraphFont"/>
    <w:uiPriority w:val="99"/>
    <w:unhideWhenUsed/>
    <w:rsid w:val="00705AA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14</Pages>
  <Words>4471</Words>
  <Characters>25491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29903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 A Critical Analysis of Primark</dc:title>
  <dc:subject>LCLM 5005 Organisational Culture Individual Report</dc:subject>
  <cp:keywords>Primark, organisational culture, Schein, Handy, Hofstede, UWTSD</cp:keywords>
  <cp:lastModifiedBy>shanine mclarty</cp:lastModifiedBy>
  <cp:revision>2</cp:revision>
  <dcterms:created xsi:type="dcterms:W3CDTF">2026-10-06T19:27:00Z</dcterms:created>
  <dcterms:modified xsi:type="dcterms:W3CDTF">2026-10-06T19:27:00Z</dcterms:modified>
  <cp:category/>
</cp:coreProperties>
</file>