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2D5A52" w:rsidRDefault="00016775">
      <w:pPr>
        <w:spacing w:line="480" w:lineRule="auto"/>
        <w:rPr>
          <w:u w:val="single"/>
        </w:rPr>
      </w:pPr>
      <w:r>
        <w:rPr>
          <w:u w:val="single"/>
        </w:rPr>
        <w:t>Critically compare the influence of Herodotus and Plutarch on modern, popular or academic, conception of Spartan women.</w:t>
      </w:r>
    </w:p>
    <w:p w14:paraId="00000002" w14:textId="77777777" w:rsidR="002D5A52" w:rsidRDefault="002D5A52">
      <w:pPr>
        <w:spacing w:line="480" w:lineRule="auto"/>
        <w:rPr>
          <w:u w:val="single"/>
        </w:rPr>
      </w:pPr>
    </w:p>
    <w:p w14:paraId="00000003" w14:textId="77777777" w:rsidR="002D5A52" w:rsidRDefault="00016775">
      <w:pPr>
        <w:spacing w:line="480" w:lineRule="auto"/>
      </w:pPr>
      <w:r>
        <w:t xml:space="preserve">One of the main causes of the Spartan Mirage is the lack of evidence from the ancient world because most of the works come from non-Spartan writers or like Plutarch written at a much later time period </w:t>
      </w:r>
      <w:r>
        <w:rPr>
          <w:vertAlign w:val="superscript"/>
        </w:rPr>
        <w:footnoteReference w:id="1"/>
      </w:r>
      <w:r>
        <w:t>This essay is going to explore how Spartan women are v</w:t>
      </w:r>
      <w:r>
        <w:t xml:space="preserve">iewed in the modern world, particularly scholarship. It will use Herodotus and Plutarch to see how these ancient authors influence modern scholarship and their depiction of Spartan Women. </w:t>
      </w:r>
      <w:proofErr w:type="gramStart"/>
      <w:r>
        <w:t>Firstly</w:t>
      </w:r>
      <w:proofErr w:type="gramEnd"/>
      <w:r>
        <w:t xml:space="preserve"> how the authors are used by writers such as Hodkinson and </w:t>
      </w:r>
      <w:proofErr w:type="spellStart"/>
      <w:r>
        <w:t>Ca</w:t>
      </w:r>
      <w:r>
        <w:t>rteledge</w:t>
      </w:r>
      <w:proofErr w:type="spellEnd"/>
      <w:r>
        <w:t xml:space="preserve"> to either back up their points or provide a contrast to other writers such as Aristotle. As both Plutarch and Herodotus wrote accounts on </w:t>
      </w:r>
      <w:proofErr w:type="spellStart"/>
      <w:r>
        <w:t>Gorgo</w:t>
      </w:r>
      <w:proofErr w:type="spellEnd"/>
      <w:r>
        <w:t xml:space="preserve">, the essay is going to compare these two </w:t>
      </w:r>
      <w:proofErr w:type="spellStart"/>
      <w:r>
        <w:t>seperate</w:t>
      </w:r>
      <w:proofErr w:type="spellEnd"/>
      <w:r>
        <w:t xml:space="preserve"> accounts and see the similarities and differences bet</w:t>
      </w:r>
      <w:r>
        <w:t xml:space="preserve">ween how Plutarch and Herodotus portray the same character. There is also a difference between the women in Plutarch’s </w:t>
      </w:r>
      <w:r>
        <w:rPr>
          <w:i/>
        </w:rPr>
        <w:t>Sayings of Spartan Women</w:t>
      </w:r>
      <w:r>
        <w:t xml:space="preserve"> and his lives which needs exploring. </w:t>
      </w:r>
      <w:proofErr w:type="gramStart"/>
      <w:r>
        <w:t>Finally</w:t>
      </w:r>
      <w:proofErr w:type="gramEnd"/>
      <w:r>
        <w:t xml:space="preserve"> the essay will look into how reliable modern scholars find Herodotu</w:t>
      </w:r>
      <w:r>
        <w:t>s and Plutarch and how this could affect their opinions on them.</w:t>
      </w:r>
    </w:p>
    <w:p w14:paraId="00000004" w14:textId="77777777" w:rsidR="002D5A52" w:rsidRDefault="002D5A52">
      <w:pPr>
        <w:spacing w:line="480" w:lineRule="auto"/>
      </w:pPr>
    </w:p>
    <w:p w14:paraId="00000005" w14:textId="77777777" w:rsidR="002D5A52" w:rsidRDefault="00016775">
      <w:pPr>
        <w:spacing w:line="480" w:lineRule="auto"/>
      </w:pPr>
      <w:proofErr w:type="spellStart"/>
      <w:r>
        <w:t>Carteledge</w:t>
      </w:r>
      <w:proofErr w:type="spellEnd"/>
      <w:r>
        <w:t xml:space="preserve"> in his article references Herodotus when he is writing about </w:t>
      </w:r>
      <w:proofErr w:type="spellStart"/>
      <w:r>
        <w:rPr>
          <w:i/>
        </w:rPr>
        <w:t>Patrouchoi</w:t>
      </w:r>
      <w:proofErr w:type="spellEnd"/>
      <w:r>
        <w:t xml:space="preserve"> or heiresses.</w:t>
      </w:r>
      <w:r>
        <w:rPr>
          <w:vertAlign w:val="superscript"/>
        </w:rPr>
        <w:footnoteReference w:id="2"/>
      </w:r>
      <w:r>
        <w:t xml:space="preserve"> One of the main points that </w:t>
      </w:r>
      <w:proofErr w:type="spellStart"/>
      <w:r>
        <w:t>Carteldge</w:t>
      </w:r>
      <w:proofErr w:type="spellEnd"/>
      <w:r>
        <w:t xml:space="preserve"> was trying to get across in his article is how Aristot</w:t>
      </w:r>
      <w:r>
        <w:t xml:space="preserve">le shows the lead to </w:t>
      </w:r>
      <w:proofErr w:type="spellStart"/>
      <w:r>
        <w:rPr>
          <w:i/>
        </w:rPr>
        <w:t>Oliganthropia</w:t>
      </w:r>
      <w:proofErr w:type="spellEnd"/>
      <w:r>
        <w:rPr>
          <w:i/>
        </w:rPr>
        <w:t xml:space="preserve"> </w:t>
      </w:r>
      <w:r>
        <w:t>or lack of manpower visible in Sparta after the battle of Leuctra.</w:t>
      </w:r>
      <w:r>
        <w:rPr>
          <w:vertAlign w:val="superscript"/>
        </w:rPr>
        <w:footnoteReference w:id="3"/>
      </w:r>
      <w:r>
        <w:t xml:space="preserve"> One of the many reasons that Aristotle gives is that “heiresses are numerous and </w:t>
      </w:r>
      <w:proofErr w:type="spellStart"/>
      <w:r>
        <w:t>doweries</w:t>
      </w:r>
      <w:proofErr w:type="spellEnd"/>
      <w:r>
        <w:t xml:space="preserve"> are large”</w:t>
      </w:r>
      <w:r>
        <w:rPr>
          <w:vertAlign w:val="superscript"/>
        </w:rPr>
        <w:footnoteReference w:id="4"/>
      </w:r>
      <w:r>
        <w:t xml:space="preserve"> which meant that land was not as equally shared amo</w:t>
      </w:r>
      <w:r>
        <w:t xml:space="preserve">ng the citizens as it originally was. </w:t>
      </w:r>
      <w:proofErr w:type="spellStart"/>
      <w:r>
        <w:t>Carteledge</w:t>
      </w:r>
      <w:proofErr w:type="spellEnd"/>
      <w:r>
        <w:t xml:space="preserve"> therefore, may have mentioned Herodotus and the heiresses because it gave some evidence to support Aristotle also mentioning heiresses. </w:t>
      </w:r>
    </w:p>
    <w:p w14:paraId="00000006" w14:textId="77777777" w:rsidR="002D5A52" w:rsidRDefault="00016775">
      <w:pPr>
        <w:spacing w:line="480" w:lineRule="auto"/>
      </w:pPr>
      <w:r>
        <w:lastRenderedPageBreak/>
        <w:t>This point is echoed by Hodkinson in a later article because he also u</w:t>
      </w:r>
      <w:r>
        <w:t>ses the same section from Herodotus to back up the evidence from Aristotle on dowries and inheritance.</w:t>
      </w:r>
      <w:r>
        <w:rPr>
          <w:vertAlign w:val="superscript"/>
        </w:rPr>
        <w:footnoteReference w:id="5"/>
      </w:r>
      <w:r>
        <w:t xml:space="preserve"> He does note that he prefers Aristotle's account because it is more detailed.</w:t>
      </w:r>
      <w:r>
        <w:rPr>
          <w:vertAlign w:val="superscript"/>
        </w:rPr>
        <w:footnoteReference w:id="6"/>
      </w:r>
      <w:r>
        <w:t xml:space="preserve"> This could show that Herodotus account on the </w:t>
      </w:r>
      <w:proofErr w:type="spellStart"/>
      <w:r>
        <w:rPr>
          <w:i/>
        </w:rPr>
        <w:t>Patrouchoi</w:t>
      </w:r>
      <w:proofErr w:type="spellEnd"/>
      <w:r>
        <w:rPr>
          <w:i/>
        </w:rPr>
        <w:t xml:space="preserve"> </w:t>
      </w:r>
      <w:r>
        <w:t xml:space="preserve">influenced both </w:t>
      </w:r>
      <w:r>
        <w:t xml:space="preserve">Hodkinson and </w:t>
      </w:r>
      <w:proofErr w:type="spellStart"/>
      <w:r>
        <w:t>Catrtledege’s</w:t>
      </w:r>
      <w:proofErr w:type="spellEnd"/>
      <w:r>
        <w:t xml:space="preserve"> opinions on Spartan women because they believed that it made Aristotle’s account more reliable. </w:t>
      </w:r>
    </w:p>
    <w:p w14:paraId="00000007" w14:textId="77777777" w:rsidR="002D5A52" w:rsidRDefault="002D5A52">
      <w:pPr>
        <w:spacing w:line="480" w:lineRule="auto"/>
      </w:pPr>
    </w:p>
    <w:p w14:paraId="00000008" w14:textId="77777777" w:rsidR="002D5A52" w:rsidRDefault="00016775">
      <w:pPr>
        <w:spacing w:line="480" w:lineRule="auto"/>
      </w:pPr>
      <w:r>
        <w:t xml:space="preserve">In Hodkinson’s article he also compares </w:t>
      </w:r>
      <w:proofErr w:type="spellStart"/>
      <w:r>
        <w:t>Plutarchs</w:t>
      </w:r>
      <w:proofErr w:type="spellEnd"/>
      <w:r>
        <w:t xml:space="preserve"> account of land inheritance in Sparta</w:t>
      </w:r>
      <w:r>
        <w:rPr>
          <w:vertAlign w:val="superscript"/>
        </w:rPr>
        <w:footnoteReference w:id="7"/>
      </w:r>
      <w:r>
        <w:t xml:space="preserve"> to </w:t>
      </w:r>
      <w:proofErr w:type="spellStart"/>
      <w:r>
        <w:t>Aristotles</w:t>
      </w:r>
      <w:proofErr w:type="spellEnd"/>
      <w:r>
        <w:t>.</w:t>
      </w:r>
      <w:r>
        <w:rPr>
          <w:vertAlign w:val="superscript"/>
        </w:rPr>
        <w:footnoteReference w:id="8"/>
      </w:r>
      <w:r>
        <w:t xml:space="preserve"> In Plutarch the land went</w:t>
      </w:r>
      <w:r>
        <w:t xml:space="preserve"> to the eldest son in the family, whereas in Aristotle there is partible </w:t>
      </w:r>
      <w:proofErr w:type="gramStart"/>
      <w:r>
        <w:t>inheritance</w:t>
      </w:r>
      <w:proofErr w:type="gramEnd"/>
      <w:r>
        <w:t xml:space="preserve"> so the land was split up between the children. Hodkinson believed that the evidence that Plutarch may have been using for his account was not reliable evidence because of </w:t>
      </w:r>
      <w:r>
        <w:t>“the general character of the Peripatetics' approach to Sparta”.</w:t>
      </w:r>
      <w:r>
        <w:rPr>
          <w:vertAlign w:val="superscript"/>
        </w:rPr>
        <w:footnoteReference w:id="9"/>
      </w:r>
      <w:r>
        <w:t xml:space="preserve"> He also believed that Aristotle's account was more reliable and detailed because he mentions</w:t>
      </w:r>
      <w:r>
        <w:rPr>
          <w:i/>
        </w:rPr>
        <w:t xml:space="preserve"> </w:t>
      </w:r>
      <w:proofErr w:type="spellStart"/>
      <w:r>
        <w:rPr>
          <w:i/>
        </w:rPr>
        <w:t>Oliganthropia</w:t>
      </w:r>
      <w:proofErr w:type="spellEnd"/>
      <w:r>
        <w:rPr>
          <w:i/>
        </w:rPr>
        <w:t xml:space="preserve"> </w:t>
      </w:r>
      <w:r>
        <w:t xml:space="preserve"> and also gives a list of reasons that would have led to it such as large dowries, </w:t>
      </w:r>
      <w:r>
        <w:t>number of heiresses and partible inheritance.</w:t>
      </w:r>
      <w:r>
        <w:rPr>
          <w:vertAlign w:val="superscript"/>
        </w:rPr>
        <w:footnoteReference w:id="10"/>
      </w:r>
      <w:r>
        <w:t xml:space="preserve"> What this shows is that Hodkinson uses Plutarch to show that Aristotle's account is more reliable by contrasting to a different source. </w:t>
      </w:r>
      <w:proofErr w:type="gramStart"/>
      <w:r>
        <w:t>So</w:t>
      </w:r>
      <w:proofErr w:type="gramEnd"/>
      <w:r>
        <w:t xml:space="preserve"> Plutarch’s and Herodotus’ accounts on inheritance and dowries could be</w:t>
      </w:r>
      <w:r>
        <w:t xml:space="preserve"> slightly influential in modern scholarship because they are used to back up the point made in Aristotle about how many women owned land in Sparta, which shows that there could be some rich and powerful women in Sparta.</w:t>
      </w:r>
    </w:p>
    <w:p w14:paraId="00000009" w14:textId="77777777" w:rsidR="002D5A52" w:rsidRDefault="002D5A52">
      <w:pPr>
        <w:spacing w:line="480" w:lineRule="auto"/>
      </w:pPr>
    </w:p>
    <w:p w14:paraId="0000000A" w14:textId="77777777" w:rsidR="002D5A52" w:rsidRDefault="00016775">
      <w:pPr>
        <w:spacing w:line="480" w:lineRule="auto"/>
      </w:pPr>
      <w:r>
        <w:t xml:space="preserve">In both Herodotus and </w:t>
      </w:r>
      <w:proofErr w:type="gramStart"/>
      <w:r>
        <w:t>Plutarch</w:t>
      </w:r>
      <w:proofErr w:type="gramEnd"/>
      <w:r>
        <w:t xml:space="preserve"> they</w:t>
      </w:r>
      <w:r>
        <w:t xml:space="preserve"> mention </w:t>
      </w:r>
      <w:proofErr w:type="spellStart"/>
      <w:r>
        <w:t>Gorgo</w:t>
      </w:r>
      <w:proofErr w:type="spellEnd"/>
      <w:r>
        <w:t xml:space="preserve"> who was the daughter of the Spartan king </w:t>
      </w:r>
      <w:proofErr w:type="spellStart"/>
      <w:r>
        <w:t>Kleomenes</w:t>
      </w:r>
      <w:proofErr w:type="spellEnd"/>
      <w:r>
        <w:t xml:space="preserve"> and wife of the king </w:t>
      </w:r>
      <w:proofErr w:type="spellStart"/>
      <w:r>
        <w:t>Leonides</w:t>
      </w:r>
      <w:proofErr w:type="spellEnd"/>
      <w:r>
        <w:t xml:space="preserve">. Hodkinson has </w:t>
      </w:r>
      <w:proofErr w:type="gramStart"/>
      <w:r>
        <w:t xml:space="preserve">suggested  </w:t>
      </w:r>
      <w:proofErr w:type="spellStart"/>
      <w:r>
        <w:t>Leonides</w:t>
      </w:r>
      <w:proofErr w:type="spellEnd"/>
      <w:proofErr w:type="gramEnd"/>
      <w:r>
        <w:t xml:space="preserve"> had inherited </w:t>
      </w:r>
      <w:r>
        <w:lastRenderedPageBreak/>
        <w:t xml:space="preserve">the throne though </w:t>
      </w:r>
      <w:proofErr w:type="spellStart"/>
      <w:r>
        <w:t>Gorgo</w:t>
      </w:r>
      <w:proofErr w:type="spellEnd"/>
      <w:r>
        <w:t>,</w:t>
      </w:r>
      <w:r>
        <w:rPr>
          <w:vertAlign w:val="superscript"/>
        </w:rPr>
        <w:footnoteReference w:id="11"/>
      </w:r>
      <w:r>
        <w:t xml:space="preserve">this suggests that </w:t>
      </w:r>
      <w:proofErr w:type="spellStart"/>
      <w:r>
        <w:t>Gorgo</w:t>
      </w:r>
      <w:proofErr w:type="spellEnd"/>
      <w:r>
        <w:t xml:space="preserve"> may have had a powerful social standing in Sparta because who</w:t>
      </w:r>
      <w:r>
        <w:t xml:space="preserve">ever married her would inherit the throne because </w:t>
      </w:r>
      <w:proofErr w:type="spellStart"/>
      <w:r>
        <w:t>Kleomenes</w:t>
      </w:r>
      <w:proofErr w:type="spellEnd"/>
      <w:r>
        <w:t xml:space="preserve"> only had one child. The next section is going to explore how Plutarch and </w:t>
      </w:r>
      <w:proofErr w:type="spellStart"/>
      <w:r>
        <w:t>Heordotus</w:t>
      </w:r>
      <w:proofErr w:type="spellEnd"/>
      <w:r>
        <w:t xml:space="preserve"> portray </w:t>
      </w:r>
      <w:proofErr w:type="spellStart"/>
      <w:r>
        <w:t>Gorgo</w:t>
      </w:r>
      <w:proofErr w:type="spellEnd"/>
      <w:r>
        <w:t xml:space="preserve"> in their texts.</w:t>
      </w:r>
    </w:p>
    <w:p w14:paraId="0000000B" w14:textId="77777777" w:rsidR="002D5A52" w:rsidRDefault="002D5A52">
      <w:pPr>
        <w:spacing w:line="480" w:lineRule="auto"/>
      </w:pPr>
    </w:p>
    <w:p w14:paraId="0000000C" w14:textId="77777777" w:rsidR="002D5A52" w:rsidRDefault="00016775">
      <w:pPr>
        <w:spacing w:line="480" w:lineRule="auto"/>
      </w:pPr>
      <w:r>
        <w:t xml:space="preserve">The first time she is mentioned in both texts in an incident from when </w:t>
      </w:r>
      <w:proofErr w:type="spellStart"/>
      <w:r>
        <w:t>Gorgo</w:t>
      </w:r>
      <w:proofErr w:type="spellEnd"/>
      <w:r>
        <w:t xml:space="preserve"> was </w:t>
      </w:r>
      <w:r>
        <w:t xml:space="preserve">a child and </w:t>
      </w:r>
      <w:proofErr w:type="spellStart"/>
      <w:r>
        <w:t>Aristogoras</w:t>
      </w:r>
      <w:proofErr w:type="spellEnd"/>
      <w:r>
        <w:t xml:space="preserve"> was trying to persuade her father to go to war. Firstly </w:t>
      </w:r>
      <w:proofErr w:type="spellStart"/>
      <w:r>
        <w:t>Gorgo</w:t>
      </w:r>
      <w:proofErr w:type="spellEnd"/>
      <w:r>
        <w:t xml:space="preserve"> is shown as being important and powerful because even though she is only eight when </w:t>
      </w:r>
      <w:proofErr w:type="spellStart"/>
      <w:r>
        <w:t>Aristogoras</w:t>
      </w:r>
      <w:proofErr w:type="spellEnd"/>
      <w:r>
        <w:t xml:space="preserve"> asks her to leave the room </w:t>
      </w:r>
      <w:proofErr w:type="spellStart"/>
      <w:r>
        <w:t>Cleomenes</w:t>
      </w:r>
      <w:proofErr w:type="spellEnd"/>
      <w:r>
        <w:t xml:space="preserve"> answers “say what he would and not le</w:t>
      </w:r>
      <w:r>
        <w:t xml:space="preserve">t the child's presence hinder </w:t>
      </w:r>
      <w:bookmarkStart w:id="0" w:name="_GoBack"/>
      <w:bookmarkEnd w:id="0"/>
      <w:r>
        <w:t>him”.</w:t>
      </w:r>
      <w:r>
        <w:rPr>
          <w:vertAlign w:val="superscript"/>
        </w:rPr>
        <w:footnoteReference w:id="12"/>
      </w:r>
      <w:r>
        <w:t xml:space="preserve"> This suggests how important to her father </w:t>
      </w:r>
      <w:proofErr w:type="spellStart"/>
      <w:r>
        <w:t>Gorgo</w:t>
      </w:r>
      <w:proofErr w:type="spellEnd"/>
      <w:r>
        <w:t xml:space="preserve"> is which is only highlighted in the next section of text. When </w:t>
      </w:r>
      <w:proofErr w:type="spellStart"/>
      <w:r>
        <w:t>Aristogoras</w:t>
      </w:r>
      <w:proofErr w:type="spellEnd"/>
      <w:r>
        <w:t xml:space="preserve"> tries to bribe the Spartan king </w:t>
      </w:r>
      <w:proofErr w:type="spellStart"/>
      <w:r>
        <w:t>Gorgo</w:t>
      </w:r>
      <w:proofErr w:type="spellEnd"/>
      <w:r>
        <w:t xml:space="preserve"> advises her father “the stranger will corrupt you unless y</w:t>
      </w:r>
      <w:r>
        <w:t>ou leave and go away”</w:t>
      </w:r>
      <w:r>
        <w:rPr>
          <w:vertAlign w:val="superscript"/>
        </w:rPr>
        <w:footnoteReference w:id="13"/>
      </w:r>
      <w:r>
        <w:t xml:space="preserve"> which is mirrored in Plutarch “be your ruin if you don't get him out of the house pretty soon”.</w:t>
      </w:r>
      <w:r>
        <w:rPr>
          <w:vertAlign w:val="superscript"/>
        </w:rPr>
        <w:footnoteReference w:id="14"/>
      </w:r>
      <w:r>
        <w:t xml:space="preserve"> Plutarch reflecting Herodotus in this section shows the importance of </w:t>
      </w:r>
      <w:proofErr w:type="spellStart"/>
      <w:r>
        <w:t>Gorgos</w:t>
      </w:r>
      <w:proofErr w:type="spellEnd"/>
      <w:r>
        <w:t xml:space="preserve"> advice because it appears in both texts. </w:t>
      </w:r>
      <w:proofErr w:type="spellStart"/>
      <w:r>
        <w:t>Gorgo</w:t>
      </w:r>
      <w:proofErr w:type="spellEnd"/>
      <w:r>
        <w:t xml:space="preserve"> even as a sm</w:t>
      </w:r>
      <w:r>
        <w:t xml:space="preserve">all child </w:t>
      </w:r>
      <w:proofErr w:type="spellStart"/>
      <w:r>
        <w:t>uphold’s</w:t>
      </w:r>
      <w:proofErr w:type="spellEnd"/>
      <w:r>
        <w:t xml:space="preserve"> Spartan values in both interpretations because she manages to stop her father from being corrupted by money. It also shows </w:t>
      </w:r>
      <w:proofErr w:type="spellStart"/>
      <w:r>
        <w:t>Gorgo</w:t>
      </w:r>
      <w:proofErr w:type="spellEnd"/>
      <w:r>
        <w:t xml:space="preserve"> as important and powerful because not only does </w:t>
      </w:r>
      <w:proofErr w:type="spellStart"/>
      <w:r>
        <w:t>Gorgo</w:t>
      </w:r>
      <w:proofErr w:type="spellEnd"/>
      <w:r>
        <w:t xml:space="preserve"> show influence over her father, but she also manages t</w:t>
      </w:r>
      <w:r>
        <w:t>o stop the Spartans from becoming involved in the war.</w:t>
      </w:r>
    </w:p>
    <w:p w14:paraId="0000000D" w14:textId="77777777" w:rsidR="002D5A52" w:rsidRDefault="002D5A52">
      <w:pPr>
        <w:spacing w:line="480" w:lineRule="auto"/>
      </w:pPr>
    </w:p>
    <w:p w14:paraId="0000000E" w14:textId="77777777" w:rsidR="002D5A52" w:rsidRDefault="00016775">
      <w:pPr>
        <w:spacing w:line="480" w:lineRule="auto"/>
      </w:pPr>
      <w:proofErr w:type="spellStart"/>
      <w:r>
        <w:t>Gorgos</w:t>
      </w:r>
      <w:proofErr w:type="spellEnd"/>
      <w:r>
        <w:t xml:space="preserve"> other mention in Herodotus also shows her to be very clever and inciteful. When </w:t>
      </w:r>
      <w:proofErr w:type="spellStart"/>
      <w:r>
        <w:t>Demaratus</w:t>
      </w:r>
      <w:proofErr w:type="spellEnd"/>
      <w:r>
        <w:t xml:space="preserve"> heard of Xerxes plans to invade Greece he tried to warn the Lacedaemonians. He sent a plain wax tablet </w:t>
      </w:r>
      <w:r>
        <w:t xml:space="preserve">with a coded message written underneath the first layer of wax but “the </w:t>
      </w:r>
      <w:r>
        <w:lastRenderedPageBreak/>
        <w:t>Lacedaemonians could not guess its meaning”</w:t>
      </w:r>
      <w:r>
        <w:rPr>
          <w:vertAlign w:val="superscript"/>
        </w:rPr>
        <w:footnoteReference w:id="15"/>
      </w:r>
      <w:r>
        <w:t xml:space="preserve"> that is until “</w:t>
      </w:r>
      <w:proofErr w:type="spellStart"/>
      <w:r>
        <w:t>Gorgo</w:t>
      </w:r>
      <w:proofErr w:type="spellEnd"/>
      <w:r>
        <w:t xml:space="preserve"> </w:t>
      </w:r>
      <w:proofErr w:type="spellStart"/>
      <w:r>
        <w:t>Cleomenes</w:t>
      </w:r>
      <w:proofErr w:type="spellEnd"/>
      <w:r>
        <w:t xml:space="preserve"> daughter discovered the trick”.</w:t>
      </w:r>
      <w:r>
        <w:rPr>
          <w:vertAlign w:val="superscript"/>
        </w:rPr>
        <w:footnoteReference w:id="16"/>
      </w:r>
      <w:r>
        <w:t xml:space="preserve"> This is the second time within Herodotus that </w:t>
      </w:r>
      <w:proofErr w:type="spellStart"/>
      <w:r>
        <w:t>Gorgo</w:t>
      </w:r>
      <w:proofErr w:type="spellEnd"/>
      <w:r>
        <w:t xml:space="preserve"> has been able to save t</w:t>
      </w:r>
      <w:r>
        <w:t xml:space="preserve">he Spartans firstly by stopping her father from being corrupted into going to war and secondly when she is able to give the Greeks advanced warning about the invasion of Xerxes. To add to </w:t>
      </w:r>
      <w:proofErr w:type="gramStart"/>
      <w:r>
        <w:t>this</w:t>
      </w:r>
      <w:proofErr w:type="gramEnd"/>
      <w:r>
        <w:t xml:space="preserve"> it shows how powerful and clever </w:t>
      </w:r>
      <w:proofErr w:type="spellStart"/>
      <w:r>
        <w:t>Gorgo</w:t>
      </w:r>
      <w:proofErr w:type="spellEnd"/>
      <w:r>
        <w:t xml:space="preserve"> was because she was the </w:t>
      </w:r>
      <w:r>
        <w:t xml:space="preserve">only person in the whole of Sparta who was able to decipher the message. This does however seem slightly exaggerated on Herodotus’ part to me because it is very </w:t>
      </w:r>
      <w:proofErr w:type="spellStart"/>
      <w:r>
        <w:t>unlikley</w:t>
      </w:r>
      <w:proofErr w:type="spellEnd"/>
      <w:r>
        <w:t xml:space="preserve"> that everyone in Sparta would have been able to try to decipher it. As Pomeroy notes f</w:t>
      </w:r>
      <w:r>
        <w:t xml:space="preserve">rom the small amount that </w:t>
      </w:r>
      <w:proofErr w:type="spellStart"/>
      <w:r>
        <w:t>Heordotus</w:t>
      </w:r>
      <w:proofErr w:type="spellEnd"/>
      <w:r>
        <w:t xml:space="preserve"> does write about Spartan Women is that they were very clever,</w:t>
      </w:r>
      <w:r>
        <w:rPr>
          <w:vertAlign w:val="superscript"/>
        </w:rPr>
        <w:footnoteReference w:id="17"/>
      </w:r>
      <w:r>
        <w:t xml:space="preserve"> which is certainly shown through </w:t>
      </w:r>
      <w:proofErr w:type="spellStart"/>
      <w:r>
        <w:t>Gorgo</w:t>
      </w:r>
      <w:proofErr w:type="spellEnd"/>
      <w:r>
        <w:t xml:space="preserve">. </w:t>
      </w:r>
      <w:proofErr w:type="gramStart"/>
      <w:r>
        <w:t>So</w:t>
      </w:r>
      <w:proofErr w:type="gramEnd"/>
      <w:r>
        <w:t xml:space="preserve"> Herodotus’ influence on the modern perception of Spartan women is that they were very powerful and clever.</w:t>
      </w:r>
    </w:p>
    <w:p w14:paraId="0000000F" w14:textId="77777777" w:rsidR="002D5A52" w:rsidRDefault="002D5A52">
      <w:pPr>
        <w:spacing w:line="480" w:lineRule="auto"/>
      </w:pPr>
    </w:p>
    <w:p w14:paraId="00000010" w14:textId="77777777" w:rsidR="002D5A52" w:rsidRDefault="00016775">
      <w:pPr>
        <w:spacing w:line="480" w:lineRule="auto"/>
      </w:pPr>
      <w:proofErr w:type="spellStart"/>
      <w:r>
        <w:t>Gorgo</w:t>
      </w:r>
      <w:proofErr w:type="spellEnd"/>
      <w:r>
        <w:t xml:space="preserve"> </w:t>
      </w:r>
      <w:r>
        <w:t xml:space="preserve">also appears several more times in </w:t>
      </w:r>
      <w:proofErr w:type="spellStart"/>
      <w:r>
        <w:t>Plutarchs</w:t>
      </w:r>
      <w:proofErr w:type="spellEnd"/>
      <w:r>
        <w:t xml:space="preserve"> </w:t>
      </w:r>
      <w:r>
        <w:rPr>
          <w:i/>
        </w:rPr>
        <w:t>Sayings of Spartan Women</w:t>
      </w:r>
      <w:r>
        <w:t xml:space="preserve">. In one of which Plutarch compares an Athenian woman to a Spartan woman, this is when an Athenian woman asks </w:t>
      </w:r>
      <w:proofErr w:type="spellStart"/>
      <w:r>
        <w:t>Gorgo</w:t>
      </w:r>
      <w:proofErr w:type="spellEnd"/>
      <w:r>
        <w:t xml:space="preserve"> why the Spartan Women are the “only women that lord it over their men”.</w:t>
      </w:r>
      <w:r>
        <w:rPr>
          <w:vertAlign w:val="superscript"/>
        </w:rPr>
        <w:footnoteReference w:id="18"/>
      </w:r>
      <w:r>
        <w:t xml:space="preserve"> This suggests that Athenian women may have thought that Spartan women had more power over their men. When </w:t>
      </w:r>
      <w:proofErr w:type="spellStart"/>
      <w:r>
        <w:t>Gorgo</w:t>
      </w:r>
      <w:proofErr w:type="spellEnd"/>
      <w:r>
        <w:t xml:space="preserve"> answers she states “because we are the only women that are mothers of men”</w:t>
      </w:r>
      <w:r>
        <w:rPr>
          <w:vertAlign w:val="superscript"/>
        </w:rPr>
        <w:footnoteReference w:id="19"/>
      </w:r>
      <w:r>
        <w:t>, Plutarch writing this could emphasize the uniqueness of Spartan w</w:t>
      </w:r>
      <w:r>
        <w:t xml:space="preserve">omen because of the use of the word “only” twice. As for being “mothers of men” </w:t>
      </w:r>
      <w:proofErr w:type="spellStart"/>
      <w:r>
        <w:t>Myszkowaska-Kazuba</w:t>
      </w:r>
      <w:proofErr w:type="spellEnd"/>
      <w:r>
        <w:t xml:space="preserve"> writes about how the Spartan Women shaped their “offspring as the model warrior”.</w:t>
      </w:r>
      <w:r>
        <w:rPr>
          <w:vertAlign w:val="superscript"/>
        </w:rPr>
        <w:footnoteReference w:id="20"/>
      </w:r>
      <w:r>
        <w:t xml:space="preserve"> This suggests that Plutarch referring to them as the only mothers of men c</w:t>
      </w:r>
      <w:r>
        <w:t xml:space="preserve">ould influence </w:t>
      </w:r>
      <w:r>
        <w:lastRenderedPageBreak/>
        <w:t>modern scholarship because it shows women to be involved in the upbringing of their sons by shaping them into Spartan warriors.</w:t>
      </w:r>
    </w:p>
    <w:p w14:paraId="00000011" w14:textId="77777777" w:rsidR="002D5A52" w:rsidRDefault="002D5A52">
      <w:pPr>
        <w:spacing w:line="480" w:lineRule="auto"/>
      </w:pPr>
    </w:p>
    <w:p w14:paraId="00000012" w14:textId="5CF01E95" w:rsidR="002D5A52" w:rsidRDefault="00016775">
      <w:pPr>
        <w:spacing w:line="480" w:lineRule="auto"/>
      </w:pPr>
      <w:proofErr w:type="spellStart"/>
      <w:r>
        <w:t>Gorgo</w:t>
      </w:r>
      <w:proofErr w:type="spellEnd"/>
      <w:r>
        <w:t xml:space="preserve"> is also shown encouraging her husband Leonidas to be a great warrior just before he leaves for </w:t>
      </w:r>
      <w:proofErr w:type="spellStart"/>
      <w:r>
        <w:t>Thermopolye</w:t>
      </w:r>
      <w:proofErr w:type="spellEnd"/>
      <w:r>
        <w:t xml:space="preserve"> “show himself worthy of Sparta”.</w:t>
      </w:r>
      <w:r>
        <w:rPr>
          <w:vertAlign w:val="superscript"/>
        </w:rPr>
        <w:footnoteReference w:id="21"/>
      </w:r>
      <w:r>
        <w:t xml:space="preserve"> The reason why the battle of </w:t>
      </w:r>
      <w:proofErr w:type="spellStart"/>
      <w:r>
        <w:t>Thermoplye</w:t>
      </w:r>
      <w:proofErr w:type="spellEnd"/>
      <w:r>
        <w:t xml:space="preserve"> was so legendary</w:t>
      </w:r>
      <w:r w:rsidR="003E3119">
        <w:t xml:space="preserve"> is</w:t>
      </w:r>
      <w:r>
        <w:t xml:space="preserve"> because of the stand of the Spartans against the Persians who although they all died this gave the Athenians more time to prepare. Therefore, when </w:t>
      </w:r>
      <w:proofErr w:type="spellStart"/>
      <w:r>
        <w:t>Gorgo</w:t>
      </w:r>
      <w:proofErr w:type="spellEnd"/>
      <w:r>
        <w:t xml:space="preserve"> talks to he</w:t>
      </w:r>
      <w:r>
        <w:t xml:space="preserve">r husband this is the last time she will ever see him. Plutarch </w:t>
      </w:r>
      <w:proofErr w:type="spellStart"/>
      <w:r>
        <w:t>emphasises</w:t>
      </w:r>
      <w:proofErr w:type="spellEnd"/>
      <w:r>
        <w:t xml:space="preserve"> the fact that </w:t>
      </w:r>
      <w:proofErr w:type="spellStart"/>
      <w:r>
        <w:t>Leonides</w:t>
      </w:r>
      <w:proofErr w:type="spellEnd"/>
      <w:r>
        <w:t xml:space="preserve"> is going to die when </w:t>
      </w:r>
      <w:proofErr w:type="spellStart"/>
      <w:r>
        <w:t>Gorgo</w:t>
      </w:r>
      <w:proofErr w:type="spellEnd"/>
      <w:r>
        <w:t xml:space="preserve"> asks what she should do and he answers</w:t>
      </w:r>
      <w:r w:rsidR="003E3119">
        <w:t>,</w:t>
      </w:r>
      <w:r>
        <w:t xml:space="preserve"> “Marry a good man and bear good children”,</w:t>
      </w:r>
      <w:r>
        <w:rPr>
          <w:vertAlign w:val="superscript"/>
        </w:rPr>
        <w:footnoteReference w:id="22"/>
      </w:r>
      <w:r>
        <w:t xml:space="preserve"> which could show that </w:t>
      </w:r>
      <w:proofErr w:type="spellStart"/>
      <w:r>
        <w:t>Leonides</w:t>
      </w:r>
      <w:proofErr w:type="spellEnd"/>
      <w:r>
        <w:t xml:space="preserve"> knew he was not c</w:t>
      </w:r>
      <w:r>
        <w:t xml:space="preserve">oming back from </w:t>
      </w:r>
      <w:proofErr w:type="spellStart"/>
      <w:r>
        <w:t>Thermoplye</w:t>
      </w:r>
      <w:proofErr w:type="spellEnd"/>
      <w:r>
        <w:t xml:space="preserve">. It also </w:t>
      </w:r>
      <w:proofErr w:type="spellStart"/>
      <w:r>
        <w:t>emphasises</w:t>
      </w:r>
      <w:proofErr w:type="spellEnd"/>
      <w:r>
        <w:t xml:space="preserve"> the importance for women to have </w:t>
      </w:r>
      <w:r w:rsidR="003E3119">
        <w:t>many children</w:t>
      </w:r>
      <w:r>
        <w:t xml:space="preserve"> to produce more warriors for Sparta, and how important it was to contribute to the state. Through </w:t>
      </w:r>
      <w:proofErr w:type="spellStart"/>
      <w:r>
        <w:t>Gorgo</w:t>
      </w:r>
      <w:proofErr w:type="spellEnd"/>
      <w:r>
        <w:t xml:space="preserve"> Plutarch creates the stereotypical Spartan mother and wif</w:t>
      </w:r>
      <w:r>
        <w:t>e, this is because she helps to form an “ideal citizen in terms of an exemplary warrior”</w:t>
      </w:r>
      <w:r>
        <w:rPr>
          <w:vertAlign w:val="superscript"/>
        </w:rPr>
        <w:footnoteReference w:id="23"/>
      </w:r>
      <w:r>
        <w:t xml:space="preserve"> but also the Spartan woman plays an essential role “not only in the family as a life giver but also in the organization of the city-state.”</w:t>
      </w:r>
      <w:r>
        <w:rPr>
          <w:vertAlign w:val="superscript"/>
        </w:rPr>
        <w:footnoteReference w:id="24"/>
      </w:r>
      <w:r>
        <w:t xml:space="preserve"> In </w:t>
      </w:r>
      <w:proofErr w:type="spellStart"/>
      <w:r>
        <w:t>Plutarchs</w:t>
      </w:r>
      <w:proofErr w:type="spellEnd"/>
      <w:r>
        <w:t xml:space="preserve"> portrayal of</w:t>
      </w:r>
      <w:r>
        <w:t xml:space="preserve"> </w:t>
      </w:r>
      <w:proofErr w:type="spellStart"/>
      <w:r>
        <w:t>Gorgo</w:t>
      </w:r>
      <w:proofErr w:type="spellEnd"/>
      <w:r>
        <w:t xml:space="preserve"> in his </w:t>
      </w:r>
      <w:r>
        <w:rPr>
          <w:i/>
        </w:rPr>
        <w:t>Sayings of Spartan Women</w:t>
      </w:r>
      <w:r>
        <w:t xml:space="preserve"> therefore, he emphasizes the importance of contributing children or more importantly warriors to Sparta, he also introduces the fact that women were not supposed to mourn the fallen warriors through the way that </w:t>
      </w:r>
      <w:proofErr w:type="spellStart"/>
      <w:r>
        <w:t>Leoni</w:t>
      </w:r>
      <w:r>
        <w:t>des</w:t>
      </w:r>
      <w:proofErr w:type="spellEnd"/>
      <w:r>
        <w:t xml:space="preserve"> tells her to remarry and have another man’s children if he dies.</w:t>
      </w:r>
    </w:p>
    <w:p w14:paraId="00000013" w14:textId="77777777" w:rsidR="002D5A52" w:rsidRDefault="002D5A52">
      <w:pPr>
        <w:spacing w:line="480" w:lineRule="auto"/>
      </w:pPr>
    </w:p>
    <w:p w14:paraId="00000014" w14:textId="77777777" w:rsidR="002D5A52" w:rsidRDefault="00016775">
      <w:pPr>
        <w:spacing w:line="480" w:lineRule="auto"/>
      </w:pPr>
      <w:proofErr w:type="spellStart"/>
      <w:r>
        <w:t>Myskowaska-Kazuba</w:t>
      </w:r>
      <w:proofErr w:type="spellEnd"/>
      <w:r>
        <w:t xml:space="preserve"> argues that the women seen in Plutarch’s </w:t>
      </w:r>
      <w:r>
        <w:rPr>
          <w:i/>
        </w:rPr>
        <w:t>Sayings of Spartan Women</w:t>
      </w:r>
      <w:r>
        <w:t xml:space="preserve"> are stereotypical and unrealistic.</w:t>
      </w:r>
      <w:r>
        <w:rPr>
          <w:vertAlign w:val="superscript"/>
        </w:rPr>
        <w:footnoteReference w:id="25"/>
      </w:r>
      <w:r>
        <w:t xml:space="preserve"> One of the ways that this is shown is the way that mourning is </w:t>
      </w:r>
      <w:r>
        <w:lastRenderedPageBreak/>
        <w:t>sho</w:t>
      </w:r>
      <w:r>
        <w:t xml:space="preserve">wn in the </w:t>
      </w:r>
      <w:r>
        <w:rPr>
          <w:i/>
        </w:rPr>
        <w:t>Sayings</w:t>
      </w:r>
      <w:r>
        <w:t xml:space="preserve"> when compared to a scene in Plutarch’s</w:t>
      </w:r>
      <w:r>
        <w:rPr>
          <w:i/>
        </w:rPr>
        <w:t xml:space="preserve"> Life of </w:t>
      </w:r>
      <w:proofErr w:type="spellStart"/>
      <w:r>
        <w:rPr>
          <w:i/>
        </w:rPr>
        <w:t>Cleomenes</w:t>
      </w:r>
      <w:proofErr w:type="spellEnd"/>
      <w:r>
        <w:rPr>
          <w:i/>
        </w:rPr>
        <w:t xml:space="preserve">. </w:t>
      </w:r>
      <w:r>
        <w:t xml:space="preserve">In Plutarch’s </w:t>
      </w:r>
      <w:r>
        <w:rPr>
          <w:i/>
        </w:rPr>
        <w:t>Sayings</w:t>
      </w:r>
      <w:r>
        <w:t xml:space="preserve"> when a mother is informed of the death of her sons she is proud which can be seen when a mother upon hearing that her five sons had died but that Sparta was victorious responds ““Then” she said “I gladly accept also the death of my sons”''.</w:t>
      </w:r>
      <w:r>
        <w:rPr>
          <w:vertAlign w:val="superscript"/>
        </w:rPr>
        <w:footnoteReference w:id="26"/>
      </w:r>
      <w:r>
        <w:t xml:space="preserve"> This is also </w:t>
      </w:r>
      <w:r>
        <w:t>seen when a woman is taking part in a public procession when she is told that her son is dying says ““How much more noble my friends to be victorious on the field of battle and met death than to win the Olympic games and live””.</w:t>
      </w:r>
      <w:r>
        <w:rPr>
          <w:vertAlign w:val="superscript"/>
        </w:rPr>
        <w:footnoteReference w:id="27"/>
      </w:r>
      <w:r>
        <w:t xml:space="preserve"> Both of these responses cl</w:t>
      </w:r>
      <w:r>
        <w:t xml:space="preserve">early show that the mothers are proud that their sons have died because they helped Sparta win the battle and they have died </w:t>
      </w:r>
      <w:proofErr w:type="spellStart"/>
      <w:r>
        <w:t>honourably</w:t>
      </w:r>
      <w:proofErr w:type="spellEnd"/>
      <w:r>
        <w:t xml:space="preserve">. </w:t>
      </w:r>
    </w:p>
    <w:p w14:paraId="00000015" w14:textId="77777777" w:rsidR="002D5A52" w:rsidRDefault="002D5A52">
      <w:pPr>
        <w:spacing w:line="480" w:lineRule="auto"/>
      </w:pPr>
    </w:p>
    <w:p w14:paraId="00000016" w14:textId="77777777" w:rsidR="002D5A52" w:rsidRDefault="00016775">
      <w:pPr>
        <w:spacing w:line="480" w:lineRule="auto"/>
      </w:pPr>
      <w:proofErr w:type="gramStart"/>
      <w:r>
        <w:t>However</w:t>
      </w:r>
      <w:proofErr w:type="gramEnd"/>
      <w:r>
        <w:t xml:space="preserve"> these responses to the deaths of their sons which are not only stoic but cheerful</w:t>
      </w:r>
      <w:r>
        <w:rPr>
          <w:vertAlign w:val="superscript"/>
        </w:rPr>
        <w:footnoteReference w:id="28"/>
      </w:r>
      <w:r>
        <w:t xml:space="preserve"> seems unrealistic. In life</w:t>
      </w:r>
      <w:r>
        <w:t xml:space="preserve"> of </w:t>
      </w:r>
      <w:proofErr w:type="spellStart"/>
      <w:r>
        <w:t>Cleomenes</w:t>
      </w:r>
      <w:proofErr w:type="spellEnd"/>
      <w:r>
        <w:t xml:space="preserve"> 38 though is a different response to the death of a loved one. The </w:t>
      </w:r>
      <w:r>
        <w:rPr>
          <w:i/>
        </w:rPr>
        <w:t>Sayings</w:t>
      </w:r>
      <w:r>
        <w:t xml:space="preserve"> show that the fallen warriors were not mourned publicly, but </w:t>
      </w:r>
      <w:proofErr w:type="spellStart"/>
      <w:r>
        <w:rPr>
          <w:i/>
        </w:rPr>
        <w:t>Cleomenes</w:t>
      </w:r>
      <w:proofErr w:type="spellEnd"/>
      <w:r>
        <w:rPr>
          <w:i/>
        </w:rPr>
        <w:t xml:space="preserve"> </w:t>
      </w:r>
      <w:r>
        <w:t xml:space="preserve">31 suggests that “mourning </w:t>
      </w:r>
      <w:proofErr w:type="spellStart"/>
      <w:r>
        <w:t>prac</w:t>
      </w:r>
      <w:proofErr w:type="spellEnd"/>
      <w:r>
        <w:t xml:space="preserve">- </w:t>
      </w:r>
      <w:proofErr w:type="spellStart"/>
      <w:r>
        <w:t>tices</w:t>
      </w:r>
      <w:proofErr w:type="spellEnd"/>
      <w:r>
        <w:t xml:space="preserve"> are different in private relationships between a mother a</w:t>
      </w:r>
      <w:r>
        <w:t>nd a son of a royal family”.</w:t>
      </w:r>
      <w:r>
        <w:rPr>
          <w:vertAlign w:val="superscript"/>
        </w:rPr>
        <w:footnoteReference w:id="29"/>
      </w:r>
      <w:r>
        <w:t xml:space="preserve"> This  can be shown when </w:t>
      </w:r>
      <w:proofErr w:type="spellStart"/>
      <w:r>
        <w:t>Catesicleia</w:t>
      </w:r>
      <w:proofErr w:type="spellEnd"/>
      <w:r>
        <w:t xml:space="preserve"> when hearing of the death of </w:t>
      </w:r>
      <w:proofErr w:type="spellStart"/>
      <w:r>
        <w:t>Cleomenes</w:t>
      </w:r>
      <w:proofErr w:type="spellEnd"/>
      <w:r>
        <w:t xml:space="preserve"> “although she was a woman on </w:t>
      </w:r>
      <w:proofErr w:type="spellStart"/>
      <w:r>
        <w:t>nobel</w:t>
      </w:r>
      <w:proofErr w:type="spellEnd"/>
      <w:r>
        <w:t xml:space="preserve"> spirit, lost her composure”</w:t>
      </w:r>
      <w:r>
        <w:rPr>
          <w:vertAlign w:val="superscript"/>
        </w:rPr>
        <w:footnoteReference w:id="30"/>
      </w:r>
      <w:r>
        <w:t xml:space="preserve"> and threw “her arms about the children of </w:t>
      </w:r>
      <w:proofErr w:type="spellStart"/>
      <w:r>
        <w:t>Cleomenes</w:t>
      </w:r>
      <w:proofErr w:type="spellEnd"/>
      <w:r>
        <w:t xml:space="preserve"> wailed and lamented”.</w:t>
      </w:r>
      <w:r>
        <w:rPr>
          <w:vertAlign w:val="superscript"/>
        </w:rPr>
        <w:footnoteReference w:id="31"/>
      </w:r>
      <w:r>
        <w:t xml:space="preserve"> </w:t>
      </w:r>
      <w:proofErr w:type="spellStart"/>
      <w:r>
        <w:t>Catesicleia’</w:t>
      </w:r>
      <w:r>
        <w:t>s</w:t>
      </w:r>
      <w:proofErr w:type="spellEnd"/>
      <w:r>
        <w:t xml:space="preserve"> reaction to the death of her son is much more realistic than that seen in the </w:t>
      </w:r>
      <w:r>
        <w:rPr>
          <w:i/>
        </w:rPr>
        <w:t xml:space="preserve">Sayings </w:t>
      </w:r>
      <w:r>
        <w:t>and Plutarch noting she was a “woman of noble spirit”</w:t>
      </w:r>
      <w:r>
        <w:rPr>
          <w:vertAlign w:val="superscript"/>
        </w:rPr>
        <w:footnoteReference w:id="32"/>
      </w:r>
      <w:r>
        <w:t xml:space="preserve"> may point to the fact that just because she is crying at the death of her son does not make her a lesser woman. A</w:t>
      </w:r>
      <w:r>
        <w:t>lthough scholarship has a tendency to mention that Spartan women did not mourn the fallen warriors who had been victorious in battle,</w:t>
      </w:r>
      <w:r>
        <w:rPr>
          <w:vertAlign w:val="superscript"/>
        </w:rPr>
        <w:footnoteReference w:id="33"/>
      </w:r>
      <w:r>
        <w:t xml:space="preserve"> here </w:t>
      </w:r>
      <w:proofErr w:type="spellStart"/>
      <w:r>
        <w:lastRenderedPageBreak/>
        <w:t>Myskowaska</w:t>
      </w:r>
      <w:proofErr w:type="spellEnd"/>
      <w:r>
        <w:t xml:space="preserve">- </w:t>
      </w:r>
      <w:proofErr w:type="spellStart"/>
      <w:r>
        <w:t>Kazuba</w:t>
      </w:r>
      <w:proofErr w:type="spellEnd"/>
      <w:r>
        <w:t xml:space="preserve"> backed up by evidence in </w:t>
      </w:r>
      <w:proofErr w:type="spellStart"/>
      <w:r>
        <w:rPr>
          <w:i/>
        </w:rPr>
        <w:t>Cleomenes</w:t>
      </w:r>
      <w:proofErr w:type="spellEnd"/>
      <w:r>
        <w:t xml:space="preserve"> suggests that mourning could possibly have been different in p</w:t>
      </w:r>
      <w:r>
        <w:t>rivate.</w:t>
      </w:r>
    </w:p>
    <w:p w14:paraId="00000017" w14:textId="77777777" w:rsidR="002D5A52" w:rsidRDefault="002D5A52">
      <w:pPr>
        <w:spacing w:line="480" w:lineRule="auto"/>
      </w:pPr>
    </w:p>
    <w:p w14:paraId="00000018" w14:textId="77777777" w:rsidR="002D5A52" w:rsidRDefault="00016775">
      <w:pPr>
        <w:spacing w:line="480" w:lineRule="auto"/>
      </w:pPr>
      <w:r>
        <w:t xml:space="preserve">Although Plutarch </w:t>
      </w:r>
      <w:r>
        <w:rPr>
          <w:i/>
        </w:rPr>
        <w:t>Lives</w:t>
      </w:r>
      <w:r>
        <w:t xml:space="preserve"> may have been more realistic, </w:t>
      </w:r>
      <w:proofErr w:type="spellStart"/>
      <w:r>
        <w:t>Myszkowska-Kazuba</w:t>
      </w:r>
      <w:proofErr w:type="spellEnd"/>
      <w:r>
        <w:t xml:space="preserve"> focuses mainly on the </w:t>
      </w:r>
      <w:r>
        <w:rPr>
          <w:i/>
        </w:rPr>
        <w:t>Sayings</w:t>
      </w:r>
      <w:r>
        <w:t xml:space="preserve"> in her article. She does state however that the </w:t>
      </w:r>
      <w:r>
        <w:rPr>
          <w:i/>
        </w:rPr>
        <w:t>Sayings</w:t>
      </w:r>
      <w:r>
        <w:t xml:space="preserve"> are of “doubtful value as sources of Spartan history”</w:t>
      </w:r>
      <w:r>
        <w:rPr>
          <w:vertAlign w:val="superscript"/>
        </w:rPr>
        <w:footnoteReference w:id="34"/>
      </w:r>
      <w:r>
        <w:t xml:space="preserve"> but are of greater value as “sourc</w:t>
      </w:r>
      <w:r>
        <w:t>es of the history of the Spartan legend”.</w:t>
      </w:r>
      <w:r>
        <w:rPr>
          <w:vertAlign w:val="superscript"/>
        </w:rPr>
        <w:footnoteReference w:id="35"/>
      </w:r>
      <w:r>
        <w:t xml:space="preserve"> By this she means that although the </w:t>
      </w:r>
      <w:r>
        <w:rPr>
          <w:i/>
        </w:rPr>
        <w:t>Sayings</w:t>
      </w:r>
      <w:r>
        <w:t xml:space="preserve"> are </w:t>
      </w:r>
      <w:proofErr w:type="spellStart"/>
      <w:r>
        <w:t>idealised</w:t>
      </w:r>
      <w:proofErr w:type="spellEnd"/>
      <w:r>
        <w:t xml:space="preserve"> and unrealistic they contribute greatly to the Spartan mirage. Plutarch’s influence over the mirage to the modern reader is also mentioned by Pomeroy becau</w:t>
      </w:r>
      <w:r>
        <w:t>se the majority of the work written about Sparta is from Plutarch.</w:t>
      </w:r>
      <w:r>
        <w:rPr>
          <w:vertAlign w:val="superscript"/>
        </w:rPr>
        <w:footnoteReference w:id="36"/>
      </w:r>
    </w:p>
    <w:p w14:paraId="00000019" w14:textId="77777777" w:rsidR="002D5A52" w:rsidRDefault="002D5A52">
      <w:pPr>
        <w:spacing w:line="480" w:lineRule="auto"/>
      </w:pPr>
    </w:p>
    <w:p w14:paraId="0000001A" w14:textId="77777777" w:rsidR="002D5A52" w:rsidRDefault="00016775">
      <w:pPr>
        <w:spacing w:line="480" w:lineRule="auto"/>
      </w:pPr>
      <w:r>
        <w:t>Pomeroy complains how Plutarch was “not a historian”</w:t>
      </w:r>
      <w:r>
        <w:rPr>
          <w:vertAlign w:val="superscript"/>
        </w:rPr>
        <w:footnoteReference w:id="37"/>
      </w:r>
      <w:r>
        <w:t xml:space="preserve"> and does not care about chronology. This could cause a problem because as Pomeroy has already noted the majority of our evidence come</w:t>
      </w:r>
      <w:r>
        <w:t>s from Plutarch. As Plutarch was writing at a much later period than other writers like Herodotus however, Plutarch was able to do much more research on Classical Sparta because he had more resources available to him and Plutarch had clearly done his resea</w:t>
      </w:r>
      <w:r>
        <w:t>rch which can be shown from the list of ancient works possibly cited by Plutarch.</w:t>
      </w:r>
      <w:r>
        <w:rPr>
          <w:vertAlign w:val="superscript"/>
        </w:rPr>
        <w:footnoteReference w:id="38"/>
      </w:r>
      <w:r>
        <w:t xml:space="preserve"> The one he references most clearly is Xenophon, because Plutarch shares opinions with him</w:t>
      </w:r>
      <w:r>
        <w:rPr>
          <w:vertAlign w:val="superscript"/>
        </w:rPr>
        <w:footnoteReference w:id="39"/>
      </w:r>
      <w:r>
        <w:t>, Pomeroy will have appreciated this because of Xenophon having a unique perspectiv</w:t>
      </w:r>
      <w:r>
        <w:t xml:space="preserve">e on Sparta having written a </w:t>
      </w:r>
      <w:proofErr w:type="spellStart"/>
      <w:r>
        <w:t>first hand</w:t>
      </w:r>
      <w:proofErr w:type="spellEnd"/>
      <w:r>
        <w:t xml:space="preserve"> eyewitness account of Classical Sparta.</w:t>
      </w:r>
      <w:r>
        <w:rPr>
          <w:vertAlign w:val="superscript"/>
        </w:rPr>
        <w:footnoteReference w:id="40"/>
      </w:r>
      <w:r>
        <w:t xml:space="preserve"> Xenophon however was so pro-</w:t>
      </w:r>
      <w:r>
        <w:lastRenderedPageBreak/>
        <w:t>Spartan he may have been just as biased as other writers such as Aristotle so it is possible that some of Xenophon’s bias may have been passed on t</w:t>
      </w:r>
      <w:r>
        <w:t>o Plutarch.</w:t>
      </w:r>
    </w:p>
    <w:p w14:paraId="0000001B" w14:textId="77777777" w:rsidR="002D5A52" w:rsidRDefault="002D5A52">
      <w:pPr>
        <w:spacing w:line="480" w:lineRule="auto"/>
      </w:pPr>
    </w:p>
    <w:p w14:paraId="0000001C" w14:textId="77777777" w:rsidR="002D5A52" w:rsidRDefault="00016775">
      <w:pPr>
        <w:spacing w:line="480" w:lineRule="auto"/>
      </w:pPr>
      <w:r>
        <w:t>Herodotus is not referenced as frequently in scholarship about Spartan women as Plutarch, this may have been because he only writes a small amount on Spartan women</w:t>
      </w:r>
      <w:r>
        <w:rPr>
          <w:vertAlign w:val="superscript"/>
        </w:rPr>
        <w:footnoteReference w:id="41"/>
      </w:r>
      <w:r>
        <w:t xml:space="preserve"> but it may also be because there is a debate about the validity of Herodotus a</w:t>
      </w:r>
      <w:r>
        <w:t>s an ancient source.</w:t>
      </w:r>
      <w:r>
        <w:rPr>
          <w:vertAlign w:val="superscript"/>
        </w:rPr>
        <w:footnoteReference w:id="42"/>
      </w:r>
      <w:r>
        <w:t xml:space="preserve"> This may be because a lot of what Herodotus wrote were stories that he had heard, this can be seen when </w:t>
      </w:r>
      <w:proofErr w:type="spellStart"/>
      <w:r>
        <w:t>Heordotus</w:t>
      </w:r>
      <w:proofErr w:type="spellEnd"/>
      <w:r>
        <w:t xml:space="preserve"> is writing about </w:t>
      </w:r>
      <w:proofErr w:type="spellStart"/>
      <w:r>
        <w:t>Gorgo</w:t>
      </w:r>
      <w:proofErr w:type="spellEnd"/>
      <w:r>
        <w:t xml:space="preserve"> and he writes “as I have been told”</w:t>
      </w:r>
      <w:r>
        <w:rPr>
          <w:vertAlign w:val="superscript"/>
        </w:rPr>
        <w:footnoteReference w:id="43"/>
      </w:r>
      <w:r>
        <w:t xml:space="preserve"> which suggests that not all that Herodotus is true. This is </w:t>
      </w:r>
      <w:r>
        <w:t>why Herodotus may have less of an influence over modern conceptions of Spartan Women than other writers such as Plutarch.</w:t>
      </w:r>
    </w:p>
    <w:p w14:paraId="0000001D" w14:textId="77777777" w:rsidR="002D5A52" w:rsidRDefault="002D5A52">
      <w:pPr>
        <w:spacing w:line="480" w:lineRule="auto"/>
      </w:pPr>
    </w:p>
    <w:p w14:paraId="0000001E" w14:textId="77777777" w:rsidR="002D5A52" w:rsidRDefault="00016775">
      <w:pPr>
        <w:spacing w:line="480" w:lineRule="auto"/>
      </w:pPr>
      <w:r>
        <w:t>To conclude, I believe that Plutarch has a much greater influence over modern conceptions of Spartan women and the mirage. This is because Plutarch has written several works which feature the Spartan Women, and Plutarch is a more valid source because altho</w:t>
      </w:r>
      <w:r>
        <w:t>ugh he was writing several hundred years after the decline of Sparta, this led him to have the opportunity for greater research than other ancient writers. Although Plutarch has the most influence over conceptions of Spartan women this also means he has th</w:t>
      </w:r>
      <w:r>
        <w:t xml:space="preserve">e most influence over the mirage. This may lead, to because of Plutarch portraying Spartan women in works such as the </w:t>
      </w:r>
      <w:r>
        <w:rPr>
          <w:i/>
        </w:rPr>
        <w:t>Sayings</w:t>
      </w:r>
      <w:r>
        <w:t xml:space="preserve"> the women of Sparta being viewed in a much more stereotypical and unrealistic way, such as not mourning over the death of their so</w:t>
      </w:r>
      <w:r>
        <w:t xml:space="preserve">ns or being portrayed as being able to give advice and even be wiser than their husbands or fathers as seen with </w:t>
      </w:r>
      <w:proofErr w:type="spellStart"/>
      <w:r>
        <w:t>Gorgo</w:t>
      </w:r>
      <w:proofErr w:type="spellEnd"/>
      <w:r>
        <w:t>.</w:t>
      </w:r>
    </w:p>
    <w:p w14:paraId="0000001F" w14:textId="77777777" w:rsidR="002D5A52" w:rsidRDefault="002D5A52">
      <w:pPr>
        <w:spacing w:line="480" w:lineRule="auto"/>
      </w:pPr>
    </w:p>
    <w:p w14:paraId="00000020" w14:textId="77777777" w:rsidR="002D5A52" w:rsidRDefault="00016775">
      <w:pPr>
        <w:spacing w:line="480" w:lineRule="auto"/>
      </w:pPr>
      <w:r>
        <w:t xml:space="preserve"> </w:t>
      </w:r>
    </w:p>
    <w:p w14:paraId="00000021" w14:textId="77777777" w:rsidR="002D5A52" w:rsidRDefault="002D5A52">
      <w:pPr>
        <w:spacing w:line="480" w:lineRule="auto"/>
      </w:pPr>
    </w:p>
    <w:p w14:paraId="00000022" w14:textId="77777777" w:rsidR="002D5A52" w:rsidRDefault="002D5A52">
      <w:pPr>
        <w:spacing w:line="480" w:lineRule="auto"/>
      </w:pPr>
    </w:p>
    <w:p w14:paraId="00000023" w14:textId="77777777" w:rsidR="002D5A52" w:rsidRDefault="002D5A52">
      <w:pPr>
        <w:spacing w:line="480" w:lineRule="auto"/>
      </w:pPr>
    </w:p>
    <w:p w14:paraId="00000024" w14:textId="77777777" w:rsidR="002D5A52" w:rsidRDefault="002D5A52">
      <w:pPr>
        <w:spacing w:line="480" w:lineRule="auto"/>
      </w:pPr>
    </w:p>
    <w:p w14:paraId="00000025" w14:textId="77777777" w:rsidR="002D5A52" w:rsidRDefault="002D5A52">
      <w:pPr>
        <w:spacing w:line="480" w:lineRule="auto"/>
      </w:pPr>
    </w:p>
    <w:p w14:paraId="00000026" w14:textId="77777777" w:rsidR="002D5A52" w:rsidRDefault="002D5A52">
      <w:pPr>
        <w:spacing w:line="480" w:lineRule="auto"/>
      </w:pPr>
    </w:p>
    <w:p w14:paraId="00000027" w14:textId="77777777" w:rsidR="002D5A52" w:rsidRDefault="002D5A52">
      <w:pPr>
        <w:spacing w:line="480" w:lineRule="auto"/>
      </w:pPr>
    </w:p>
    <w:p w14:paraId="00000028" w14:textId="77777777" w:rsidR="002D5A52" w:rsidRDefault="002D5A52">
      <w:pPr>
        <w:spacing w:line="480" w:lineRule="auto"/>
      </w:pPr>
    </w:p>
    <w:p w14:paraId="00000029" w14:textId="77777777" w:rsidR="002D5A52" w:rsidRDefault="002D5A52">
      <w:pPr>
        <w:spacing w:line="480" w:lineRule="auto"/>
      </w:pPr>
    </w:p>
    <w:p w14:paraId="0000002A" w14:textId="77777777" w:rsidR="002D5A52" w:rsidRDefault="002D5A52">
      <w:pPr>
        <w:spacing w:line="480" w:lineRule="auto"/>
      </w:pPr>
    </w:p>
    <w:p w14:paraId="0000002B" w14:textId="77777777" w:rsidR="002D5A52" w:rsidRDefault="002D5A52">
      <w:pPr>
        <w:spacing w:line="480" w:lineRule="auto"/>
      </w:pPr>
    </w:p>
    <w:p w14:paraId="0000002C" w14:textId="77777777" w:rsidR="002D5A52" w:rsidRDefault="002D5A52">
      <w:pPr>
        <w:spacing w:line="480" w:lineRule="auto"/>
      </w:pPr>
    </w:p>
    <w:p w14:paraId="0000002D" w14:textId="77777777" w:rsidR="002D5A52" w:rsidRDefault="002D5A52">
      <w:pPr>
        <w:spacing w:line="480" w:lineRule="auto"/>
      </w:pPr>
    </w:p>
    <w:p w14:paraId="0000002E" w14:textId="77777777" w:rsidR="002D5A52" w:rsidRDefault="002D5A52">
      <w:pPr>
        <w:spacing w:line="480" w:lineRule="auto"/>
      </w:pPr>
    </w:p>
    <w:p w14:paraId="0000002F" w14:textId="77777777" w:rsidR="002D5A52" w:rsidRDefault="002D5A52">
      <w:pPr>
        <w:spacing w:line="480" w:lineRule="auto"/>
      </w:pPr>
    </w:p>
    <w:p w14:paraId="00000030" w14:textId="77777777" w:rsidR="002D5A52" w:rsidRDefault="002D5A52">
      <w:pPr>
        <w:spacing w:line="480" w:lineRule="auto"/>
      </w:pPr>
    </w:p>
    <w:p w14:paraId="00000031" w14:textId="77777777" w:rsidR="002D5A52" w:rsidRDefault="002D5A52">
      <w:pPr>
        <w:spacing w:line="480" w:lineRule="auto"/>
      </w:pPr>
    </w:p>
    <w:p w14:paraId="00000032" w14:textId="77777777" w:rsidR="002D5A52" w:rsidRDefault="002D5A52">
      <w:pPr>
        <w:spacing w:line="480" w:lineRule="auto"/>
      </w:pPr>
    </w:p>
    <w:p w14:paraId="00000033" w14:textId="77777777" w:rsidR="002D5A52" w:rsidRDefault="002D5A52">
      <w:pPr>
        <w:spacing w:line="480" w:lineRule="auto"/>
      </w:pPr>
    </w:p>
    <w:p w14:paraId="00000034" w14:textId="77777777" w:rsidR="002D5A52" w:rsidRDefault="002D5A52">
      <w:pPr>
        <w:spacing w:line="480" w:lineRule="auto"/>
      </w:pPr>
    </w:p>
    <w:p w14:paraId="00000035" w14:textId="77777777" w:rsidR="002D5A52" w:rsidRDefault="002D5A52">
      <w:pPr>
        <w:spacing w:line="480" w:lineRule="auto"/>
      </w:pPr>
    </w:p>
    <w:p w14:paraId="00000036" w14:textId="77777777" w:rsidR="002D5A52" w:rsidRDefault="002D5A52">
      <w:pPr>
        <w:spacing w:line="480" w:lineRule="auto"/>
      </w:pPr>
    </w:p>
    <w:p w14:paraId="00000037" w14:textId="77777777" w:rsidR="002D5A52" w:rsidRDefault="002D5A52">
      <w:pPr>
        <w:spacing w:line="480" w:lineRule="auto"/>
      </w:pPr>
    </w:p>
    <w:p w14:paraId="00000038" w14:textId="77777777" w:rsidR="002D5A52" w:rsidRDefault="002D5A52">
      <w:pPr>
        <w:spacing w:line="480" w:lineRule="auto"/>
      </w:pPr>
    </w:p>
    <w:p w14:paraId="00000039" w14:textId="77777777" w:rsidR="002D5A52" w:rsidRDefault="00016775">
      <w:pPr>
        <w:spacing w:line="480" w:lineRule="auto"/>
      </w:pPr>
      <w:r>
        <w:br w:type="page"/>
      </w:r>
    </w:p>
    <w:p w14:paraId="0000003A" w14:textId="77777777" w:rsidR="002D5A52" w:rsidRDefault="00016775">
      <w:pPr>
        <w:spacing w:line="480" w:lineRule="auto"/>
      </w:pPr>
      <w:r>
        <w:lastRenderedPageBreak/>
        <w:t>Bibliography-</w:t>
      </w:r>
    </w:p>
    <w:p w14:paraId="0000003B" w14:textId="77777777" w:rsidR="002D5A52" w:rsidRDefault="00016775">
      <w:pPr>
        <w:spacing w:line="480" w:lineRule="auto"/>
      </w:pPr>
      <w:r>
        <w:t>Ancient Works-</w:t>
      </w:r>
    </w:p>
    <w:p w14:paraId="0000003C" w14:textId="77777777" w:rsidR="002D5A52" w:rsidRDefault="00016775">
      <w:pPr>
        <w:spacing w:line="480" w:lineRule="auto"/>
      </w:pPr>
      <w:r>
        <w:t>Aristotle, Politics, Loeb trans.</w:t>
      </w:r>
    </w:p>
    <w:p w14:paraId="0000003D" w14:textId="77777777" w:rsidR="002D5A52" w:rsidRDefault="00016775">
      <w:pPr>
        <w:spacing w:line="480" w:lineRule="auto"/>
      </w:pPr>
      <w:r>
        <w:t>Herodotus, Persian War, Loeb trans.</w:t>
      </w:r>
    </w:p>
    <w:p w14:paraId="0000003E" w14:textId="77777777" w:rsidR="002D5A52" w:rsidRDefault="00016775">
      <w:pPr>
        <w:spacing w:line="480" w:lineRule="auto"/>
      </w:pPr>
      <w:r>
        <w:t xml:space="preserve">Plutarch, Lives, </w:t>
      </w:r>
      <w:proofErr w:type="spellStart"/>
      <w:r>
        <w:t>Agesialaus</w:t>
      </w:r>
      <w:proofErr w:type="spellEnd"/>
      <w:r>
        <w:t>, Loeb trans.</w:t>
      </w:r>
    </w:p>
    <w:p w14:paraId="0000003F" w14:textId="77777777" w:rsidR="002D5A52" w:rsidRDefault="00016775">
      <w:pPr>
        <w:spacing w:line="480" w:lineRule="auto"/>
      </w:pPr>
      <w:r>
        <w:t xml:space="preserve">Plutarch, Lives, </w:t>
      </w:r>
      <w:proofErr w:type="spellStart"/>
      <w:r>
        <w:t>Cleomenes</w:t>
      </w:r>
      <w:proofErr w:type="spellEnd"/>
      <w:r>
        <w:t>, Loeb trans.</w:t>
      </w:r>
    </w:p>
    <w:p w14:paraId="00000040" w14:textId="77777777" w:rsidR="002D5A52" w:rsidRDefault="00016775">
      <w:pPr>
        <w:spacing w:line="480" w:lineRule="auto"/>
      </w:pPr>
      <w:r>
        <w:t>Plutarch, Lives, Lycurgus, Loeb trans,</w:t>
      </w:r>
    </w:p>
    <w:p w14:paraId="00000041" w14:textId="77777777" w:rsidR="002D5A52" w:rsidRDefault="00016775">
      <w:pPr>
        <w:spacing w:line="480" w:lineRule="auto"/>
      </w:pPr>
      <w:r>
        <w:t xml:space="preserve">Plutarch, </w:t>
      </w:r>
      <w:proofErr w:type="spellStart"/>
      <w:r>
        <w:t>Moralia</w:t>
      </w:r>
      <w:proofErr w:type="spellEnd"/>
      <w:r>
        <w:t>, Sayings of Spartan Women, Loeb trans.</w:t>
      </w:r>
    </w:p>
    <w:p w14:paraId="00000042" w14:textId="77777777" w:rsidR="002D5A52" w:rsidRDefault="00016775">
      <w:pPr>
        <w:spacing w:line="480" w:lineRule="auto"/>
      </w:pPr>
      <w:r>
        <w:t>Modern Scholarship-</w:t>
      </w:r>
    </w:p>
    <w:p w14:paraId="00000043" w14:textId="77777777" w:rsidR="002D5A52" w:rsidRDefault="00016775">
      <w:pPr>
        <w:shd w:val="clear" w:color="auto" w:fill="FFFFFF"/>
        <w:spacing w:after="180" w:line="480" w:lineRule="auto"/>
      </w:pPr>
      <w:r>
        <w:t xml:space="preserve">Barnes, C.L.H. (2002), </w:t>
      </w:r>
      <w:r>
        <w:t>Review of “</w:t>
      </w:r>
      <w:r>
        <w:rPr>
          <w:i/>
        </w:rPr>
        <w:t>Spartan Reflections”</w:t>
      </w:r>
      <w:r>
        <w:t xml:space="preserve"> by Paul </w:t>
      </w:r>
      <w:proofErr w:type="spellStart"/>
      <w:r>
        <w:t>Carteledge</w:t>
      </w:r>
      <w:proofErr w:type="spellEnd"/>
      <w:r>
        <w:t xml:space="preserve">. </w:t>
      </w:r>
      <w:hyperlink r:id="rId6">
        <w:r>
          <w:rPr>
            <w:color w:val="1155CC"/>
            <w:u w:val="single"/>
          </w:rPr>
          <w:t>http://bmcr.brynmawr.edu/2002/2002-02-13.html</w:t>
        </w:r>
      </w:hyperlink>
      <w:r>
        <w:t xml:space="preserve"> accessed 6.12.2019</w:t>
      </w:r>
    </w:p>
    <w:p w14:paraId="00000044" w14:textId="77777777" w:rsidR="002D5A52" w:rsidRDefault="00016775">
      <w:pPr>
        <w:shd w:val="clear" w:color="auto" w:fill="FFFFFF"/>
        <w:spacing w:after="180" w:line="480" w:lineRule="auto"/>
      </w:pPr>
      <w:proofErr w:type="spellStart"/>
      <w:r>
        <w:t>Carteledge</w:t>
      </w:r>
      <w:proofErr w:type="spellEnd"/>
      <w:r>
        <w:t>, Paul. "Spartan Wives: Liberation or License."</w:t>
      </w:r>
      <w:r>
        <w:rPr>
          <w:i/>
        </w:rPr>
        <w:t xml:space="preserve"> The Classical Journal</w:t>
      </w:r>
      <w:r>
        <w:t xml:space="preserve"> 31 (1981): 84-105.</w:t>
      </w:r>
    </w:p>
    <w:p w14:paraId="00000045" w14:textId="77777777" w:rsidR="002D5A52" w:rsidRDefault="00016775">
      <w:pPr>
        <w:shd w:val="clear" w:color="auto" w:fill="FFFFFF"/>
        <w:spacing w:after="180" w:line="480" w:lineRule="auto"/>
      </w:pPr>
      <w:r>
        <w:t xml:space="preserve">Dillion, Mathew. "Where Spartan Women Who Died in Childbirth </w:t>
      </w:r>
      <w:proofErr w:type="spellStart"/>
      <w:r>
        <w:t>Honoured</w:t>
      </w:r>
      <w:proofErr w:type="spellEnd"/>
      <w:r>
        <w:t xml:space="preserve"> with Grave Inscriptions?"</w:t>
      </w:r>
      <w:r>
        <w:rPr>
          <w:i/>
        </w:rPr>
        <w:t xml:space="preserve"> Hermes</w:t>
      </w:r>
      <w:r>
        <w:t xml:space="preserve"> 135 (2007): 149-165.</w:t>
      </w:r>
    </w:p>
    <w:p w14:paraId="00000046" w14:textId="77777777" w:rsidR="002D5A52" w:rsidRDefault="00016775">
      <w:pPr>
        <w:shd w:val="clear" w:color="auto" w:fill="FFFFFF"/>
        <w:spacing w:after="180" w:line="480" w:lineRule="auto"/>
      </w:pPr>
      <w:r>
        <w:t xml:space="preserve">Hodkinson, Stephen. "Land Tenure </w:t>
      </w:r>
      <w:r>
        <w:t>and Inheritance in Classical Sparta."</w:t>
      </w:r>
      <w:r>
        <w:rPr>
          <w:i/>
        </w:rPr>
        <w:t xml:space="preserve"> The Classical Quarterly</w:t>
      </w:r>
      <w:r>
        <w:t xml:space="preserve"> 36 (1986): 378-406.</w:t>
      </w:r>
    </w:p>
    <w:p w14:paraId="00000047" w14:textId="77777777" w:rsidR="002D5A52" w:rsidRDefault="00016775">
      <w:pPr>
        <w:shd w:val="clear" w:color="auto" w:fill="FFFFFF"/>
        <w:spacing w:after="180" w:line="480" w:lineRule="auto"/>
      </w:pPr>
      <w:r>
        <w:t>Millender, Ellen G. (2001</w:t>
      </w:r>
      <w:proofErr w:type="gramStart"/>
      <w:r>
        <w:t>),  Review</w:t>
      </w:r>
      <w:proofErr w:type="gramEnd"/>
      <w:r>
        <w:t xml:space="preserve"> of “</w:t>
      </w:r>
      <w:r>
        <w:rPr>
          <w:i/>
        </w:rPr>
        <w:t xml:space="preserve">Property and Wealth in Classical Sparta” </w:t>
      </w:r>
      <w:r>
        <w:t xml:space="preserve">by Stephen Hodkinson. </w:t>
      </w:r>
      <w:hyperlink r:id="rId7">
        <w:r>
          <w:rPr>
            <w:color w:val="1155CC"/>
            <w:u w:val="single"/>
          </w:rPr>
          <w:t>http:/</w:t>
        </w:r>
        <w:r>
          <w:rPr>
            <w:color w:val="1155CC"/>
            <w:u w:val="single"/>
          </w:rPr>
          <w:t>/bmcr.brynmawr.edu/2001/2001-07-26.html</w:t>
        </w:r>
      </w:hyperlink>
      <w:r>
        <w:t xml:space="preserve"> accessed 6.12.2019</w:t>
      </w:r>
    </w:p>
    <w:p w14:paraId="00000048" w14:textId="77777777" w:rsidR="002D5A52" w:rsidRDefault="00016775">
      <w:pPr>
        <w:shd w:val="clear" w:color="auto" w:fill="FFFFFF"/>
        <w:spacing w:after="180" w:line="480" w:lineRule="auto"/>
      </w:pPr>
      <w:proofErr w:type="spellStart"/>
      <w:r>
        <w:t>Myszkowaska</w:t>
      </w:r>
      <w:proofErr w:type="spellEnd"/>
      <w:r>
        <w:t xml:space="preserve">- </w:t>
      </w:r>
      <w:proofErr w:type="spellStart"/>
      <w:r>
        <w:t>Kazuba</w:t>
      </w:r>
      <w:proofErr w:type="spellEnd"/>
      <w:r>
        <w:t xml:space="preserve">, </w:t>
      </w:r>
      <w:proofErr w:type="spellStart"/>
      <w:r>
        <w:t>Magdelena</w:t>
      </w:r>
      <w:proofErr w:type="spellEnd"/>
      <w:r>
        <w:t xml:space="preserve">. "The Only Women That Are Mothers </w:t>
      </w:r>
      <w:proofErr w:type="gramStart"/>
      <w:r>
        <w:t>Of</w:t>
      </w:r>
      <w:proofErr w:type="gramEnd"/>
      <w:r>
        <w:t xml:space="preserve"> Men: </w:t>
      </w:r>
      <w:proofErr w:type="spellStart"/>
      <w:r>
        <w:t>Plutarchs</w:t>
      </w:r>
      <w:proofErr w:type="spellEnd"/>
      <w:r>
        <w:t xml:space="preserve"> Creation of the Spartan Mother."</w:t>
      </w:r>
      <w:r>
        <w:rPr>
          <w:i/>
        </w:rPr>
        <w:t xml:space="preserve"> Graeco-Latina </w:t>
      </w:r>
      <w:proofErr w:type="spellStart"/>
      <w:r>
        <w:rPr>
          <w:i/>
        </w:rPr>
        <w:t>Brunensia</w:t>
      </w:r>
      <w:proofErr w:type="spellEnd"/>
      <w:r>
        <w:t xml:space="preserve"> 19 (2014): 77-92.</w:t>
      </w:r>
    </w:p>
    <w:p w14:paraId="00000049" w14:textId="77777777" w:rsidR="002D5A52" w:rsidRDefault="00016775">
      <w:pPr>
        <w:shd w:val="clear" w:color="auto" w:fill="FFFFFF"/>
        <w:spacing w:after="180" w:line="480" w:lineRule="auto"/>
      </w:pPr>
      <w:r>
        <w:t xml:space="preserve">Pomeroy, Sarah B. </w:t>
      </w:r>
      <w:r>
        <w:rPr>
          <w:i/>
        </w:rPr>
        <w:t>Spartan women</w:t>
      </w:r>
      <w:r>
        <w:t>. Oxford</w:t>
      </w:r>
      <w:r>
        <w:t xml:space="preserve"> [</w:t>
      </w:r>
      <w:proofErr w:type="spellStart"/>
      <w:r>
        <w:t>u.a.</w:t>
      </w:r>
      <w:proofErr w:type="spellEnd"/>
      <w:r>
        <w:t>]: Oxford Univ. Press, 2002.</w:t>
      </w:r>
    </w:p>
    <w:p w14:paraId="0000004A" w14:textId="77777777" w:rsidR="002D5A52" w:rsidRDefault="00016775">
      <w:pPr>
        <w:shd w:val="clear" w:color="auto" w:fill="FFFFFF"/>
        <w:spacing w:after="180" w:line="480" w:lineRule="auto"/>
      </w:pPr>
      <w:r>
        <w:t>Redfield, James. "The Women of Sparta."</w:t>
      </w:r>
      <w:r>
        <w:rPr>
          <w:i/>
        </w:rPr>
        <w:t xml:space="preserve"> The Classical Journal</w:t>
      </w:r>
      <w:r>
        <w:t xml:space="preserve"> 73 (1978): 146-161.</w:t>
      </w:r>
    </w:p>
    <w:p w14:paraId="0000004B" w14:textId="77777777" w:rsidR="002D5A52" w:rsidRDefault="00016775">
      <w:pPr>
        <w:shd w:val="clear" w:color="auto" w:fill="FFFFFF"/>
        <w:spacing w:after="180" w:line="480" w:lineRule="auto"/>
      </w:pPr>
      <w:r>
        <w:lastRenderedPageBreak/>
        <w:t xml:space="preserve">Scott, Andrew. G. "Plural Marriage </w:t>
      </w:r>
      <w:proofErr w:type="gramStart"/>
      <w:r>
        <w:t>And</w:t>
      </w:r>
      <w:proofErr w:type="gramEnd"/>
      <w:r>
        <w:t xml:space="preserve"> The Spartan State."</w:t>
      </w:r>
      <w:r>
        <w:rPr>
          <w:i/>
        </w:rPr>
        <w:t xml:space="preserve"> Historia: </w:t>
      </w:r>
      <w:proofErr w:type="spellStart"/>
      <w:r>
        <w:rPr>
          <w:i/>
        </w:rPr>
        <w:t>Zeitschrift</w:t>
      </w:r>
      <w:proofErr w:type="spellEnd"/>
      <w:r>
        <w:rPr>
          <w:i/>
        </w:rPr>
        <w:t xml:space="preserve"> </w:t>
      </w:r>
      <w:proofErr w:type="spellStart"/>
      <w:r>
        <w:rPr>
          <w:i/>
        </w:rPr>
        <w:t>für</w:t>
      </w:r>
      <w:proofErr w:type="spellEnd"/>
      <w:r>
        <w:rPr>
          <w:i/>
        </w:rPr>
        <w:t xml:space="preserve"> Alte </w:t>
      </w:r>
      <w:proofErr w:type="spellStart"/>
      <w:r>
        <w:rPr>
          <w:i/>
        </w:rPr>
        <w:t>Geschichte</w:t>
      </w:r>
      <w:proofErr w:type="spellEnd"/>
      <w:r>
        <w:t xml:space="preserve"> 60 </w:t>
      </w:r>
      <w:proofErr w:type="gramStart"/>
      <w:r>
        <w:t>( Jan</w:t>
      </w:r>
      <w:proofErr w:type="gramEnd"/>
      <w:r>
        <w:t xml:space="preserve"> 1, 2011): 413-424, Research L</w:t>
      </w:r>
      <w:r>
        <w:t>ibrary Prep.</w:t>
      </w:r>
    </w:p>
    <w:p w14:paraId="0000004C" w14:textId="77777777" w:rsidR="002D5A52" w:rsidRDefault="002D5A52"/>
    <w:sectPr w:rsidR="002D5A5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F2A68" w14:textId="77777777" w:rsidR="00016775" w:rsidRDefault="00016775">
      <w:pPr>
        <w:spacing w:line="240" w:lineRule="auto"/>
      </w:pPr>
      <w:r>
        <w:separator/>
      </w:r>
    </w:p>
  </w:endnote>
  <w:endnote w:type="continuationSeparator" w:id="0">
    <w:p w14:paraId="0E1CB846" w14:textId="77777777" w:rsidR="00016775" w:rsidRDefault="000167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FF863" w14:textId="77777777" w:rsidR="00016775" w:rsidRDefault="00016775">
      <w:pPr>
        <w:spacing w:line="240" w:lineRule="auto"/>
      </w:pPr>
      <w:r>
        <w:separator/>
      </w:r>
    </w:p>
  </w:footnote>
  <w:footnote w:type="continuationSeparator" w:id="0">
    <w:p w14:paraId="4B561677" w14:textId="77777777" w:rsidR="00016775" w:rsidRDefault="00016775">
      <w:pPr>
        <w:spacing w:line="240" w:lineRule="auto"/>
      </w:pPr>
      <w:r>
        <w:continuationSeparator/>
      </w:r>
    </w:p>
  </w:footnote>
  <w:footnote w:id="1">
    <w:p w14:paraId="00000065"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Myszkowaska-Kazuba</w:t>
      </w:r>
      <w:proofErr w:type="spellEnd"/>
      <w:r>
        <w:rPr>
          <w:sz w:val="20"/>
          <w:szCs w:val="20"/>
        </w:rPr>
        <w:t>, 2014, 78, Carteledge,1981,100</w:t>
      </w:r>
    </w:p>
  </w:footnote>
  <w:footnote w:id="2">
    <w:p w14:paraId="0000004D"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Carteledge</w:t>
      </w:r>
      <w:proofErr w:type="spellEnd"/>
      <w:r>
        <w:rPr>
          <w:sz w:val="20"/>
          <w:szCs w:val="20"/>
        </w:rPr>
        <w:t>, 1981, 99. Hdt.6.57.4</w:t>
      </w:r>
    </w:p>
  </w:footnote>
  <w:footnote w:id="3">
    <w:p w14:paraId="0000004E"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Carteledge</w:t>
      </w:r>
      <w:proofErr w:type="spellEnd"/>
      <w:r>
        <w:rPr>
          <w:sz w:val="20"/>
          <w:szCs w:val="20"/>
        </w:rPr>
        <w:t>, 89</w:t>
      </w:r>
    </w:p>
  </w:footnote>
  <w:footnote w:id="4">
    <w:p w14:paraId="0000004F"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Arist</w:t>
      </w:r>
      <w:proofErr w:type="spellEnd"/>
      <w:r>
        <w:rPr>
          <w:sz w:val="20"/>
          <w:szCs w:val="20"/>
        </w:rPr>
        <w:t>. Pol.1270a15-b6- check later</w:t>
      </w:r>
    </w:p>
  </w:footnote>
  <w:footnote w:id="5">
    <w:p w14:paraId="00000050" w14:textId="77777777" w:rsidR="002D5A52" w:rsidRDefault="00016775">
      <w:pPr>
        <w:spacing w:line="240" w:lineRule="auto"/>
        <w:rPr>
          <w:sz w:val="20"/>
          <w:szCs w:val="20"/>
        </w:rPr>
      </w:pPr>
      <w:r>
        <w:rPr>
          <w:vertAlign w:val="superscript"/>
        </w:rPr>
        <w:footnoteRef/>
      </w:r>
      <w:r>
        <w:rPr>
          <w:sz w:val="20"/>
          <w:szCs w:val="20"/>
        </w:rPr>
        <w:t xml:space="preserve"> Hodkinson, 1986, 395</w:t>
      </w:r>
    </w:p>
  </w:footnote>
  <w:footnote w:id="6">
    <w:p w14:paraId="00000051" w14:textId="77777777" w:rsidR="002D5A52" w:rsidRDefault="00016775">
      <w:pPr>
        <w:spacing w:line="240" w:lineRule="auto"/>
        <w:rPr>
          <w:sz w:val="20"/>
          <w:szCs w:val="20"/>
        </w:rPr>
      </w:pPr>
      <w:r>
        <w:rPr>
          <w:vertAlign w:val="superscript"/>
        </w:rPr>
        <w:footnoteRef/>
      </w:r>
      <w:r>
        <w:rPr>
          <w:sz w:val="20"/>
          <w:szCs w:val="20"/>
        </w:rPr>
        <w:t xml:space="preserve"> Hodkinson, 1986, 397</w:t>
      </w:r>
    </w:p>
  </w:footnote>
  <w:footnote w:id="7">
    <w:p w14:paraId="00000052" w14:textId="77777777" w:rsidR="002D5A52" w:rsidRDefault="00016775">
      <w:pPr>
        <w:spacing w:line="240" w:lineRule="auto"/>
        <w:rPr>
          <w:sz w:val="20"/>
          <w:szCs w:val="20"/>
        </w:rPr>
      </w:pPr>
      <w:r>
        <w:rPr>
          <w:vertAlign w:val="superscript"/>
        </w:rPr>
        <w:footnoteRef/>
      </w:r>
      <w:r>
        <w:rPr>
          <w:sz w:val="20"/>
          <w:szCs w:val="20"/>
        </w:rPr>
        <w:t xml:space="preserve"> Plutarch, Agis, 5</w:t>
      </w:r>
    </w:p>
  </w:footnote>
  <w:footnote w:id="8">
    <w:p w14:paraId="00000053"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Arist</w:t>
      </w:r>
      <w:proofErr w:type="spellEnd"/>
      <w:r>
        <w:rPr>
          <w:sz w:val="20"/>
          <w:szCs w:val="20"/>
        </w:rPr>
        <w:t>. Pol. 1270a15-b6- check later</w:t>
      </w:r>
    </w:p>
  </w:footnote>
  <w:footnote w:id="9">
    <w:p w14:paraId="00000054" w14:textId="77777777" w:rsidR="002D5A52" w:rsidRDefault="00016775">
      <w:pPr>
        <w:spacing w:line="240" w:lineRule="auto"/>
        <w:rPr>
          <w:sz w:val="20"/>
          <w:szCs w:val="20"/>
        </w:rPr>
      </w:pPr>
      <w:r>
        <w:rPr>
          <w:vertAlign w:val="superscript"/>
        </w:rPr>
        <w:footnoteRef/>
      </w:r>
      <w:r>
        <w:rPr>
          <w:sz w:val="20"/>
          <w:szCs w:val="20"/>
        </w:rPr>
        <w:t xml:space="preserve"> Hodkinson, 1986, 383</w:t>
      </w:r>
    </w:p>
  </w:footnote>
  <w:footnote w:id="10">
    <w:p w14:paraId="00000055" w14:textId="77777777" w:rsidR="002D5A52" w:rsidRDefault="00016775">
      <w:pPr>
        <w:spacing w:line="240" w:lineRule="auto"/>
        <w:rPr>
          <w:sz w:val="20"/>
          <w:szCs w:val="20"/>
        </w:rPr>
      </w:pPr>
      <w:r>
        <w:rPr>
          <w:vertAlign w:val="superscript"/>
        </w:rPr>
        <w:footnoteRef/>
      </w:r>
      <w:r>
        <w:rPr>
          <w:sz w:val="20"/>
          <w:szCs w:val="20"/>
        </w:rPr>
        <w:t xml:space="preserve"> Hodkinson, 1986, 387</w:t>
      </w:r>
    </w:p>
  </w:footnote>
  <w:footnote w:id="11">
    <w:p w14:paraId="00000056" w14:textId="77777777" w:rsidR="002D5A52" w:rsidRDefault="00016775">
      <w:pPr>
        <w:spacing w:line="240" w:lineRule="auto"/>
        <w:rPr>
          <w:sz w:val="20"/>
          <w:szCs w:val="20"/>
        </w:rPr>
      </w:pPr>
      <w:r>
        <w:rPr>
          <w:vertAlign w:val="superscript"/>
        </w:rPr>
        <w:footnoteRef/>
      </w:r>
      <w:r>
        <w:rPr>
          <w:sz w:val="20"/>
          <w:szCs w:val="20"/>
        </w:rPr>
        <w:t xml:space="preserve"> Hodkinson, 1986, 395</w:t>
      </w:r>
    </w:p>
  </w:footnote>
  <w:footnote w:id="12">
    <w:p w14:paraId="00000057" w14:textId="77777777" w:rsidR="002D5A52" w:rsidRDefault="00016775">
      <w:pPr>
        <w:spacing w:line="240" w:lineRule="auto"/>
        <w:rPr>
          <w:sz w:val="20"/>
          <w:szCs w:val="20"/>
        </w:rPr>
      </w:pPr>
      <w:r>
        <w:rPr>
          <w:vertAlign w:val="superscript"/>
        </w:rPr>
        <w:footnoteRef/>
      </w:r>
      <w:r>
        <w:rPr>
          <w:sz w:val="20"/>
          <w:szCs w:val="20"/>
        </w:rPr>
        <w:t xml:space="preserve"> Herodotus, 5,51</w:t>
      </w:r>
    </w:p>
  </w:footnote>
  <w:footnote w:id="13">
    <w:p w14:paraId="00000058" w14:textId="77777777" w:rsidR="002D5A52" w:rsidRDefault="00016775">
      <w:pPr>
        <w:spacing w:line="240" w:lineRule="auto"/>
        <w:rPr>
          <w:sz w:val="20"/>
          <w:szCs w:val="20"/>
        </w:rPr>
      </w:pPr>
      <w:r>
        <w:rPr>
          <w:vertAlign w:val="superscript"/>
        </w:rPr>
        <w:footnoteRef/>
      </w:r>
      <w:r>
        <w:rPr>
          <w:sz w:val="20"/>
          <w:szCs w:val="20"/>
        </w:rPr>
        <w:t xml:space="preserve"> Herodotus, 5,51</w:t>
      </w:r>
    </w:p>
  </w:footnote>
  <w:footnote w:id="14">
    <w:p w14:paraId="00000059" w14:textId="77777777" w:rsidR="002D5A52" w:rsidRDefault="00016775">
      <w:pPr>
        <w:spacing w:line="240" w:lineRule="auto"/>
        <w:rPr>
          <w:sz w:val="20"/>
          <w:szCs w:val="20"/>
        </w:rPr>
      </w:pPr>
      <w:r>
        <w:rPr>
          <w:vertAlign w:val="superscript"/>
        </w:rPr>
        <w:footnoteRef/>
      </w:r>
      <w:r>
        <w:rPr>
          <w:sz w:val="20"/>
          <w:szCs w:val="20"/>
        </w:rPr>
        <w:t xml:space="preserve"> Plutarch, Mor., 240 D1</w:t>
      </w:r>
    </w:p>
  </w:footnote>
  <w:footnote w:id="15">
    <w:p w14:paraId="0000005B" w14:textId="77777777" w:rsidR="002D5A52" w:rsidRDefault="00016775">
      <w:pPr>
        <w:spacing w:line="240" w:lineRule="auto"/>
        <w:rPr>
          <w:sz w:val="20"/>
          <w:szCs w:val="20"/>
        </w:rPr>
      </w:pPr>
      <w:r>
        <w:rPr>
          <w:vertAlign w:val="superscript"/>
        </w:rPr>
        <w:footnoteRef/>
      </w:r>
      <w:r>
        <w:rPr>
          <w:sz w:val="20"/>
          <w:szCs w:val="20"/>
        </w:rPr>
        <w:t xml:space="preserve"> Herodotus, 7,239</w:t>
      </w:r>
    </w:p>
  </w:footnote>
  <w:footnote w:id="16">
    <w:p w14:paraId="0000005A" w14:textId="77777777" w:rsidR="002D5A52" w:rsidRDefault="00016775">
      <w:pPr>
        <w:spacing w:line="240" w:lineRule="auto"/>
        <w:rPr>
          <w:sz w:val="20"/>
          <w:szCs w:val="20"/>
        </w:rPr>
      </w:pPr>
      <w:r>
        <w:rPr>
          <w:vertAlign w:val="superscript"/>
        </w:rPr>
        <w:footnoteRef/>
      </w:r>
      <w:r>
        <w:rPr>
          <w:sz w:val="20"/>
          <w:szCs w:val="20"/>
        </w:rPr>
        <w:t xml:space="preserve"> Herodotus, 7,239</w:t>
      </w:r>
    </w:p>
  </w:footnote>
  <w:footnote w:id="17">
    <w:p w14:paraId="0000005C" w14:textId="77777777" w:rsidR="002D5A52" w:rsidRDefault="00016775">
      <w:pPr>
        <w:spacing w:line="240" w:lineRule="auto"/>
        <w:rPr>
          <w:sz w:val="20"/>
          <w:szCs w:val="20"/>
        </w:rPr>
      </w:pPr>
      <w:r>
        <w:rPr>
          <w:vertAlign w:val="superscript"/>
        </w:rPr>
        <w:footnoteRef/>
      </w:r>
      <w:r>
        <w:rPr>
          <w:sz w:val="20"/>
          <w:szCs w:val="20"/>
        </w:rPr>
        <w:t xml:space="preserve"> Pomeroy, 2002, 146</w:t>
      </w:r>
    </w:p>
  </w:footnote>
  <w:footnote w:id="18">
    <w:p w14:paraId="0000005D" w14:textId="77777777" w:rsidR="002D5A52" w:rsidRDefault="00016775">
      <w:pPr>
        <w:spacing w:line="240" w:lineRule="auto"/>
        <w:rPr>
          <w:sz w:val="20"/>
          <w:szCs w:val="20"/>
        </w:rPr>
      </w:pPr>
      <w:r>
        <w:rPr>
          <w:vertAlign w:val="superscript"/>
        </w:rPr>
        <w:footnoteRef/>
      </w:r>
      <w:r>
        <w:rPr>
          <w:sz w:val="20"/>
          <w:szCs w:val="20"/>
        </w:rPr>
        <w:t xml:space="preserve"> </w:t>
      </w:r>
      <w:proofErr w:type="spellStart"/>
      <w:proofErr w:type="gramStart"/>
      <w:r>
        <w:rPr>
          <w:sz w:val="20"/>
          <w:szCs w:val="20"/>
        </w:rPr>
        <w:t>Plutarch,Mor</w:t>
      </w:r>
      <w:proofErr w:type="spellEnd"/>
      <w:r>
        <w:rPr>
          <w:sz w:val="20"/>
          <w:szCs w:val="20"/>
        </w:rPr>
        <w:t>.</w:t>
      </w:r>
      <w:proofErr w:type="gramEnd"/>
      <w:r>
        <w:rPr>
          <w:sz w:val="20"/>
          <w:szCs w:val="20"/>
        </w:rPr>
        <w:t>, 240 E5</w:t>
      </w:r>
    </w:p>
  </w:footnote>
  <w:footnote w:id="19">
    <w:p w14:paraId="0000005E" w14:textId="77777777" w:rsidR="002D5A52" w:rsidRDefault="00016775">
      <w:pPr>
        <w:spacing w:line="240" w:lineRule="auto"/>
        <w:rPr>
          <w:sz w:val="20"/>
          <w:szCs w:val="20"/>
        </w:rPr>
      </w:pPr>
      <w:r>
        <w:rPr>
          <w:vertAlign w:val="superscript"/>
        </w:rPr>
        <w:footnoteRef/>
      </w:r>
      <w:r>
        <w:rPr>
          <w:sz w:val="20"/>
          <w:szCs w:val="20"/>
        </w:rPr>
        <w:t xml:space="preserve"> </w:t>
      </w:r>
      <w:proofErr w:type="spellStart"/>
      <w:proofErr w:type="gramStart"/>
      <w:r>
        <w:rPr>
          <w:sz w:val="20"/>
          <w:szCs w:val="20"/>
        </w:rPr>
        <w:t>Plutarch,Mor</w:t>
      </w:r>
      <w:proofErr w:type="spellEnd"/>
      <w:r>
        <w:rPr>
          <w:sz w:val="20"/>
          <w:szCs w:val="20"/>
        </w:rPr>
        <w:t>.</w:t>
      </w:r>
      <w:proofErr w:type="gramEnd"/>
      <w:r>
        <w:rPr>
          <w:sz w:val="20"/>
          <w:szCs w:val="20"/>
        </w:rPr>
        <w:t>, 240 E5</w:t>
      </w:r>
    </w:p>
  </w:footnote>
  <w:footnote w:id="20">
    <w:p w14:paraId="0000005F"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Myszkowaska-Kazuba</w:t>
      </w:r>
      <w:proofErr w:type="spellEnd"/>
      <w:r>
        <w:rPr>
          <w:sz w:val="20"/>
          <w:szCs w:val="20"/>
        </w:rPr>
        <w:t>, 2014, 80</w:t>
      </w:r>
    </w:p>
  </w:footnote>
  <w:footnote w:id="21">
    <w:p w14:paraId="00000060" w14:textId="77777777" w:rsidR="002D5A52" w:rsidRDefault="00016775">
      <w:pPr>
        <w:spacing w:line="240" w:lineRule="auto"/>
        <w:rPr>
          <w:sz w:val="20"/>
          <w:szCs w:val="20"/>
        </w:rPr>
      </w:pPr>
      <w:r>
        <w:rPr>
          <w:vertAlign w:val="superscript"/>
        </w:rPr>
        <w:footnoteRef/>
      </w:r>
      <w:r>
        <w:rPr>
          <w:sz w:val="20"/>
          <w:szCs w:val="20"/>
        </w:rPr>
        <w:t>Plutarch, Mor., 240 E6</w:t>
      </w:r>
    </w:p>
  </w:footnote>
  <w:footnote w:id="22">
    <w:p w14:paraId="00000061" w14:textId="77777777" w:rsidR="002D5A52" w:rsidRDefault="00016775">
      <w:pPr>
        <w:spacing w:line="240" w:lineRule="auto"/>
        <w:rPr>
          <w:sz w:val="20"/>
          <w:szCs w:val="20"/>
        </w:rPr>
      </w:pPr>
      <w:r>
        <w:rPr>
          <w:vertAlign w:val="superscript"/>
        </w:rPr>
        <w:footnoteRef/>
      </w:r>
      <w:r>
        <w:rPr>
          <w:sz w:val="20"/>
          <w:szCs w:val="20"/>
        </w:rPr>
        <w:t xml:space="preserve">Plutarch, Mor., 240 E6 </w:t>
      </w:r>
    </w:p>
  </w:footnote>
  <w:footnote w:id="23">
    <w:p w14:paraId="00000062" w14:textId="77777777" w:rsidR="002D5A52" w:rsidRDefault="00016775">
      <w:pPr>
        <w:spacing w:line="240" w:lineRule="auto"/>
        <w:rPr>
          <w:sz w:val="20"/>
          <w:szCs w:val="20"/>
        </w:rPr>
      </w:pPr>
      <w:r>
        <w:rPr>
          <w:vertAlign w:val="superscript"/>
        </w:rPr>
        <w:footnoteRef/>
      </w:r>
      <w:proofErr w:type="spellStart"/>
      <w:r>
        <w:rPr>
          <w:sz w:val="20"/>
          <w:szCs w:val="20"/>
        </w:rPr>
        <w:t>Myszkowaska-Kazuba</w:t>
      </w:r>
      <w:proofErr w:type="spellEnd"/>
      <w:r>
        <w:rPr>
          <w:sz w:val="20"/>
          <w:szCs w:val="20"/>
        </w:rPr>
        <w:t>, 2014, 78</w:t>
      </w:r>
    </w:p>
  </w:footnote>
  <w:footnote w:id="24">
    <w:p w14:paraId="00000063" w14:textId="77777777" w:rsidR="002D5A52" w:rsidRDefault="00016775">
      <w:pPr>
        <w:spacing w:line="240" w:lineRule="auto"/>
        <w:rPr>
          <w:sz w:val="20"/>
          <w:szCs w:val="20"/>
        </w:rPr>
      </w:pPr>
      <w:r>
        <w:rPr>
          <w:vertAlign w:val="superscript"/>
        </w:rPr>
        <w:footnoteRef/>
      </w:r>
      <w:proofErr w:type="spellStart"/>
      <w:r>
        <w:rPr>
          <w:sz w:val="20"/>
          <w:szCs w:val="20"/>
        </w:rPr>
        <w:t>Myszkowaska-Kazuba</w:t>
      </w:r>
      <w:proofErr w:type="spellEnd"/>
      <w:r>
        <w:rPr>
          <w:sz w:val="20"/>
          <w:szCs w:val="20"/>
        </w:rPr>
        <w:t>, 2014, 78</w:t>
      </w:r>
    </w:p>
    <w:p w14:paraId="00000064" w14:textId="77777777" w:rsidR="002D5A52" w:rsidRDefault="002D5A52">
      <w:pPr>
        <w:spacing w:line="240" w:lineRule="auto"/>
        <w:rPr>
          <w:sz w:val="20"/>
          <w:szCs w:val="20"/>
        </w:rPr>
      </w:pPr>
    </w:p>
  </w:footnote>
  <w:footnote w:id="25">
    <w:p w14:paraId="00000066"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Myskowaska-Kazuba</w:t>
      </w:r>
      <w:proofErr w:type="spellEnd"/>
      <w:r>
        <w:rPr>
          <w:sz w:val="20"/>
          <w:szCs w:val="20"/>
        </w:rPr>
        <w:t>, 2014, 78</w:t>
      </w:r>
    </w:p>
  </w:footnote>
  <w:footnote w:id="26">
    <w:p w14:paraId="00000067" w14:textId="77777777" w:rsidR="002D5A52" w:rsidRDefault="00016775">
      <w:pPr>
        <w:spacing w:line="240" w:lineRule="auto"/>
        <w:rPr>
          <w:sz w:val="20"/>
          <w:szCs w:val="20"/>
        </w:rPr>
      </w:pPr>
      <w:r>
        <w:rPr>
          <w:vertAlign w:val="superscript"/>
        </w:rPr>
        <w:footnoteRef/>
      </w:r>
      <w:r>
        <w:rPr>
          <w:sz w:val="20"/>
          <w:szCs w:val="20"/>
        </w:rPr>
        <w:t xml:space="preserve"> Plutarch, Mor., 241 C 7</w:t>
      </w:r>
    </w:p>
  </w:footnote>
  <w:footnote w:id="27">
    <w:p w14:paraId="00000068" w14:textId="77777777" w:rsidR="002D5A52" w:rsidRDefault="00016775">
      <w:pPr>
        <w:spacing w:line="240" w:lineRule="auto"/>
        <w:rPr>
          <w:sz w:val="20"/>
          <w:szCs w:val="20"/>
        </w:rPr>
      </w:pPr>
      <w:r>
        <w:rPr>
          <w:vertAlign w:val="superscript"/>
        </w:rPr>
        <w:footnoteRef/>
      </w:r>
      <w:r>
        <w:rPr>
          <w:sz w:val="20"/>
          <w:szCs w:val="20"/>
        </w:rPr>
        <w:t xml:space="preserve"> Plutar</w:t>
      </w:r>
      <w:r>
        <w:rPr>
          <w:sz w:val="20"/>
          <w:szCs w:val="20"/>
        </w:rPr>
        <w:t>ch, Mor., 242 A 21</w:t>
      </w:r>
    </w:p>
  </w:footnote>
  <w:footnote w:id="28">
    <w:p w14:paraId="00000069" w14:textId="77777777" w:rsidR="002D5A52" w:rsidRDefault="00016775">
      <w:pPr>
        <w:spacing w:line="240" w:lineRule="auto"/>
        <w:rPr>
          <w:sz w:val="20"/>
          <w:szCs w:val="20"/>
        </w:rPr>
      </w:pPr>
      <w:r>
        <w:rPr>
          <w:vertAlign w:val="superscript"/>
        </w:rPr>
        <w:footnoteRef/>
      </w:r>
      <w:r>
        <w:rPr>
          <w:sz w:val="20"/>
          <w:szCs w:val="20"/>
        </w:rPr>
        <w:t xml:space="preserve"> Dillion, 2007,149</w:t>
      </w:r>
    </w:p>
  </w:footnote>
  <w:footnote w:id="29">
    <w:p w14:paraId="0000006A"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Myskowaska-Kazuba</w:t>
      </w:r>
      <w:proofErr w:type="spellEnd"/>
      <w:r>
        <w:rPr>
          <w:sz w:val="20"/>
          <w:szCs w:val="20"/>
        </w:rPr>
        <w:t>, 2014, 88</w:t>
      </w:r>
    </w:p>
  </w:footnote>
  <w:footnote w:id="30">
    <w:p w14:paraId="0000006B" w14:textId="77777777" w:rsidR="002D5A52" w:rsidRDefault="00016775">
      <w:pPr>
        <w:spacing w:line="240" w:lineRule="auto"/>
        <w:rPr>
          <w:sz w:val="20"/>
          <w:szCs w:val="20"/>
        </w:rPr>
      </w:pPr>
      <w:r>
        <w:rPr>
          <w:vertAlign w:val="superscript"/>
        </w:rPr>
        <w:footnoteRef/>
      </w:r>
      <w:r>
        <w:rPr>
          <w:sz w:val="20"/>
          <w:szCs w:val="20"/>
        </w:rPr>
        <w:t xml:space="preserve"> Plutarch, </w:t>
      </w:r>
      <w:proofErr w:type="spellStart"/>
      <w:r>
        <w:rPr>
          <w:sz w:val="20"/>
          <w:szCs w:val="20"/>
        </w:rPr>
        <w:t>Cleom</w:t>
      </w:r>
      <w:proofErr w:type="spellEnd"/>
      <w:r>
        <w:rPr>
          <w:sz w:val="20"/>
          <w:szCs w:val="20"/>
        </w:rPr>
        <w:t>. 38.1</w:t>
      </w:r>
    </w:p>
  </w:footnote>
  <w:footnote w:id="31">
    <w:p w14:paraId="0000006C" w14:textId="77777777" w:rsidR="002D5A52" w:rsidRDefault="00016775">
      <w:pPr>
        <w:spacing w:line="240" w:lineRule="auto"/>
        <w:rPr>
          <w:sz w:val="20"/>
          <w:szCs w:val="20"/>
        </w:rPr>
      </w:pPr>
      <w:r>
        <w:rPr>
          <w:vertAlign w:val="superscript"/>
        </w:rPr>
        <w:footnoteRef/>
      </w:r>
      <w:r>
        <w:rPr>
          <w:sz w:val="20"/>
          <w:szCs w:val="20"/>
        </w:rPr>
        <w:t xml:space="preserve"> Plutarch, </w:t>
      </w:r>
      <w:proofErr w:type="spellStart"/>
      <w:r>
        <w:rPr>
          <w:sz w:val="20"/>
          <w:szCs w:val="20"/>
        </w:rPr>
        <w:t>Cleom</w:t>
      </w:r>
      <w:proofErr w:type="spellEnd"/>
      <w:r>
        <w:rPr>
          <w:sz w:val="20"/>
          <w:szCs w:val="20"/>
        </w:rPr>
        <w:t>, 38.1</w:t>
      </w:r>
    </w:p>
  </w:footnote>
  <w:footnote w:id="32">
    <w:p w14:paraId="0000006D" w14:textId="77777777" w:rsidR="002D5A52" w:rsidRDefault="00016775">
      <w:pPr>
        <w:spacing w:line="240" w:lineRule="auto"/>
        <w:rPr>
          <w:sz w:val="20"/>
          <w:szCs w:val="20"/>
        </w:rPr>
      </w:pPr>
      <w:r>
        <w:rPr>
          <w:vertAlign w:val="superscript"/>
        </w:rPr>
        <w:footnoteRef/>
      </w:r>
      <w:r>
        <w:rPr>
          <w:sz w:val="20"/>
          <w:szCs w:val="20"/>
        </w:rPr>
        <w:t xml:space="preserve"> Plutarch, </w:t>
      </w:r>
      <w:proofErr w:type="spellStart"/>
      <w:r>
        <w:rPr>
          <w:sz w:val="20"/>
          <w:szCs w:val="20"/>
        </w:rPr>
        <w:t>Cleom</w:t>
      </w:r>
      <w:proofErr w:type="spellEnd"/>
      <w:r>
        <w:rPr>
          <w:sz w:val="20"/>
          <w:szCs w:val="20"/>
        </w:rPr>
        <w:t>, 38.1</w:t>
      </w:r>
    </w:p>
  </w:footnote>
  <w:footnote w:id="33">
    <w:p w14:paraId="0000006E" w14:textId="77777777" w:rsidR="002D5A52" w:rsidRDefault="00016775">
      <w:pPr>
        <w:spacing w:line="240" w:lineRule="auto"/>
        <w:rPr>
          <w:sz w:val="20"/>
          <w:szCs w:val="20"/>
        </w:rPr>
      </w:pPr>
      <w:r>
        <w:rPr>
          <w:vertAlign w:val="superscript"/>
        </w:rPr>
        <w:footnoteRef/>
      </w:r>
      <w:r>
        <w:rPr>
          <w:sz w:val="20"/>
          <w:szCs w:val="20"/>
        </w:rPr>
        <w:t xml:space="preserve"> Dillion, 2007, 151</w:t>
      </w:r>
    </w:p>
  </w:footnote>
  <w:footnote w:id="34">
    <w:p w14:paraId="0000006F"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Myskowaska-Kazuba</w:t>
      </w:r>
      <w:proofErr w:type="spellEnd"/>
      <w:r>
        <w:rPr>
          <w:sz w:val="20"/>
          <w:szCs w:val="20"/>
        </w:rPr>
        <w:t>, 2014, 84</w:t>
      </w:r>
    </w:p>
  </w:footnote>
  <w:footnote w:id="35">
    <w:p w14:paraId="00000070" w14:textId="77777777" w:rsidR="002D5A52" w:rsidRDefault="00016775">
      <w:pPr>
        <w:spacing w:line="240" w:lineRule="auto"/>
        <w:rPr>
          <w:sz w:val="20"/>
          <w:szCs w:val="20"/>
        </w:rPr>
      </w:pPr>
      <w:r>
        <w:rPr>
          <w:vertAlign w:val="superscript"/>
        </w:rPr>
        <w:footnoteRef/>
      </w:r>
      <w:r>
        <w:rPr>
          <w:sz w:val="20"/>
          <w:szCs w:val="20"/>
        </w:rPr>
        <w:t xml:space="preserve"> </w:t>
      </w:r>
      <w:proofErr w:type="spellStart"/>
      <w:r>
        <w:rPr>
          <w:sz w:val="20"/>
          <w:szCs w:val="20"/>
        </w:rPr>
        <w:t>Myskowaska-Kazuba</w:t>
      </w:r>
      <w:proofErr w:type="spellEnd"/>
      <w:r>
        <w:rPr>
          <w:sz w:val="20"/>
          <w:szCs w:val="20"/>
        </w:rPr>
        <w:t>, 2014, 84</w:t>
      </w:r>
    </w:p>
  </w:footnote>
  <w:footnote w:id="36">
    <w:p w14:paraId="00000071" w14:textId="77777777" w:rsidR="002D5A52" w:rsidRDefault="00016775">
      <w:pPr>
        <w:spacing w:line="240" w:lineRule="auto"/>
        <w:rPr>
          <w:sz w:val="20"/>
          <w:szCs w:val="20"/>
        </w:rPr>
      </w:pPr>
      <w:r>
        <w:rPr>
          <w:vertAlign w:val="superscript"/>
        </w:rPr>
        <w:footnoteRef/>
      </w:r>
      <w:r>
        <w:rPr>
          <w:sz w:val="20"/>
          <w:szCs w:val="20"/>
        </w:rPr>
        <w:t xml:space="preserve"> Pomeroy, 2002, 153</w:t>
      </w:r>
    </w:p>
  </w:footnote>
  <w:footnote w:id="37">
    <w:p w14:paraId="00000072" w14:textId="77777777" w:rsidR="002D5A52" w:rsidRDefault="00016775">
      <w:pPr>
        <w:spacing w:line="240" w:lineRule="auto"/>
        <w:rPr>
          <w:sz w:val="20"/>
          <w:szCs w:val="20"/>
        </w:rPr>
      </w:pPr>
      <w:r>
        <w:rPr>
          <w:vertAlign w:val="superscript"/>
        </w:rPr>
        <w:footnoteRef/>
      </w:r>
      <w:r>
        <w:rPr>
          <w:sz w:val="20"/>
          <w:szCs w:val="20"/>
        </w:rPr>
        <w:t xml:space="preserve"> Pomeroy, 2002,155</w:t>
      </w:r>
    </w:p>
  </w:footnote>
  <w:footnote w:id="38">
    <w:p w14:paraId="00000073" w14:textId="77777777" w:rsidR="002D5A52" w:rsidRDefault="00016775">
      <w:pPr>
        <w:spacing w:line="240" w:lineRule="auto"/>
        <w:rPr>
          <w:sz w:val="20"/>
          <w:szCs w:val="20"/>
        </w:rPr>
      </w:pPr>
      <w:r>
        <w:rPr>
          <w:vertAlign w:val="superscript"/>
        </w:rPr>
        <w:footnoteRef/>
      </w:r>
      <w:r>
        <w:rPr>
          <w:sz w:val="20"/>
          <w:szCs w:val="20"/>
        </w:rPr>
        <w:t xml:space="preserve"> Pomeroy, 2002, 151-3</w:t>
      </w:r>
    </w:p>
  </w:footnote>
  <w:footnote w:id="39">
    <w:p w14:paraId="00000074" w14:textId="77777777" w:rsidR="002D5A52" w:rsidRDefault="00016775">
      <w:pPr>
        <w:spacing w:line="240" w:lineRule="auto"/>
        <w:rPr>
          <w:sz w:val="20"/>
          <w:szCs w:val="20"/>
        </w:rPr>
      </w:pPr>
      <w:r>
        <w:rPr>
          <w:vertAlign w:val="superscript"/>
        </w:rPr>
        <w:footnoteRef/>
      </w:r>
      <w:r>
        <w:rPr>
          <w:sz w:val="20"/>
          <w:szCs w:val="20"/>
        </w:rPr>
        <w:t xml:space="preserve"> Pomeroy, 2002, 153</w:t>
      </w:r>
    </w:p>
  </w:footnote>
  <w:footnote w:id="40">
    <w:p w14:paraId="00000075" w14:textId="77777777" w:rsidR="002D5A52" w:rsidRDefault="00016775">
      <w:pPr>
        <w:spacing w:line="240" w:lineRule="auto"/>
        <w:rPr>
          <w:sz w:val="20"/>
          <w:szCs w:val="20"/>
        </w:rPr>
      </w:pPr>
      <w:r>
        <w:rPr>
          <w:vertAlign w:val="superscript"/>
        </w:rPr>
        <w:footnoteRef/>
      </w:r>
      <w:r>
        <w:rPr>
          <w:sz w:val="20"/>
          <w:szCs w:val="20"/>
        </w:rPr>
        <w:t xml:space="preserve"> Pomeroy, 2002, 148-9</w:t>
      </w:r>
    </w:p>
  </w:footnote>
  <w:footnote w:id="41">
    <w:p w14:paraId="00000076" w14:textId="77777777" w:rsidR="002D5A52" w:rsidRDefault="00016775">
      <w:pPr>
        <w:spacing w:line="240" w:lineRule="auto"/>
        <w:rPr>
          <w:sz w:val="20"/>
          <w:szCs w:val="20"/>
        </w:rPr>
      </w:pPr>
      <w:r>
        <w:rPr>
          <w:vertAlign w:val="superscript"/>
        </w:rPr>
        <w:footnoteRef/>
      </w:r>
      <w:r>
        <w:rPr>
          <w:sz w:val="20"/>
          <w:szCs w:val="20"/>
        </w:rPr>
        <w:t xml:space="preserve"> Pomeroy, 2002, 146</w:t>
      </w:r>
    </w:p>
  </w:footnote>
  <w:footnote w:id="42">
    <w:p w14:paraId="00000077" w14:textId="77777777" w:rsidR="002D5A52" w:rsidRDefault="00016775">
      <w:pPr>
        <w:spacing w:line="240" w:lineRule="auto"/>
        <w:rPr>
          <w:sz w:val="20"/>
          <w:szCs w:val="20"/>
        </w:rPr>
      </w:pPr>
      <w:r>
        <w:rPr>
          <w:vertAlign w:val="superscript"/>
        </w:rPr>
        <w:footnoteRef/>
      </w:r>
      <w:r>
        <w:rPr>
          <w:sz w:val="20"/>
          <w:szCs w:val="20"/>
        </w:rPr>
        <w:t xml:space="preserve"> Pomeroy, 2002,146</w:t>
      </w:r>
    </w:p>
  </w:footnote>
  <w:footnote w:id="43">
    <w:p w14:paraId="00000078" w14:textId="77777777" w:rsidR="002D5A52" w:rsidRDefault="00016775">
      <w:pPr>
        <w:spacing w:line="240" w:lineRule="auto"/>
        <w:rPr>
          <w:sz w:val="20"/>
          <w:szCs w:val="20"/>
        </w:rPr>
      </w:pPr>
      <w:r>
        <w:rPr>
          <w:vertAlign w:val="superscript"/>
        </w:rPr>
        <w:footnoteRef/>
      </w:r>
      <w:r>
        <w:rPr>
          <w:sz w:val="20"/>
          <w:szCs w:val="20"/>
        </w:rPr>
        <w:t xml:space="preserve"> Herodotus, 7,239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A52"/>
    <w:rsid w:val="00016775"/>
    <w:rsid w:val="002D5A52"/>
    <w:rsid w:val="003E3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AA5A1B"/>
  <w15:docId w15:val="{BD8C1CAC-15BF-0246-AAC2-6A18175E2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bmcr.brynmawr.edu/2001/2001-07-26.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mcr.brynmawr.edu/2002/2002-02-13.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2290</Words>
  <Characters>13053</Characters>
  <Application>Microsoft Office Word</Application>
  <DocSecurity>0</DocSecurity>
  <Lines>108</Lines>
  <Paragraphs>30</Paragraphs>
  <ScaleCrop>false</ScaleCrop>
  <Company/>
  <LinksUpToDate>false</LinksUpToDate>
  <CharactersWithSpaces>15313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Sofia Corsi</cp:lastModifiedBy>
  <cp:revision>2</cp:revision>
  <dcterms:created xsi:type="dcterms:W3CDTF">2019-12-06T15:41:00Z</dcterms:created>
  <dcterms:modified xsi:type="dcterms:W3CDTF">2019-12-06T15:43:00Z</dcterms:modified>
</cp:coreProperties>
</file>