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4D50" w:rsidRDefault="00234D50" w:rsidP="00234D50">
      <w:pPr>
        <w:pStyle w:val="NormalWeb"/>
        <w:spacing w:before="0" w:beforeAutospacing="0" w:after="0" w:afterAutospacing="0"/>
        <w:ind w:left="-180" w:right="-334"/>
      </w:pPr>
      <w:r>
        <w:rPr>
          <w:noProof/>
        </w:rPr>
        <w:drawing>
          <wp:inline distT="0" distB="0" distL="0" distR="0">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234D50" w:rsidRDefault="00234D50" w:rsidP="00234D50">
      <w:pPr>
        <w:pStyle w:val="NormalWeb"/>
        <w:spacing w:before="0" w:beforeAutospacing="0" w:after="0" w:afterAutospacing="0"/>
        <w:ind w:left="-180" w:right="-334"/>
      </w:pPr>
    </w:p>
    <w:p w:rsidR="00234D50" w:rsidRDefault="00234D50" w:rsidP="00234D50">
      <w:pPr>
        <w:pStyle w:val="NormalWeb"/>
        <w:spacing w:before="0" w:beforeAutospacing="0" w:after="0" w:afterAutospacing="0"/>
        <w:ind w:left="-180" w:right="-334"/>
      </w:pPr>
    </w:p>
    <w:p w:rsidR="00234D50" w:rsidRDefault="00234D50" w:rsidP="00234D50">
      <w:pPr>
        <w:pStyle w:val="NormalWeb"/>
        <w:spacing w:before="0" w:beforeAutospacing="0" w:after="0" w:afterAutospacing="0"/>
        <w:ind w:left="-180" w:right="-334"/>
        <w:jc w:val="center"/>
        <w:rPr>
          <w:rFonts w:ascii="Arial" w:hAnsi="Arial" w:cs="Arial"/>
          <w:b/>
          <w:sz w:val="28"/>
          <w:szCs w:val="28"/>
          <w:lang w:val="cy-GB"/>
        </w:rPr>
      </w:pPr>
      <w:proofErr w:type="spellStart"/>
      <w:r w:rsidRPr="00230F35">
        <w:rPr>
          <w:rFonts w:ascii="Arial" w:hAnsi="Arial" w:cs="Arial"/>
          <w:b/>
          <w:sz w:val="28"/>
          <w:szCs w:val="28"/>
          <w:lang w:val="cy-GB"/>
        </w:rPr>
        <w:t>Postgraduate</w:t>
      </w:r>
      <w:proofErr w:type="spellEnd"/>
      <w:r>
        <w:rPr>
          <w:rFonts w:ascii="Arial" w:hAnsi="Arial" w:cs="Arial"/>
          <w:b/>
          <w:sz w:val="28"/>
          <w:szCs w:val="28"/>
          <w:lang w:val="cy-GB"/>
        </w:rPr>
        <w:t>/</w:t>
      </w:r>
      <w:proofErr w:type="spellStart"/>
      <w:r>
        <w:rPr>
          <w:rFonts w:ascii="Arial" w:hAnsi="Arial" w:cs="Arial"/>
          <w:b/>
          <w:sz w:val="28"/>
          <w:szCs w:val="28"/>
          <w:lang w:val="cy-GB"/>
        </w:rPr>
        <w:t>Distance</w:t>
      </w:r>
      <w:proofErr w:type="spellEnd"/>
      <w:r>
        <w:rPr>
          <w:rFonts w:ascii="Arial" w:hAnsi="Arial" w:cs="Arial"/>
          <w:b/>
          <w:sz w:val="28"/>
          <w:szCs w:val="28"/>
          <w:lang w:val="cy-GB"/>
        </w:rPr>
        <w:t xml:space="preserve"> </w:t>
      </w:r>
      <w:proofErr w:type="spellStart"/>
      <w:r>
        <w:rPr>
          <w:rFonts w:ascii="Arial" w:hAnsi="Arial" w:cs="Arial"/>
          <w:b/>
          <w:sz w:val="28"/>
          <w:szCs w:val="28"/>
          <w:lang w:val="cy-GB"/>
        </w:rPr>
        <w:t>Learning</w:t>
      </w:r>
      <w:proofErr w:type="spellEnd"/>
      <w:r>
        <w:rPr>
          <w:rFonts w:ascii="Arial" w:hAnsi="Arial" w:cs="Arial"/>
          <w:b/>
          <w:sz w:val="28"/>
          <w:szCs w:val="28"/>
          <w:lang w:val="cy-GB"/>
        </w:rPr>
        <w:t xml:space="preserve"> </w:t>
      </w:r>
    </w:p>
    <w:p w:rsidR="00234D50" w:rsidRPr="00230F35" w:rsidRDefault="00234D50" w:rsidP="00234D50">
      <w:pPr>
        <w:pStyle w:val="NormalWeb"/>
        <w:spacing w:before="0" w:beforeAutospacing="0" w:after="0" w:afterAutospacing="0"/>
        <w:ind w:left="-180" w:right="-334"/>
        <w:jc w:val="center"/>
        <w:rPr>
          <w:rFonts w:ascii="Arial" w:hAnsi="Arial" w:cs="Arial"/>
          <w:b/>
          <w:sz w:val="28"/>
          <w:szCs w:val="28"/>
        </w:rPr>
      </w:pPr>
      <w:proofErr w:type="spellStart"/>
      <w:r>
        <w:rPr>
          <w:rFonts w:ascii="Arial" w:hAnsi="Arial" w:cs="Arial"/>
          <w:b/>
          <w:sz w:val="28"/>
          <w:szCs w:val="28"/>
          <w:lang w:val="cy-GB"/>
        </w:rPr>
        <w:t>A</w:t>
      </w:r>
      <w:r w:rsidRPr="00230F35">
        <w:rPr>
          <w:rFonts w:ascii="Arial" w:hAnsi="Arial" w:cs="Arial"/>
          <w:b/>
          <w:sz w:val="28"/>
          <w:szCs w:val="28"/>
          <w:lang w:val="cy-GB"/>
        </w:rPr>
        <w:t>ssignment</w:t>
      </w:r>
      <w:proofErr w:type="spellEnd"/>
      <w:r w:rsidRPr="00230F35">
        <w:rPr>
          <w:rFonts w:ascii="Arial" w:hAnsi="Arial" w:cs="Arial"/>
          <w:b/>
          <w:sz w:val="28"/>
          <w:szCs w:val="28"/>
          <w:lang w:val="cy-GB"/>
        </w:rPr>
        <w:t xml:space="preserve"> </w:t>
      </w:r>
      <w:proofErr w:type="spellStart"/>
      <w:r w:rsidRPr="00230F35">
        <w:rPr>
          <w:rFonts w:ascii="Arial" w:hAnsi="Arial" w:cs="Arial"/>
          <w:b/>
          <w:sz w:val="28"/>
          <w:szCs w:val="28"/>
          <w:lang w:val="cy-GB"/>
        </w:rPr>
        <w:t>coversheet</w:t>
      </w:r>
      <w:proofErr w:type="spellEnd"/>
      <w:r w:rsidRPr="00230F35">
        <w:rPr>
          <w:rFonts w:ascii="Arial" w:hAnsi="Arial" w:cs="Arial"/>
          <w:b/>
          <w:sz w:val="28"/>
          <w:szCs w:val="28"/>
          <w:lang w:val="cy-GB"/>
        </w:rPr>
        <w:t xml:space="preserve"> &amp; </w:t>
      </w:r>
      <w:proofErr w:type="spellStart"/>
      <w:r w:rsidRPr="00230F35">
        <w:rPr>
          <w:rFonts w:ascii="Arial" w:hAnsi="Arial" w:cs="Arial"/>
          <w:b/>
          <w:sz w:val="28"/>
          <w:szCs w:val="28"/>
          <w:lang w:val="cy-GB"/>
        </w:rPr>
        <w:t>feedback</w:t>
      </w:r>
      <w:proofErr w:type="spellEnd"/>
      <w:r w:rsidRPr="00230F35">
        <w:rPr>
          <w:rFonts w:ascii="Arial" w:hAnsi="Arial" w:cs="Arial"/>
          <w:b/>
          <w:sz w:val="28"/>
          <w:szCs w:val="28"/>
          <w:lang w:val="cy-GB"/>
        </w:rPr>
        <w:t xml:space="preserve"> </w:t>
      </w:r>
      <w:proofErr w:type="spellStart"/>
      <w:r w:rsidRPr="00230F35">
        <w:rPr>
          <w:rFonts w:ascii="Arial" w:hAnsi="Arial" w:cs="Arial"/>
          <w:b/>
          <w:sz w:val="28"/>
          <w:szCs w:val="28"/>
          <w:lang w:val="cy-GB"/>
        </w:rPr>
        <w:t>form</w:t>
      </w:r>
      <w:proofErr w:type="spellEnd"/>
    </w:p>
    <w:p w:rsidR="00234D50" w:rsidRPr="00230F35" w:rsidRDefault="00234D50" w:rsidP="00234D50">
      <w:pPr>
        <w:rPr>
          <w:rFonts w:ascii="Arial" w:hAnsi="Arial" w:cs="Arial"/>
          <w:sz w:val="28"/>
          <w:szCs w:val="28"/>
          <w:lang w:val="cy-GB"/>
        </w:rPr>
      </w:pPr>
    </w:p>
    <w:p w:rsidR="00234D50" w:rsidRDefault="00234D50" w:rsidP="00234D50">
      <w:pPr>
        <w:pStyle w:val="Heading3"/>
        <w:jc w:val="center"/>
        <w:rPr>
          <w:lang w:val="cy-GB"/>
        </w:rPr>
      </w:pPr>
      <w:r>
        <w:rPr>
          <w:lang w:val="cy-GB"/>
        </w:rPr>
        <w:t>THIS SHEET MUST BE THE FIRST PAGE OF THE ASSIGNMENT YOU ARE SUBMITTING  (DO NOT SEND AS A SEPARATE FILE)</w:t>
      </w:r>
    </w:p>
    <w:p w:rsidR="00234D50" w:rsidRDefault="00234D50" w:rsidP="00234D50">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34D50" w:rsidRPr="00230F35" w:rsidTr="00516AF5">
        <w:trPr>
          <w:trHeight w:val="614"/>
        </w:trPr>
        <w:tc>
          <w:tcPr>
            <w:tcW w:w="8856" w:type="dxa"/>
            <w:gridSpan w:val="5"/>
          </w:tcPr>
          <w:p w:rsidR="00234D50" w:rsidRPr="00230F35" w:rsidRDefault="00234D50" w:rsidP="00516AF5">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34D50" w:rsidRPr="00230F35" w:rsidTr="00516AF5">
        <w:trPr>
          <w:trHeight w:val="718"/>
        </w:trPr>
        <w:tc>
          <w:tcPr>
            <w:tcW w:w="8856" w:type="dxa"/>
            <w:gridSpan w:val="5"/>
          </w:tcPr>
          <w:p w:rsidR="00234D50" w:rsidRDefault="00234D50" w:rsidP="00516AF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rsidR="00234D50" w:rsidRPr="00230F35" w:rsidRDefault="00234D50" w:rsidP="00516AF5">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Gulliver Methuen-Campbell </w:t>
            </w:r>
          </w:p>
        </w:tc>
      </w:tr>
      <w:tr w:rsidR="00234D50" w:rsidRPr="00230F35" w:rsidTr="00516AF5">
        <w:trPr>
          <w:trHeight w:val="849"/>
        </w:trPr>
        <w:tc>
          <w:tcPr>
            <w:tcW w:w="4788" w:type="dxa"/>
          </w:tcPr>
          <w:p w:rsidR="00234D50" w:rsidRPr="00230F35" w:rsidRDefault="00234D50" w:rsidP="00516AF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073951">
              <w:rPr>
                <w:rFonts w:ascii="Arial" w:hAnsi="Arial" w:cs="Arial"/>
                <w:sz w:val="22"/>
                <w:szCs w:val="22"/>
              </w:rPr>
              <w:t>AHHI 7001</w:t>
            </w:r>
          </w:p>
          <w:p w:rsidR="00234D50" w:rsidRPr="00230F35" w:rsidRDefault="00234D50" w:rsidP="00516AF5">
            <w:pPr>
              <w:pStyle w:val="NormalWeb"/>
              <w:spacing w:before="0" w:beforeAutospacing="0" w:after="0" w:afterAutospacing="0"/>
              <w:ind w:right="34"/>
              <w:rPr>
                <w:rFonts w:ascii="Arial" w:hAnsi="Arial" w:cs="Arial"/>
                <w:sz w:val="22"/>
                <w:szCs w:val="22"/>
              </w:rPr>
            </w:pPr>
          </w:p>
          <w:p w:rsidR="00234D50" w:rsidRDefault="00234D50" w:rsidP="00516AF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073951">
              <w:rPr>
                <w:rFonts w:ascii="Arial" w:hAnsi="Arial" w:cs="Arial"/>
                <w:sz w:val="22"/>
                <w:szCs w:val="22"/>
              </w:rPr>
              <w:t>Research Methodology</w:t>
            </w:r>
          </w:p>
          <w:p w:rsidR="00234D50" w:rsidRDefault="00234D50" w:rsidP="00516AF5">
            <w:pPr>
              <w:pStyle w:val="NormalWeb"/>
              <w:spacing w:before="0" w:beforeAutospacing="0" w:after="0" w:afterAutospacing="0"/>
              <w:ind w:right="34"/>
              <w:rPr>
                <w:rFonts w:ascii="Arial" w:hAnsi="Arial" w:cs="Arial"/>
                <w:sz w:val="22"/>
                <w:szCs w:val="22"/>
              </w:rPr>
            </w:pPr>
          </w:p>
          <w:p w:rsidR="00234D50" w:rsidRPr="00230F35" w:rsidRDefault="00234D50" w:rsidP="00516AF5">
            <w:pPr>
              <w:pStyle w:val="NormalWeb"/>
              <w:spacing w:before="0" w:beforeAutospacing="0" w:after="0" w:afterAutospacing="0"/>
              <w:ind w:right="34"/>
              <w:rPr>
                <w:rFonts w:ascii="Arial" w:hAnsi="Arial" w:cs="Arial"/>
                <w:sz w:val="22"/>
                <w:szCs w:val="22"/>
              </w:rPr>
            </w:pPr>
          </w:p>
        </w:tc>
        <w:tc>
          <w:tcPr>
            <w:tcW w:w="2266" w:type="dxa"/>
            <w:gridSpan w:val="3"/>
          </w:tcPr>
          <w:p w:rsidR="00234D50" w:rsidRDefault="00234D50" w:rsidP="00516AF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234D50" w:rsidRDefault="00234D50" w:rsidP="00516AF5">
            <w:pPr>
              <w:pStyle w:val="NormalWeb"/>
              <w:spacing w:before="0" w:beforeAutospacing="0" w:after="0" w:afterAutospacing="0"/>
              <w:ind w:right="34"/>
              <w:rPr>
                <w:rFonts w:ascii="Arial" w:hAnsi="Arial" w:cs="Arial"/>
                <w:sz w:val="22"/>
                <w:szCs w:val="22"/>
              </w:rPr>
            </w:pPr>
          </w:p>
          <w:p w:rsidR="00234D50" w:rsidRPr="00230F35" w:rsidRDefault="00234D50" w:rsidP="00516AF5">
            <w:pPr>
              <w:pStyle w:val="NormalWeb"/>
              <w:spacing w:before="0" w:beforeAutospacing="0" w:after="0" w:afterAutospacing="0"/>
              <w:ind w:right="34"/>
              <w:rPr>
                <w:rFonts w:ascii="Arial" w:hAnsi="Arial" w:cs="Arial"/>
                <w:sz w:val="22"/>
                <w:szCs w:val="22"/>
              </w:rPr>
            </w:pPr>
            <w:r>
              <w:rPr>
                <w:rFonts w:ascii="Arial" w:hAnsi="Arial" w:cs="Arial"/>
                <w:sz w:val="22"/>
                <w:szCs w:val="22"/>
              </w:rPr>
              <w:t>1705164</w:t>
            </w:r>
            <w:bookmarkStart w:id="0" w:name="_GoBack"/>
            <w:bookmarkEnd w:id="0"/>
          </w:p>
        </w:tc>
        <w:tc>
          <w:tcPr>
            <w:tcW w:w="1802" w:type="dxa"/>
          </w:tcPr>
          <w:p w:rsidR="00234D50" w:rsidRPr="00230F35" w:rsidRDefault="00234D50" w:rsidP="00516AF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234D50" w:rsidRPr="00230F35" w:rsidRDefault="00234D50" w:rsidP="00516AF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073951">
              <w:rPr>
                <w:rFonts w:ascii="Arial" w:hAnsi="Arial" w:cs="Arial"/>
                <w:b/>
                <w:sz w:val="22"/>
                <w:szCs w:val="22"/>
              </w:rPr>
              <w:t>No</w:t>
            </w:r>
          </w:p>
        </w:tc>
      </w:tr>
      <w:tr w:rsidR="00234D50" w:rsidRPr="00230F35" w:rsidTr="00516AF5">
        <w:trPr>
          <w:trHeight w:val="1139"/>
        </w:trPr>
        <w:tc>
          <w:tcPr>
            <w:tcW w:w="8856" w:type="dxa"/>
            <w:gridSpan w:val="5"/>
          </w:tcPr>
          <w:p w:rsidR="00234D50" w:rsidRPr="00230F35" w:rsidRDefault="00234D50" w:rsidP="00516AF5">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rsidR="00234D50" w:rsidRPr="00230F35" w:rsidRDefault="00234D50" w:rsidP="00516AF5">
            <w:pPr>
              <w:pStyle w:val="NormalWeb"/>
              <w:spacing w:before="0" w:beforeAutospacing="0" w:after="0" w:afterAutospacing="0"/>
              <w:ind w:right="34"/>
              <w:rPr>
                <w:rFonts w:ascii="Arial" w:hAnsi="Arial" w:cs="Arial"/>
                <w:sz w:val="22"/>
                <w:szCs w:val="22"/>
              </w:rPr>
            </w:pPr>
            <w:r>
              <w:rPr>
                <w:rFonts w:ascii="Arial" w:hAnsi="Arial" w:cs="Arial"/>
                <w:sz w:val="22"/>
                <w:szCs w:val="22"/>
              </w:rPr>
              <w:t>Janet Burton</w:t>
            </w:r>
          </w:p>
          <w:p w:rsidR="00234D50" w:rsidRDefault="00234D50" w:rsidP="00516AF5">
            <w:pPr>
              <w:pStyle w:val="NormalWeb"/>
              <w:spacing w:before="0" w:beforeAutospacing="0" w:after="0" w:afterAutospacing="0"/>
              <w:ind w:right="34"/>
              <w:rPr>
                <w:rFonts w:ascii="Arial" w:hAnsi="Arial" w:cs="Arial"/>
                <w:sz w:val="22"/>
                <w:szCs w:val="22"/>
              </w:rPr>
            </w:pPr>
          </w:p>
          <w:p w:rsidR="00234D50" w:rsidRPr="00230F35" w:rsidRDefault="00234D50" w:rsidP="00516AF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24</w:t>
            </w:r>
            <w:r w:rsidRPr="00073951">
              <w:rPr>
                <w:rFonts w:ascii="Arial" w:hAnsi="Arial" w:cs="Arial"/>
                <w:sz w:val="22"/>
                <w:szCs w:val="22"/>
                <w:vertAlign w:val="superscript"/>
              </w:rPr>
              <w:t>th</w:t>
            </w:r>
            <w:r>
              <w:rPr>
                <w:rFonts w:ascii="Arial" w:hAnsi="Arial" w:cs="Arial"/>
                <w:sz w:val="22"/>
                <w:szCs w:val="22"/>
              </w:rPr>
              <w:t xml:space="preserve"> May 2018</w:t>
            </w:r>
          </w:p>
        </w:tc>
      </w:tr>
      <w:tr w:rsidR="00234D50" w:rsidRPr="00230F35" w:rsidTr="00516AF5">
        <w:trPr>
          <w:trHeight w:val="978"/>
        </w:trPr>
        <w:tc>
          <w:tcPr>
            <w:tcW w:w="8856" w:type="dxa"/>
            <w:gridSpan w:val="5"/>
            <w:tcBorders>
              <w:bottom w:val="single" w:sz="4" w:space="0" w:color="000000"/>
            </w:tcBorders>
          </w:tcPr>
          <w:p w:rsidR="00234D50" w:rsidRDefault="00234D50" w:rsidP="00516AF5">
            <w:pPr>
              <w:rPr>
                <w:rFonts w:ascii="Arial" w:hAnsi="Arial" w:cs="Arial"/>
              </w:rPr>
            </w:pPr>
            <w:r>
              <w:rPr>
                <w:rFonts w:ascii="Arial" w:hAnsi="Arial" w:cs="Arial"/>
              </w:rPr>
              <w:t>If your module has multiple submissions please indicate which piece of work this is.</w:t>
            </w:r>
          </w:p>
          <w:p w:rsidR="00234D50" w:rsidRDefault="00234D50" w:rsidP="00516AF5">
            <w:pPr>
              <w:rPr>
                <w:rFonts w:ascii="Arial" w:hAnsi="Arial" w:cs="Arial"/>
              </w:rPr>
            </w:pPr>
          </w:p>
          <w:p w:rsidR="00234D50" w:rsidRPr="00230F35" w:rsidRDefault="00234D50" w:rsidP="00516AF5">
            <w:pPr>
              <w:rPr>
                <w:rFonts w:ascii="Arial" w:hAnsi="Arial" w:cs="Arial"/>
              </w:rPr>
            </w:pPr>
            <w:r w:rsidRPr="00230F35">
              <w:rPr>
                <w:rFonts w:ascii="Arial" w:hAnsi="Arial" w:cs="Arial"/>
              </w:rPr>
              <w:t>1</w:t>
            </w:r>
            <w:r w:rsidRPr="00230F35">
              <w:rPr>
                <w:rFonts w:ascii="Arial" w:hAnsi="Arial" w:cs="Arial"/>
                <w:vertAlign w:val="superscript"/>
              </w:rPr>
              <w:t xml:space="preserve">st </w:t>
            </w:r>
            <w:r>
              <w:rPr>
                <w:rFonts w:ascii="Arial" w:hAnsi="Arial" w:cs="Arial"/>
              </w:rPr>
              <w:fldChar w:fldCharType="begin">
                <w:ffData>
                  <w:name w:val="Check13"/>
                  <w:enabled/>
                  <w:calcOnExit w:val="0"/>
                  <w:checkBox>
                    <w:sizeAuto/>
                    <w:default w:val="1"/>
                  </w:checkBox>
                </w:ffData>
              </w:fldChar>
            </w:r>
            <w:bookmarkStart w:id="1" w:name="Check13"/>
            <w:r>
              <w:rPr>
                <w:rFonts w:ascii="Arial" w:hAnsi="Arial" w:cs="Arial"/>
              </w:rPr>
              <w:instrText xml:space="preserve"> FORMCHECKBOX </w:instrText>
            </w:r>
            <w:r>
              <w:rPr>
                <w:rFonts w:ascii="Arial" w:hAnsi="Arial" w:cs="Arial"/>
              </w:rPr>
            </w:r>
            <w:r>
              <w:rPr>
                <w:rFonts w:ascii="Arial" w:hAnsi="Arial" w:cs="Arial"/>
              </w:rPr>
              <w:fldChar w:fldCharType="end"/>
            </w:r>
            <w:bookmarkEnd w:id="1"/>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2"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3"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4"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5"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6"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6"/>
          </w:p>
        </w:tc>
      </w:tr>
      <w:tr w:rsidR="00234D50" w:rsidRPr="00230F35" w:rsidTr="00516AF5">
        <w:trPr>
          <w:trHeight w:val="978"/>
        </w:trPr>
        <w:tc>
          <w:tcPr>
            <w:tcW w:w="8856" w:type="dxa"/>
            <w:gridSpan w:val="5"/>
            <w:shd w:val="clear" w:color="auto" w:fill="D9D9D9"/>
          </w:tcPr>
          <w:p w:rsidR="00234D50" w:rsidRPr="00230F35" w:rsidRDefault="00234D50" w:rsidP="00516AF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234D50" w:rsidRDefault="00234D50" w:rsidP="00516AF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GMC</w:t>
            </w:r>
            <w:r w:rsidRPr="00230F35">
              <w:rPr>
                <w:rFonts w:ascii="Arial" w:hAnsi="Arial" w:cs="Arial"/>
                <w:sz w:val="22"/>
                <w:szCs w:val="22"/>
              </w:rPr>
              <w:t>…………………………</w:t>
            </w:r>
          </w:p>
          <w:p w:rsidR="00234D50" w:rsidRDefault="00234D50" w:rsidP="00516AF5">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p>
          <w:p w:rsidR="00234D50" w:rsidRPr="00230F35" w:rsidRDefault="00234D50" w:rsidP="00516AF5">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234D50" w:rsidRPr="00230F35" w:rsidTr="00516AF5">
        <w:trPr>
          <w:trHeight w:val="3972"/>
        </w:trPr>
        <w:tc>
          <w:tcPr>
            <w:tcW w:w="8856" w:type="dxa"/>
            <w:gridSpan w:val="5"/>
          </w:tcPr>
          <w:p w:rsidR="00234D50" w:rsidRDefault="00234D50" w:rsidP="00516AF5">
            <w:pPr>
              <w:rPr>
                <w:rFonts w:ascii="Arial" w:hAnsi="Arial"/>
                <w:b/>
              </w:rPr>
            </w:pPr>
          </w:p>
          <w:p w:rsidR="00234D50" w:rsidRPr="00116CE6" w:rsidRDefault="00234D50" w:rsidP="00516AF5">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34D50" w:rsidRPr="00116CE6" w:rsidTr="00516AF5">
              <w:tc>
                <w:tcPr>
                  <w:tcW w:w="6970" w:type="dxa"/>
                </w:tcPr>
                <w:p w:rsidR="00234D50" w:rsidRPr="00116CE6" w:rsidRDefault="00234D50" w:rsidP="00516AF5">
                  <w:pPr>
                    <w:rPr>
                      <w:rFonts w:ascii="Arial" w:hAnsi="Arial"/>
                      <w:sz w:val="20"/>
                      <w:szCs w:val="20"/>
                    </w:rPr>
                  </w:pPr>
                </w:p>
                <w:p w:rsidR="00234D50" w:rsidRPr="00116CE6" w:rsidRDefault="00234D50" w:rsidP="00516AF5">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234D50" w:rsidRPr="00116CE6" w:rsidRDefault="00234D50" w:rsidP="00516AF5">
                  <w:pPr>
                    <w:rPr>
                      <w:rFonts w:ascii="Arial" w:hAnsi="Arial"/>
                      <w:sz w:val="20"/>
                      <w:szCs w:val="20"/>
                    </w:rPr>
                  </w:pPr>
                </w:p>
              </w:tc>
            </w:tr>
            <w:tr w:rsidR="00234D50" w:rsidRPr="00116CE6" w:rsidTr="00516AF5">
              <w:tc>
                <w:tcPr>
                  <w:tcW w:w="6970" w:type="dxa"/>
                </w:tcPr>
                <w:p w:rsidR="00234D50" w:rsidRPr="00116CE6" w:rsidRDefault="00234D50" w:rsidP="00516AF5">
                  <w:pPr>
                    <w:rPr>
                      <w:rFonts w:ascii="Arial" w:hAnsi="Arial"/>
                      <w:sz w:val="20"/>
                      <w:szCs w:val="20"/>
                    </w:rPr>
                  </w:pPr>
                </w:p>
                <w:p w:rsidR="00234D50" w:rsidRPr="00116CE6" w:rsidRDefault="00234D50" w:rsidP="00516AF5">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234D50" w:rsidRPr="00116CE6" w:rsidRDefault="00234D50" w:rsidP="00516AF5">
                  <w:pPr>
                    <w:rPr>
                      <w:rFonts w:ascii="Arial" w:hAnsi="Arial"/>
                      <w:sz w:val="20"/>
                      <w:szCs w:val="20"/>
                    </w:rPr>
                  </w:pPr>
                </w:p>
              </w:tc>
            </w:tr>
            <w:tr w:rsidR="00234D50" w:rsidRPr="00116CE6" w:rsidTr="00516AF5">
              <w:tc>
                <w:tcPr>
                  <w:tcW w:w="6970" w:type="dxa"/>
                </w:tcPr>
                <w:p w:rsidR="00234D50" w:rsidRPr="00116CE6" w:rsidRDefault="00234D50" w:rsidP="00516AF5">
                  <w:pPr>
                    <w:rPr>
                      <w:rFonts w:ascii="Arial" w:hAnsi="Arial"/>
                      <w:sz w:val="20"/>
                      <w:szCs w:val="20"/>
                    </w:rPr>
                  </w:pPr>
                </w:p>
                <w:p w:rsidR="00234D50" w:rsidRPr="00116CE6" w:rsidRDefault="00234D50" w:rsidP="00516AF5">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234D50" w:rsidRPr="00116CE6" w:rsidRDefault="00234D50" w:rsidP="00516AF5">
                  <w:pPr>
                    <w:rPr>
                      <w:rFonts w:ascii="Arial" w:hAnsi="Arial"/>
                      <w:sz w:val="20"/>
                      <w:szCs w:val="20"/>
                    </w:rPr>
                  </w:pPr>
                </w:p>
              </w:tc>
            </w:tr>
            <w:tr w:rsidR="00234D50" w:rsidRPr="00116CE6" w:rsidTr="00516AF5">
              <w:tc>
                <w:tcPr>
                  <w:tcW w:w="6970" w:type="dxa"/>
                </w:tcPr>
                <w:p w:rsidR="00234D50" w:rsidRDefault="00234D50" w:rsidP="00516AF5">
                  <w:pPr>
                    <w:rPr>
                      <w:rFonts w:ascii="Arial" w:hAnsi="Arial"/>
                      <w:sz w:val="20"/>
                      <w:szCs w:val="20"/>
                    </w:rPr>
                  </w:pPr>
                </w:p>
                <w:p w:rsidR="00234D50" w:rsidRPr="00022345" w:rsidRDefault="00234D50" w:rsidP="00516AF5">
                  <w:pPr>
                    <w:rPr>
                      <w:rFonts w:ascii="Arial" w:hAnsi="Arial"/>
                      <w:b/>
                      <w:sz w:val="20"/>
                      <w:szCs w:val="20"/>
                    </w:rPr>
                  </w:pPr>
                  <w:r w:rsidRPr="00022345">
                    <w:rPr>
                      <w:rFonts w:ascii="Arial" w:hAnsi="Arial"/>
                      <w:b/>
                      <w:sz w:val="20"/>
                      <w:szCs w:val="20"/>
                    </w:rPr>
                    <w:t>Final Mark</w:t>
                  </w:r>
                </w:p>
                <w:p w:rsidR="00234D50" w:rsidRPr="00116CE6" w:rsidRDefault="00234D50" w:rsidP="00516AF5">
                  <w:pPr>
                    <w:rPr>
                      <w:rFonts w:ascii="Arial" w:hAnsi="Arial"/>
                      <w:sz w:val="20"/>
                      <w:szCs w:val="20"/>
                    </w:rPr>
                  </w:pPr>
                </w:p>
              </w:tc>
              <w:tc>
                <w:tcPr>
                  <w:tcW w:w="1660" w:type="dxa"/>
                </w:tcPr>
                <w:p w:rsidR="00234D50" w:rsidRPr="00116CE6" w:rsidRDefault="00234D50" w:rsidP="00516AF5">
                  <w:pPr>
                    <w:rPr>
                      <w:rFonts w:ascii="Arial" w:hAnsi="Arial"/>
                      <w:sz w:val="20"/>
                      <w:szCs w:val="20"/>
                    </w:rPr>
                  </w:pPr>
                </w:p>
              </w:tc>
            </w:tr>
          </w:tbl>
          <w:p w:rsidR="00234D50" w:rsidRDefault="00234D50" w:rsidP="00516AF5">
            <w:pPr>
              <w:pStyle w:val="NormalWeb"/>
              <w:spacing w:before="0" w:beforeAutospacing="0" w:after="0" w:afterAutospacing="0"/>
              <w:ind w:left="142" w:right="34"/>
              <w:rPr>
                <w:rFonts w:ascii="Arial" w:hAnsi="Arial" w:cs="Arial"/>
                <w:b/>
                <w:sz w:val="22"/>
                <w:szCs w:val="22"/>
              </w:rPr>
            </w:pPr>
          </w:p>
          <w:p w:rsidR="00234D50" w:rsidRPr="00230F35" w:rsidRDefault="00234D50" w:rsidP="00516AF5">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234D50" w:rsidRDefault="00234D50" w:rsidP="00516AF5">
            <w:pPr>
              <w:pStyle w:val="NormalWeb"/>
              <w:spacing w:before="0" w:beforeAutospacing="0" w:after="0" w:afterAutospacing="0"/>
              <w:rPr>
                <w:rFonts w:ascii="Arial" w:hAnsi="Arial" w:cs="Arial"/>
                <w:b/>
                <w:sz w:val="22"/>
                <w:szCs w:val="22"/>
              </w:rPr>
            </w:pPr>
          </w:p>
          <w:p w:rsidR="00234D50" w:rsidRDefault="00234D50" w:rsidP="00516AF5">
            <w:pPr>
              <w:pStyle w:val="NormalWeb"/>
              <w:spacing w:before="0" w:beforeAutospacing="0" w:after="0" w:afterAutospacing="0"/>
              <w:rPr>
                <w:rFonts w:ascii="Arial" w:hAnsi="Arial" w:cs="Arial"/>
                <w:b/>
                <w:sz w:val="22"/>
                <w:szCs w:val="22"/>
              </w:rPr>
            </w:pPr>
          </w:p>
          <w:p w:rsidR="00234D50" w:rsidRDefault="00234D50" w:rsidP="00516AF5">
            <w:pPr>
              <w:pStyle w:val="NormalWeb"/>
              <w:spacing w:before="0" w:beforeAutospacing="0" w:after="0" w:afterAutospacing="0"/>
              <w:rPr>
                <w:rFonts w:ascii="Arial" w:hAnsi="Arial" w:cs="Arial"/>
                <w:b/>
                <w:sz w:val="22"/>
                <w:szCs w:val="22"/>
              </w:rPr>
            </w:pPr>
          </w:p>
          <w:p w:rsidR="00234D50" w:rsidRDefault="00234D50" w:rsidP="00516AF5">
            <w:pPr>
              <w:pStyle w:val="NormalWeb"/>
              <w:spacing w:before="0" w:beforeAutospacing="0" w:after="0" w:afterAutospacing="0"/>
              <w:rPr>
                <w:rFonts w:ascii="Arial" w:hAnsi="Arial" w:cs="Arial"/>
                <w:b/>
                <w:sz w:val="22"/>
                <w:szCs w:val="22"/>
              </w:rPr>
            </w:pPr>
          </w:p>
          <w:p w:rsidR="00234D50" w:rsidRDefault="00234D50" w:rsidP="00516AF5">
            <w:pPr>
              <w:pStyle w:val="NormalWeb"/>
              <w:spacing w:before="0" w:beforeAutospacing="0" w:after="0" w:afterAutospacing="0"/>
              <w:rPr>
                <w:rFonts w:ascii="Arial" w:hAnsi="Arial" w:cs="Arial"/>
                <w:b/>
                <w:sz w:val="22"/>
                <w:szCs w:val="22"/>
              </w:rPr>
            </w:pPr>
          </w:p>
          <w:p w:rsidR="00234D50" w:rsidRPr="00230F35" w:rsidRDefault="00234D50" w:rsidP="00516AF5">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rsidR="00234D50" w:rsidRDefault="00234D50" w:rsidP="00516AF5">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234D50" w:rsidRPr="00001C3B" w:rsidRDefault="00234D50" w:rsidP="00516AF5">
            <w:pPr>
              <w:pStyle w:val="NormalWeb"/>
              <w:rPr>
                <w:rFonts w:ascii="Arial" w:hAnsi="Arial" w:cs="Arial"/>
                <w:sz w:val="22"/>
                <w:szCs w:val="22"/>
              </w:rPr>
            </w:pPr>
          </w:p>
        </w:tc>
      </w:tr>
      <w:tr w:rsidR="00234D50" w:rsidRPr="00230F35" w:rsidTr="00516AF5">
        <w:trPr>
          <w:trHeight w:val="492"/>
        </w:trPr>
        <w:tc>
          <w:tcPr>
            <w:tcW w:w="6768" w:type="dxa"/>
            <w:gridSpan w:val="3"/>
          </w:tcPr>
          <w:p w:rsidR="00234D50" w:rsidRPr="00230F35" w:rsidRDefault="00234D50" w:rsidP="00516AF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234D50" w:rsidRPr="00230F35" w:rsidRDefault="00234D50" w:rsidP="00516AF5">
            <w:pPr>
              <w:pStyle w:val="NormalWeb"/>
              <w:spacing w:after="0"/>
              <w:ind w:left="142" w:right="34"/>
              <w:rPr>
                <w:rFonts w:ascii="Arial" w:hAnsi="Arial" w:cs="Arial"/>
                <w:sz w:val="22"/>
                <w:szCs w:val="22"/>
              </w:rPr>
            </w:pPr>
            <w:r w:rsidRPr="00230F35">
              <w:rPr>
                <w:rFonts w:ascii="Arial" w:hAnsi="Arial" w:cs="Arial"/>
                <w:sz w:val="22"/>
                <w:szCs w:val="22"/>
              </w:rPr>
              <w:t>Date:</w:t>
            </w:r>
          </w:p>
        </w:tc>
      </w:tr>
      <w:tr w:rsidR="00234D50" w:rsidRPr="002F467C" w:rsidTr="00516AF5">
        <w:tc>
          <w:tcPr>
            <w:tcW w:w="8856" w:type="dxa"/>
            <w:gridSpan w:val="5"/>
          </w:tcPr>
          <w:p w:rsidR="00234D50" w:rsidRPr="00230F35" w:rsidRDefault="00234D50" w:rsidP="00516AF5">
            <w:pPr>
              <w:pStyle w:val="NormalWeb"/>
              <w:spacing w:before="0" w:beforeAutospacing="0" w:after="0" w:afterAutospacing="0"/>
              <w:ind w:right="-334"/>
              <w:rPr>
                <w:rFonts w:ascii="Arial" w:hAnsi="Arial" w:cs="Arial"/>
                <w:bCs/>
                <w:i/>
                <w:sz w:val="22"/>
                <w:szCs w:val="22"/>
              </w:rPr>
            </w:pPr>
          </w:p>
          <w:p w:rsidR="00234D50" w:rsidRPr="00230F35" w:rsidRDefault="00234D50" w:rsidP="00516AF5">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234D50" w:rsidRPr="00230F35" w:rsidRDefault="00234D50" w:rsidP="00516AF5">
            <w:pPr>
              <w:pStyle w:val="NormalWeb"/>
              <w:spacing w:before="0" w:beforeAutospacing="0" w:after="0" w:afterAutospacing="0"/>
              <w:ind w:right="-334"/>
              <w:rPr>
                <w:rFonts w:ascii="Arial" w:hAnsi="Arial" w:cs="Arial"/>
                <w:b/>
                <w:bCs/>
                <w:sz w:val="22"/>
                <w:szCs w:val="22"/>
              </w:rPr>
            </w:pPr>
          </w:p>
          <w:p w:rsidR="00234D50" w:rsidRPr="00230F35" w:rsidRDefault="00234D50" w:rsidP="00516AF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234D50" w:rsidRPr="00230F35" w:rsidRDefault="00234D50" w:rsidP="00516AF5">
            <w:pPr>
              <w:pStyle w:val="NormalWeb"/>
              <w:spacing w:before="0" w:beforeAutospacing="0" w:after="0" w:afterAutospacing="0"/>
              <w:ind w:right="-334"/>
              <w:rPr>
                <w:rFonts w:ascii="Arial" w:hAnsi="Arial" w:cs="Arial"/>
                <w:bCs/>
                <w:sz w:val="22"/>
                <w:szCs w:val="22"/>
              </w:rPr>
            </w:pPr>
          </w:p>
          <w:p w:rsidR="00234D50" w:rsidRPr="00230F35" w:rsidRDefault="00234D50" w:rsidP="00516AF5">
            <w:pPr>
              <w:pStyle w:val="NormalWeb"/>
              <w:spacing w:before="0" w:beforeAutospacing="0" w:after="0" w:afterAutospacing="0"/>
              <w:ind w:right="-334"/>
              <w:rPr>
                <w:rFonts w:ascii="Arial" w:hAnsi="Arial" w:cs="Arial"/>
                <w:bCs/>
                <w:sz w:val="22"/>
                <w:szCs w:val="22"/>
              </w:rPr>
            </w:pPr>
          </w:p>
          <w:p w:rsidR="00234D50" w:rsidRPr="00230F35" w:rsidRDefault="00234D50" w:rsidP="00516AF5">
            <w:pPr>
              <w:pStyle w:val="NormalWeb"/>
              <w:spacing w:before="0" w:beforeAutospacing="0" w:after="0" w:afterAutospacing="0"/>
              <w:ind w:right="-334"/>
              <w:rPr>
                <w:rFonts w:ascii="Arial" w:hAnsi="Arial" w:cs="Arial"/>
                <w:bCs/>
                <w:sz w:val="22"/>
                <w:szCs w:val="22"/>
              </w:rPr>
            </w:pPr>
          </w:p>
        </w:tc>
      </w:tr>
      <w:tr w:rsidR="00234D50" w:rsidRPr="002F467C" w:rsidTr="00516AF5">
        <w:trPr>
          <w:trHeight w:val="720"/>
        </w:trPr>
        <w:tc>
          <w:tcPr>
            <w:tcW w:w="5211" w:type="dxa"/>
            <w:gridSpan w:val="2"/>
          </w:tcPr>
          <w:p w:rsidR="00234D50" w:rsidRPr="00230F35" w:rsidRDefault="00234D50" w:rsidP="00516AF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234D50" w:rsidRPr="00230F35" w:rsidRDefault="00234D50" w:rsidP="00516AF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4D50" w:rsidRPr="002F467C" w:rsidTr="00516AF5">
        <w:trPr>
          <w:trHeight w:val="720"/>
        </w:trPr>
        <w:tc>
          <w:tcPr>
            <w:tcW w:w="8856" w:type="dxa"/>
            <w:gridSpan w:val="5"/>
          </w:tcPr>
          <w:p w:rsidR="00234D50" w:rsidRPr="00B34964" w:rsidRDefault="00234D50" w:rsidP="00516AF5">
            <w:pPr>
              <w:rPr>
                <w:rFonts w:ascii="Arial" w:hAnsi="Arial" w:cs="Arial"/>
                <w:b/>
              </w:rPr>
            </w:pPr>
            <w:r w:rsidRPr="00B34964">
              <w:rPr>
                <w:rFonts w:ascii="Arial" w:hAnsi="Arial" w:cs="Arial"/>
                <w:b/>
              </w:rPr>
              <w:t>External Examiner’s comments (if relevant)</w:t>
            </w:r>
          </w:p>
          <w:p w:rsidR="00234D50" w:rsidRPr="00230F35" w:rsidRDefault="00234D50" w:rsidP="00516AF5">
            <w:pPr>
              <w:pStyle w:val="NormalWeb"/>
              <w:spacing w:before="0" w:beforeAutospacing="0" w:after="0" w:afterAutospacing="0"/>
              <w:ind w:right="-334"/>
              <w:rPr>
                <w:rFonts w:ascii="Arial" w:hAnsi="Arial" w:cs="Arial"/>
                <w:bCs/>
                <w:sz w:val="22"/>
                <w:szCs w:val="22"/>
              </w:rPr>
            </w:pPr>
          </w:p>
          <w:p w:rsidR="00234D50" w:rsidRPr="00230F35" w:rsidRDefault="00234D50" w:rsidP="00516AF5">
            <w:pPr>
              <w:pStyle w:val="NormalWeb"/>
              <w:spacing w:before="0" w:beforeAutospacing="0" w:after="0" w:afterAutospacing="0"/>
              <w:ind w:right="-334"/>
              <w:rPr>
                <w:rFonts w:ascii="Arial" w:hAnsi="Arial" w:cs="Arial"/>
                <w:bCs/>
                <w:sz w:val="22"/>
                <w:szCs w:val="22"/>
              </w:rPr>
            </w:pPr>
          </w:p>
          <w:p w:rsidR="00234D50" w:rsidRPr="00230F35" w:rsidRDefault="00234D50" w:rsidP="00516AF5">
            <w:pPr>
              <w:pStyle w:val="NormalWeb"/>
              <w:spacing w:before="0" w:beforeAutospacing="0" w:after="0" w:afterAutospacing="0"/>
              <w:ind w:right="-334"/>
              <w:rPr>
                <w:rFonts w:ascii="Arial" w:hAnsi="Arial" w:cs="Arial"/>
                <w:bCs/>
                <w:sz w:val="22"/>
                <w:szCs w:val="22"/>
              </w:rPr>
            </w:pPr>
          </w:p>
        </w:tc>
      </w:tr>
      <w:tr w:rsidR="00234D50" w:rsidRPr="002F467C" w:rsidTr="00516AF5">
        <w:trPr>
          <w:trHeight w:val="720"/>
        </w:trPr>
        <w:tc>
          <w:tcPr>
            <w:tcW w:w="5211" w:type="dxa"/>
            <w:gridSpan w:val="2"/>
          </w:tcPr>
          <w:p w:rsidR="00234D50" w:rsidRPr="00230F35" w:rsidRDefault="00234D50" w:rsidP="00516AF5">
            <w:pPr>
              <w:rPr>
                <w:rFonts w:ascii="Arial" w:hAnsi="Arial" w:cs="Arial"/>
              </w:rPr>
            </w:pPr>
            <w:r w:rsidRPr="00230F35">
              <w:rPr>
                <w:rFonts w:ascii="Arial" w:hAnsi="Arial" w:cs="Arial"/>
              </w:rPr>
              <w:t>External Examiner’s Signature:</w:t>
            </w:r>
          </w:p>
        </w:tc>
        <w:tc>
          <w:tcPr>
            <w:tcW w:w="3645" w:type="dxa"/>
            <w:gridSpan w:val="3"/>
          </w:tcPr>
          <w:p w:rsidR="00234D50" w:rsidRPr="00230F35" w:rsidRDefault="00234D50" w:rsidP="00516AF5">
            <w:pPr>
              <w:rPr>
                <w:rFonts w:ascii="Arial" w:hAnsi="Arial" w:cs="Arial"/>
              </w:rPr>
            </w:pPr>
            <w:r w:rsidRPr="00230F35">
              <w:rPr>
                <w:rFonts w:ascii="Arial" w:hAnsi="Arial" w:cs="Arial"/>
              </w:rPr>
              <w:t>Date:</w:t>
            </w:r>
          </w:p>
        </w:tc>
      </w:tr>
    </w:tbl>
    <w:p w:rsidR="000A617D" w:rsidRDefault="005D055F" w:rsidP="005D055F">
      <w:pPr>
        <w:pStyle w:val="Title"/>
      </w:pPr>
      <w:r>
        <w:lastRenderedPageBreak/>
        <w:t>Domesday Bibliography</w:t>
      </w:r>
    </w:p>
    <w:p w:rsidR="00BF2259" w:rsidRDefault="005D055F" w:rsidP="005D055F">
      <w:pPr>
        <w:pStyle w:val="Heading1"/>
      </w:pPr>
      <w:r>
        <w:t>Primary Sources</w:t>
      </w:r>
    </w:p>
    <w:p w:rsidR="005D055F" w:rsidRPr="005D055F" w:rsidRDefault="005D055F" w:rsidP="005D055F">
      <w:r>
        <w:t xml:space="preserve">These works comprise or complement the Domesday Book and provide hints to how and when the data was collected and compiled. Other texts should not be overlooked, but their relevance to Domesday can be considered as secondary to the ‘core’. See </w:t>
      </w:r>
      <w:proofErr w:type="spellStart"/>
      <w:r>
        <w:t>Roffe</w:t>
      </w:r>
      <w:proofErr w:type="spellEnd"/>
      <w:r>
        <w:t xml:space="preserve"> for a discussion of associated texts and later Medieval ‘Domesdays’ </w:t>
      </w:r>
      <w:r w:rsidRPr="00B05470">
        <w:rPr>
          <w:rStyle w:val="FootnoteReference"/>
        </w:rPr>
        <w:footnoteReference w:id="1"/>
      </w:r>
      <w:r>
        <w:t>.</w:t>
      </w:r>
    </w:p>
    <w:p w:rsidR="009D2FFD" w:rsidRDefault="009D2FFD" w:rsidP="005D055F">
      <w:pPr>
        <w:pStyle w:val="Heading2"/>
      </w:pPr>
      <w:r>
        <w:t>Great Domedsay Book</w:t>
      </w:r>
      <w:r w:rsidR="00BF2259">
        <w:t xml:space="preserve"> </w:t>
      </w:r>
      <w:r w:rsidR="00832972">
        <w:t>(GDB)</w:t>
      </w:r>
    </w:p>
    <w:p w:rsidR="00335673" w:rsidRDefault="009D2FFD" w:rsidP="00BF2259">
      <w:r>
        <w:t>Comprising forty-seven quires with 383 folios, ruled evenly with two columns</w:t>
      </w:r>
      <w:r w:rsidR="004C6B72">
        <w:t xml:space="preserve">, </w:t>
      </w:r>
      <w:r w:rsidR="00034B49">
        <w:t>“by f</w:t>
      </w:r>
      <w:r w:rsidR="00034B49" w:rsidRPr="00034B49">
        <w:t>ar the most accomplished of the Domesday manuscripts</w:t>
      </w:r>
      <w:r w:rsidR="00034B49">
        <w:t xml:space="preserve">” </w:t>
      </w:r>
      <w:r w:rsidR="00034B49" w:rsidRPr="00B05470">
        <w:rPr>
          <w:rStyle w:val="FootnoteReference"/>
        </w:rPr>
        <w:footnoteReference w:id="2"/>
      </w:r>
      <w:r w:rsidR="00034B49" w:rsidRPr="00034B49">
        <w:t>.</w:t>
      </w:r>
      <w:r w:rsidR="00034B49">
        <w:t xml:space="preserve"> </w:t>
      </w:r>
      <w:r w:rsidR="004C6B72">
        <w:t xml:space="preserve">It was predominantly written by one scribe, with subsequent ‘correcting’ scribe </w:t>
      </w:r>
      <w:r w:rsidR="004C6B72" w:rsidRPr="00B05470">
        <w:rPr>
          <w:rStyle w:val="FootnoteReference"/>
        </w:rPr>
        <w:footnoteReference w:id="3"/>
      </w:r>
      <w:r w:rsidR="004C6B72">
        <w:t xml:space="preserve">. It is written in a book hand that has been identified in Norman in character, a trait it shares with two folios of </w:t>
      </w:r>
      <w:r w:rsidR="004C6B72">
        <w:rPr>
          <w:i/>
        </w:rPr>
        <w:t xml:space="preserve">Liber </w:t>
      </w:r>
      <w:proofErr w:type="spellStart"/>
      <w:r w:rsidR="004C6B72">
        <w:rPr>
          <w:i/>
        </w:rPr>
        <w:t>Exoniensis</w:t>
      </w:r>
      <w:proofErr w:type="spellEnd"/>
      <w:r w:rsidR="004C6B72">
        <w:t xml:space="preserve">, and a connection with Durham has been speculated. </w:t>
      </w:r>
      <w:proofErr w:type="spellStart"/>
      <w:r w:rsidR="00335673">
        <w:t>Roffe</w:t>
      </w:r>
      <w:proofErr w:type="spellEnd"/>
      <w:r w:rsidR="00335673">
        <w:t xml:space="preserve"> </w:t>
      </w:r>
      <w:proofErr w:type="spellStart"/>
      <w:r w:rsidR="00335673">
        <w:t>describs</w:t>
      </w:r>
      <w:proofErr w:type="spellEnd"/>
      <w:r w:rsidR="004C6B72">
        <w:t xml:space="preserve"> the main scribe as likely a northerner and conversant, if nor natively fluent, in English</w:t>
      </w:r>
      <w:r w:rsidR="00335673">
        <w:t xml:space="preserve">, while Harvey suggests a </w:t>
      </w:r>
      <w:proofErr w:type="spellStart"/>
      <w:r w:rsidR="00335673" w:rsidRPr="00335673">
        <w:t>Lotharingian</w:t>
      </w:r>
      <w:proofErr w:type="spellEnd"/>
      <w:r w:rsidR="00335673">
        <w:t xml:space="preserve"> connection</w:t>
      </w:r>
      <w:r w:rsidR="00DD3C10">
        <w:t xml:space="preserve">, possibly via his teacher, by looking at other works likely by his hand </w:t>
      </w:r>
      <w:r w:rsidR="004C6B72" w:rsidRPr="00B05470">
        <w:rPr>
          <w:rStyle w:val="FootnoteReference"/>
        </w:rPr>
        <w:footnoteReference w:id="4"/>
      </w:r>
      <w:r w:rsidR="00DD3C10" w:rsidRPr="00B05470">
        <w:rPr>
          <w:rStyle w:val="FootnoteReference"/>
        </w:rPr>
        <w:footnoteReference w:id="5"/>
      </w:r>
      <w:r w:rsidR="004C6B72">
        <w:t xml:space="preserve">. </w:t>
      </w:r>
    </w:p>
    <w:p w:rsidR="00BF2259" w:rsidRDefault="004C6B72" w:rsidP="00BF2259">
      <w:r>
        <w:t xml:space="preserve">The work is diligent, full of corrections and additions, though this is inconsistent between counties, presumably as it was done over a </w:t>
      </w:r>
      <w:r w:rsidR="007B1092">
        <w:t xml:space="preserve">long </w:t>
      </w:r>
      <w:r>
        <w:t xml:space="preserve">period of time </w:t>
      </w:r>
      <w:r w:rsidR="007B1092">
        <w:t xml:space="preserve">by a single individual with some occasional support </w:t>
      </w:r>
      <w:r>
        <w:t xml:space="preserve">and using the collected notes of those who did the surveys in different styles and levels of intricacy. </w:t>
      </w:r>
    </w:p>
    <w:p w:rsidR="004C6B72" w:rsidRPr="00BF2259" w:rsidRDefault="004C6B72" w:rsidP="005D055F">
      <w:pPr>
        <w:pStyle w:val="Heading2"/>
      </w:pPr>
      <w:r w:rsidRPr="00BF2259">
        <w:t>Little Domesday Book</w:t>
      </w:r>
      <w:r w:rsidR="00832972">
        <w:t xml:space="preserve"> (LDB)</w:t>
      </w:r>
    </w:p>
    <w:p w:rsidR="00BF2259" w:rsidRDefault="004C6B72" w:rsidP="00BF2259">
      <w:r>
        <w:t>Comprising 450 folios detailing Essex, Norfolk and Su</w:t>
      </w:r>
      <w:r w:rsidR="007B1092">
        <w:t xml:space="preserve">ffolk, this work was compiled by seven scribes. Its “quirks” of spelling and devoicing of terminal consonants suggest they came from Continental Europe, although they were clearly proficient in English </w:t>
      </w:r>
      <w:r w:rsidR="007B1092" w:rsidRPr="00B05470">
        <w:rPr>
          <w:rStyle w:val="FootnoteReference"/>
        </w:rPr>
        <w:footnoteReference w:id="6"/>
      </w:r>
      <w:r w:rsidR="007B1092">
        <w:t>. Occasionally, names are listed in a “seemingly haphazard” order</w:t>
      </w:r>
      <w:r w:rsidR="00CB6EBA">
        <w:t xml:space="preserve"> </w:t>
      </w:r>
      <w:r w:rsidR="00CB6EBA" w:rsidRPr="00B05470">
        <w:rPr>
          <w:rStyle w:val="FootnoteReference"/>
        </w:rPr>
        <w:footnoteReference w:id="7"/>
      </w:r>
      <w:r w:rsidR="00CB6EBA">
        <w:t xml:space="preserve"> and “</w:t>
      </w:r>
      <w:r w:rsidR="00CB6EBA" w:rsidRPr="00CB6EBA">
        <w:t>no attempt was made to group manorial appurtenances</w:t>
      </w:r>
      <w:r w:rsidR="00CB6EBA">
        <w:t xml:space="preserve">” </w:t>
      </w:r>
      <w:r w:rsidR="00CB6EBA" w:rsidRPr="00B05470">
        <w:rPr>
          <w:rStyle w:val="FootnoteReference"/>
        </w:rPr>
        <w:footnoteReference w:id="8"/>
      </w:r>
      <w:r w:rsidR="007B1092">
        <w:t xml:space="preserve">, contrasting with the meticulous nature of the Great Domesday. </w:t>
      </w:r>
      <w:r w:rsidR="00444542">
        <w:t xml:space="preserve">While thorough in many respects, </w:t>
      </w:r>
      <w:r w:rsidR="00444542">
        <w:lastRenderedPageBreak/>
        <w:t xml:space="preserve">there is uncertainty about when many of the entries were dates </w:t>
      </w:r>
      <w:r w:rsidR="00E10DA6">
        <w:t>as “it is difficult to determine whether the information given refers to 1066, 1086, some intermediate date, or all three”</w:t>
      </w:r>
      <w:r w:rsidR="00E10DA6" w:rsidRPr="00B05470">
        <w:rPr>
          <w:rStyle w:val="FootnoteReference"/>
        </w:rPr>
        <w:footnoteReference w:id="9"/>
      </w:r>
      <w:r w:rsidR="00BF2259">
        <w:t>.</w:t>
      </w:r>
    </w:p>
    <w:p w:rsidR="00BF2259" w:rsidRDefault="00BF2259" w:rsidP="005D055F">
      <w:pPr>
        <w:pStyle w:val="Heading2"/>
      </w:pPr>
      <w:r>
        <w:t>Liber Exoniensis</w:t>
      </w:r>
      <w:r w:rsidR="00832972">
        <w:t xml:space="preserve"> (Exon)</w:t>
      </w:r>
    </w:p>
    <w:p w:rsidR="00C63201" w:rsidRDefault="00BF2259" w:rsidP="00BF2259">
      <w:r>
        <w:t>Comprising 522 folios</w:t>
      </w:r>
      <w:r w:rsidR="00804EA8">
        <w:t xml:space="preserve"> detailing Wiltshire, Cornwall, Devon, Dorset and Somerset was</w:t>
      </w:r>
      <w:r>
        <w:t xml:space="preserve"> “written by two main scribes and a dozen or so minor scribes (one being the main scribe of GDB)”</w:t>
      </w:r>
      <w:r w:rsidRPr="00B05470">
        <w:rPr>
          <w:rStyle w:val="FootnoteReference"/>
        </w:rPr>
        <w:footnoteReference w:id="10"/>
      </w:r>
      <w:r>
        <w:t xml:space="preserve"> with a continental influence in spelling</w:t>
      </w:r>
      <w:r w:rsidR="00804EA8">
        <w:t xml:space="preserve"> suggesting Norman, rather than Anglo-Saxon, heritage</w:t>
      </w:r>
      <w:r>
        <w:t>. Scribes took over from one another between and, occasionally, within entries</w:t>
      </w:r>
      <w:r w:rsidR="00C63201">
        <w:t>, demonstrating organised collaboration</w:t>
      </w:r>
      <w:r w:rsidR="00034B49">
        <w:t xml:space="preserve">, a “business-like” hand </w:t>
      </w:r>
      <w:r w:rsidR="00034B49" w:rsidRPr="00B05470">
        <w:rPr>
          <w:rStyle w:val="FootnoteReference"/>
        </w:rPr>
        <w:footnoteReference w:id="11"/>
      </w:r>
      <w:r w:rsidR="0020550D">
        <w:t xml:space="preserve"> and a level of professionalism, possible working under direction</w:t>
      </w:r>
      <w:r w:rsidR="00C63201">
        <w:t xml:space="preserve"> </w:t>
      </w:r>
      <w:r w:rsidR="00C63201" w:rsidRPr="00B05470">
        <w:rPr>
          <w:rStyle w:val="FootnoteReference"/>
        </w:rPr>
        <w:footnoteReference w:id="12"/>
      </w:r>
      <w:r w:rsidR="0020550D" w:rsidRPr="00B05470">
        <w:rPr>
          <w:rStyle w:val="FootnoteReference"/>
        </w:rPr>
        <w:footnoteReference w:id="13"/>
      </w:r>
      <w:r>
        <w:t xml:space="preserve">. </w:t>
      </w:r>
    </w:p>
    <w:p w:rsidR="00BF2259" w:rsidRDefault="00BF2259" w:rsidP="00BF2259">
      <w:r>
        <w:t>The text contains corrections and amendments and it is viewed as a series of working documents rather than</w:t>
      </w:r>
      <w:r w:rsidR="00775132">
        <w:t xml:space="preserve"> a completed work, as with GDB. The work shares many similarities with GDB in terms of language, indicating a close relationship between the two, likely in part due to the influence of the ‘main scribe’ of GDB. </w:t>
      </w:r>
      <w:r w:rsidR="00906529">
        <w:t>Interestingly, errors in grammar “in Exon are often copied in GDB”</w:t>
      </w:r>
      <w:r w:rsidR="00832972">
        <w:t xml:space="preserve"> </w:t>
      </w:r>
      <w:r w:rsidR="00906529" w:rsidRPr="00B05470">
        <w:rPr>
          <w:rStyle w:val="FootnoteReference"/>
        </w:rPr>
        <w:footnoteReference w:id="14"/>
      </w:r>
      <w:r w:rsidR="001A47B7">
        <w:t xml:space="preserve"> and “whole lines [of Exon] are missed out; sometimes an entry that turns the page in Exon is not completed in Great Domesday” </w:t>
      </w:r>
      <w:r w:rsidR="001A47B7" w:rsidRPr="00B05470">
        <w:rPr>
          <w:rStyle w:val="FootnoteReference"/>
        </w:rPr>
        <w:footnoteReference w:id="15"/>
      </w:r>
      <w:r w:rsidR="00832972">
        <w:t>.</w:t>
      </w:r>
      <w:r w:rsidR="005D6DBD">
        <w:t xml:space="preserve"> Exon is a view into the process of creating the greater work of Domesday; as with the below-mentioned works it offers insight into the administrative and collaborative reality of a census of such enormous scope. </w:t>
      </w:r>
    </w:p>
    <w:p w:rsidR="00832972" w:rsidRPr="00775132" w:rsidRDefault="00832972" w:rsidP="005D055F">
      <w:pPr>
        <w:pStyle w:val="Heading2"/>
      </w:pPr>
      <w:r w:rsidRPr="00832972">
        <w:t>The Inquisitio Comitatus Cantabrigiensis</w:t>
      </w:r>
      <w:r>
        <w:t xml:space="preserve"> (ICC)</w:t>
      </w:r>
    </w:p>
    <w:p w:rsidR="00BF2259" w:rsidRDefault="00832972" w:rsidP="00BF2259">
      <w:r>
        <w:t xml:space="preserve">This incomplete manuscript contains “a Domesday-like description of estates in Cambridgeshire” </w:t>
      </w:r>
      <w:r w:rsidRPr="00B05470">
        <w:rPr>
          <w:rStyle w:val="FootnoteReference"/>
        </w:rPr>
        <w:footnoteReference w:id="16"/>
      </w:r>
      <w:r>
        <w:t>. Its “drastic economy of expression” and errors suggest it was copied in haste by an uncertain copyist, though it is comprehensive. Similarities between ICC and IE suggest a sharing or reuse of so</w:t>
      </w:r>
      <w:r w:rsidR="00422BF6">
        <w:t>urce material.</w:t>
      </w:r>
    </w:p>
    <w:p w:rsidR="00832972" w:rsidRDefault="00832972" w:rsidP="005D055F">
      <w:pPr>
        <w:pStyle w:val="Heading2"/>
      </w:pPr>
      <w:r>
        <w:t>The Inquistitio Eliensis (IE)</w:t>
      </w:r>
    </w:p>
    <w:p w:rsidR="00422BF6" w:rsidRDefault="00422BF6" w:rsidP="00BF2259">
      <w:r>
        <w:t xml:space="preserve">A compilation of sources, of which three manuscripts survive, on Ely and parts of Cambridgeshire and the surrounding areas. Its prologue claims to list the questions asked in the Domesday inquest, among other information. Parts of IE seem to be a synthesis of information from LDB or ICC and independent work, or a reuse or sharing of source material. </w:t>
      </w:r>
    </w:p>
    <w:p w:rsidR="00422BF6" w:rsidRDefault="00422BF6" w:rsidP="005D055F">
      <w:pPr>
        <w:pStyle w:val="Heading2"/>
      </w:pPr>
      <w:r>
        <w:lastRenderedPageBreak/>
        <w:t>Bath A</w:t>
      </w:r>
    </w:p>
    <w:p w:rsidR="00422BF6" w:rsidRDefault="00422BF6" w:rsidP="00422BF6">
      <w:r>
        <w:t xml:space="preserve">Sharing similarities to Exon in its accounts, though different in organisation, this work is suggested to be a precursor or earlier work than Exon, covering the same area and estates at a different time </w:t>
      </w:r>
      <w:r w:rsidRPr="00B05470">
        <w:rPr>
          <w:rStyle w:val="FootnoteReference"/>
        </w:rPr>
        <w:footnoteReference w:id="17"/>
      </w:r>
      <w:r>
        <w:t xml:space="preserve">. </w:t>
      </w:r>
      <w:r w:rsidR="005D055F">
        <w:t xml:space="preserve">The sources together allow for a more complete view of the areas surveyed and their early date means that their account may have been relevant to the compilation of the Domesday inquest. </w:t>
      </w:r>
    </w:p>
    <w:p w:rsidR="005D055F" w:rsidRDefault="005D055F" w:rsidP="0018473F">
      <w:pPr>
        <w:pStyle w:val="Heading1"/>
      </w:pPr>
      <w:r>
        <w:t>Transcriptions</w:t>
      </w:r>
      <w:r w:rsidR="001D0574">
        <w:t xml:space="preserve"> and Untranslated Copies</w:t>
      </w:r>
    </w:p>
    <w:p w:rsidR="005D055F" w:rsidRPr="005D055F" w:rsidRDefault="0018473F" w:rsidP="005D055F">
      <w:r>
        <w:t>The below texts are divided between two authors and represent two works that form a greater whole. Farley’s initial work brought Domesday forth into a form accessible by wider scholarly audience, and Ellis’ work added usability and reinstated omitted material. They are both significant in they allowed access to, and raised awareness of, a formerly obscure historical resource.</w:t>
      </w:r>
    </w:p>
    <w:p w:rsidR="009E3C28" w:rsidRDefault="000056F5" w:rsidP="005D055F">
      <w:pPr>
        <w:pStyle w:val="Heading2"/>
      </w:pPr>
      <w:r>
        <w:t>Farley, A (1783)</w:t>
      </w:r>
      <w:r w:rsidR="000740CA">
        <w:t xml:space="preserve">: </w:t>
      </w:r>
      <w:r w:rsidR="000740CA">
        <w:rPr>
          <w:rStyle w:val="Emphasis"/>
        </w:rPr>
        <w:t>Domesday Book, seu Liber Censualis Willelmi Primi Regis Angliae</w:t>
      </w:r>
      <w:r w:rsidR="00772687">
        <w:rPr>
          <w:rStyle w:val="Emphasis"/>
        </w:rPr>
        <w:t xml:space="preserve"> </w:t>
      </w:r>
      <w:r w:rsidR="00772687" w:rsidRPr="00B05470">
        <w:rPr>
          <w:rStyle w:val="FootnoteReference"/>
        </w:rPr>
        <w:footnoteReference w:id="18"/>
      </w:r>
    </w:p>
    <w:p w:rsidR="000740CA" w:rsidRDefault="000740CA" w:rsidP="00422BF6">
      <w:r w:rsidRPr="004B7689">
        <w:t>This edition, published in four volumes between. 1783 and 1817</w:t>
      </w:r>
      <w:r w:rsidR="005D5BDE" w:rsidRPr="004B7689">
        <w:t xml:space="preserve"> was</w:t>
      </w:r>
      <w:r w:rsidR="00A06546" w:rsidRPr="004B7689">
        <w:t xml:space="preserve"> ordered by </w:t>
      </w:r>
      <w:r w:rsidR="005D5BDE" w:rsidRPr="004B7689">
        <w:t xml:space="preserve">“printed as nearly as possible to resemble the original” </w:t>
      </w:r>
      <w:r w:rsidR="005D5BDE" w:rsidRPr="00B05470">
        <w:rPr>
          <w:rStyle w:val="FootnoteReference"/>
        </w:rPr>
        <w:footnoteReference w:id="19"/>
      </w:r>
      <w:r w:rsidR="005D5BDE" w:rsidRPr="004B7689">
        <w:t xml:space="preserve">, although in an edited form with neither </w:t>
      </w:r>
      <w:r w:rsidR="00A06546" w:rsidRPr="004B7689">
        <w:t>and index nor</w:t>
      </w:r>
      <w:r w:rsidR="005D5BDE" w:rsidRPr="004B7689">
        <w:t xml:space="preserve"> “extraneous matter”</w:t>
      </w:r>
      <w:r w:rsidR="005D5BDE" w:rsidRPr="00B05470">
        <w:rPr>
          <w:rStyle w:val="FootnoteReference"/>
        </w:rPr>
        <w:footnoteReference w:id="20"/>
      </w:r>
      <w:r w:rsidR="00A06546" w:rsidRPr="004B7689">
        <w:t xml:space="preserve">. </w:t>
      </w:r>
      <w:r w:rsidR="004B7689">
        <w:t>It is almost a typeset facsimile of the original work, containing scribal abbreviations and variant letterforms</w:t>
      </w:r>
      <w:r w:rsidR="00422BF6">
        <w:t xml:space="preserve"> described by </w:t>
      </w:r>
      <w:proofErr w:type="spellStart"/>
      <w:r w:rsidR="00422BF6">
        <w:t>Roffe</w:t>
      </w:r>
      <w:proofErr w:type="spellEnd"/>
      <w:r w:rsidR="00422BF6">
        <w:t xml:space="preserve"> as</w:t>
      </w:r>
      <w:r w:rsidR="00335673">
        <w:t xml:space="preserve"> being</w:t>
      </w:r>
      <w:r w:rsidR="00422BF6">
        <w:t xml:space="preserve"> “relatively non-interpretative” </w:t>
      </w:r>
      <w:r w:rsidR="00422BF6" w:rsidRPr="00B05470">
        <w:rPr>
          <w:rStyle w:val="FootnoteReference"/>
        </w:rPr>
        <w:footnoteReference w:id="21"/>
      </w:r>
      <w:r w:rsidR="00422BF6">
        <w:t>.</w:t>
      </w:r>
      <w:r w:rsidR="004B7689">
        <w:t xml:space="preserve"> It is limited, though, by its lack of an index.</w:t>
      </w:r>
      <w:r w:rsidR="009D2FFD">
        <w:t xml:space="preserve"> Form volumes 1 and 2 with Ellis. </w:t>
      </w:r>
    </w:p>
    <w:p w:rsidR="000056F5" w:rsidRPr="00772687" w:rsidRDefault="00772687" w:rsidP="005D055F">
      <w:pPr>
        <w:pStyle w:val="Heading2"/>
      </w:pPr>
      <w:r>
        <w:t xml:space="preserve">Farley, A &amp; </w:t>
      </w:r>
      <w:r w:rsidR="000056F5">
        <w:t xml:space="preserve">Ellis, H (1816) </w:t>
      </w:r>
      <w:r w:rsidR="000056F5" w:rsidRPr="00772687">
        <w:t xml:space="preserve">Libri censualis, vocati Domesday-book, additamenta ex codic. </w:t>
      </w:r>
      <w:r w:rsidRPr="00772687">
        <w:t>Antiquiss</w:t>
      </w:r>
      <w:r w:rsidR="000056F5" w:rsidRPr="00772687">
        <w:t>. Exon' domesday, inquisitio Eliensis, liber Winton', Boldon book</w:t>
      </w:r>
      <w:r>
        <w:t xml:space="preserve"> </w:t>
      </w:r>
      <w:r w:rsidRPr="00B05470">
        <w:rPr>
          <w:rStyle w:val="FootnoteReference"/>
        </w:rPr>
        <w:footnoteReference w:id="22"/>
      </w:r>
    </w:p>
    <w:p w:rsidR="000056F5" w:rsidRDefault="000056F5" w:rsidP="000056F5">
      <w:r>
        <w:t xml:space="preserve">Commissioned and written as a supplement to Farley’s text, </w:t>
      </w:r>
      <w:r w:rsidR="005D055F">
        <w:t xml:space="preserve">Ellis’ additions of </w:t>
      </w:r>
      <w:r w:rsidR="009D2FFD">
        <w:t xml:space="preserve">indices and materials pertaining to several West Country counties drawn from </w:t>
      </w:r>
      <w:r w:rsidR="005D055F">
        <w:t>Exon and other sources completes and</w:t>
      </w:r>
      <w:r w:rsidR="009E5DDE">
        <w:t xml:space="preserve"> complements the first two volumes, combining Farley’s labour of love and Ellis’ experience as a librarian and antiquarian</w:t>
      </w:r>
      <w:r w:rsidR="009D2FFD">
        <w:t xml:space="preserve">. </w:t>
      </w:r>
      <w:r w:rsidR="00471A46">
        <w:t xml:space="preserve">This edition completes the Domesday as is largely understood today. </w:t>
      </w:r>
    </w:p>
    <w:p w:rsidR="00347337" w:rsidRDefault="0018473F" w:rsidP="0018473F">
      <w:pPr>
        <w:pStyle w:val="Heading2"/>
      </w:pPr>
      <w:r>
        <w:lastRenderedPageBreak/>
        <w:t>James</w:t>
      </w:r>
      <w:r w:rsidR="001D0574">
        <w:t xml:space="preserve">, H (1863) </w:t>
      </w:r>
      <w:r w:rsidR="001D0574" w:rsidRPr="001D0574">
        <w:t>Domesday book; or, The great survey of England of William the Conqueror</w:t>
      </w:r>
      <w:r w:rsidR="001D0574">
        <w:t xml:space="preserve"> </w:t>
      </w:r>
      <w:r w:rsidR="001D0574" w:rsidRPr="00B05470">
        <w:rPr>
          <w:rStyle w:val="FootnoteReference"/>
        </w:rPr>
        <w:footnoteReference w:id="23"/>
      </w:r>
    </w:p>
    <w:p w:rsidR="001D0574" w:rsidRDefault="006C3463" w:rsidP="001D0574">
      <w:r>
        <w:t>Produced by Ordinance Survey, this is t</w:t>
      </w:r>
      <w:r w:rsidR="001D0574">
        <w:t>he first photographical copy of Domesday, starting with Cornwall as a ‘pilot’</w:t>
      </w:r>
      <w:r>
        <w:t xml:space="preserve">, covering much of GDB, except for Kent, which was already produced using the most expensive process of lithography </w:t>
      </w:r>
      <w:r w:rsidRPr="00B05470">
        <w:rPr>
          <w:rStyle w:val="FootnoteReference"/>
        </w:rPr>
        <w:footnoteReference w:id="24"/>
      </w:r>
      <w:r>
        <w:t xml:space="preserve">. </w:t>
      </w:r>
    </w:p>
    <w:p w:rsidR="00C00CBD" w:rsidRPr="001D0574" w:rsidRDefault="00C00CBD" w:rsidP="00C00CBD">
      <w:pPr>
        <w:pStyle w:val="Heading1"/>
      </w:pPr>
      <w:r>
        <w:t xml:space="preserve">Translated and </w:t>
      </w:r>
      <w:proofErr w:type="gramStart"/>
      <w:r>
        <w:t>modern day</w:t>
      </w:r>
      <w:proofErr w:type="gramEnd"/>
      <w:r>
        <w:t xml:space="preserve"> resources</w:t>
      </w:r>
    </w:p>
    <w:p w:rsidR="001D0574" w:rsidRDefault="00F3541D" w:rsidP="00F3541D">
      <w:pPr>
        <w:pStyle w:val="Heading2"/>
      </w:pPr>
      <w:r>
        <w:t>Williams, A &amp; Martin, G (2002) Domesday: A Complete Translation</w:t>
      </w:r>
      <w:r w:rsidR="00D92ACB" w:rsidRPr="00B05470">
        <w:rPr>
          <w:rStyle w:val="FootnoteReference"/>
        </w:rPr>
        <w:footnoteReference w:id="25"/>
      </w:r>
    </w:p>
    <w:p w:rsidR="00F3541D" w:rsidRDefault="00F3541D" w:rsidP="00F3541D">
      <w:r>
        <w:t xml:space="preserve">“A </w:t>
      </w:r>
      <w:proofErr w:type="gramStart"/>
      <w:r>
        <w:t>high quality</w:t>
      </w:r>
      <w:proofErr w:type="gramEnd"/>
      <w:r>
        <w:t xml:space="preserve"> colour facsimile of both Great and Little Domesday” </w:t>
      </w:r>
      <w:r w:rsidR="00DA0683" w:rsidRPr="00B05470">
        <w:rPr>
          <w:rStyle w:val="FootnoteReference"/>
        </w:rPr>
        <w:footnoteReference w:id="26"/>
      </w:r>
      <w:r w:rsidR="00DA0683">
        <w:t xml:space="preserve"> as well as a translation into modern English, with an index and glossary. </w:t>
      </w:r>
      <w:r w:rsidR="00C00CBD">
        <w:t xml:space="preserve">This edition, as with Farley &amp; Ellis, allowed for greater academic access without the need to learn medieval Latin allowing researchers from wider fields to make use of the text, as well as furthering public interest in Domesday. To a researcher, its accessibility is a key feature. </w:t>
      </w:r>
    </w:p>
    <w:p w:rsidR="00C00CBD" w:rsidRDefault="00C00CBD" w:rsidP="00C00CBD">
      <w:pPr>
        <w:pStyle w:val="Heading2"/>
      </w:pPr>
      <w:r>
        <w:t>Hull Domesday Project</w:t>
      </w:r>
      <w:r w:rsidRPr="00B05470">
        <w:rPr>
          <w:rStyle w:val="FootnoteReference"/>
        </w:rPr>
        <w:footnoteReference w:id="27"/>
      </w:r>
    </w:p>
    <w:p w:rsidR="00C00CBD" w:rsidRPr="00C00CBD" w:rsidRDefault="006C6BD5" w:rsidP="00C00CBD">
      <w:r>
        <w:t xml:space="preserve">One of the earliest breakthroughs </w:t>
      </w:r>
      <w:r w:rsidR="0012578F">
        <w:t xml:space="preserve">to allow quick searches using (then) modern technology. </w:t>
      </w:r>
      <w:r w:rsidR="00B05470">
        <w:t>While initially accessed via bespoke software, the true legacy of this project was the creation of an electronic edition</w:t>
      </w:r>
      <w:r w:rsidR="00B05470">
        <w:rPr>
          <w:rStyle w:val="FootnoteReference"/>
        </w:rPr>
        <w:footnoteReference w:id="28"/>
      </w:r>
      <w:r w:rsidR="00B05470">
        <w:t xml:space="preserve"> that can be searched and cross-referenced as a dataset by modern technology,</w:t>
      </w:r>
      <w:r w:rsidR="00277605">
        <w:t xml:space="preserve"> allowing more flexibility than before. </w:t>
      </w:r>
    </w:p>
    <w:p w:rsidR="00C00CBD" w:rsidRDefault="00C00CBD" w:rsidP="00C00CBD">
      <w:pPr>
        <w:pStyle w:val="Heading2"/>
      </w:pPr>
      <w:r>
        <w:t>Open Domesday</w:t>
      </w:r>
      <w:r w:rsidRPr="00B05470">
        <w:rPr>
          <w:rStyle w:val="FootnoteReference"/>
        </w:rPr>
        <w:footnoteReference w:id="29"/>
      </w:r>
    </w:p>
    <w:p w:rsidR="00C00CBD" w:rsidRPr="00C00CBD" w:rsidRDefault="00C00CBD" w:rsidP="00C00CBD">
      <w:r>
        <w:t xml:space="preserve">The “first free online copy of the </w:t>
      </w:r>
      <w:proofErr w:type="spellStart"/>
      <w:r>
        <w:t>Domeday</w:t>
      </w:r>
      <w:proofErr w:type="spellEnd"/>
      <w:r>
        <w:t xml:space="preserve"> Book”, using data gather</w:t>
      </w:r>
      <w:r w:rsidR="00683B7A">
        <w:t xml:space="preserve">ed by the Hull Domesday Project, searchable by location. </w:t>
      </w:r>
      <w:r w:rsidR="0012578F">
        <w:t>While more complex data searches are not possib</w:t>
      </w:r>
      <w:r w:rsidR="00A251AB">
        <w:t xml:space="preserve">le, its ease of use and Google Maps integration makes it accessible to </w:t>
      </w:r>
      <w:r w:rsidR="007B34EE">
        <w:t xml:space="preserve">researchers performing quick historical searches of an area. </w:t>
      </w:r>
    </w:p>
    <w:p w:rsidR="00F3541D" w:rsidRPr="001D0574" w:rsidRDefault="00F3541D" w:rsidP="001D0574"/>
    <w:p w:rsidR="00772687" w:rsidRDefault="00772687" w:rsidP="00772687">
      <w:pPr>
        <w:pStyle w:val="Heading2"/>
      </w:pPr>
      <w:r>
        <w:lastRenderedPageBreak/>
        <w:t>References</w:t>
      </w:r>
    </w:p>
    <w:p w:rsidR="00B05470" w:rsidRPr="00B05470" w:rsidRDefault="00772687" w:rsidP="00B05470">
      <w:pPr>
        <w:pStyle w:val="Bibliography"/>
        <w:rPr>
          <w:rFonts w:ascii="Calibri" w:hAnsi="Calibri" w:cs="Calibri"/>
        </w:rPr>
      </w:pPr>
      <w:r>
        <w:fldChar w:fldCharType="begin"/>
      </w:r>
      <w:r w:rsidR="001D0574">
        <w:instrText xml:space="preserve"> ADDIN ZOTERO_BIBL {"uncited":[],"omitted":[],"custom":[]} CSL_BIBLIOGRAPHY </w:instrText>
      </w:r>
      <w:r>
        <w:fldChar w:fldCharType="separate"/>
      </w:r>
      <w:r w:rsidR="00B05470" w:rsidRPr="00B05470">
        <w:rPr>
          <w:rFonts w:ascii="Calibri" w:hAnsi="Calibri" w:cs="Calibri"/>
        </w:rPr>
        <w:t>Archives, The National, ‘Domesday Book - Domesday Legacy’ &lt;http://www.nationalarchives.gov.uk/domesday/discover-domesday/domesday-legacy.htm&gt; [accessed 6 May 2018]</w:t>
      </w:r>
    </w:p>
    <w:p w:rsidR="00B05470" w:rsidRPr="00B05470" w:rsidRDefault="00B05470" w:rsidP="00B05470">
      <w:pPr>
        <w:pStyle w:val="Bibliography"/>
        <w:rPr>
          <w:rFonts w:ascii="Calibri" w:hAnsi="Calibri" w:cs="Calibri"/>
        </w:rPr>
      </w:pPr>
      <w:r w:rsidRPr="00B05470">
        <w:rPr>
          <w:rFonts w:ascii="Calibri" w:hAnsi="Calibri" w:cs="Calibri"/>
        </w:rPr>
        <w:t>Church, Stephen, ‘The Exchequer Cloth, c. 1176-1832: The Calculator; the Game of Chess, and the Process of Photozincography’, 2012</w:t>
      </w:r>
    </w:p>
    <w:p w:rsidR="00B05470" w:rsidRPr="00B05470" w:rsidRDefault="00B05470" w:rsidP="00B05470">
      <w:pPr>
        <w:pStyle w:val="Bibliography"/>
        <w:rPr>
          <w:rFonts w:ascii="Calibri" w:hAnsi="Calibri" w:cs="Calibri"/>
        </w:rPr>
      </w:pPr>
      <w:r w:rsidRPr="00B05470">
        <w:rPr>
          <w:rFonts w:ascii="Calibri" w:hAnsi="Calibri" w:cs="Calibri"/>
        </w:rPr>
        <w:t xml:space="preserve">‘Domesday Book.’, </w:t>
      </w:r>
      <w:r w:rsidRPr="00B05470">
        <w:rPr>
          <w:rFonts w:ascii="Calibri" w:hAnsi="Calibri" w:cs="Calibri"/>
          <w:i/>
          <w:iCs/>
        </w:rPr>
        <w:t>The Saturday Magazine; London</w:t>
      </w:r>
      <w:r w:rsidRPr="00B05470">
        <w:rPr>
          <w:rFonts w:ascii="Calibri" w:hAnsi="Calibri" w:cs="Calibri"/>
        </w:rPr>
        <w:t>, 17 (1840), 26–27</w:t>
      </w:r>
    </w:p>
    <w:p w:rsidR="00B05470" w:rsidRPr="00B05470" w:rsidRDefault="00B05470" w:rsidP="00B05470">
      <w:pPr>
        <w:pStyle w:val="Bibliography"/>
        <w:rPr>
          <w:rFonts w:ascii="Calibri" w:hAnsi="Calibri" w:cs="Calibri"/>
        </w:rPr>
      </w:pPr>
      <w:r w:rsidRPr="00B05470">
        <w:rPr>
          <w:rFonts w:ascii="Calibri" w:hAnsi="Calibri" w:cs="Calibri"/>
        </w:rPr>
        <w:t xml:space="preserve">Farley, Abraham, ed., </w:t>
      </w:r>
      <w:r w:rsidRPr="00B05470">
        <w:rPr>
          <w:rFonts w:ascii="Calibri" w:hAnsi="Calibri" w:cs="Calibri"/>
          <w:i/>
          <w:iCs/>
        </w:rPr>
        <w:t>Domesday-Book, Seu Liber Censualis Willelmi Primi Regis Angliæ : Inter Archivos Regni in Domo Capitulari Westmonasterii Asseruatus</w:t>
      </w:r>
      <w:r w:rsidRPr="00B05470">
        <w:rPr>
          <w:rFonts w:ascii="Calibri" w:hAnsi="Calibri" w:cs="Calibri"/>
        </w:rPr>
        <w:t>, 4 vols (London, 1783)</w:t>
      </w:r>
    </w:p>
    <w:p w:rsidR="00B05470" w:rsidRPr="00B05470" w:rsidRDefault="00B05470" w:rsidP="00B05470">
      <w:pPr>
        <w:pStyle w:val="Bibliography"/>
        <w:rPr>
          <w:rFonts w:ascii="Calibri" w:hAnsi="Calibri" w:cs="Calibri"/>
        </w:rPr>
      </w:pPr>
      <w:r w:rsidRPr="00B05470">
        <w:rPr>
          <w:rFonts w:ascii="Calibri" w:hAnsi="Calibri" w:cs="Calibri"/>
        </w:rPr>
        <w:t xml:space="preserve">Farley, Abraham., and Henry Ellis, eds., </w:t>
      </w:r>
      <w:r w:rsidRPr="00B05470">
        <w:rPr>
          <w:rFonts w:ascii="Calibri" w:hAnsi="Calibri" w:cs="Calibri"/>
          <w:i/>
          <w:iCs/>
        </w:rPr>
        <w:t>Libri Censualis, Vocati Domesday-Book, Additamenta Ex Codic. Antiquiss. Exon’ Domesday, Inquisitio Eliensis, Liber Winton’, Boldon Book</w:t>
      </w:r>
      <w:r w:rsidRPr="00B05470">
        <w:rPr>
          <w:rFonts w:ascii="Calibri" w:hAnsi="Calibri" w:cs="Calibri"/>
        </w:rPr>
        <w:t>, Record Commissioners 6-7 (London, 1816)</w:t>
      </w:r>
    </w:p>
    <w:p w:rsidR="00B05470" w:rsidRPr="00B05470" w:rsidRDefault="00B05470" w:rsidP="00B05470">
      <w:pPr>
        <w:pStyle w:val="Bibliography"/>
        <w:rPr>
          <w:rFonts w:ascii="Calibri" w:hAnsi="Calibri" w:cs="Calibri"/>
        </w:rPr>
      </w:pPr>
      <w:r w:rsidRPr="00B05470">
        <w:rPr>
          <w:rFonts w:ascii="Calibri" w:hAnsi="Calibri" w:cs="Calibri"/>
        </w:rPr>
        <w:t xml:space="preserve">Harvey, Sally, </w:t>
      </w:r>
      <w:r w:rsidRPr="00B05470">
        <w:rPr>
          <w:rFonts w:ascii="Calibri" w:hAnsi="Calibri" w:cs="Calibri"/>
          <w:i/>
          <w:iCs/>
        </w:rPr>
        <w:t>Domesday: Book of Judgement</w:t>
      </w:r>
      <w:r w:rsidRPr="00B05470">
        <w:rPr>
          <w:rFonts w:ascii="Calibri" w:hAnsi="Calibri" w:cs="Calibri"/>
        </w:rPr>
        <w:t>, First edition (Oxford: Oxford University Press, 2014)</w:t>
      </w:r>
    </w:p>
    <w:p w:rsidR="00B05470" w:rsidRPr="00B05470" w:rsidRDefault="00B05470" w:rsidP="00B05470">
      <w:pPr>
        <w:pStyle w:val="Bibliography"/>
        <w:rPr>
          <w:rFonts w:ascii="Calibri" w:hAnsi="Calibri" w:cs="Calibri"/>
        </w:rPr>
      </w:pPr>
      <w:r w:rsidRPr="00B05470">
        <w:rPr>
          <w:rFonts w:ascii="Calibri" w:hAnsi="Calibri" w:cs="Calibri"/>
        </w:rPr>
        <w:t>‘Hull Domesday Project’ &lt;http://www.domesdaybook.net/home&gt; [accessed 18 May 2018]</w:t>
      </w:r>
    </w:p>
    <w:p w:rsidR="00B05470" w:rsidRPr="00B05470" w:rsidRDefault="00B05470" w:rsidP="00B05470">
      <w:pPr>
        <w:pStyle w:val="Bibliography"/>
        <w:rPr>
          <w:rFonts w:ascii="Calibri" w:hAnsi="Calibri" w:cs="Calibri"/>
        </w:rPr>
      </w:pPr>
      <w:r w:rsidRPr="00B05470">
        <w:rPr>
          <w:rFonts w:ascii="Calibri" w:hAnsi="Calibri" w:cs="Calibri"/>
        </w:rPr>
        <w:t xml:space="preserve">James, Henry, </w:t>
      </w:r>
      <w:r w:rsidRPr="00B05470">
        <w:rPr>
          <w:rFonts w:ascii="Calibri" w:hAnsi="Calibri" w:cs="Calibri"/>
          <w:i/>
          <w:iCs/>
        </w:rPr>
        <w:t>Domesday Book: Or, The Great Survey of England of William the Conqueror AD MLXXXVI</w:t>
      </w:r>
      <w:r w:rsidRPr="00B05470">
        <w:rPr>
          <w:rFonts w:ascii="Calibri" w:hAnsi="Calibri" w:cs="Calibri"/>
        </w:rPr>
        <w:t xml:space="preserve"> (Ordnance Survey Office, 1862), </w:t>
      </w:r>
      <w:r w:rsidRPr="00B05470">
        <w:rPr>
          <w:rFonts w:ascii="Calibri" w:hAnsi="Calibri" w:cs="Calibri"/>
          <w:smallCaps/>
        </w:rPr>
        <w:t>xxxi</w:t>
      </w:r>
    </w:p>
    <w:p w:rsidR="00B05470" w:rsidRPr="00B05470" w:rsidRDefault="00B05470" w:rsidP="00B05470">
      <w:pPr>
        <w:pStyle w:val="Bibliography"/>
        <w:rPr>
          <w:rFonts w:ascii="Calibri" w:hAnsi="Calibri" w:cs="Calibri"/>
        </w:rPr>
      </w:pPr>
      <w:r w:rsidRPr="00B05470">
        <w:rPr>
          <w:rFonts w:ascii="Calibri" w:hAnsi="Calibri" w:cs="Calibri"/>
        </w:rPr>
        <w:t xml:space="preserve">Palmer, J., </w:t>
      </w:r>
      <w:r w:rsidRPr="00B05470">
        <w:rPr>
          <w:rFonts w:ascii="Calibri" w:hAnsi="Calibri" w:cs="Calibri"/>
          <w:i/>
          <w:iCs/>
        </w:rPr>
        <w:t>Electronic Edition of Domesday Book: Translation, Databases and Scholarly Commentary, 1086; Second Edition</w:t>
      </w:r>
      <w:r w:rsidRPr="00B05470">
        <w:rPr>
          <w:rFonts w:ascii="Calibri" w:hAnsi="Calibri" w:cs="Calibri"/>
        </w:rPr>
        <w:t xml:space="preserve"> (UK Data Service, 2010)</w:t>
      </w:r>
    </w:p>
    <w:p w:rsidR="00B05470" w:rsidRPr="00B05470" w:rsidRDefault="00B05470" w:rsidP="00B05470">
      <w:pPr>
        <w:pStyle w:val="Bibliography"/>
        <w:rPr>
          <w:rFonts w:ascii="Calibri" w:hAnsi="Calibri" w:cs="Calibri"/>
        </w:rPr>
      </w:pPr>
      <w:r w:rsidRPr="00B05470">
        <w:rPr>
          <w:rFonts w:ascii="Calibri" w:hAnsi="Calibri" w:cs="Calibri"/>
        </w:rPr>
        <w:t>Powell-Smith, A, and J. J. N Palmer, ‘Open Domesday’ &lt;http://opendomesday.org/&gt; [accessed 18 May 2018]</w:t>
      </w:r>
    </w:p>
    <w:p w:rsidR="00B05470" w:rsidRPr="00B05470" w:rsidRDefault="00B05470" w:rsidP="00B05470">
      <w:pPr>
        <w:pStyle w:val="Bibliography"/>
        <w:rPr>
          <w:rFonts w:ascii="Calibri" w:hAnsi="Calibri" w:cs="Calibri"/>
        </w:rPr>
      </w:pPr>
      <w:r w:rsidRPr="00B05470">
        <w:rPr>
          <w:rFonts w:ascii="Calibri" w:hAnsi="Calibri" w:cs="Calibri"/>
        </w:rPr>
        <w:t xml:space="preserve">Roffe, David, </w:t>
      </w:r>
      <w:r w:rsidRPr="00B05470">
        <w:rPr>
          <w:rFonts w:ascii="Calibri" w:hAnsi="Calibri" w:cs="Calibri"/>
          <w:i/>
          <w:iCs/>
        </w:rPr>
        <w:t>Decoding Domesday</w:t>
      </w:r>
      <w:r w:rsidRPr="00B05470">
        <w:rPr>
          <w:rFonts w:ascii="Calibri" w:hAnsi="Calibri" w:cs="Calibri"/>
        </w:rPr>
        <w:t xml:space="preserve"> (Woodbridge, Suffolk: Boydell Press, 2007)</w:t>
      </w:r>
    </w:p>
    <w:p w:rsidR="00B05470" w:rsidRPr="00B05470" w:rsidRDefault="00B05470" w:rsidP="00B05470">
      <w:pPr>
        <w:pStyle w:val="Bibliography"/>
        <w:rPr>
          <w:rFonts w:ascii="Calibri" w:hAnsi="Calibri" w:cs="Calibri"/>
        </w:rPr>
      </w:pPr>
      <w:r w:rsidRPr="00B05470">
        <w:rPr>
          <w:rFonts w:ascii="Calibri" w:hAnsi="Calibri" w:cs="Calibri"/>
        </w:rPr>
        <w:t xml:space="preserve">———, </w:t>
      </w:r>
      <w:r w:rsidRPr="00B05470">
        <w:rPr>
          <w:rFonts w:ascii="Calibri" w:hAnsi="Calibri" w:cs="Calibri"/>
          <w:i/>
          <w:iCs/>
        </w:rPr>
        <w:t>Domesday: The Inquest and the Book</w:t>
      </w:r>
      <w:r w:rsidRPr="00B05470">
        <w:rPr>
          <w:rFonts w:ascii="Calibri" w:hAnsi="Calibri" w:cs="Calibri"/>
        </w:rPr>
        <w:t xml:space="preserve"> (Oxford: Oxford University Press, 2000)</w:t>
      </w:r>
    </w:p>
    <w:p w:rsidR="00B05470" w:rsidRPr="00B05470" w:rsidRDefault="00B05470" w:rsidP="00B05470">
      <w:pPr>
        <w:pStyle w:val="Bibliography"/>
        <w:rPr>
          <w:rFonts w:ascii="Calibri" w:hAnsi="Calibri" w:cs="Calibri"/>
        </w:rPr>
      </w:pPr>
      <w:r w:rsidRPr="00B05470">
        <w:rPr>
          <w:rFonts w:ascii="Calibri" w:hAnsi="Calibri" w:cs="Calibri"/>
        </w:rPr>
        <w:t xml:space="preserve">Williams, Ann, and GH Martin, eds., </w:t>
      </w:r>
      <w:r w:rsidRPr="00B05470">
        <w:rPr>
          <w:rFonts w:ascii="Calibri" w:hAnsi="Calibri" w:cs="Calibri"/>
          <w:i/>
          <w:iCs/>
        </w:rPr>
        <w:t>Domesday Book: A Complete Translation</w:t>
      </w:r>
      <w:r w:rsidRPr="00B05470">
        <w:rPr>
          <w:rFonts w:ascii="Calibri" w:hAnsi="Calibri" w:cs="Calibri"/>
        </w:rPr>
        <w:t xml:space="preserve"> (London: Penguin Books, 2002)</w:t>
      </w:r>
    </w:p>
    <w:p w:rsidR="00772687" w:rsidRPr="00772687" w:rsidRDefault="00772687" w:rsidP="00772687">
      <w:r>
        <w:fldChar w:fldCharType="end"/>
      </w:r>
    </w:p>
    <w:p w:rsidR="00772687" w:rsidRPr="00772687" w:rsidRDefault="00772687" w:rsidP="00772687"/>
    <w:sectPr w:rsidR="00772687" w:rsidRPr="007726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30B8" w:rsidRDefault="00E730B8" w:rsidP="00235890">
      <w:pPr>
        <w:spacing w:after="0" w:line="240" w:lineRule="auto"/>
      </w:pPr>
      <w:r>
        <w:separator/>
      </w:r>
    </w:p>
  </w:endnote>
  <w:endnote w:type="continuationSeparator" w:id="0">
    <w:p w:rsidR="00E730B8" w:rsidRDefault="00E730B8" w:rsidP="002358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30B8" w:rsidRDefault="00E730B8" w:rsidP="00235890">
      <w:pPr>
        <w:spacing w:after="0" w:line="240" w:lineRule="auto"/>
      </w:pPr>
      <w:r>
        <w:separator/>
      </w:r>
    </w:p>
  </w:footnote>
  <w:footnote w:type="continuationSeparator" w:id="0">
    <w:p w:rsidR="00E730B8" w:rsidRDefault="00E730B8" w:rsidP="00235890">
      <w:pPr>
        <w:spacing w:after="0" w:line="240" w:lineRule="auto"/>
      </w:pPr>
      <w:r>
        <w:continuationSeparator/>
      </w:r>
    </w:p>
  </w:footnote>
  <w:footnote w:id="1">
    <w:p w:rsidR="005D055F" w:rsidRDefault="005D055F">
      <w:pPr>
        <w:pStyle w:val="FootnoteText"/>
      </w:pPr>
      <w:r w:rsidRPr="00B05470">
        <w:rPr>
          <w:rStyle w:val="FootnoteReference"/>
        </w:rPr>
        <w:footnoteRef/>
      </w:r>
      <w:r>
        <w:t xml:space="preserve"> </w:t>
      </w:r>
      <w:r>
        <w:fldChar w:fldCharType="begin"/>
      </w:r>
      <w:r>
        <w:instrText xml:space="preserve"> ADDIN ZOTERO_ITEM CSL_CITATION {"citationID":"wRh08Xuf","properties":{"formattedCitation":"David Roffe, {\\i{}Domesday: The Inquest and the Book} (Oxford: Oxford University Press, 2000), pp. 101\\uc0\\u8211{}17.","plainCitation":"David Roffe, Domesday: The Inquest and the Book (Oxford: Oxford University Press, 2000), pp. 101–17.","noteIndex":1},"citationItems":[{"id":511,"uris":["http://zotero.org/users/685164/items/52UJY3UU"],"uri":["http://zotero.org/users/685164/items/52UJY3UU"],"itemData":{"id":511,"type":"book","title":"Domesday: the inquest and the book","publisher":"Oxford University Press","publisher-place":"Oxford","number-of-pages":"282","source":"Library of Congress ISBN","event-place":"Oxford","ISBN":"978-0-19-820847-1","call-number":"DA190.D7 R64 2000","shortTitle":"Domesday","author":[{"family":"Roffe","given":"David"}],"issued":{"date-parts":[["2000"]]}},"locator":"101-117"}],"schema":"https://github.com/citation-style-language/schema/raw/master/csl-citation.json"} </w:instrText>
      </w:r>
      <w:r>
        <w:fldChar w:fldCharType="separate"/>
      </w:r>
      <w:r w:rsidRPr="005D055F">
        <w:rPr>
          <w:rFonts w:ascii="Calibri" w:hAnsi="Calibri" w:cs="Calibri"/>
          <w:szCs w:val="24"/>
        </w:rPr>
        <w:t xml:space="preserve">David Roffe, </w:t>
      </w:r>
      <w:r w:rsidRPr="005D055F">
        <w:rPr>
          <w:rFonts w:ascii="Calibri" w:hAnsi="Calibri" w:cs="Calibri"/>
          <w:i/>
          <w:iCs/>
          <w:szCs w:val="24"/>
        </w:rPr>
        <w:t>Domesday: The Inquest and the Book</w:t>
      </w:r>
      <w:r w:rsidRPr="005D055F">
        <w:rPr>
          <w:rFonts w:ascii="Calibri" w:hAnsi="Calibri" w:cs="Calibri"/>
          <w:szCs w:val="24"/>
        </w:rPr>
        <w:t xml:space="preserve"> (Oxford: Oxford University Press, 2000), pp. 101–17.</w:t>
      </w:r>
      <w:r>
        <w:fldChar w:fldCharType="end"/>
      </w:r>
    </w:p>
  </w:footnote>
  <w:footnote w:id="2">
    <w:p w:rsidR="00034B49" w:rsidRDefault="00034B49">
      <w:pPr>
        <w:pStyle w:val="FootnoteText"/>
      </w:pPr>
      <w:r w:rsidRPr="00B05470">
        <w:rPr>
          <w:rStyle w:val="FootnoteReference"/>
        </w:rPr>
        <w:footnoteRef/>
      </w:r>
      <w:r>
        <w:t xml:space="preserve"> </w:t>
      </w:r>
      <w:r>
        <w:fldChar w:fldCharType="begin"/>
      </w:r>
      <w:r w:rsidR="005D055F">
        <w:instrText xml:space="preserve"> ADDIN ZOTERO_ITEM CSL_CITATION {"citationID":"1QGpdzvC","properties":{"formattedCitation":"David Roffe, {\\i{}Decoding Domesday} (Woodbridge, Suffolk: Boydell Press, 2007), p. 41.","plainCitation":"David Roffe, Decoding Domesday (Woodbridge, Suffolk: Boydell Press, 2007), p. 41.","noteIndex":2},"citationItems":[{"id":512,"uris":["http://zotero.org/users/685164/items/QTD4WAVK"],"uri":["http://zotero.org/users/685164/items/QTD4WAVK"],"itemData":{"id":512,"type":"book","title":"Decoding Domesday","publisher":"Boydell Press","publisher-place":"Woodbridge, Suffolk","number-of-pages":"374","source":"Gemeinsamer Bibliotheksverbund ISBN","event-place":"Woodbridge, Suffolk","ISBN":"978-1-84383-307-9","note":"OCLC: 237146261","language":"eng","author":[{"family":"Roffe","given":"David"}],"issued":{"date-parts":[["2007"]]}},"locator":"41"}],"schema":"https://github.com/citation-style-language/schema/raw/master/csl-citation.json"} </w:instrText>
      </w:r>
      <w:r>
        <w:fldChar w:fldCharType="separate"/>
      </w:r>
      <w:r w:rsidRPr="00034B49">
        <w:rPr>
          <w:rFonts w:ascii="Calibri" w:hAnsi="Calibri" w:cs="Calibri"/>
          <w:szCs w:val="24"/>
        </w:rPr>
        <w:t xml:space="preserve">David Roffe, </w:t>
      </w:r>
      <w:r w:rsidRPr="00034B49">
        <w:rPr>
          <w:rFonts w:ascii="Calibri" w:hAnsi="Calibri" w:cs="Calibri"/>
          <w:i/>
          <w:iCs/>
          <w:szCs w:val="24"/>
        </w:rPr>
        <w:t>Decoding Domesday</w:t>
      </w:r>
      <w:r w:rsidRPr="00034B49">
        <w:rPr>
          <w:rFonts w:ascii="Calibri" w:hAnsi="Calibri" w:cs="Calibri"/>
          <w:szCs w:val="24"/>
        </w:rPr>
        <w:t xml:space="preserve"> (Woodbridge, Suffolk: Boydell Press, 2007), p. 41.</w:t>
      </w:r>
      <w:r>
        <w:fldChar w:fldCharType="end"/>
      </w:r>
    </w:p>
  </w:footnote>
  <w:footnote w:id="3">
    <w:p w:rsidR="004C6B72" w:rsidRDefault="004C6B72">
      <w:pPr>
        <w:pStyle w:val="FootnoteText"/>
      </w:pPr>
      <w:r w:rsidRPr="00B05470">
        <w:rPr>
          <w:rStyle w:val="FootnoteReference"/>
        </w:rPr>
        <w:footnoteRef/>
      </w:r>
      <w:r>
        <w:t xml:space="preserve"> </w:t>
      </w:r>
      <w:r>
        <w:fldChar w:fldCharType="begin"/>
      </w:r>
      <w:r w:rsidR="005D055F">
        <w:instrText xml:space="preserve"> ADDIN ZOTERO_ITEM CSL_CITATION {"citationID":"uci22JBw","properties":{"formattedCitation":"Roffe, {\\i{}Domesday}, p. 73.","plainCitation":"Roffe, Domesday, p. 73.","noteIndex":3},"citationItems":[{"id":511,"uris":["http://zotero.org/users/685164/items/52UJY3UU"],"uri":["http://zotero.org/users/685164/items/52UJY3UU"],"itemData":{"id":511,"type":"book","title":"Domesday: the inquest and the book","publisher":"Oxford University Press","publisher-place":"Oxford","number-of-pages":"282","source":"Library of Congress ISBN","event-place":"Oxford","ISBN":"978-0-19-820847-1","call-number":"DA190.D7 R64 2000","shortTitle":"Domesday","author":[{"family":"Roffe","given":"David"}],"issued":{"date-parts":[["2000"]]}},"locator":"73"}],"schema":"https://github.com/citation-style-language/schema/raw/master/csl-citation.json"} </w:instrText>
      </w:r>
      <w:r>
        <w:fldChar w:fldCharType="separate"/>
      </w:r>
      <w:r w:rsidR="005D055F" w:rsidRPr="005D055F">
        <w:rPr>
          <w:rFonts w:ascii="Calibri" w:hAnsi="Calibri" w:cs="Calibri"/>
          <w:szCs w:val="24"/>
        </w:rPr>
        <w:t xml:space="preserve">Roffe, </w:t>
      </w:r>
      <w:r w:rsidR="005D055F" w:rsidRPr="005D055F">
        <w:rPr>
          <w:rFonts w:ascii="Calibri" w:hAnsi="Calibri" w:cs="Calibri"/>
          <w:i/>
          <w:iCs/>
          <w:szCs w:val="24"/>
        </w:rPr>
        <w:t>Domesday</w:t>
      </w:r>
      <w:r w:rsidR="005D055F" w:rsidRPr="005D055F">
        <w:rPr>
          <w:rFonts w:ascii="Calibri" w:hAnsi="Calibri" w:cs="Calibri"/>
          <w:szCs w:val="24"/>
        </w:rPr>
        <w:t>, p. 73.</w:t>
      </w:r>
      <w:r>
        <w:fldChar w:fldCharType="end"/>
      </w:r>
    </w:p>
  </w:footnote>
  <w:footnote w:id="4">
    <w:p w:rsidR="004C6B72" w:rsidRDefault="004C6B72">
      <w:pPr>
        <w:pStyle w:val="FootnoteText"/>
      </w:pPr>
      <w:r w:rsidRPr="00B05470">
        <w:rPr>
          <w:rStyle w:val="FootnoteReference"/>
        </w:rPr>
        <w:footnoteRef/>
      </w:r>
      <w:r>
        <w:t xml:space="preserve"> </w:t>
      </w:r>
      <w:r w:rsidR="00CB6EBA">
        <w:fldChar w:fldCharType="begin"/>
      </w:r>
      <w:r w:rsidR="005D055F">
        <w:instrText xml:space="preserve"> ADDIN ZOTERO_ITEM CSL_CITATION {"citationID":"ln2vOlIE","properties":{"formattedCitation":"Roffe, {\\i{}Domesday}, p. 73.","plainCitation":"Roffe, Domesday, p. 73.","noteIndex":4},"citationItems":[{"id":511,"uris":["http://zotero.org/users/685164/items/52UJY3UU"],"uri":["http://zotero.org/users/685164/items/52UJY3UU"],"itemData":{"id":511,"type":"book","title":"Domesday: the inquest and the book","publisher":"Oxford University Press","publisher-place":"Oxford","number-of-pages":"282","source":"Library of Congress ISBN","event-place":"Oxford","ISBN":"978-0-19-820847-1","call-number":"DA190.D7 R64 2000","shortTitle":"Domesday","author":[{"family":"Roffe","given":"David"}],"issued":{"date-parts":[["2000"]]}},"locator":"73"}],"schema":"https://github.com/citation-style-language/schema/raw/master/csl-citation.json"} </w:instrText>
      </w:r>
      <w:r w:rsidR="00CB6EBA">
        <w:fldChar w:fldCharType="separate"/>
      </w:r>
      <w:r w:rsidR="00422BF6" w:rsidRPr="00422BF6">
        <w:rPr>
          <w:rFonts w:ascii="Calibri" w:hAnsi="Calibri" w:cs="Calibri"/>
          <w:szCs w:val="24"/>
        </w:rPr>
        <w:t xml:space="preserve">Roffe, </w:t>
      </w:r>
      <w:r w:rsidR="00422BF6" w:rsidRPr="00422BF6">
        <w:rPr>
          <w:rFonts w:ascii="Calibri" w:hAnsi="Calibri" w:cs="Calibri"/>
          <w:i/>
          <w:iCs/>
          <w:szCs w:val="24"/>
        </w:rPr>
        <w:t>Domesday</w:t>
      </w:r>
      <w:r w:rsidR="00422BF6" w:rsidRPr="00422BF6">
        <w:rPr>
          <w:rFonts w:ascii="Calibri" w:hAnsi="Calibri" w:cs="Calibri"/>
          <w:szCs w:val="24"/>
        </w:rPr>
        <w:t>, p. 73.</w:t>
      </w:r>
      <w:r w:rsidR="00CB6EBA">
        <w:fldChar w:fldCharType="end"/>
      </w:r>
    </w:p>
  </w:footnote>
  <w:footnote w:id="5">
    <w:p w:rsidR="00DD3C10" w:rsidRDefault="00DD3C10">
      <w:pPr>
        <w:pStyle w:val="FootnoteText"/>
      </w:pPr>
      <w:r w:rsidRPr="00B05470">
        <w:rPr>
          <w:rStyle w:val="FootnoteReference"/>
        </w:rPr>
        <w:footnoteRef/>
      </w:r>
      <w:r>
        <w:t xml:space="preserve"> </w:t>
      </w:r>
      <w:r>
        <w:fldChar w:fldCharType="begin"/>
      </w:r>
      <w:r w:rsidR="005D055F">
        <w:instrText xml:space="preserve"> ADDIN ZOTERO_ITEM CSL_CITATION {"citationID":"fHcUoCJH","properties":{"formattedCitation":"Sally Harvey, {\\i{}Domesday: Book of Judgement}, First edition (Oxford: Oxford University Press, 2014), p. 103.","plainCitation":"Sally Harvey, Domesday: Book of Judgement, First edition (Oxford: Oxford University Press, 2014), p. 103.","noteIndex":5},"citationItems":[{"id":514,"uris":["http://zotero.org/users/685164/items/NAYAUYIR"],"uri":["http://zotero.org/users/685164/items/NAYAUYIR"],"itemData":{"id":514,"type":"book","title":"Domesday: Book of Judgement","publisher":"Oxford University Press","publisher-place":"Oxford","number-of-pages":"335","edition":"First edition","source":"Library of Congress ISBN","event-place":"Oxford","abstract":"Domesday: book of judgement provides a unique study of the extraordinary eleventh-century survey, the Domesday Book. Sally Harvey depicts the Domesday Book as the written evidence of a potentially insecure conquest successfully transforming itself, by a combination of administrative insight and military might, into a permanent establishment. William I used the Domesday Inquiry to contain the new establishment and consolidate their landholding revolution within a strict fiscal and tenurial framework, with checks and balances to prevent the king's followers from taking more powers and assets than they had been allocated. In this way, the survey served as a conciliatory gesture between the conquerors and the conquered, as William I came to realise that, faced with the threat to his rule from the Danes, he needed England's native populations more than they needed him. Yes, the overlying theme of the Domesday Book is Judgment: every class of society had reason to regard the Survey's methodical and often pitiless proceedings as both a literal and a metaphorical day of account. In this volume, Sally Harvey considers the Anglo-Saxon background and the architects of the survey: the bishops, royal clerks, sheriffs, jurors, and landholders who contributed to Domesday's content and scope. She also discusses at length the core information in the Survey: coinage, revenues from landholding, fiscal concessions, and taxation, as well as some central tenurial issues. She draws the conclusion that the record, whilst consolidating William's position as king of the English, also laid the foundations for the twelfth-century treasury and exchequer. The volume newly argues that the Domesday survey also became an inquest into individual sheriffs and officials, thereby laying a foundation for reinterpreting the size of towns in England. -- Provided by publisher","ISBN":"978-0-19-966978-3","call-number":"DA190.D7 H47 2014","note":"OCLC: ocn868042483","shortTitle":"Domesday","author":[{"family":"Harvey","given":"Sally"}],"issued":{"date-parts":[["2014"]]}},"locator":"103"}],"schema":"https://github.com/citation-style-language/schema/raw/master/csl-citation.json"} </w:instrText>
      </w:r>
      <w:r>
        <w:fldChar w:fldCharType="separate"/>
      </w:r>
      <w:r w:rsidRPr="00DD3C10">
        <w:rPr>
          <w:rFonts w:ascii="Calibri" w:hAnsi="Calibri" w:cs="Calibri"/>
          <w:szCs w:val="24"/>
        </w:rPr>
        <w:t xml:space="preserve">Sally Harvey, </w:t>
      </w:r>
      <w:r w:rsidRPr="00DD3C10">
        <w:rPr>
          <w:rFonts w:ascii="Calibri" w:hAnsi="Calibri" w:cs="Calibri"/>
          <w:i/>
          <w:iCs/>
          <w:szCs w:val="24"/>
        </w:rPr>
        <w:t>Domesday: Book of Judgement</w:t>
      </w:r>
      <w:r w:rsidRPr="00DD3C10">
        <w:rPr>
          <w:rFonts w:ascii="Calibri" w:hAnsi="Calibri" w:cs="Calibri"/>
          <w:szCs w:val="24"/>
        </w:rPr>
        <w:t>, First edition (Oxford: Oxford University Press, 2014), p. 103.</w:t>
      </w:r>
      <w:r>
        <w:fldChar w:fldCharType="end"/>
      </w:r>
    </w:p>
  </w:footnote>
  <w:footnote w:id="6">
    <w:p w:rsidR="007B1092" w:rsidRDefault="007B1092">
      <w:pPr>
        <w:pStyle w:val="FootnoteText"/>
      </w:pPr>
      <w:r w:rsidRPr="00B05470">
        <w:rPr>
          <w:rStyle w:val="FootnoteReference"/>
        </w:rPr>
        <w:footnoteRef/>
      </w:r>
      <w:r>
        <w:t xml:space="preserve"> </w:t>
      </w:r>
      <w:r>
        <w:fldChar w:fldCharType="begin"/>
      </w:r>
      <w:r w:rsidR="005D055F">
        <w:instrText xml:space="preserve"> ADDIN ZOTERO_ITEM CSL_CITATION {"citationID":"pulNANT9","properties":{"formattedCitation":"Roffe, {\\i{}Domesday}, p. 89.","plainCitation":"Roffe, Domesday, p. 89.","noteIndex":6},"citationItems":[{"id":511,"uris":["http://zotero.org/users/685164/items/52UJY3UU"],"uri":["http://zotero.org/users/685164/items/52UJY3UU"],"itemData":{"id":511,"type":"book","title":"Domesday: the inquest and the book","publisher":"Oxford University Press","publisher-place":"Oxford","number-of-pages":"282","source":"Library of Congress ISBN","event-place":"Oxford","ISBN":"978-0-19-820847-1","call-number":"DA190.D7 R64 2000","shortTitle":"Domesday","author":[{"family":"Roffe","given":"David"}],"issued":{"date-parts":[["2000"]]}},"locator":"89"}],"schema":"https://github.com/citation-style-language/schema/raw/master/csl-citation.json"} </w:instrText>
      </w:r>
      <w:r>
        <w:fldChar w:fldCharType="separate"/>
      </w:r>
      <w:r w:rsidR="00422BF6" w:rsidRPr="00422BF6">
        <w:rPr>
          <w:rFonts w:ascii="Calibri" w:hAnsi="Calibri" w:cs="Calibri"/>
          <w:szCs w:val="24"/>
        </w:rPr>
        <w:t xml:space="preserve">Roffe, </w:t>
      </w:r>
      <w:r w:rsidR="00422BF6" w:rsidRPr="00422BF6">
        <w:rPr>
          <w:rFonts w:ascii="Calibri" w:hAnsi="Calibri" w:cs="Calibri"/>
          <w:i/>
          <w:iCs/>
          <w:szCs w:val="24"/>
        </w:rPr>
        <w:t>Domesday</w:t>
      </w:r>
      <w:r w:rsidR="00422BF6" w:rsidRPr="00422BF6">
        <w:rPr>
          <w:rFonts w:ascii="Calibri" w:hAnsi="Calibri" w:cs="Calibri"/>
          <w:szCs w:val="24"/>
        </w:rPr>
        <w:t>, p. 89.</w:t>
      </w:r>
      <w:r>
        <w:fldChar w:fldCharType="end"/>
      </w:r>
    </w:p>
  </w:footnote>
  <w:footnote w:id="7">
    <w:p w:rsidR="00CB6EBA" w:rsidRDefault="00CB6EBA">
      <w:pPr>
        <w:pStyle w:val="FootnoteText"/>
      </w:pPr>
      <w:r w:rsidRPr="00B05470">
        <w:rPr>
          <w:rStyle w:val="FootnoteReference"/>
        </w:rPr>
        <w:footnoteRef/>
      </w:r>
      <w:r>
        <w:t xml:space="preserve"> </w:t>
      </w:r>
      <w:r>
        <w:fldChar w:fldCharType="begin"/>
      </w:r>
      <w:r w:rsidR="005D055F">
        <w:instrText xml:space="preserve"> ADDIN ZOTERO_ITEM CSL_CITATION {"citationID":"EcM9tE5J","properties":{"formattedCitation":"Roffe, {\\i{}Domesday}, p. 89.","plainCitation":"Roffe, Domesday, p. 89.","noteIndex":7},"citationItems":[{"id":511,"uris":["http://zotero.org/users/685164/items/52UJY3UU"],"uri":["http://zotero.org/users/685164/items/52UJY3UU"],"itemData":{"id":511,"type":"book","title":"Domesday: the inquest and the book","publisher":"Oxford University Press","publisher-place":"Oxford","number-of-pages":"282","source":"Library of Congress ISBN","event-place":"Oxford","ISBN":"978-0-19-820847-1","call-number":"DA190.D7 R64 2000","shortTitle":"Domesday","author":[{"family":"Roffe","given":"David"}],"issued":{"date-parts":[["2000"]]}},"locator":"89"}],"schema":"https://github.com/citation-style-language/schema/raw/master/csl-citation.json"} </w:instrText>
      </w:r>
      <w:r>
        <w:fldChar w:fldCharType="separate"/>
      </w:r>
      <w:r w:rsidR="00422BF6" w:rsidRPr="00422BF6">
        <w:rPr>
          <w:rFonts w:ascii="Calibri" w:hAnsi="Calibri" w:cs="Calibri"/>
          <w:szCs w:val="24"/>
        </w:rPr>
        <w:t xml:space="preserve">Roffe, </w:t>
      </w:r>
      <w:r w:rsidR="00422BF6" w:rsidRPr="00422BF6">
        <w:rPr>
          <w:rFonts w:ascii="Calibri" w:hAnsi="Calibri" w:cs="Calibri"/>
          <w:i/>
          <w:iCs/>
          <w:szCs w:val="24"/>
        </w:rPr>
        <w:t>Domesday</w:t>
      </w:r>
      <w:r w:rsidR="00422BF6" w:rsidRPr="00422BF6">
        <w:rPr>
          <w:rFonts w:ascii="Calibri" w:hAnsi="Calibri" w:cs="Calibri"/>
          <w:szCs w:val="24"/>
        </w:rPr>
        <w:t>, p. 89.</w:t>
      </w:r>
      <w:r>
        <w:fldChar w:fldCharType="end"/>
      </w:r>
    </w:p>
  </w:footnote>
  <w:footnote w:id="8">
    <w:p w:rsidR="00CB6EBA" w:rsidRDefault="00CB6EBA">
      <w:pPr>
        <w:pStyle w:val="FootnoteText"/>
      </w:pPr>
      <w:r w:rsidRPr="00B05470">
        <w:rPr>
          <w:rStyle w:val="FootnoteReference"/>
        </w:rPr>
        <w:footnoteRef/>
      </w:r>
      <w:r>
        <w:t xml:space="preserve"> </w:t>
      </w:r>
      <w:r>
        <w:fldChar w:fldCharType="begin"/>
      </w:r>
      <w:r w:rsidR="005D055F">
        <w:instrText xml:space="preserve"> ADDIN ZOTERO_ITEM CSL_CITATION {"citationID":"1cmFqnXY","properties":{"formattedCitation":"Roffe, {\\i{}Domesday}, p. 91.","plainCitation":"Roffe, Domesday, p. 91.","noteIndex":8},"citationItems":[{"id":511,"uris":["http://zotero.org/users/685164/items/52UJY3UU"],"uri":["http://zotero.org/users/685164/items/52UJY3UU"],"itemData":{"id":511,"type":"book","title":"Domesday: the inquest and the book","publisher":"Oxford University Press","publisher-place":"Oxford","number-of-pages":"282","source":"Library of Congress ISBN","event-place":"Oxford","ISBN":"978-0-19-820847-1","call-number":"DA190.D7 R64 2000","shortTitle":"Domesday","author":[{"family":"Roffe","given":"David"}],"issued":{"date-parts":[["2000"]]}},"locator":"91"}],"schema":"https://github.com/citation-style-language/schema/raw/master/csl-citation.json"} </w:instrText>
      </w:r>
      <w:r>
        <w:fldChar w:fldCharType="separate"/>
      </w:r>
      <w:r w:rsidR="00422BF6" w:rsidRPr="00422BF6">
        <w:rPr>
          <w:rFonts w:ascii="Calibri" w:hAnsi="Calibri" w:cs="Calibri"/>
          <w:szCs w:val="24"/>
        </w:rPr>
        <w:t xml:space="preserve">Roffe, </w:t>
      </w:r>
      <w:r w:rsidR="00422BF6" w:rsidRPr="00422BF6">
        <w:rPr>
          <w:rFonts w:ascii="Calibri" w:hAnsi="Calibri" w:cs="Calibri"/>
          <w:i/>
          <w:iCs/>
          <w:szCs w:val="24"/>
        </w:rPr>
        <w:t>Domesday</w:t>
      </w:r>
      <w:r w:rsidR="00422BF6" w:rsidRPr="00422BF6">
        <w:rPr>
          <w:rFonts w:ascii="Calibri" w:hAnsi="Calibri" w:cs="Calibri"/>
          <w:szCs w:val="24"/>
        </w:rPr>
        <w:t>, p. 91.</w:t>
      </w:r>
      <w:r>
        <w:fldChar w:fldCharType="end"/>
      </w:r>
    </w:p>
  </w:footnote>
  <w:footnote w:id="9">
    <w:p w:rsidR="00E10DA6" w:rsidRDefault="00E10DA6">
      <w:pPr>
        <w:pStyle w:val="FootnoteText"/>
      </w:pPr>
      <w:r w:rsidRPr="00B05470">
        <w:rPr>
          <w:rStyle w:val="FootnoteReference"/>
        </w:rPr>
        <w:footnoteRef/>
      </w:r>
      <w:r>
        <w:t xml:space="preserve"> </w:t>
      </w:r>
      <w:r>
        <w:fldChar w:fldCharType="begin"/>
      </w:r>
      <w:r w:rsidR="005D055F">
        <w:instrText xml:space="preserve"> ADDIN ZOTERO_ITEM CSL_CITATION {"citationID":"1GTXE1w3","properties":{"formattedCitation":"Roffe, {\\i{}Domesday}, p. 93.","plainCitation":"Roffe, Domesday, p. 93.","noteIndex":9},"citationItems":[{"id":511,"uris":["http://zotero.org/users/685164/items/52UJY3UU"],"uri":["http://zotero.org/users/685164/items/52UJY3UU"],"itemData":{"id":511,"type":"book","title":"Domesday: the inquest and the book","publisher":"Oxford University Press","publisher-place":"Oxford","number-of-pages":"282","source":"Library of Congress ISBN","event-place":"Oxford","ISBN":"978-0-19-820847-1","call-number":"DA190.D7 R64 2000","shortTitle":"Domesday","author":[{"family":"Roffe","given":"David"}],"issued":{"date-parts":[["2000"]]}},"locator":"93"}],"schema":"https://github.com/citation-style-language/schema/raw/master/csl-citation.json"} </w:instrText>
      </w:r>
      <w:r>
        <w:fldChar w:fldCharType="separate"/>
      </w:r>
      <w:r w:rsidR="00422BF6" w:rsidRPr="00422BF6">
        <w:rPr>
          <w:rFonts w:ascii="Calibri" w:hAnsi="Calibri" w:cs="Calibri"/>
          <w:szCs w:val="24"/>
        </w:rPr>
        <w:t xml:space="preserve">Roffe, </w:t>
      </w:r>
      <w:r w:rsidR="00422BF6" w:rsidRPr="00422BF6">
        <w:rPr>
          <w:rFonts w:ascii="Calibri" w:hAnsi="Calibri" w:cs="Calibri"/>
          <w:i/>
          <w:iCs/>
          <w:szCs w:val="24"/>
        </w:rPr>
        <w:t>Domesday</w:t>
      </w:r>
      <w:r w:rsidR="00422BF6" w:rsidRPr="00422BF6">
        <w:rPr>
          <w:rFonts w:ascii="Calibri" w:hAnsi="Calibri" w:cs="Calibri"/>
          <w:szCs w:val="24"/>
        </w:rPr>
        <w:t>, p. 93.</w:t>
      </w:r>
      <w:r>
        <w:fldChar w:fldCharType="end"/>
      </w:r>
    </w:p>
  </w:footnote>
  <w:footnote w:id="10">
    <w:p w:rsidR="00BF2259" w:rsidRDefault="00BF2259">
      <w:pPr>
        <w:pStyle w:val="FootnoteText"/>
      </w:pPr>
      <w:r w:rsidRPr="00B05470">
        <w:rPr>
          <w:rStyle w:val="FootnoteReference"/>
        </w:rPr>
        <w:footnoteRef/>
      </w:r>
      <w:r>
        <w:t xml:space="preserve"> </w:t>
      </w:r>
      <w:r>
        <w:fldChar w:fldCharType="begin"/>
      </w:r>
      <w:r w:rsidR="005D055F">
        <w:instrText xml:space="preserve"> ADDIN ZOTERO_ITEM CSL_CITATION {"citationID":"Bx2cWda2","properties":{"formattedCitation":"Roffe, {\\i{}Domesday}, p. 95.","plainCitation":"Roffe, Domesday, p. 95.","noteIndex":10},"citationItems":[{"id":511,"uris":["http://zotero.org/users/685164/items/52UJY3UU"],"uri":["http://zotero.org/users/685164/items/52UJY3UU"],"itemData":{"id":511,"type":"book","title":"Domesday: the inquest and the book","publisher":"Oxford University Press","publisher-place":"Oxford","number-of-pages":"282","source":"Library of Congress ISBN","event-place":"Oxford","ISBN":"978-0-19-820847-1","call-number":"DA190.D7 R64 2000","shortTitle":"Domesday","author":[{"family":"Roffe","given":"David"}],"issued":{"date-parts":[["2000"]]}},"locator":"95"}],"schema":"https://github.com/citation-style-language/schema/raw/master/csl-citation.json"} </w:instrText>
      </w:r>
      <w:r>
        <w:fldChar w:fldCharType="separate"/>
      </w:r>
      <w:r w:rsidR="00422BF6" w:rsidRPr="00422BF6">
        <w:rPr>
          <w:rFonts w:ascii="Calibri" w:hAnsi="Calibri" w:cs="Calibri"/>
          <w:szCs w:val="24"/>
        </w:rPr>
        <w:t xml:space="preserve">Roffe, </w:t>
      </w:r>
      <w:r w:rsidR="00422BF6" w:rsidRPr="00422BF6">
        <w:rPr>
          <w:rFonts w:ascii="Calibri" w:hAnsi="Calibri" w:cs="Calibri"/>
          <w:i/>
          <w:iCs/>
          <w:szCs w:val="24"/>
        </w:rPr>
        <w:t>Domesday</w:t>
      </w:r>
      <w:r w:rsidR="00422BF6" w:rsidRPr="00422BF6">
        <w:rPr>
          <w:rFonts w:ascii="Calibri" w:hAnsi="Calibri" w:cs="Calibri"/>
          <w:szCs w:val="24"/>
        </w:rPr>
        <w:t>, p. 95.</w:t>
      </w:r>
      <w:r>
        <w:fldChar w:fldCharType="end"/>
      </w:r>
    </w:p>
  </w:footnote>
  <w:footnote w:id="11">
    <w:p w:rsidR="00034B49" w:rsidRDefault="00034B49">
      <w:pPr>
        <w:pStyle w:val="FootnoteText"/>
      </w:pPr>
      <w:r w:rsidRPr="00B05470">
        <w:rPr>
          <w:rStyle w:val="FootnoteReference"/>
        </w:rPr>
        <w:footnoteRef/>
      </w:r>
      <w:r>
        <w:t xml:space="preserve"> </w:t>
      </w:r>
      <w:r>
        <w:fldChar w:fldCharType="begin"/>
      </w:r>
      <w:r w:rsidR="005D055F">
        <w:instrText xml:space="preserve"> ADDIN ZOTERO_ITEM CSL_CITATION {"citationID":"l6vovDoY","properties":{"formattedCitation":"Roffe, {\\i{}Decoding Domesday}, p. 40.","plainCitation":"Roffe, Decoding Domesday, p. 40.","noteIndex":11},"citationItems":[{"id":512,"uris":["http://zotero.org/users/685164/items/QTD4WAVK"],"uri":["http://zotero.org/users/685164/items/QTD4WAVK"],"itemData":{"id":512,"type":"book","title":"Decoding Domesday","publisher":"Boydell Press","publisher-place":"Woodbridge, Suffolk","number-of-pages":"374","source":"Gemeinsamer Bibliotheksverbund ISBN","event-place":"Woodbridge, Suffolk","ISBN":"978-1-84383-307-9","note":"OCLC: 237146261","language":"eng","author":[{"family":"Roffe","given":"David"}],"issued":{"date-parts":[["2007"]]}},"locator":"40"}],"schema":"https://github.com/citation-style-language/schema/raw/master/csl-citation.json"} </w:instrText>
      </w:r>
      <w:r>
        <w:fldChar w:fldCharType="separate"/>
      </w:r>
      <w:r w:rsidRPr="00034B49">
        <w:rPr>
          <w:rFonts w:ascii="Calibri" w:hAnsi="Calibri" w:cs="Calibri"/>
          <w:szCs w:val="24"/>
        </w:rPr>
        <w:t xml:space="preserve">Roffe, </w:t>
      </w:r>
      <w:r w:rsidRPr="00034B49">
        <w:rPr>
          <w:rFonts w:ascii="Calibri" w:hAnsi="Calibri" w:cs="Calibri"/>
          <w:i/>
          <w:iCs/>
          <w:szCs w:val="24"/>
        </w:rPr>
        <w:t>Decoding Domesday</w:t>
      </w:r>
      <w:r w:rsidRPr="00034B49">
        <w:rPr>
          <w:rFonts w:ascii="Calibri" w:hAnsi="Calibri" w:cs="Calibri"/>
          <w:szCs w:val="24"/>
        </w:rPr>
        <w:t>, p. 40.</w:t>
      </w:r>
      <w:r>
        <w:fldChar w:fldCharType="end"/>
      </w:r>
    </w:p>
  </w:footnote>
  <w:footnote w:id="12">
    <w:p w:rsidR="00C63201" w:rsidRDefault="00C63201">
      <w:pPr>
        <w:pStyle w:val="FootnoteText"/>
      </w:pPr>
      <w:r w:rsidRPr="00B05470">
        <w:rPr>
          <w:rStyle w:val="FootnoteReference"/>
        </w:rPr>
        <w:footnoteRef/>
      </w:r>
      <w:r>
        <w:t xml:space="preserve"> </w:t>
      </w:r>
      <w:r>
        <w:fldChar w:fldCharType="begin"/>
      </w:r>
      <w:r w:rsidR="005D055F">
        <w:instrText xml:space="preserve"> ADDIN ZOTERO_ITEM CSL_CITATION {"citationID":"NE7epq2X","properties":{"formattedCitation":"Roffe, {\\i{}Domesday}, p. 97.","plainCitation":"Roffe, Domesday, p. 97.","noteIndex":12},"citationItems":[{"id":511,"uris":["http://zotero.org/users/685164/items/52UJY3UU"],"uri":["http://zotero.org/users/685164/items/52UJY3UU"],"itemData":{"id":511,"type":"book","title":"Domesday: the inquest and the book","publisher":"Oxford University Press","publisher-place":"Oxford","number-of-pages":"282","source":"Library of Congress ISBN","event-place":"Oxford","ISBN":"978-0-19-820847-1","call-number":"DA190.D7 R64 2000","shortTitle":"Domesday","author":[{"family":"Roffe","given":"David"}],"issued":{"date-parts":[["2000"]]}},"locator":"97"}],"schema":"https://github.com/citation-style-language/schema/raw/master/csl-citation.json"} </w:instrText>
      </w:r>
      <w:r>
        <w:fldChar w:fldCharType="separate"/>
      </w:r>
      <w:r w:rsidRPr="00C63201">
        <w:rPr>
          <w:rFonts w:ascii="Calibri" w:hAnsi="Calibri" w:cs="Calibri"/>
          <w:szCs w:val="24"/>
        </w:rPr>
        <w:t xml:space="preserve">Roffe, </w:t>
      </w:r>
      <w:r w:rsidRPr="00C63201">
        <w:rPr>
          <w:rFonts w:ascii="Calibri" w:hAnsi="Calibri" w:cs="Calibri"/>
          <w:i/>
          <w:iCs/>
          <w:szCs w:val="24"/>
        </w:rPr>
        <w:t>Domesday</w:t>
      </w:r>
      <w:r w:rsidRPr="00C63201">
        <w:rPr>
          <w:rFonts w:ascii="Calibri" w:hAnsi="Calibri" w:cs="Calibri"/>
          <w:szCs w:val="24"/>
        </w:rPr>
        <w:t>, p. 97.</w:t>
      </w:r>
      <w:r>
        <w:fldChar w:fldCharType="end"/>
      </w:r>
    </w:p>
  </w:footnote>
  <w:footnote w:id="13">
    <w:p w:rsidR="0020550D" w:rsidRDefault="0020550D">
      <w:pPr>
        <w:pStyle w:val="FootnoteText"/>
      </w:pPr>
      <w:r w:rsidRPr="00B05470">
        <w:rPr>
          <w:rStyle w:val="FootnoteReference"/>
        </w:rPr>
        <w:footnoteRef/>
      </w:r>
      <w:r>
        <w:t xml:space="preserve"> </w:t>
      </w:r>
      <w:r>
        <w:fldChar w:fldCharType="begin"/>
      </w:r>
      <w:r w:rsidR="005D055F">
        <w:instrText xml:space="preserve"> ADDIN ZOTERO_ITEM CSL_CITATION {"citationID":"qLaZeDUq","properties":{"formattedCitation":"Harvey, p. 95.","plainCitation":"Harvey, p. 95.","noteIndex":13},"citationItems":[{"id":514,"uris":["http://zotero.org/users/685164/items/NAYAUYIR"],"uri":["http://zotero.org/users/685164/items/NAYAUYIR"],"itemData":{"id":514,"type":"book","title":"Domesday: Book of Judgement","publisher":"Oxford University Press","publisher-place":"Oxford","number-of-pages":"335","edition":"First edition","source":"Library of Congress ISBN","event-place":"Oxford","abstract":"Domesday: book of judgement provides a unique study of the extraordinary eleventh-century survey, the Domesday Book. Sally Harvey depicts the Domesday Book as the written evidence of a potentially insecure conquest successfully transforming itself, by a combination of administrative insight and military might, into a permanent establishment. William I used the Domesday Inquiry to contain the new establishment and consolidate their landholding revolution within a strict fiscal and tenurial framework, with checks and balances to prevent the king's followers from taking more powers and assets than they had been allocated. In this way, the survey served as a conciliatory gesture between the conquerors and the conquered, as William I came to realise that, faced with the threat to his rule from the Danes, he needed England's native populations more than they needed him. Yes, the overlying theme of the Domesday Book is Judgment: every class of society had reason to regard the Survey's methodical and often pitiless proceedings as both a literal and a metaphorical day of account. In this volume, Sally Harvey considers the Anglo-Saxon background and the architects of the survey: the bishops, royal clerks, sheriffs, jurors, and landholders who contributed to Domesday's content and scope. She also discusses at length the core information in the Survey: coinage, revenues from landholding, fiscal concessions, and taxation, as well as some central tenurial issues. She draws the conclusion that the record, whilst consolidating William's position as king of the English, also laid the foundations for the twelfth-century treasury and exchequer. The volume newly argues that the Domesday survey also became an inquest into individual sheriffs and officials, thereby laying a foundation for reinterpreting the size of towns in England. -- Provided by publisher","ISBN":"978-0-19-966978-3","call-number":"DA190.D7 H47 2014","note":"OCLC: ocn868042483","shortTitle":"Domesday","author":[{"family":"Harvey","given":"Sally"}],"issued":{"date-parts":[["2014"]]}},"locator":"95"}],"schema":"https://github.com/citation-style-language/schema/raw/master/csl-citation.json"} </w:instrText>
      </w:r>
      <w:r>
        <w:fldChar w:fldCharType="separate"/>
      </w:r>
      <w:r w:rsidRPr="0020550D">
        <w:rPr>
          <w:rFonts w:ascii="Calibri" w:hAnsi="Calibri" w:cs="Calibri"/>
        </w:rPr>
        <w:t>Harvey, p. 95.</w:t>
      </w:r>
      <w:r>
        <w:fldChar w:fldCharType="end"/>
      </w:r>
    </w:p>
  </w:footnote>
  <w:footnote w:id="14">
    <w:p w:rsidR="00906529" w:rsidRDefault="00906529">
      <w:pPr>
        <w:pStyle w:val="FootnoteText"/>
      </w:pPr>
      <w:r w:rsidRPr="00B05470">
        <w:rPr>
          <w:rStyle w:val="FootnoteReference"/>
        </w:rPr>
        <w:footnoteRef/>
      </w:r>
      <w:r>
        <w:t xml:space="preserve"> </w:t>
      </w:r>
      <w:r>
        <w:fldChar w:fldCharType="begin"/>
      </w:r>
      <w:r w:rsidR="005D055F">
        <w:instrText xml:space="preserve"> ADDIN ZOTERO_ITEM CSL_CITATION {"citationID":"5ZRH8eMi","properties":{"formattedCitation":"Roffe, {\\i{}Domesday}, p. 97.","plainCitation":"Roffe, Domesday, p. 97.","noteIndex":14},"citationItems":[{"id":511,"uris":["http://zotero.org/users/685164/items/52UJY3UU"],"uri":["http://zotero.org/users/685164/items/52UJY3UU"],"itemData":{"id":511,"type":"book","title":"Domesday: the inquest and the book","publisher":"Oxford University Press","publisher-place":"Oxford","number-of-pages":"282","source":"Library of Congress ISBN","event-place":"Oxford","ISBN":"978-0-19-820847-1","call-number":"DA190.D7 R64 2000","shortTitle":"Domesday","author":[{"family":"Roffe","given":"David"}],"issued":{"date-parts":[["2000"]]}},"locator":"97"}],"schema":"https://github.com/citation-style-language/schema/raw/master/csl-citation.json"} </w:instrText>
      </w:r>
      <w:r>
        <w:fldChar w:fldCharType="separate"/>
      </w:r>
      <w:r w:rsidR="00422BF6" w:rsidRPr="00422BF6">
        <w:rPr>
          <w:rFonts w:ascii="Calibri" w:hAnsi="Calibri" w:cs="Calibri"/>
          <w:szCs w:val="24"/>
        </w:rPr>
        <w:t xml:space="preserve">Roffe, </w:t>
      </w:r>
      <w:r w:rsidR="00422BF6" w:rsidRPr="00422BF6">
        <w:rPr>
          <w:rFonts w:ascii="Calibri" w:hAnsi="Calibri" w:cs="Calibri"/>
          <w:i/>
          <w:iCs/>
          <w:szCs w:val="24"/>
        </w:rPr>
        <w:t>Domesday</w:t>
      </w:r>
      <w:r w:rsidR="00422BF6" w:rsidRPr="00422BF6">
        <w:rPr>
          <w:rFonts w:ascii="Calibri" w:hAnsi="Calibri" w:cs="Calibri"/>
          <w:szCs w:val="24"/>
        </w:rPr>
        <w:t>, p. 97.</w:t>
      </w:r>
      <w:r>
        <w:fldChar w:fldCharType="end"/>
      </w:r>
    </w:p>
  </w:footnote>
  <w:footnote w:id="15">
    <w:p w:rsidR="001A47B7" w:rsidRDefault="001A47B7">
      <w:pPr>
        <w:pStyle w:val="FootnoteText"/>
      </w:pPr>
      <w:r w:rsidRPr="00B05470">
        <w:rPr>
          <w:rStyle w:val="FootnoteReference"/>
        </w:rPr>
        <w:footnoteRef/>
      </w:r>
      <w:r>
        <w:t xml:space="preserve"> </w:t>
      </w:r>
      <w:r>
        <w:fldChar w:fldCharType="begin"/>
      </w:r>
      <w:r w:rsidR="005D055F">
        <w:instrText xml:space="preserve"> ADDIN ZOTERO_ITEM CSL_CITATION {"citationID":"NcjIJQTK","properties":{"formattedCitation":"Harvey, p. 95.","plainCitation":"Harvey, p. 95.","noteIndex":15},"citationItems":[{"id":514,"uris":["http://zotero.org/users/685164/items/NAYAUYIR"],"uri":["http://zotero.org/users/685164/items/NAYAUYIR"],"itemData":{"id":514,"type":"book","title":"Domesday: Book of Judgement","publisher":"Oxford University Press","publisher-place":"Oxford","number-of-pages":"335","edition":"First edition","source":"Library of Congress ISBN","event-place":"Oxford","abstract":"Domesday: book of judgement provides a unique study of the extraordinary eleventh-century survey, the Domesday Book. Sally Harvey depicts the Domesday Book as the written evidence of a potentially insecure conquest successfully transforming itself, by a combination of administrative insight and military might, into a permanent establishment. William I used the Domesday Inquiry to contain the new establishment and consolidate their landholding revolution within a strict fiscal and tenurial framework, with checks and balances to prevent the king's followers from taking more powers and assets than they had been allocated. In this way, the survey served as a conciliatory gesture between the conquerors and the conquered, as William I came to realise that, faced with the threat to his rule from the Danes, he needed England's native populations more than they needed him. Yes, the overlying theme of the Domesday Book is Judgment: every class of society had reason to regard the Survey's methodical and often pitiless proceedings as both a literal and a metaphorical day of account. In this volume, Sally Harvey considers the Anglo-Saxon background and the architects of the survey: the bishops, royal clerks, sheriffs, jurors, and landholders who contributed to Domesday's content and scope. She also discusses at length the core information in the Survey: coinage, revenues from landholding, fiscal concessions, and taxation, as well as some central tenurial issues. She draws the conclusion that the record, whilst consolidating William's position as king of the English, also laid the foundations for the twelfth-century treasury and exchequer. The volume newly argues that the Domesday survey also became an inquest into individual sheriffs and officials, thereby laying a foundation for reinterpreting the size of towns in England. -- Provided by publisher","ISBN":"978-0-19-966978-3","call-number":"DA190.D7 H47 2014","note":"OCLC: ocn868042483","shortTitle":"Domesday","author":[{"family":"Harvey","given":"Sally"}],"issued":{"date-parts":[["2014"]]}},"locator":"95"}],"schema":"https://github.com/citation-style-language/schema/raw/master/csl-citation.json"} </w:instrText>
      </w:r>
      <w:r>
        <w:fldChar w:fldCharType="separate"/>
      </w:r>
      <w:r w:rsidRPr="001A47B7">
        <w:rPr>
          <w:rFonts w:ascii="Calibri" w:hAnsi="Calibri" w:cs="Calibri"/>
        </w:rPr>
        <w:t>Harvey, p. 95.</w:t>
      </w:r>
      <w:r>
        <w:fldChar w:fldCharType="end"/>
      </w:r>
    </w:p>
  </w:footnote>
  <w:footnote w:id="16">
    <w:p w:rsidR="00832972" w:rsidRDefault="00832972">
      <w:pPr>
        <w:pStyle w:val="FootnoteText"/>
      </w:pPr>
      <w:r w:rsidRPr="00B05470">
        <w:rPr>
          <w:rStyle w:val="FootnoteReference"/>
        </w:rPr>
        <w:footnoteRef/>
      </w:r>
      <w:r>
        <w:t xml:space="preserve"> </w:t>
      </w:r>
      <w:r>
        <w:fldChar w:fldCharType="begin"/>
      </w:r>
      <w:r w:rsidR="005D055F">
        <w:instrText xml:space="preserve"> ADDIN ZOTERO_ITEM CSL_CITATION {"citationID":"TRnCP1mo","properties":{"formattedCitation":"Roffe, {\\i{}Domesday}, p. 98.","plainCitation":"Roffe, Domesday, p. 98.","noteIndex":16},"citationItems":[{"id":511,"uris":["http://zotero.org/users/685164/items/52UJY3UU"],"uri":["http://zotero.org/users/685164/items/52UJY3UU"],"itemData":{"id":511,"type":"book","title":"Domesday: the inquest and the book","publisher":"Oxford University Press","publisher-place":"Oxford","number-of-pages":"282","source":"Library of Congress ISBN","event-place":"Oxford","ISBN":"978-0-19-820847-1","call-number":"DA190.D7 R64 2000","shortTitle":"Domesday","author":[{"family":"Roffe","given":"David"}],"issued":{"date-parts":[["2000"]]}},"locator":"98"}],"schema":"https://github.com/citation-style-language/schema/raw/master/csl-citation.json"} </w:instrText>
      </w:r>
      <w:r>
        <w:fldChar w:fldCharType="separate"/>
      </w:r>
      <w:r w:rsidR="00422BF6" w:rsidRPr="00422BF6">
        <w:rPr>
          <w:rFonts w:ascii="Calibri" w:hAnsi="Calibri" w:cs="Calibri"/>
          <w:szCs w:val="24"/>
        </w:rPr>
        <w:t xml:space="preserve">Roffe, </w:t>
      </w:r>
      <w:r w:rsidR="00422BF6" w:rsidRPr="00422BF6">
        <w:rPr>
          <w:rFonts w:ascii="Calibri" w:hAnsi="Calibri" w:cs="Calibri"/>
          <w:i/>
          <w:iCs/>
          <w:szCs w:val="24"/>
        </w:rPr>
        <w:t>Domesday</w:t>
      </w:r>
      <w:r w:rsidR="00422BF6" w:rsidRPr="00422BF6">
        <w:rPr>
          <w:rFonts w:ascii="Calibri" w:hAnsi="Calibri" w:cs="Calibri"/>
          <w:szCs w:val="24"/>
        </w:rPr>
        <w:t>, p. 98.</w:t>
      </w:r>
      <w:r>
        <w:fldChar w:fldCharType="end"/>
      </w:r>
    </w:p>
  </w:footnote>
  <w:footnote w:id="17">
    <w:p w:rsidR="00422BF6" w:rsidRDefault="00422BF6">
      <w:pPr>
        <w:pStyle w:val="FootnoteText"/>
      </w:pPr>
      <w:r w:rsidRPr="00B05470">
        <w:rPr>
          <w:rStyle w:val="FootnoteReference"/>
        </w:rPr>
        <w:footnoteRef/>
      </w:r>
      <w:r>
        <w:t xml:space="preserve"> </w:t>
      </w:r>
      <w:r>
        <w:fldChar w:fldCharType="begin"/>
      </w:r>
      <w:r w:rsidR="005D055F">
        <w:instrText xml:space="preserve"> ADDIN ZOTERO_ITEM CSL_CITATION {"citationID":"w3lAlBV2","properties":{"formattedCitation":"Roffe, {\\i{}Domesday}, p. 101.","plainCitation":"Roffe, Domesday, p. 101.","noteIndex":17},"citationItems":[{"id":511,"uris":["http://zotero.org/users/685164/items/52UJY3UU"],"uri":["http://zotero.org/users/685164/items/52UJY3UU"],"itemData":{"id":511,"type":"book","title":"Domesday: the inquest and the book","publisher":"Oxford University Press","publisher-place":"Oxford","number-of-pages":"282","source":"Library of Congress ISBN","event-place":"Oxford","ISBN":"978-0-19-820847-1","call-number":"DA190.D7 R64 2000","shortTitle":"Domesday","author":[{"family":"Roffe","given":"David"}],"issued":{"date-parts":[["2000"]]}},"locator":"101"}],"schema":"https://github.com/citation-style-language/schema/raw/master/csl-citation.json"} </w:instrText>
      </w:r>
      <w:r>
        <w:fldChar w:fldCharType="separate"/>
      </w:r>
      <w:r w:rsidRPr="00422BF6">
        <w:rPr>
          <w:rFonts w:ascii="Calibri" w:hAnsi="Calibri" w:cs="Calibri"/>
          <w:szCs w:val="24"/>
        </w:rPr>
        <w:t xml:space="preserve">Roffe, </w:t>
      </w:r>
      <w:r w:rsidRPr="00422BF6">
        <w:rPr>
          <w:rFonts w:ascii="Calibri" w:hAnsi="Calibri" w:cs="Calibri"/>
          <w:i/>
          <w:iCs/>
          <w:szCs w:val="24"/>
        </w:rPr>
        <w:t>Domesday</w:t>
      </w:r>
      <w:r w:rsidRPr="00422BF6">
        <w:rPr>
          <w:rFonts w:ascii="Calibri" w:hAnsi="Calibri" w:cs="Calibri"/>
          <w:szCs w:val="24"/>
        </w:rPr>
        <w:t>, p. 101.</w:t>
      </w:r>
      <w:r>
        <w:fldChar w:fldCharType="end"/>
      </w:r>
    </w:p>
  </w:footnote>
  <w:footnote w:id="18">
    <w:p w:rsidR="00772687" w:rsidRDefault="00772687">
      <w:pPr>
        <w:pStyle w:val="FootnoteText"/>
      </w:pPr>
      <w:r w:rsidRPr="00B05470">
        <w:rPr>
          <w:rStyle w:val="FootnoteReference"/>
        </w:rPr>
        <w:footnoteRef/>
      </w:r>
      <w:r>
        <w:t xml:space="preserve"> </w:t>
      </w:r>
      <w:r>
        <w:fldChar w:fldCharType="begin"/>
      </w:r>
      <w:r w:rsidR="005D055F">
        <w:instrText xml:space="preserve"> ADDIN ZOTERO_ITEM CSL_CITATION {"citationID":"ZiflyWH5","properties":{"formattedCitation":"{\\i{}Domesday-Book, Seu Liber Censualis Willelmi Primi Regis Angli\\uc0\\u230{}\\uc0\\u8239{}: Inter Archivos Regni in Domo Capitulari Westmonasterii Asseruatus}, ed. by Abraham Farley, 4 vols (London, 1783).","plainCitation":"Domesday-Book, Seu Liber Censualis Willelmi Primi Regis Angliæ : Inter Archivos Regni in Domo Capitulari Westmonasterii Asseruatus, ed. by Abraham Farley, 4 vols (London, 1783).","noteIndex":18},"citationItems":[{"id":503,"uris":["http://zotero.org/users/685164/items/RIATB7JC"],"uri":["http://zotero.org/users/685164/items/RIATB7JC"],"itemData":{"id":503,"type":"book","title":"Domesday-book, seu Liber censualis Willelmi Primi Regis Angliæ : inter archivos regni in domo capitulari Westmonasterii asseruatus","publisher-place":"London","number-of-volumes":"4","number-of-pages":"-1816","event-place":"London","editor":[{"family":"Farley","given":"Abraham"}],"issued":{"date-parts":[["1783"]]}}}],"schema":"https://github.com/citation-style-language/schema/raw/master/csl-citation.json"} </w:instrText>
      </w:r>
      <w:r>
        <w:fldChar w:fldCharType="separate"/>
      </w:r>
      <w:r w:rsidRPr="00772687">
        <w:rPr>
          <w:rFonts w:ascii="Calibri" w:hAnsi="Calibri" w:cs="Calibri"/>
          <w:i/>
          <w:iCs/>
          <w:szCs w:val="24"/>
        </w:rPr>
        <w:t>Domesday-Book, Seu Liber Censualis Willelmi Primi Regis Angliæ : Inter Archivos Regni in Domo Capitulari Westmonasterii Asseruatus</w:t>
      </w:r>
      <w:r w:rsidRPr="00772687">
        <w:rPr>
          <w:rFonts w:ascii="Calibri" w:hAnsi="Calibri" w:cs="Calibri"/>
          <w:szCs w:val="24"/>
        </w:rPr>
        <w:t>, ed. by Abraham Farley, 4 vols (London, 1783).</w:t>
      </w:r>
      <w:r>
        <w:fldChar w:fldCharType="end"/>
      </w:r>
    </w:p>
  </w:footnote>
  <w:footnote w:id="19">
    <w:p w:rsidR="005D5BDE" w:rsidRDefault="005D5BDE">
      <w:pPr>
        <w:pStyle w:val="FootnoteText"/>
      </w:pPr>
      <w:r w:rsidRPr="00B05470">
        <w:rPr>
          <w:rStyle w:val="FootnoteReference"/>
        </w:rPr>
        <w:footnoteRef/>
      </w:r>
      <w:r>
        <w:t xml:space="preserve"> </w:t>
      </w:r>
      <w:r>
        <w:fldChar w:fldCharType="begin"/>
      </w:r>
      <w:r w:rsidR="005D055F">
        <w:instrText xml:space="preserve"> ADDIN ZOTERO_ITEM CSL_CITATION {"citationID":"MzTh1wNo","properties":{"formattedCitation":"\\uc0\\u8216{}Domesday Book.\\uc0\\u8217{}, {\\i{}The Saturday Magazine; London}, 17.517 (1840), 26\\uc0\\u8211{}27.","plainCitation":"‘Domesday Book.’, The Saturday Magazine; London, 17.517 (1840), 26–27.","noteIndex":19},"citationItems":[{"id":508,"uris":["http://zotero.org/users/685164/items/77Y7IIYC"],"uri":["http://zotero.org/users/685164/items/77Y7IIYC"],"itemData":{"id":508,"type":"article-journal","title":"Domesday Book.","container-title":"The Saturday magazine; London","page":"26-27","volume":"17","issue":"517","source":"ProQuest","ISSN":"2043-5975","language":"English","issued":{"date-parts":[["1840",7,18]]}}}],"schema":"https://github.com/citation-style-language/schema/raw/master/csl-citation.json"} </w:instrText>
      </w:r>
      <w:r>
        <w:fldChar w:fldCharType="separate"/>
      </w:r>
      <w:r w:rsidRPr="005D5BDE">
        <w:rPr>
          <w:rFonts w:ascii="Calibri" w:hAnsi="Calibri" w:cs="Calibri"/>
          <w:szCs w:val="24"/>
        </w:rPr>
        <w:t xml:space="preserve">‘Domesday Book.’, </w:t>
      </w:r>
      <w:r w:rsidRPr="005D5BDE">
        <w:rPr>
          <w:rFonts w:ascii="Calibri" w:hAnsi="Calibri" w:cs="Calibri"/>
          <w:i/>
          <w:iCs/>
          <w:szCs w:val="24"/>
        </w:rPr>
        <w:t>The Saturday Magazine; London</w:t>
      </w:r>
      <w:r w:rsidRPr="005D5BDE">
        <w:rPr>
          <w:rFonts w:ascii="Calibri" w:hAnsi="Calibri" w:cs="Calibri"/>
          <w:szCs w:val="24"/>
        </w:rPr>
        <w:t>, 17.517 (1840), 26–27.</w:t>
      </w:r>
      <w:r>
        <w:fldChar w:fldCharType="end"/>
      </w:r>
    </w:p>
  </w:footnote>
  <w:footnote w:id="20">
    <w:p w:rsidR="005D5BDE" w:rsidRDefault="005D5BDE">
      <w:pPr>
        <w:pStyle w:val="FootnoteText"/>
      </w:pPr>
      <w:r w:rsidRPr="00B05470">
        <w:rPr>
          <w:rStyle w:val="FootnoteReference"/>
        </w:rPr>
        <w:footnoteRef/>
      </w:r>
      <w:r>
        <w:t xml:space="preserve"> </w:t>
      </w:r>
      <w:r>
        <w:fldChar w:fldCharType="begin"/>
      </w:r>
      <w:r w:rsidR="005D055F">
        <w:instrText xml:space="preserve"> ADDIN ZOTERO_ITEM CSL_CITATION {"citationID":"mEbcOvKi","properties":{"formattedCitation":"The National Archives, \\uc0\\u8216{}Domesday Book - Domesday Legacy\\uc0\\u8217{} &lt;http://www.nationalarchives.gov.uk/domesday/discover-domesday/domesday-legacy.htm&gt; [accessed 6 May 2018].","plainCitation":"The National Archives, ‘Domesday Book - Domesday Legacy’ &lt;http://www.nationalarchives.gov.uk/domesday/discover-domesday/domesday-legacy.htm&gt; [accessed 6 May 2018].","noteIndex":20},"citationItems":[{"id":505,"uris":["http://zotero.org/users/685164/items/K7H7M2T2"],"uri":["http://zotero.org/users/685164/items/K7H7M2T2"],"itemData":{"id":505,"type":"webpage","title":"Domesday Book - Domesday legacy","abstract":"The World of Domesday exhibition depicts life in 11th century England. The National Archives is the home of Domesday Book, the oldest surviving public record. Domesday is now available online, and you can search for your town or village, and download images of Domesday along with an English translation of the entry. You can also access the Discover Domesday exhibition, explaining why Domesday was created and how you can interpret it; Domesday resources for teachers; play the Domesday game; and test your knowledge with our quiz!","URL":"http://www.nationalarchives.gov.uk/domesday/discover-domesday/domesday-legacy.htm","language":"eng","author":[{"family":"Archives","given":"The National"}],"accessed":{"date-parts":[["2018",5,6]]}}}],"schema":"https://github.com/citation-style-language/schema/raw/master/csl-citation.json"} </w:instrText>
      </w:r>
      <w:r>
        <w:fldChar w:fldCharType="separate"/>
      </w:r>
      <w:r w:rsidRPr="005D5BDE">
        <w:rPr>
          <w:rFonts w:ascii="Calibri" w:hAnsi="Calibri" w:cs="Calibri"/>
          <w:szCs w:val="24"/>
        </w:rPr>
        <w:t>The National Archives, ‘Domesday Book - Domesday Legacy’ &lt;http://www.nationalarchives.gov.uk/domesday/discover-domesday/domesday-legacy.htm&gt; [accessed 6 May 2018].</w:t>
      </w:r>
      <w:r>
        <w:fldChar w:fldCharType="end"/>
      </w:r>
    </w:p>
  </w:footnote>
  <w:footnote w:id="21">
    <w:p w:rsidR="00422BF6" w:rsidRDefault="00422BF6">
      <w:pPr>
        <w:pStyle w:val="FootnoteText"/>
      </w:pPr>
      <w:r w:rsidRPr="00B05470">
        <w:rPr>
          <w:rStyle w:val="FootnoteReference"/>
        </w:rPr>
        <w:footnoteRef/>
      </w:r>
      <w:r>
        <w:t xml:space="preserve"> </w:t>
      </w:r>
      <w:r>
        <w:fldChar w:fldCharType="begin"/>
      </w:r>
      <w:r w:rsidR="005D055F">
        <w:instrText xml:space="preserve"> ADDIN ZOTERO_ITEM CSL_CITATION {"citationID":"vYTVw4p0","properties":{"formattedCitation":"Roffe, {\\i{}Decoding Domesday}, p. 35.","plainCitation":"Roffe, Decoding Domesday, p. 35.","noteIndex":21},"citationItems":[{"id":512,"uris":["http://zotero.org/users/685164/items/QTD4WAVK"],"uri":["http://zotero.org/users/685164/items/QTD4WAVK"],"itemData":{"id":512,"type":"book","title":"Decoding Domesday","publisher":"Boydell Press","publisher-place":"Woodbridge, Suffolk","number-of-pages":"374","source":"Gemeinsamer Bibliotheksverbund ISBN","event-place":"Woodbridge, Suffolk","ISBN":"978-1-84383-307-9","note":"OCLC: 237146261","language":"eng","author":[{"family":"Roffe","given":"David"}],"issued":{"date-parts":[["2007"]]}},"locator":"35"}],"schema":"https://github.com/citation-style-language/schema/raw/master/csl-citation.json"} </w:instrText>
      </w:r>
      <w:r>
        <w:fldChar w:fldCharType="separate"/>
      </w:r>
      <w:r w:rsidR="00034B49" w:rsidRPr="00034B49">
        <w:rPr>
          <w:rFonts w:ascii="Calibri" w:hAnsi="Calibri" w:cs="Calibri"/>
          <w:szCs w:val="24"/>
        </w:rPr>
        <w:t xml:space="preserve">Roffe, </w:t>
      </w:r>
      <w:r w:rsidR="00034B49" w:rsidRPr="00034B49">
        <w:rPr>
          <w:rFonts w:ascii="Calibri" w:hAnsi="Calibri" w:cs="Calibri"/>
          <w:i/>
          <w:iCs/>
          <w:szCs w:val="24"/>
        </w:rPr>
        <w:t>Decoding Domesday</w:t>
      </w:r>
      <w:r w:rsidR="00034B49" w:rsidRPr="00034B49">
        <w:rPr>
          <w:rFonts w:ascii="Calibri" w:hAnsi="Calibri" w:cs="Calibri"/>
          <w:szCs w:val="24"/>
        </w:rPr>
        <w:t>, p. 35.</w:t>
      </w:r>
      <w:r>
        <w:fldChar w:fldCharType="end"/>
      </w:r>
    </w:p>
  </w:footnote>
  <w:footnote w:id="22">
    <w:p w:rsidR="00772687" w:rsidRDefault="00772687">
      <w:pPr>
        <w:pStyle w:val="FootnoteText"/>
      </w:pPr>
      <w:r w:rsidRPr="00B05470">
        <w:rPr>
          <w:rStyle w:val="FootnoteReference"/>
        </w:rPr>
        <w:footnoteRef/>
      </w:r>
      <w:r>
        <w:t xml:space="preserve"> </w:t>
      </w:r>
      <w:r>
        <w:fldChar w:fldCharType="begin"/>
      </w:r>
      <w:r w:rsidR="001D0574">
        <w:instrText xml:space="preserve"> ADDIN ZOTERO_ITEM CSL_CITATION {"citationID":"lybCWboC","properties":{"formattedCitation":"{\\i{}Libri Censualis, Vocati Domesday-Book, Additamenta Ex Codic. Antiquiss. Exon\\uc0\\u8217{} Domesday, Inquisitio Eliensis, Liber Winton\\uc0\\u8217{}, Boldon Book}, ed. by Abraham. Farley and Henry Ellis, Record Commissioners 6-7 (London, 1816).","plainCitation":"Libri Censualis, Vocati Domesday-Book, Additamenta Ex Codic. Antiquiss. Exon’ Domesday, Inquisitio Eliensis, Liber Winton’, Boldon Book, ed. by Abraham. Farley and Henry Ellis, Record Commissioners 6-7 (London, 1816).","noteIndex":22},"citationItems":[{"id":504,"uris":["http://zotero.org/users/685164/items/EYRIQ3PV"],"uri":["http://zotero.org/users/685164/items/EYRIQ3PV"],"itemData":{"id":504,"type":"book","title":"Libri censualis, vocati domesday-book, additamenta ex codic. Antiquiss. Exon' domesday, inquisitio eliensis, liber winton', boldon book","collection-title":"Record Commissioners 6-7","publisher-place":"London","event-place":"London","language":"English ; Latin","editor":[{"family":"Farley","given":"Abraham."},{"family":"Ellis","given":"Henry"}],"issued":{"date-parts":[["1816"]]}}}],"schema":"https://github.com/citation-style-language/schema/raw/master/csl-citation.json"} </w:instrText>
      </w:r>
      <w:r>
        <w:fldChar w:fldCharType="separate"/>
      </w:r>
      <w:r w:rsidR="001D0574" w:rsidRPr="001D0574">
        <w:rPr>
          <w:rFonts w:ascii="Calibri" w:hAnsi="Calibri" w:cs="Calibri"/>
          <w:i/>
          <w:iCs/>
          <w:szCs w:val="24"/>
        </w:rPr>
        <w:t>Libri Censualis, Vocati Domesday-Book, Additamenta Ex Codic. Antiquiss. Exon’ Domesday, Inquisitio Eliensis, Liber Winton’, Boldon Book</w:t>
      </w:r>
      <w:r w:rsidR="001D0574" w:rsidRPr="001D0574">
        <w:rPr>
          <w:rFonts w:ascii="Calibri" w:hAnsi="Calibri" w:cs="Calibri"/>
          <w:szCs w:val="24"/>
        </w:rPr>
        <w:t>, ed. by Abraham. Farley and Henry Ellis, Record Commissioners 6-7 (London, 1816).</w:t>
      </w:r>
      <w:r>
        <w:fldChar w:fldCharType="end"/>
      </w:r>
    </w:p>
  </w:footnote>
  <w:footnote w:id="23">
    <w:p w:rsidR="001D0574" w:rsidRDefault="001D0574">
      <w:pPr>
        <w:pStyle w:val="FootnoteText"/>
      </w:pPr>
      <w:r w:rsidRPr="00B05470">
        <w:rPr>
          <w:rStyle w:val="FootnoteReference"/>
        </w:rPr>
        <w:footnoteRef/>
      </w:r>
      <w:r>
        <w:t xml:space="preserve"> </w:t>
      </w:r>
      <w:r>
        <w:fldChar w:fldCharType="begin"/>
      </w:r>
      <w:r>
        <w:instrText xml:space="preserve"> ADDIN ZOTERO_ITEM CSL_CITATION {"citationID":"E3LHr627","properties":{"formattedCitation":"Henry James, {\\i{}Domesday Book: Or, The Great Survey of England of William the Conqueror AD MLXXXVI} (Ordnance Survey Office, 1862), {\\scaps xxxi}.","plainCitation":"Henry James, Domesday Book: Or, The Great Survey of England of William the Conqueror AD MLXXXVI (Ordnance Survey Office, 1862), xxxi.","noteIndex":23},"citationItems":[{"id":516,"uris":["http://zotero.org/users/685164/items/K67WSTSU"],"uri":["http://zotero.org/users/685164/items/K67WSTSU"],"itemData":{"id":516,"type":"book","title":"Domesday book: or, The great survey of England of William the Conqueror AD MLXXXVI","publisher":"Ordnance Survey Office","volume":"31","author":[{"family":"James","given":"Henry"}],"issued":{"date-parts":[["1862"]]}}}],"schema":"https://github.com/citation-style-language/schema/raw/master/csl-citation.json"} </w:instrText>
      </w:r>
      <w:r>
        <w:fldChar w:fldCharType="separate"/>
      </w:r>
      <w:r w:rsidRPr="001D0574">
        <w:rPr>
          <w:rFonts w:ascii="Calibri" w:hAnsi="Calibri" w:cs="Calibri"/>
          <w:szCs w:val="24"/>
        </w:rPr>
        <w:t xml:space="preserve">Henry James, </w:t>
      </w:r>
      <w:r w:rsidRPr="001D0574">
        <w:rPr>
          <w:rFonts w:ascii="Calibri" w:hAnsi="Calibri" w:cs="Calibri"/>
          <w:i/>
          <w:iCs/>
          <w:szCs w:val="24"/>
        </w:rPr>
        <w:t>Domesday Book: Or, The Great Survey of England of William the Conqueror AD MLXXXVI</w:t>
      </w:r>
      <w:r w:rsidRPr="001D0574">
        <w:rPr>
          <w:rFonts w:ascii="Calibri" w:hAnsi="Calibri" w:cs="Calibri"/>
          <w:szCs w:val="24"/>
        </w:rPr>
        <w:t xml:space="preserve"> (Ordnance Survey Office, 1862), </w:t>
      </w:r>
      <w:r w:rsidRPr="001D0574">
        <w:rPr>
          <w:rFonts w:ascii="Calibri" w:hAnsi="Calibri" w:cs="Calibri"/>
          <w:smallCaps/>
          <w:szCs w:val="24"/>
        </w:rPr>
        <w:t>xxxi</w:t>
      </w:r>
      <w:r w:rsidRPr="001D0574">
        <w:rPr>
          <w:rFonts w:ascii="Calibri" w:hAnsi="Calibri" w:cs="Calibri"/>
          <w:szCs w:val="24"/>
        </w:rPr>
        <w:t>.</w:t>
      </w:r>
      <w:r>
        <w:fldChar w:fldCharType="end"/>
      </w:r>
    </w:p>
  </w:footnote>
  <w:footnote w:id="24">
    <w:p w:rsidR="006C3463" w:rsidRDefault="006C3463">
      <w:pPr>
        <w:pStyle w:val="FootnoteText"/>
      </w:pPr>
      <w:r w:rsidRPr="00B05470">
        <w:rPr>
          <w:rStyle w:val="FootnoteReference"/>
        </w:rPr>
        <w:footnoteRef/>
      </w:r>
      <w:r>
        <w:t xml:space="preserve"> </w:t>
      </w:r>
      <w:r>
        <w:fldChar w:fldCharType="begin"/>
      </w:r>
      <w:r>
        <w:instrText xml:space="preserve"> ADDIN ZOTERO_ITEM CSL_CITATION {"citationID":"lVkrpa8s","properties":{"formattedCitation":"Stephen Church, \\uc0\\u8216{}The Exchequer Cloth, c. 1176-1832: The Calculator; the Game of Chess, and the Process of Photozincography\\uc0\\u8217{}, 2012, p. 249.","plainCitation":"Stephen Church, ‘The Exchequer Cloth, c. 1176-1832: The Calculator; the Game of Chess, and the Process of Photozincography’, 2012, p. 249.","noteIndex":24},"citationItems":[{"id":517,"uris":["http://zotero.org/users/685164/items/4XY9CSVI"],"uri":["http://zotero.org/users/685164/items/4XY9CSVI"],"itemData":{"id":517,"type":"article-journal","title":"The Exchequer cloth, c. 1176-1832: the calculator; the game of chess, and the process of photozincography","author":[{"family":"Church","given":"Stephen"}],"issued":{"date-parts":[["2012"]]}},"locator":"249"}],"schema":"https://github.com/citation-style-language/schema/raw/master/csl-citation.json"} </w:instrText>
      </w:r>
      <w:r>
        <w:fldChar w:fldCharType="separate"/>
      </w:r>
      <w:r w:rsidRPr="006C3463">
        <w:rPr>
          <w:rFonts w:ascii="Calibri" w:hAnsi="Calibri" w:cs="Calibri"/>
          <w:szCs w:val="24"/>
        </w:rPr>
        <w:t>Stephen Church, ‘The Exchequer Cloth, c. 1176-1832: The Calculator; the Game of Chess, and the Process of Photozincography’, 2012, p. 249.</w:t>
      </w:r>
      <w:r>
        <w:fldChar w:fldCharType="end"/>
      </w:r>
    </w:p>
  </w:footnote>
  <w:footnote w:id="25">
    <w:p w:rsidR="00D92ACB" w:rsidRDefault="00D92ACB">
      <w:pPr>
        <w:pStyle w:val="FootnoteText"/>
      </w:pPr>
      <w:r w:rsidRPr="00B05470">
        <w:rPr>
          <w:rStyle w:val="FootnoteReference"/>
        </w:rPr>
        <w:footnoteRef/>
      </w:r>
      <w:r>
        <w:t xml:space="preserve"> </w:t>
      </w:r>
      <w:r>
        <w:fldChar w:fldCharType="begin"/>
      </w:r>
      <w:r>
        <w:instrText xml:space="preserve"> ADDIN ZOTERO_ITEM CSL_CITATION {"citationID":"t7UrcMfD","properties":{"formattedCitation":"{\\i{}Domesday Book: A Complete Translation}, ed. by Ann Williams and GH Martin (London: Penguin Books, 2002).","plainCitation":"Domesday Book: A Complete Translation, ed. by Ann Williams and GH Martin (London: Penguin Books, 2002).","noteIndex":25},"citationItems":[{"id":521,"uris":["http://zotero.org/users/685164/items/GHMM587C"],"uri":["http://zotero.org/users/685164/items/GHMM587C"],"itemData":{"id":521,"type":"book","title":"Domesday book: a complete translation","publisher":"Penguin Books","publisher-place":"London","number-of-pages":"1436","source":"Gemeinsamer Bibliotheksverbund ISBN","event-place":"London","ISBN":"978-0-14-100523-2","note":"OCLC: 248763883","shortTitle":"Domesday book","language":"eng","editor":[{"family":"Williams","given":"Ann"},{"family":"Martin","given":"GH"}],"issued":{"date-parts":[["2002"]]}}}],"schema":"https://github.com/citation-style-language/schema/raw/master/csl-citation.json"} </w:instrText>
      </w:r>
      <w:r>
        <w:fldChar w:fldCharType="separate"/>
      </w:r>
      <w:r w:rsidRPr="00D92ACB">
        <w:rPr>
          <w:rFonts w:ascii="Calibri" w:hAnsi="Calibri" w:cs="Calibri"/>
          <w:i/>
          <w:iCs/>
          <w:szCs w:val="24"/>
        </w:rPr>
        <w:t>Domesday Book: A Complete Translation</w:t>
      </w:r>
      <w:r w:rsidRPr="00D92ACB">
        <w:rPr>
          <w:rFonts w:ascii="Calibri" w:hAnsi="Calibri" w:cs="Calibri"/>
          <w:szCs w:val="24"/>
        </w:rPr>
        <w:t>, ed. by Ann Williams and GH Martin (London: Penguin Books, 2002).</w:t>
      </w:r>
      <w:r>
        <w:fldChar w:fldCharType="end"/>
      </w:r>
    </w:p>
  </w:footnote>
  <w:footnote w:id="26">
    <w:p w:rsidR="00DA0683" w:rsidRDefault="00DA0683">
      <w:pPr>
        <w:pStyle w:val="FootnoteText"/>
      </w:pPr>
      <w:r w:rsidRPr="00B05470">
        <w:rPr>
          <w:rStyle w:val="FootnoteReference"/>
        </w:rPr>
        <w:footnoteRef/>
      </w:r>
      <w:r>
        <w:t xml:space="preserve"> </w:t>
      </w:r>
      <w:r>
        <w:fldChar w:fldCharType="begin"/>
      </w:r>
      <w:r w:rsidR="00C00CBD">
        <w:instrText xml:space="preserve"> ADDIN ZOTERO_ITEM CSL_CITATION {"citationID":"3NPa7MSS","properties":{"formattedCitation":"Archives.","plainCitation":"Archives.","noteIndex":26},"citationItems":[{"id":505,"uris":["http://zotero.org/users/685164/items/K7H7M2T2"],"uri":["http://zotero.org/users/685164/items/K7H7M2T2"],"itemData":{"id":505,"type":"webpage","title":"Domesday Book - Domesday legacy","abstract":"The World of Domesday exhibition depicts life in 11th century England. The National Archives is the home of Domesday Book, the oldest surviving public record. Domesday is now available online, and you can search for your town or village, and download images of Domesday along with an English translation of the entry. You can also access the Discover Domesday exhibition, explaining why Domesday was created and how you can interpret it; Domesday resources for teachers; play the Domesday game; and test your knowledge with our quiz!","URL":"http://www.nationalarchives.gov.uk/domesday/discover-domesday/domesday-legacy.htm","language":"eng","author":[{"family":"Archives","given":"The National"}],"accessed":{"date-parts":[["2018",5,6]]}}}],"schema":"https://github.com/citation-style-language/schema/raw/master/csl-citation.json"} </w:instrText>
      </w:r>
      <w:r>
        <w:fldChar w:fldCharType="separate"/>
      </w:r>
      <w:r w:rsidRPr="00DA0683">
        <w:rPr>
          <w:rFonts w:ascii="Calibri" w:hAnsi="Calibri" w:cs="Calibri"/>
        </w:rPr>
        <w:t>Archives.</w:t>
      </w:r>
      <w:r>
        <w:fldChar w:fldCharType="end"/>
      </w:r>
    </w:p>
  </w:footnote>
  <w:footnote w:id="27">
    <w:p w:rsidR="00C00CBD" w:rsidRDefault="00C00CBD">
      <w:pPr>
        <w:pStyle w:val="FootnoteText"/>
      </w:pPr>
      <w:r w:rsidRPr="00B05470">
        <w:rPr>
          <w:rStyle w:val="FootnoteReference"/>
        </w:rPr>
        <w:footnoteRef/>
      </w:r>
      <w:r>
        <w:t xml:space="preserve"> </w:t>
      </w:r>
      <w:r>
        <w:fldChar w:fldCharType="begin"/>
      </w:r>
      <w:r>
        <w:instrText xml:space="preserve"> ADDIN ZOTERO_ITEM CSL_CITATION {"citationID":"EdvVHf88","properties":{"formattedCitation":"\\uc0\\u8216{}Hull Domesday Project\\uc0\\u8217{} &lt;http://www.domesdaybook.net/home&gt; [accessed 18 May 2018].","plainCitation":"‘Hull Domesday Project’ &lt;http://www.domesdaybook.net/home&gt; [accessed 18 May 2018].","noteIndex":27},"citationItems":[{"id":526,"uris":["http://zotero.org/users/685164/items/WYDLXMVZ"],"uri":["http://zotero.org/users/685164/items/WYDLXMVZ"],"itemData":{"id":526,"type":"webpage","title":"Hull Domesday Project","abstract":"Resources for scholars, students and anyone interested in Domesday Book.","URL":"http://www.domesdaybook.net/home","accessed":{"date-parts":[["2018",5,18]]}}}],"schema":"https://github.com/citation-style-language/schema/raw/master/csl-citation.json"} </w:instrText>
      </w:r>
      <w:r>
        <w:fldChar w:fldCharType="separate"/>
      </w:r>
      <w:r w:rsidRPr="00C00CBD">
        <w:rPr>
          <w:rFonts w:ascii="Calibri" w:hAnsi="Calibri" w:cs="Calibri"/>
          <w:szCs w:val="24"/>
        </w:rPr>
        <w:t>‘Hull Domesday Project’ &lt;http://www.domesdaybook.net/home&gt; [accessed 18 May 2018].</w:t>
      </w:r>
      <w:r>
        <w:fldChar w:fldCharType="end"/>
      </w:r>
    </w:p>
  </w:footnote>
  <w:footnote w:id="28">
    <w:p w:rsidR="00B05470" w:rsidRDefault="00B05470">
      <w:pPr>
        <w:pStyle w:val="FootnoteText"/>
      </w:pPr>
      <w:r>
        <w:rPr>
          <w:rStyle w:val="FootnoteReference"/>
        </w:rPr>
        <w:footnoteRef/>
      </w:r>
      <w:r>
        <w:t xml:space="preserve"> </w:t>
      </w:r>
      <w:r>
        <w:fldChar w:fldCharType="begin"/>
      </w:r>
      <w:r>
        <w:instrText xml:space="preserve"> ADDIN ZOTERO_ITEM CSL_CITATION {"citationID":"qDvKe1Gh","properties":{"formattedCitation":"J. Palmer, {\\i{}Electronic Edition of Domesday Book: Translation, Databases and Scholarly Commentary, 1086; Second Edition} (UK Data Service, 2010).","plainCitation":"J. Palmer, Electronic Edition of Domesday Book: Translation, Databases and Scholarly Commentary, 1086; Second Edition (UK Data Service, 2010).","noteIndex":28},"citationItems":[{"id":528,"uris":["http://zotero.org/users/685164/items/3EKIH9D4"],"uri":["http://zotero.org/users/685164/items/3EKIH9D4"],"itemData":{"id":528,"type":"report","title":"Electronic Edition of Domesday Book: Translation, Databases and Scholarly Commentary, 1086; second edition","publisher":"UK Data Service","author":[{"family":"Palmer","given":"J."}],"issued":{"date-parts":[["2010"]]}}}],"schema":"https://github.com/citation-style-language/schema/raw/master/csl-citation.json"} </w:instrText>
      </w:r>
      <w:r>
        <w:fldChar w:fldCharType="separate"/>
      </w:r>
      <w:r w:rsidRPr="00B05470">
        <w:rPr>
          <w:rFonts w:ascii="Calibri" w:hAnsi="Calibri" w:cs="Calibri"/>
          <w:szCs w:val="24"/>
        </w:rPr>
        <w:t xml:space="preserve">J. Palmer, </w:t>
      </w:r>
      <w:r w:rsidRPr="00B05470">
        <w:rPr>
          <w:rFonts w:ascii="Calibri" w:hAnsi="Calibri" w:cs="Calibri"/>
          <w:i/>
          <w:iCs/>
          <w:szCs w:val="24"/>
        </w:rPr>
        <w:t>Electronic Edition of Domesday Book: Translation, Databases and Scholarly Commentary, 1086; Second Edition</w:t>
      </w:r>
      <w:r w:rsidRPr="00B05470">
        <w:rPr>
          <w:rFonts w:ascii="Calibri" w:hAnsi="Calibri" w:cs="Calibri"/>
          <w:szCs w:val="24"/>
        </w:rPr>
        <w:t xml:space="preserve"> (UK Data Service, 2010).</w:t>
      </w:r>
      <w:r>
        <w:fldChar w:fldCharType="end"/>
      </w:r>
    </w:p>
  </w:footnote>
  <w:footnote w:id="29">
    <w:p w:rsidR="00C00CBD" w:rsidRDefault="00C00CBD">
      <w:pPr>
        <w:pStyle w:val="FootnoteText"/>
      </w:pPr>
      <w:r w:rsidRPr="00B05470">
        <w:rPr>
          <w:rStyle w:val="FootnoteReference"/>
        </w:rPr>
        <w:footnoteRef/>
      </w:r>
      <w:r>
        <w:t xml:space="preserve"> </w:t>
      </w:r>
      <w:r>
        <w:fldChar w:fldCharType="begin"/>
      </w:r>
      <w:r w:rsidR="00B05470">
        <w:instrText xml:space="preserve"> ADDIN ZOTERO_ITEM CSL_CITATION {"citationID":"l9F4AzmG","properties":{"formattedCitation":"A Powell-Smith and J. J. N Palmer, \\uc0\\u8216{}Open Domesday\\uc0\\u8217{} &lt;http://opendomesday.org/&gt; [accessed 18 May 2018].","plainCitation":"A Powell-Smith and J. J. N Palmer, ‘Open Domesday’ &lt;http://opendomesday.org/&gt; [accessed 18 May 2018].","noteIndex":29},"citationItems":[{"id":524,"uris":["http://zotero.org/users/685164/items/7E4GHPTS"],"uri":["http://zotero.org/users/685164/items/7E4GHPTS"],"itemData":{"id":524,"type":"webpage","title":"Open Domesday","URL":"http://opendomesday.org/","author":[{"family":"Powell-Smith","given":"A"},{"family":"Palmer","given":"J. J. N"}],"accessed":{"date-parts":[["2018",5,18]]}}}],"schema":"https://github.com/citation-style-language/schema/raw/master/csl-citation.json"} </w:instrText>
      </w:r>
      <w:r>
        <w:fldChar w:fldCharType="separate"/>
      </w:r>
      <w:r w:rsidRPr="00C00CBD">
        <w:rPr>
          <w:rFonts w:ascii="Calibri" w:hAnsi="Calibri" w:cs="Calibri"/>
          <w:szCs w:val="24"/>
        </w:rPr>
        <w:t>A Powell-Smith and J. J. N Palmer, ‘Open Domesday’ &lt;http://opendomesday.org/&gt; [accessed 18 May 2018].</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9"/>
    <w:rsid w:val="000056F5"/>
    <w:rsid w:val="00034B49"/>
    <w:rsid w:val="000740CA"/>
    <w:rsid w:val="000A617D"/>
    <w:rsid w:val="0012578F"/>
    <w:rsid w:val="0018473F"/>
    <w:rsid w:val="001A47B7"/>
    <w:rsid w:val="001D0574"/>
    <w:rsid w:val="0020550D"/>
    <w:rsid w:val="00234D50"/>
    <w:rsid w:val="00235890"/>
    <w:rsid w:val="00277605"/>
    <w:rsid w:val="00281769"/>
    <w:rsid w:val="002A194D"/>
    <w:rsid w:val="0031611F"/>
    <w:rsid w:val="00335673"/>
    <w:rsid w:val="00347337"/>
    <w:rsid w:val="00422BF6"/>
    <w:rsid w:val="00444542"/>
    <w:rsid w:val="00471A46"/>
    <w:rsid w:val="004B7689"/>
    <w:rsid w:val="004C6B72"/>
    <w:rsid w:val="005D055F"/>
    <w:rsid w:val="005D5BDE"/>
    <w:rsid w:val="005D6DBD"/>
    <w:rsid w:val="00642809"/>
    <w:rsid w:val="00665147"/>
    <w:rsid w:val="00667A8F"/>
    <w:rsid w:val="00683B7A"/>
    <w:rsid w:val="006C3463"/>
    <w:rsid w:val="006C6BD5"/>
    <w:rsid w:val="00771015"/>
    <w:rsid w:val="00772687"/>
    <w:rsid w:val="00775132"/>
    <w:rsid w:val="007B1092"/>
    <w:rsid w:val="007B34EE"/>
    <w:rsid w:val="00804EA8"/>
    <w:rsid w:val="00832972"/>
    <w:rsid w:val="008C779C"/>
    <w:rsid w:val="00906529"/>
    <w:rsid w:val="00920F7E"/>
    <w:rsid w:val="009D2FFD"/>
    <w:rsid w:val="009E3C28"/>
    <w:rsid w:val="009E5DDE"/>
    <w:rsid w:val="00A06546"/>
    <w:rsid w:val="00A251AB"/>
    <w:rsid w:val="00B05470"/>
    <w:rsid w:val="00B51048"/>
    <w:rsid w:val="00BF2259"/>
    <w:rsid w:val="00C00CBD"/>
    <w:rsid w:val="00C63201"/>
    <w:rsid w:val="00CB6EBA"/>
    <w:rsid w:val="00D326EE"/>
    <w:rsid w:val="00D92ACB"/>
    <w:rsid w:val="00D93A9F"/>
    <w:rsid w:val="00DA0683"/>
    <w:rsid w:val="00DD0F14"/>
    <w:rsid w:val="00DD3C10"/>
    <w:rsid w:val="00E10DA6"/>
    <w:rsid w:val="00E70F12"/>
    <w:rsid w:val="00E730B8"/>
    <w:rsid w:val="00F3541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63623"/>
  <w15:chartTrackingRefBased/>
  <w15:docId w15:val="{C6074BD6-78E6-489C-8B5D-32CCBEC9E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3201"/>
    <w:pPr>
      <w:spacing w:line="360" w:lineRule="auto"/>
    </w:pPr>
  </w:style>
  <w:style w:type="paragraph" w:styleId="Heading1">
    <w:name w:val="heading 1"/>
    <w:basedOn w:val="Normal"/>
    <w:next w:val="Normal"/>
    <w:link w:val="Heading1Char"/>
    <w:uiPriority w:val="9"/>
    <w:qFormat/>
    <w:rsid w:val="00281769"/>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281769"/>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281769"/>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281769"/>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281769"/>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281769"/>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28176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28176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28176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76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28176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28176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28176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28176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281769"/>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28176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28176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281769"/>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281769"/>
    <w:pPr>
      <w:spacing w:line="240" w:lineRule="auto"/>
    </w:pPr>
    <w:rPr>
      <w:b/>
      <w:bCs/>
      <w:smallCaps/>
      <w:color w:val="595959" w:themeColor="text1" w:themeTint="A6"/>
    </w:rPr>
  </w:style>
  <w:style w:type="paragraph" w:styleId="Title">
    <w:name w:val="Title"/>
    <w:basedOn w:val="Normal"/>
    <w:next w:val="Normal"/>
    <w:link w:val="TitleChar"/>
    <w:uiPriority w:val="10"/>
    <w:qFormat/>
    <w:rsid w:val="00281769"/>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281769"/>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BF2259"/>
    <w:pPr>
      <w:numPr>
        <w:ilvl w:val="1"/>
      </w:numPr>
    </w:pPr>
    <w:rPr>
      <w:rFonts w:eastAsiaTheme="majorEastAsia" w:cstheme="majorBidi"/>
      <w:smallCaps/>
      <w:color w:val="595959" w:themeColor="text1" w:themeTint="A6"/>
      <w:sz w:val="28"/>
      <w:szCs w:val="28"/>
    </w:rPr>
  </w:style>
  <w:style w:type="character" w:customStyle="1" w:styleId="SubtitleChar">
    <w:name w:val="Subtitle Char"/>
    <w:basedOn w:val="DefaultParagraphFont"/>
    <w:link w:val="Subtitle"/>
    <w:uiPriority w:val="11"/>
    <w:rsid w:val="00BF2259"/>
    <w:rPr>
      <w:rFonts w:eastAsiaTheme="majorEastAsia" w:cstheme="majorBidi"/>
      <w:smallCaps/>
      <w:color w:val="595959" w:themeColor="text1" w:themeTint="A6"/>
      <w:sz w:val="28"/>
      <w:szCs w:val="28"/>
    </w:rPr>
  </w:style>
  <w:style w:type="character" w:styleId="Strong">
    <w:name w:val="Strong"/>
    <w:basedOn w:val="DefaultParagraphFont"/>
    <w:uiPriority w:val="22"/>
    <w:qFormat/>
    <w:rsid w:val="00281769"/>
    <w:rPr>
      <w:b/>
      <w:bCs/>
    </w:rPr>
  </w:style>
  <w:style w:type="character" w:styleId="Emphasis">
    <w:name w:val="Emphasis"/>
    <w:basedOn w:val="DefaultParagraphFont"/>
    <w:uiPriority w:val="20"/>
    <w:qFormat/>
    <w:rsid w:val="00281769"/>
    <w:rPr>
      <w:i/>
      <w:iCs/>
    </w:rPr>
  </w:style>
  <w:style w:type="paragraph" w:styleId="NoSpacing">
    <w:name w:val="No Spacing"/>
    <w:uiPriority w:val="1"/>
    <w:qFormat/>
    <w:rsid w:val="00281769"/>
    <w:pPr>
      <w:spacing w:after="0" w:line="240" w:lineRule="auto"/>
    </w:pPr>
  </w:style>
  <w:style w:type="paragraph" w:styleId="Quote">
    <w:name w:val="Quote"/>
    <w:basedOn w:val="Normal"/>
    <w:next w:val="Normal"/>
    <w:link w:val="QuoteChar"/>
    <w:uiPriority w:val="29"/>
    <w:qFormat/>
    <w:rsid w:val="0028176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28176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28176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281769"/>
    <w:rPr>
      <w:color w:val="404040" w:themeColor="text1" w:themeTint="BF"/>
      <w:sz w:val="32"/>
      <w:szCs w:val="32"/>
    </w:rPr>
  </w:style>
  <w:style w:type="character" w:styleId="SubtleEmphasis">
    <w:name w:val="Subtle Emphasis"/>
    <w:basedOn w:val="DefaultParagraphFont"/>
    <w:uiPriority w:val="19"/>
    <w:qFormat/>
    <w:rsid w:val="00281769"/>
    <w:rPr>
      <w:i/>
      <w:iCs/>
      <w:color w:val="595959" w:themeColor="text1" w:themeTint="A6"/>
    </w:rPr>
  </w:style>
  <w:style w:type="character" w:styleId="IntenseEmphasis">
    <w:name w:val="Intense Emphasis"/>
    <w:basedOn w:val="DefaultParagraphFont"/>
    <w:uiPriority w:val="21"/>
    <w:qFormat/>
    <w:rsid w:val="00281769"/>
    <w:rPr>
      <w:b/>
      <w:bCs/>
      <w:i/>
      <w:iCs/>
    </w:rPr>
  </w:style>
  <w:style w:type="character" w:styleId="SubtleReference">
    <w:name w:val="Subtle Reference"/>
    <w:basedOn w:val="DefaultParagraphFont"/>
    <w:uiPriority w:val="31"/>
    <w:qFormat/>
    <w:rsid w:val="0028176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81769"/>
    <w:rPr>
      <w:b/>
      <w:bCs/>
      <w:caps w:val="0"/>
      <w:smallCaps/>
      <w:color w:val="auto"/>
      <w:spacing w:val="3"/>
      <w:u w:val="single"/>
    </w:rPr>
  </w:style>
  <w:style w:type="character" w:styleId="BookTitle">
    <w:name w:val="Book Title"/>
    <w:basedOn w:val="DefaultParagraphFont"/>
    <w:uiPriority w:val="33"/>
    <w:qFormat/>
    <w:rsid w:val="00281769"/>
    <w:rPr>
      <w:b/>
      <w:bCs/>
      <w:smallCaps/>
      <w:spacing w:val="7"/>
    </w:rPr>
  </w:style>
  <w:style w:type="paragraph" w:styleId="TOCHeading">
    <w:name w:val="TOC Heading"/>
    <w:basedOn w:val="Heading1"/>
    <w:next w:val="Normal"/>
    <w:uiPriority w:val="39"/>
    <w:semiHidden/>
    <w:unhideWhenUsed/>
    <w:qFormat/>
    <w:rsid w:val="00281769"/>
    <w:pPr>
      <w:outlineLvl w:val="9"/>
    </w:pPr>
  </w:style>
  <w:style w:type="paragraph" w:styleId="FootnoteText">
    <w:name w:val="footnote text"/>
    <w:basedOn w:val="Normal"/>
    <w:link w:val="FootnoteTextChar"/>
    <w:uiPriority w:val="99"/>
    <w:semiHidden/>
    <w:unhideWhenUsed/>
    <w:rsid w:val="002358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35890"/>
    <w:rPr>
      <w:sz w:val="20"/>
      <w:szCs w:val="20"/>
    </w:rPr>
  </w:style>
  <w:style w:type="character" w:styleId="FootnoteReference">
    <w:name w:val="footnote reference"/>
    <w:basedOn w:val="DefaultParagraphFont"/>
    <w:uiPriority w:val="99"/>
    <w:semiHidden/>
    <w:unhideWhenUsed/>
    <w:rsid w:val="00235890"/>
    <w:rPr>
      <w:vertAlign w:val="superscript"/>
    </w:rPr>
  </w:style>
  <w:style w:type="paragraph" w:styleId="NormalWeb">
    <w:name w:val="Normal (Web)"/>
    <w:basedOn w:val="Normal"/>
    <w:unhideWhenUsed/>
    <w:rsid w:val="000056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772687"/>
    <w:pPr>
      <w:spacing w:after="240" w:line="240" w:lineRule="auto"/>
      <w:ind w:left="720" w:hanging="720"/>
    </w:pPr>
  </w:style>
  <w:style w:type="character" w:styleId="EndnoteReference">
    <w:name w:val="endnote reference"/>
    <w:basedOn w:val="DefaultParagraphFont"/>
    <w:uiPriority w:val="99"/>
    <w:semiHidden/>
    <w:unhideWhenUsed/>
    <w:rsid w:val="00B054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8579501">
      <w:bodyDiv w:val="1"/>
      <w:marLeft w:val="0"/>
      <w:marRight w:val="0"/>
      <w:marTop w:val="0"/>
      <w:marBottom w:val="0"/>
      <w:divBdr>
        <w:top w:val="none" w:sz="0" w:space="0" w:color="auto"/>
        <w:left w:val="none" w:sz="0" w:space="0" w:color="auto"/>
        <w:bottom w:val="none" w:sz="0" w:space="0" w:color="auto"/>
        <w:right w:val="none" w:sz="0" w:space="0" w:color="auto"/>
      </w:divBdr>
    </w:div>
    <w:div w:id="1904834336">
      <w:bodyDiv w:val="1"/>
      <w:marLeft w:val="0"/>
      <w:marRight w:val="0"/>
      <w:marTop w:val="0"/>
      <w:marBottom w:val="0"/>
      <w:divBdr>
        <w:top w:val="none" w:sz="0" w:space="0" w:color="auto"/>
        <w:left w:val="none" w:sz="0" w:space="0" w:color="auto"/>
        <w:bottom w:val="none" w:sz="0" w:space="0" w:color="auto"/>
        <w:right w:val="none" w:sz="0" w:space="0" w:color="auto"/>
      </w:divBdr>
      <w:divsChild>
        <w:div w:id="317074731">
          <w:marLeft w:val="0"/>
          <w:marRight w:val="0"/>
          <w:marTop w:val="0"/>
          <w:marBottom w:val="0"/>
          <w:divBdr>
            <w:top w:val="none" w:sz="0" w:space="0" w:color="auto"/>
            <w:left w:val="none" w:sz="0" w:space="0" w:color="auto"/>
            <w:bottom w:val="none" w:sz="0" w:space="0" w:color="auto"/>
            <w:right w:val="none" w:sz="0" w:space="0" w:color="auto"/>
          </w:divBdr>
          <w:divsChild>
            <w:div w:id="1012729230">
              <w:marLeft w:val="0"/>
              <w:marRight w:val="0"/>
              <w:marTop w:val="0"/>
              <w:marBottom w:val="0"/>
              <w:divBdr>
                <w:top w:val="none" w:sz="0" w:space="0" w:color="auto"/>
                <w:left w:val="none" w:sz="0" w:space="0" w:color="auto"/>
                <w:bottom w:val="none" w:sz="0" w:space="0" w:color="auto"/>
                <w:right w:val="none" w:sz="0" w:space="0" w:color="auto"/>
              </w:divBdr>
              <w:divsChild>
                <w:div w:id="1345396910">
                  <w:marLeft w:val="0"/>
                  <w:marRight w:val="0"/>
                  <w:marTop w:val="0"/>
                  <w:marBottom w:val="0"/>
                  <w:divBdr>
                    <w:top w:val="none" w:sz="0" w:space="0" w:color="auto"/>
                    <w:left w:val="none" w:sz="0" w:space="0" w:color="auto"/>
                    <w:bottom w:val="none" w:sz="0" w:space="0" w:color="auto"/>
                    <w:right w:val="none" w:sz="0" w:space="0" w:color="auto"/>
                  </w:divBdr>
                  <w:divsChild>
                    <w:div w:id="288128174">
                      <w:marLeft w:val="0"/>
                      <w:marRight w:val="0"/>
                      <w:marTop w:val="0"/>
                      <w:marBottom w:val="0"/>
                      <w:divBdr>
                        <w:top w:val="none" w:sz="0" w:space="0" w:color="auto"/>
                        <w:left w:val="none" w:sz="0" w:space="0" w:color="auto"/>
                        <w:bottom w:val="none" w:sz="0" w:space="0" w:color="auto"/>
                        <w:right w:val="none" w:sz="0" w:space="0" w:color="auto"/>
                      </w:divBdr>
                      <w:divsChild>
                        <w:div w:id="1310480063">
                          <w:marLeft w:val="0"/>
                          <w:marRight w:val="0"/>
                          <w:marTop w:val="0"/>
                          <w:marBottom w:val="0"/>
                          <w:divBdr>
                            <w:top w:val="none" w:sz="0" w:space="0" w:color="auto"/>
                            <w:left w:val="none" w:sz="0" w:space="0" w:color="auto"/>
                            <w:bottom w:val="none" w:sz="0" w:space="0" w:color="auto"/>
                            <w:right w:val="none" w:sz="0" w:space="0" w:color="auto"/>
                          </w:divBdr>
                          <w:divsChild>
                            <w:div w:id="1460299318">
                              <w:marLeft w:val="0"/>
                              <w:marRight w:val="0"/>
                              <w:marTop w:val="0"/>
                              <w:marBottom w:val="0"/>
                              <w:divBdr>
                                <w:top w:val="none" w:sz="0" w:space="0" w:color="auto"/>
                                <w:left w:val="none" w:sz="0" w:space="0" w:color="auto"/>
                                <w:bottom w:val="none" w:sz="0" w:space="0" w:color="auto"/>
                                <w:right w:val="none" w:sz="0" w:space="0" w:color="auto"/>
                              </w:divBdr>
                              <w:divsChild>
                                <w:div w:id="11660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4373388">
      <w:bodyDiv w:val="1"/>
      <w:marLeft w:val="0"/>
      <w:marRight w:val="0"/>
      <w:marTop w:val="0"/>
      <w:marBottom w:val="0"/>
      <w:divBdr>
        <w:top w:val="none" w:sz="0" w:space="0" w:color="auto"/>
        <w:left w:val="none" w:sz="0" w:space="0" w:color="auto"/>
        <w:bottom w:val="none" w:sz="0" w:space="0" w:color="auto"/>
        <w:right w:val="none" w:sz="0" w:space="0" w:color="auto"/>
      </w:divBdr>
      <w:divsChild>
        <w:div w:id="1648973396">
          <w:marLeft w:val="0"/>
          <w:marRight w:val="0"/>
          <w:marTop w:val="0"/>
          <w:marBottom w:val="0"/>
          <w:divBdr>
            <w:top w:val="none" w:sz="0" w:space="0" w:color="auto"/>
            <w:left w:val="none" w:sz="0" w:space="0" w:color="auto"/>
            <w:bottom w:val="none" w:sz="0" w:space="0" w:color="auto"/>
            <w:right w:val="none" w:sz="0" w:space="0" w:color="auto"/>
          </w:divBdr>
          <w:divsChild>
            <w:div w:id="1631083696">
              <w:marLeft w:val="0"/>
              <w:marRight w:val="0"/>
              <w:marTop w:val="0"/>
              <w:marBottom w:val="0"/>
              <w:divBdr>
                <w:top w:val="none" w:sz="0" w:space="0" w:color="auto"/>
                <w:left w:val="none" w:sz="0" w:space="0" w:color="auto"/>
                <w:bottom w:val="none" w:sz="0" w:space="0" w:color="auto"/>
                <w:right w:val="none" w:sz="0" w:space="0" w:color="auto"/>
              </w:divBdr>
              <w:divsChild>
                <w:div w:id="758871167">
                  <w:marLeft w:val="0"/>
                  <w:marRight w:val="0"/>
                  <w:marTop w:val="0"/>
                  <w:marBottom w:val="0"/>
                  <w:divBdr>
                    <w:top w:val="none" w:sz="0" w:space="0" w:color="auto"/>
                    <w:left w:val="none" w:sz="0" w:space="0" w:color="auto"/>
                    <w:bottom w:val="none" w:sz="0" w:space="0" w:color="auto"/>
                    <w:right w:val="none" w:sz="0" w:space="0" w:color="auto"/>
                  </w:divBdr>
                  <w:divsChild>
                    <w:div w:id="1745299490">
                      <w:marLeft w:val="0"/>
                      <w:marRight w:val="0"/>
                      <w:marTop w:val="0"/>
                      <w:marBottom w:val="0"/>
                      <w:divBdr>
                        <w:top w:val="none" w:sz="0" w:space="0" w:color="auto"/>
                        <w:left w:val="none" w:sz="0" w:space="0" w:color="auto"/>
                        <w:bottom w:val="none" w:sz="0" w:space="0" w:color="auto"/>
                        <w:right w:val="none" w:sz="0" w:space="0" w:color="auto"/>
                      </w:divBdr>
                      <w:divsChild>
                        <w:div w:id="1530997028">
                          <w:marLeft w:val="0"/>
                          <w:marRight w:val="0"/>
                          <w:marTop w:val="0"/>
                          <w:marBottom w:val="0"/>
                          <w:divBdr>
                            <w:top w:val="none" w:sz="0" w:space="0" w:color="auto"/>
                            <w:left w:val="none" w:sz="0" w:space="0" w:color="auto"/>
                            <w:bottom w:val="none" w:sz="0" w:space="0" w:color="auto"/>
                            <w:right w:val="none" w:sz="0" w:space="0" w:color="auto"/>
                          </w:divBdr>
                          <w:divsChild>
                            <w:div w:id="491416052">
                              <w:marLeft w:val="0"/>
                              <w:marRight w:val="0"/>
                              <w:marTop w:val="0"/>
                              <w:marBottom w:val="0"/>
                              <w:divBdr>
                                <w:top w:val="none" w:sz="0" w:space="0" w:color="auto"/>
                                <w:left w:val="none" w:sz="0" w:space="0" w:color="auto"/>
                                <w:bottom w:val="none" w:sz="0" w:space="0" w:color="auto"/>
                                <w:right w:val="none" w:sz="0" w:space="0" w:color="auto"/>
                              </w:divBdr>
                              <w:divsChild>
                                <w:div w:id="2996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B7EC0-C028-4624-A24C-A540D05F0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1581</Words>
  <Characters>9015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Gulliver Methuen-Campbell</dc:creator>
  <cp:keywords/>
  <dc:description/>
  <cp:lastModifiedBy>Gulliver Methuen-Campbell</cp:lastModifiedBy>
  <cp:revision>34</cp:revision>
  <dcterms:created xsi:type="dcterms:W3CDTF">2018-05-04T14:52:00Z</dcterms:created>
  <dcterms:modified xsi:type="dcterms:W3CDTF">2018-05-24T17:00:00Z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zotero-version="5.0.47"&gt;&lt;session id="ocjXltoe"/&gt;&lt;style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