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0EC61F5" wp14:paraId="183C87E1" wp14:textId="4165EE98">
      <w:pPr>
        <w:spacing w:before="120"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GB"/>
        </w:rPr>
      </w:pPr>
      <w:r w:rsidR="3FBDACE5">
        <w:drawing>
          <wp:inline xmlns:wp14="http://schemas.microsoft.com/office/word/2010/wordprocessingDrawing" wp14:editId="55184CCC" wp14:anchorId="78E78C53">
            <wp:extent cx="2200275" cy="742950"/>
            <wp:effectExtent l="0" t="0" r="0" b="0"/>
            <wp:docPr id="1001414764" name="drawing" title="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1414764" name="Picture 1001414764"/>
                    <pic:cNvPicPr/>
                  </pic:nvPicPr>
                  <pic:blipFill>
                    <a:blip xmlns:r="http://schemas.openxmlformats.org/officeDocument/2006/relationships" r:embed="rId2010588030">
                      <a:extLst>
                        <a:ext uri="{28A0092B-C50C-407E-A947-70E740481C1C}">
                          <a14:useLocalDpi xmlns:a14="http://schemas.microsoft.com/office/drawing/2010/main"/>
                        </a:ext>
                      </a:extLst>
                    </a:blip>
                    <a:stretch>
                      <a:fillRect/>
                    </a:stretch>
                  </pic:blipFill>
                  <pic:spPr>
                    <a:xfrm>
                      <a:off x="0" y="0"/>
                      <a:ext cx="2200275" cy="742950"/>
                    </a:xfrm>
                    <a:prstGeom prst="rect">
                      <a:avLst/>
                    </a:prstGeom>
                  </pic:spPr>
                </pic:pic>
              </a:graphicData>
            </a:graphic>
          </wp:inline>
        </w:drawing>
      </w:r>
    </w:p>
    <w:p xmlns:wp14="http://schemas.microsoft.com/office/word/2010/wordml" w:rsidP="20EC61F5" wp14:paraId="594F87D5" wp14:textId="263CABEC">
      <w:pPr>
        <w:spacing w:before="120" w:after="165" w:line="360" w:lineRule="auto"/>
        <w:jc w:val="center"/>
        <w:rPr>
          <w:rFonts w:ascii="Tahoma" w:hAnsi="Tahoma" w:eastAsia="Tahoma" w:cs="Tahoma"/>
          <w:b w:val="0"/>
          <w:bCs w:val="0"/>
          <w:i w:val="0"/>
          <w:iCs w:val="0"/>
          <w:caps w:val="0"/>
          <w:smallCaps w:val="0"/>
          <w:noProof w:val="0"/>
          <w:color w:val="000000" w:themeColor="text1" w:themeTint="FF" w:themeShade="FF"/>
          <w:sz w:val="40"/>
          <w:szCs w:val="40"/>
          <w:lang w:val="en-GB"/>
        </w:rPr>
      </w:pPr>
      <w:r w:rsidRPr="20EC61F5" w:rsidR="3FBDACE5">
        <w:rPr>
          <w:rFonts w:ascii="Tahoma" w:hAnsi="Tahoma" w:eastAsia="Tahoma" w:cs="Tahoma"/>
          <w:b w:val="0"/>
          <w:bCs w:val="0"/>
          <w:i w:val="0"/>
          <w:iCs w:val="0"/>
          <w:caps w:val="0"/>
          <w:smallCaps w:val="0"/>
          <w:noProof w:val="0"/>
          <w:color w:val="000000" w:themeColor="text1" w:themeTint="FF" w:themeShade="FF"/>
          <w:sz w:val="40"/>
          <w:szCs w:val="40"/>
          <w:lang w:val="en-GB"/>
        </w:rPr>
        <w:t>Applied Leadership and Management in the Workplace</w:t>
      </w:r>
      <w:r>
        <w:br/>
      </w:r>
      <w:r w:rsidRPr="20EC61F5" w:rsidR="3FBDACE5">
        <w:rPr>
          <w:rFonts w:ascii="Tahoma" w:hAnsi="Tahoma" w:eastAsia="Tahoma" w:cs="Tahoma"/>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Grid"/>
        <w:bidiVisual w:val="0"/>
        <w:tblW w:w="0" w:type="auto"/>
        <w:tblBorders>
          <w:top w:val="single" w:sz="6"/>
          <w:left w:val="single" w:sz="6"/>
          <w:bottom w:val="single" w:sz="6"/>
          <w:right w:val="single" w:sz="6"/>
        </w:tblBorders>
        <w:tblLayout w:type="fixed"/>
        <w:tblLook w:val="0000" w:firstRow="0" w:lastRow="0" w:firstColumn="0" w:lastColumn="0" w:noHBand="0" w:noVBand="0"/>
      </w:tblPr>
      <w:tblGrid>
        <w:gridCol w:w="3375"/>
        <w:gridCol w:w="5940"/>
      </w:tblGrid>
      <w:tr w:rsidR="20EC61F5" w:rsidTr="20EC61F5" w14:paraId="090F8EC7">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20EC61F5" w:rsidP="20EC61F5" w:rsidRDefault="20EC61F5" w14:paraId="53CEA23E" w14:textId="60891099">
            <w:pPr>
              <w:spacing w:before="120" w:after="120" w:line="360" w:lineRule="auto"/>
              <w:rPr>
                <w:rFonts w:ascii="Tahoma" w:hAnsi="Tahoma" w:eastAsia="Tahoma" w:cs="Tahoma"/>
                <w:b w:val="0"/>
                <w:bCs w:val="0"/>
                <w:i w:val="0"/>
                <w:iCs w:val="0"/>
                <w:sz w:val="32"/>
                <w:szCs w:val="32"/>
              </w:rPr>
            </w:pPr>
            <w:r w:rsidRPr="20EC61F5" w:rsidR="20EC61F5">
              <w:rPr>
                <w:rFonts w:ascii="Tahoma" w:hAnsi="Tahoma" w:eastAsia="Tahoma" w:cs="Tahoma"/>
                <w:b w:val="0"/>
                <w:bCs w:val="0"/>
                <w:i w:val="0"/>
                <w:iCs w:val="0"/>
                <w:sz w:val="32"/>
                <w:szCs w:val="32"/>
                <w:lang w:val="en-GB"/>
              </w:rPr>
              <w:t>Student Name:</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0EC61F5" w:rsidP="20EC61F5" w:rsidRDefault="20EC61F5" w14:paraId="08FB53DF" w14:textId="77BC01FD">
            <w:pPr>
              <w:spacing w:before="120" w:after="120" w:line="360" w:lineRule="auto"/>
              <w:rPr>
                <w:rFonts w:ascii="Arial" w:hAnsi="Arial" w:eastAsia="Arial" w:cs="Arial"/>
                <w:b w:val="0"/>
                <w:bCs w:val="0"/>
                <w:i w:val="0"/>
                <w:iCs w:val="0"/>
                <w:sz w:val="32"/>
                <w:szCs w:val="32"/>
              </w:rPr>
            </w:pPr>
            <w:r w:rsidRPr="20EC61F5" w:rsidR="20EC61F5">
              <w:rPr>
                <w:rFonts w:ascii="Arial" w:hAnsi="Arial" w:eastAsia="Arial" w:cs="Arial"/>
                <w:b w:val="0"/>
                <w:bCs w:val="0"/>
                <w:i w:val="0"/>
                <w:iCs w:val="0"/>
                <w:sz w:val="32"/>
                <w:szCs w:val="32"/>
                <w:lang w:val="en-GB"/>
              </w:rPr>
              <w:t>Jodie Loosmore</w:t>
            </w:r>
          </w:p>
        </w:tc>
      </w:tr>
      <w:tr w:rsidR="20EC61F5" w:rsidTr="20EC61F5" w14:paraId="73CB8EBA">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20EC61F5" w:rsidP="20EC61F5" w:rsidRDefault="20EC61F5" w14:paraId="2DABD307" w14:textId="2EBC85C8">
            <w:pPr>
              <w:spacing w:before="120" w:after="120" w:line="360" w:lineRule="auto"/>
              <w:rPr>
                <w:rFonts w:ascii="Tahoma" w:hAnsi="Tahoma" w:eastAsia="Tahoma" w:cs="Tahoma"/>
                <w:b w:val="0"/>
                <w:bCs w:val="0"/>
                <w:i w:val="0"/>
                <w:iCs w:val="0"/>
                <w:sz w:val="32"/>
                <w:szCs w:val="32"/>
              </w:rPr>
            </w:pPr>
            <w:r w:rsidRPr="20EC61F5" w:rsidR="20EC61F5">
              <w:rPr>
                <w:rFonts w:ascii="Tahoma" w:hAnsi="Tahoma" w:eastAsia="Tahoma" w:cs="Tahoma"/>
                <w:b w:val="0"/>
                <w:bCs w:val="0"/>
                <w:i w:val="0"/>
                <w:iCs w:val="0"/>
                <w:sz w:val="32"/>
                <w:szCs w:val="32"/>
                <w:lang w:val="en-GB"/>
              </w:rPr>
              <w:t>Student Number:</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0EC61F5" w:rsidP="20EC61F5" w:rsidRDefault="20EC61F5" w14:paraId="7B206E15" w14:textId="0ADA32C0">
            <w:pPr>
              <w:spacing w:before="120" w:after="120" w:line="360" w:lineRule="auto"/>
              <w:rPr>
                <w:rFonts w:ascii="Arial" w:hAnsi="Arial" w:eastAsia="Arial" w:cs="Arial"/>
                <w:b w:val="0"/>
                <w:bCs w:val="0"/>
                <w:i w:val="0"/>
                <w:iCs w:val="0"/>
                <w:sz w:val="32"/>
                <w:szCs w:val="32"/>
              </w:rPr>
            </w:pPr>
            <w:r w:rsidRPr="20EC61F5" w:rsidR="20EC61F5">
              <w:rPr>
                <w:rFonts w:ascii="Arial" w:hAnsi="Arial" w:eastAsia="Arial" w:cs="Arial"/>
                <w:b w:val="0"/>
                <w:bCs w:val="0"/>
                <w:i w:val="0"/>
                <w:iCs w:val="0"/>
                <w:sz w:val="32"/>
                <w:szCs w:val="32"/>
                <w:lang w:val="en-GB"/>
              </w:rPr>
              <w:t>2320605</w:t>
            </w:r>
          </w:p>
        </w:tc>
      </w:tr>
      <w:tr w:rsidR="20EC61F5" w:rsidTr="20EC61F5" w14:paraId="12A9A7D1">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20EC61F5" w:rsidP="20EC61F5" w:rsidRDefault="20EC61F5" w14:paraId="74B2AB6E" w14:textId="10E25977">
            <w:pPr>
              <w:spacing w:before="120" w:after="120" w:line="360" w:lineRule="auto"/>
              <w:rPr>
                <w:rFonts w:ascii="Tahoma" w:hAnsi="Tahoma" w:eastAsia="Tahoma" w:cs="Tahoma"/>
                <w:b w:val="0"/>
                <w:bCs w:val="0"/>
                <w:i w:val="0"/>
                <w:iCs w:val="0"/>
                <w:sz w:val="32"/>
                <w:szCs w:val="32"/>
              </w:rPr>
            </w:pPr>
            <w:r w:rsidRPr="20EC61F5" w:rsidR="20EC61F5">
              <w:rPr>
                <w:rFonts w:ascii="Tahoma" w:hAnsi="Tahoma" w:eastAsia="Tahoma" w:cs="Tahoma"/>
                <w:b w:val="0"/>
                <w:bCs w:val="0"/>
                <w:i w:val="0"/>
                <w:iCs w:val="0"/>
                <w:sz w:val="32"/>
                <w:szCs w:val="32"/>
                <w:lang w:val="en-GB"/>
              </w:rPr>
              <w:t>Module No:</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0EC61F5" w:rsidP="20EC61F5" w:rsidRDefault="20EC61F5" w14:paraId="0F192B19" w14:textId="3B7693D0">
            <w:pPr>
              <w:spacing w:before="120" w:after="120" w:line="360" w:lineRule="auto"/>
              <w:rPr>
                <w:rFonts w:ascii="Aptos Display" w:hAnsi="Aptos Display" w:eastAsia="Aptos Display" w:cs="Aptos Display"/>
                <w:b w:val="0"/>
                <w:bCs w:val="0"/>
                <w:i w:val="0"/>
                <w:iCs w:val="0"/>
                <w:color w:val="000000" w:themeColor="text1" w:themeTint="FF" w:themeShade="FF"/>
                <w:sz w:val="32"/>
                <w:szCs w:val="32"/>
              </w:rPr>
            </w:pPr>
            <w:r w:rsidRPr="20EC61F5" w:rsidR="20EC61F5">
              <w:rPr>
                <w:rFonts w:ascii="Aptos Display" w:hAnsi="Aptos Display" w:eastAsia="Aptos Display" w:cs="Aptos Display"/>
                <w:b w:val="1"/>
                <w:bCs w:val="1"/>
                <w:i w:val="0"/>
                <w:iCs w:val="0"/>
                <w:caps w:val="0"/>
                <w:smallCaps w:val="0"/>
                <w:color w:val="000000" w:themeColor="text1" w:themeTint="FF" w:themeShade="FF"/>
                <w:sz w:val="32"/>
                <w:szCs w:val="32"/>
                <w:lang w:val="en-GB"/>
              </w:rPr>
              <w:t>BMSK5009</w:t>
            </w:r>
          </w:p>
        </w:tc>
      </w:tr>
      <w:tr w:rsidR="20EC61F5" w:rsidTr="20EC61F5" w14:paraId="0F605CDC">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20EC61F5" w:rsidP="20EC61F5" w:rsidRDefault="20EC61F5" w14:paraId="585CA654" w14:textId="4E542358">
            <w:pPr>
              <w:spacing w:before="120" w:after="120" w:line="360" w:lineRule="auto"/>
              <w:rPr>
                <w:rFonts w:ascii="Tahoma" w:hAnsi="Tahoma" w:eastAsia="Tahoma" w:cs="Tahoma"/>
                <w:b w:val="0"/>
                <w:bCs w:val="0"/>
                <w:i w:val="0"/>
                <w:iCs w:val="0"/>
                <w:sz w:val="32"/>
                <w:szCs w:val="32"/>
              </w:rPr>
            </w:pPr>
            <w:r w:rsidRPr="20EC61F5" w:rsidR="20EC61F5">
              <w:rPr>
                <w:rFonts w:ascii="Tahoma" w:hAnsi="Tahoma" w:eastAsia="Tahoma" w:cs="Tahoma"/>
                <w:b w:val="0"/>
                <w:bCs w:val="0"/>
                <w:i w:val="0"/>
                <w:iCs w:val="0"/>
                <w:sz w:val="32"/>
                <w:szCs w:val="32"/>
                <w:lang w:val="en-GB"/>
              </w:rPr>
              <w:t>Module Title:</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0EC61F5" w:rsidP="20EC61F5" w:rsidRDefault="20EC61F5" w14:paraId="7EF1DE04" w14:textId="557C6452">
            <w:pPr>
              <w:pStyle w:val="Heading1"/>
              <w:keepNext w:val="1"/>
              <w:keepLines w:val="1"/>
              <w:spacing w:before="0" w:beforeAutospacing="off" w:after="0" w:afterAutospacing="off"/>
              <w:jc w:val="left"/>
              <w:rPr>
                <w:rFonts w:ascii="Segoe UI" w:hAnsi="Segoe UI" w:eastAsia="Segoe UI" w:cs="Segoe UI"/>
                <w:b w:val="0"/>
                <w:bCs w:val="0"/>
                <w:i w:val="0"/>
                <w:iCs w:val="0"/>
                <w:color w:val="auto"/>
                <w:sz w:val="32"/>
                <w:szCs w:val="32"/>
              </w:rPr>
            </w:pPr>
            <w:bookmarkStart w:name="_Toc77198526" w:id="773758299"/>
            <w:r w:rsidRPr="20EC61F5" w:rsidR="20EC61F5">
              <w:rPr>
                <w:rFonts w:ascii="Segoe UI" w:hAnsi="Segoe UI" w:eastAsia="Segoe UI" w:cs="Segoe UI"/>
                <w:b w:val="1"/>
                <w:bCs w:val="1"/>
                <w:i w:val="0"/>
                <w:iCs w:val="0"/>
                <w:caps w:val="0"/>
                <w:smallCaps w:val="0"/>
                <w:color w:val="auto"/>
                <w:sz w:val="32"/>
                <w:szCs w:val="32"/>
                <w:lang w:val="en-US"/>
              </w:rPr>
              <w:t>Developing a High-Performance Culture</w:t>
            </w:r>
            <w:bookmarkEnd w:id="773758299"/>
          </w:p>
          <w:p w:rsidR="20EC61F5" w:rsidP="20EC61F5" w:rsidRDefault="20EC61F5" w14:paraId="2CD19D82" w14:textId="66B88E86">
            <w:pPr>
              <w:keepNext w:val="1"/>
              <w:keepLines w:val="1"/>
              <w:spacing w:line="279" w:lineRule="auto"/>
              <w:rPr>
                <w:rFonts w:ascii="Aptos Display" w:hAnsi="Aptos Display" w:eastAsia="Aptos Display" w:cs="Aptos Display"/>
                <w:b w:val="0"/>
                <w:bCs w:val="0"/>
                <w:i w:val="0"/>
                <w:iCs w:val="0"/>
                <w:color w:val="000000" w:themeColor="text1" w:themeTint="FF" w:themeShade="FF"/>
                <w:sz w:val="32"/>
                <w:szCs w:val="32"/>
              </w:rPr>
            </w:pPr>
          </w:p>
        </w:tc>
      </w:tr>
    </w:tbl>
    <w:p xmlns:wp14="http://schemas.microsoft.com/office/word/2010/wordml" w:rsidP="20EC61F5" wp14:paraId="3311FDF5" wp14:textId="2A33C204">
      <w:pPr>
        <w:bidi w:val="0"/>
        <w:spacing w:before="120" w:after="120" w:line="360" w:lineRule="auto"/>
        <w:rPr>
          <w:rFonts w:ascii="Calibri" w:hAnsi="Calibri" w:eastAsia="Calibri" w:cs="Calibri"/>
          <w:b w:val="0"/>
          <w:bCs w:val="0"/>
          <w:i w:val="0"/>
          <w:iCs w:val="0"/>
          <w:caps w:val="0"/>
          <w:smallCaps w:val="0"/>
          <w:noProof w:val="0"/>
          <w:color w:val="FF0000"/>
          <w:sz w:val="24"/>
          <w:szCs w:val="24"/>
          <w:lang w:val="en-GB"/>
        </w:rPr>
      </w:pPr>
    </w:p>
    <w:p xmlns:wp14="http://schemas.microsoft.com/office/word/2010/wordml" w:rsidP="20EC61F5" wp14:paraId="43E9A2F5" wp14:textId="0B4C6287">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20EC61F5" w:rsidR="3FBDACE5">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20EC61F5" wp14:paraId="34BC1C75" wp14:textId="03C39C7A">
      <w:pPr>
        <w:bidi w:val="0"/>
        <w:spacing w:before="120" w:after="120" w:line="360" w:lineRule="auto"/>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r w:rsidRPr="20EC61F5" w:rsidR="3FBDACE5">
        <w:rPr>
          <w:rFonts w:ascii="Tahoma" w:hAnsi="Tahoma" w:eastAsia="Tahoma" w:cs="Tahoma"/>
          <w:b w:val="0"/>
          <w:bCs w:val="0"/>
          <w:i w:val="0"/>
          <w:iCs w:val="0"/>
          <w:caps w:val="0"/>
          <w:smallCaps w:val="0"/>
          <w:noProof w:val="0"/>
          <w:color w:val="000000" w:themeColor="text1" w:themeTint="FF" w:themeShade="FF"/>
          <w:sz w:val="22"/>
          <w:szCs w:val="22"/>
          <w:lang w:val="en-GB"/>
        </w:rPr>
        <w:t xml:space="preserve">By the act of making this submission, the student declares that this is the work of the student named above. The work has not, in whole or in part, been knowingly presented elsewhere for assessment, or where assessment has been built on </w:t>
      </w:r>
      <w:r w:rsidRPr="20EC61F5" w:rsidR="3FBDACE5">
        <w:rPr>
          <w:rFonts w:ascii="Tahoma" w:hAnsi="Tahoma" w:eastAsia="Tahoma" w:cs="Tahoma"/>
          <w:b w:val="0"/>
          <w:bCs w:val="0"/>
          <w:i w:val="0"/>
          <w:iCs w:val="0"/>
          <w:caps w:val="0"/>
          <w:smallCaps w:val="0"/>
          <w:noProof w:val="0"/>
          <w:color w:val="000000" w:themeColor="text1" w:themeTint="FF" w:themeShade="FF"/>
          <w:sz w:val="22"/>
          <w:szCs w:val="22"/>
          <w:lang w:val="en-GB"/>
        </w:rPr>
        <w:t>a previous</w:t>
      </w:r>
      <w:r w:rsidRPr="20EC61F5" w:rsidR="3FBDACE5">
        <w:rPr>
          <w:rFonts w:ascii="Tahoma" w:hAnsi="Tahoma" w:eastAsia="Tahoma" w:cs="Tahoma"/>
          <w:b w:val="0"/>
          <w:bCs w:val="0"/>
          <w:i w:val="0"/>
          <w:iCs w:val="0"/>
          <w:caps w:val="0"/>
          <w:smallCaps w:val="0"/>
          <w:noProof w:val="0"/>
          <w:color w:val="000000" w:themeColor="text1" w:themeTint="FF" w:themeShade="FF"/>
          <w:sz w:val="22"/>
          <w:szCs w:val="22"/>
          <w:lang w:val="en-GB"/>
        </w:rPr>
        <w:t xml:space="preserve"> assessment, this has been </w:t>
      </w:r>
      <w:r w:rsidRPr="20EC61F5" w:rsidR="3FBDACE5">
        <w:rPr>
          <w:rFonts w:ascii="Tahoma" w:hAnsi="Tahoma" w:eastAsia="Tahoma" w:cs="Tahoma"/>
          <w:b w:val="0"/>
          <w:bCs w:val="0"/>
          <w:i w:val="0"/>
          <w:iCs w:val="0"/>
          <w:caps w:val="0"/>
          <w:smallCaps w:val="0"/>
          <w:noProof w:val="0"/>
          <w:color w:val="000000" w:themeColor="text1" w:themeTint="FF" w:themeShade="FF"/>
          <w:sz w:val="22"/>
          <w:szCs w:val="22"/>
          <w:lang w:val="en-GB"/>
        </w:rPr>
        <w:t>identified</w:t>
      </w:r>
      <w:r w:rsidRPr="20EC61F5" w:rsidR="3FBDACE5">
        <w:rPr>
          <w:rFonts w:ascii="Tahoma" w:hAnsi="Tahoma" w:eastAsia="Tahoma" w:cs="Tahoma"/>
          <w:b w:val="0"/>
          <w:bCs w:val="0"/>
          <w:i w:val="0"/>
          <w:iCs w:val="0"/>
          <w:caps w:val="0"/>
          <w:smallCaps w:val="0"/>
          <w:noProof w:val="0"/>
          <w:color w:val="000000" w:themeColor="text1" w:themeTint="FF" w:themeShade="FF"/>
          <w:sz w:val="22"/>
          <w:szCs w:val="22"/>
          <w:lang w:val="en-GB"/>
        </w:rPr>
        <w:t>. Where materials have been used from other sources it has been properly acknowledged. If this statement is untrue, the student acknowledges that an assessment offence has been committed. Attention is drawn to the plagiarism and unfair practice policies of both the Universities and of ILM.</w:t>
      </w:r>
    </w:p>
    <w:p xmlns:wp14="http://schemas.microsoft.com/office/word/2010/wordml" w:rsidP="20EC61F5" wp14:paraId="056C85C7" wp14:textId="23D9A943">
      <w:pPr>
        <w:bidi w:val="0"/>
        <w:spacing w:before="120" w:after="120" w:line="360" w:lineRule="auto"/>
        <w:rPr>
          <w:rFonts w:ascii="Aptos Display" w:hAnsi="Aptos Display" w:eastAsia="Aptos Display" w:cs="Aptos Display"/>
          <w:b w:val="1"/>
          <w:bCs w:val="1"/>
          <w:i w:val="0"/>
          <w:iCs w:val="0"/>
          <w:caps w:val="0"/>
          <w:smallCaps w:val="0"/>
          <w:strike w:val="0"/>
          <w:dstrike w:val="0"/>
          <w:noProof w:val="0"/>
          <w:color w:val="0F4761" w:themeColor="accent1" w:themeTint="FF" w:themeShade="BF"/>
          <w:sz w:val="32"/>
          <w:szCs w:val="32"/>
          <w:u w:val="single"/>
          <w:lang w:val="en-GB"/>
        </w:rPr>
      </w:pPr>
    </w:p>
    <w:p xmlns:wp14="http://schemas.microsoft.com/office/word/2010/wordml" w:rsidP="20EC61F5" wp14:paraId="3A7A7DDA" wp14:textId="0BF4B693">
      <w:pPr>
        <w:bidi w:val="0"/>
        <w:spacing w:before="120" w:after="120" w:line="360" w:lineRule="auto"/>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1940491186" w:id="243977639"/>
      <w:r w:rsidRPr="20EC61F5" w:rsidR="3FBDACE5">
        <w:rPr>
          <w:rFonts w:ascii="Aptos Display" w:hAnsi="Aptos Display" w:eastAsia="Aptos Display" w:cs="Aptos Display"/>
          <w:b w:val="1"/>
          <w:bCs w:val="1"/>
          <w:i w:val="0"/>
          <w:iCs w:val="0"/>
          <w:caps w:val="0"/>
          <w:smallCaps w:val="0"/>
          <w:strike w:val="0"/>
          <w:dstrike w:val="0"/>
          <w:noProof w:val="0"/>
          <w:color w:val="0F4761" w:themeColor="accent1" w:themeTint="FF" w:themeShade="BF"/>
          <w:sz w:val="32"/>
          <w:szCs w:val="32"/>
          <w:u w:val="single"/>
          <w:lang w:val="en-GB"/>
        </w:rPr>
        <w:t>Table of Contents</w:t>
      </w:r>
      <w:bookmarkEnd w:id="243977639"/>
    </w:p>
    <w:p xmlns:wp14="http://schemas.microsoft.com/office/word/2010/wordml" w:rsidP="20EC61F5" wp14:paraId="0444998A" wp14:textId="5B0B60CA">
      <w:pPr>
        <w:tabs>
          <w:tab w:val="right" w:leader="dot" w:pos="9015"/>
        </w:tabs>
        <w:bidi w:val="0"/>
        <w:spacing w:after="100"/>
        <w:rPr>
          <w:rFonts w:ascii="Aptos" w:hAnsi="Aptos" w:eastAsia="Aptos" w:cs="Aptos"/>
          <w:b w:val="0"/>
          <w:bCs w:val="0"/>
          <w:i w:val="0"/>
          <w:iCs w:val="0"/>
          <w:caps w:val="0"/>
          <w:smallCaps w:val="0"/>
          <w:noProof w:val="0"/>
          <w:color w:val="467886"/>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sdt>
      <w:sdtPr>
        <w:id w:val="1577896308"/>
        <w:docPartObj>
          <w:docPartGallery w:val="Table of Contents"/>
          <w:docPartUnique/>
        </w:docPartObj>
      </w:sdtPr>
      <w:sdtContent>
        <w:p xmlns:wp14="http://schemas.microsoft.com/office/word/2010/wordml" w:rsidP="20EC61F5" wp14:paraId="55617919" wp14:textId="0A1545CE">
          <w:pPr>
            <w:pStyle w:val="TOC1"/>
            <w:tabs>
              <w:tab w:val="right" w:leader="dot" w:pos="9015"/>
            </w:tabs>
            <w:bidi w:val="0"/>
            <w:rPr>
              <w:rStyle w:val="Hyperlink"/>
            </w:rPr>
          </w:pPr>
          <w:r>
            <w:fldChar w:fldCharType="begin"/>
          </w:r>
          <w:r>
            <w:instrText xml:space="preserve">TOC \o \z \u \h</w:instrText>
          </w:r>
          <w:r>
            <w:fldChar w:fldCharType="separate"/>
          </w:r>
          <w:hyperlink w:anchor="_Toc77198526">
            <w:r w:rsidRPr="20EC61F5" w:rsidR="20EC61F5">
              <w:rPr>
                <w:rStyle w:val="Hyperlink"/>
              </w:rPr>
              <w:t>Developing a High-Performance Culture</w:t>
            </w:r>
            <w:r>
              <w:tab/>
            </w:r>
            <w:r>
              <w:fldChar w:fldCharType="begin"/>
            </w:r>
            <w:r>
              <w:instrText xml:space="preserve">PAGEREF _Toc77198526 \h</w:instrText>
            </w:r>
            <w:r>
              <w:fldChar w:fldCharType="separate"/>
            </w:r>
            <w:r w:rsidRPr="20EC61F5" w:rsidR="20EC61F5">
              <w:rPr>
                <w:rStyle w:val="Hyperlink"/>
              </w:rPr>
              <w:t>1</w:t>
            </w:r>
            <w:r>
              <w:fldChar w:fldCharType="end"/>
            </w:r>
          </w:hyperlink>
        </w:p>
        <w:p xmlns:wp14="http://schemas.microsoft.com/office/word/2010/wordml" w:rsidP="20EC61F5" wp14:paraId="50074E90" wp14:textId="248C2C48">
          <w:pPr>
            <w:pStyle w:val="TOC1"/>
            <w:tabs>
              <w:tab w:val="right" w:leader="dot" w:pos="9015"/>
            </w:tabs>
            <w:bidi w:val="0"/>
            <w:rPr>
              <w:rStyle w:val="Hyperlink"/>
            </w:rPr>
          </w:pPr>
          <w:hyperlink w:anchor="_Toc1940491186">
            <w:r w:rsidRPr="20EC61F5" w:rsidR="20EC61F5">
              <w:rPr>
                <w:rStyle w:val="Hyperlink"/>
              </w:rPr>
              <w:t>Table of Contents</w:t>
            </w:r>
            <w:r>
              <w:tab/>
            </w:r>
            <w:r>
              <w:fldChar w:fldCharType="begin"/>
            </w:r>
            <w:r>
              <w:instrText xml:space="preserve">PAGEREF _Toc1940491186 \h</w:instrText>
            </w:r>
            <w:r>
              <w:fldChar w:fldCharType="separate"/>
            </w:r>
            <w:r w:rsidRPr="20EC61F5" w:rsidR="20EC61F5">
              <w:rPr>
                <w:rStyle w:val="Hyperlink"/>
              </w:rPr>
              <w:t>1</w:t>
            </w:r>
            <w:r>
              <w:fldChar w:fldCharType="end"/>
            </w:r>
          </w:hyperlink>
        </w:p>
        <w:p xmlns:wp14="http://schemas.microsoft.com/office/word/2010/wordml" w:rsidP="20EC61F5" wp14:paraId="24A49034" wp14:textId="3AD1A6D2">
          <w:pPr>
            <w:pStyle w:val="TOC2"/>
            <w:tabs>
              <w:tab w:val="right" w:leader="dot" w:pos="9015"/>
            </w:tabs>
            <w:bidi w:val="0"/>
            <w:rPr>
              <w:rStyle w:val="Hyperlink"/>
            </w:rPr>
          </w:pPr>
          <w:hyperlink w:anchor="_Toc1762443816">
            <w:r w:rsidRPr="20EC61F5" w:rsidR="20EC61F5">
              <w:rPr>
                <w:rStyle w:val="Hyperlink"/>
              </w:rPr>
              <w:t>Introduction</w:t>
            </w:r>
            <w:r>
              <w:tab/>
            </w:r>
            <w:r>
              <w:fldChar w:fldCharType="begin"/>
            </w:r>
            <w:r>
              <w:instrText xml:space="preserve">PAGEREF _Toc1762443816 \h</w:instrText>
            </w:r>
            <w:r>
              <w:fldChar w:fldCharType="separate"/>
            </w:r>
            <w:r w:rsidRPr="20EC61F5" w:rsidR="20EC61F5">
              <w:rPr>
                <w:rStyle w:val="Hyperlink"/>
              </w:rPr>
              <w:t>3</w:t>
            </w:r>
            <w:r>
              <w:fldChar w:fldCharType="end"/>
            </w:r>
          </w:hyperlink>
        </w:p>
        <w:p xmlns:wp14="http://schemas.microsoft.com/office/word/2010/wordml" w:rsidP="20EC61F5" wp14:paraId="435D9CDE" wp14:textId="1F6B2CA1">
          <w:pPr>
            <w:pStyle w:val="TOC2"/>
            <w:tabs>
              <w:tab w:val="right" w:leader="dot" w:pos="9015"/>
            </w:tabs>
            <w:bidi w:val="0"/>
            <w:rPr>
              <w:rStyle w:val="Hyperlink"/>
            </w:rPr>
          </w:pPr>
          <w:hyperlink w:anchor="_Toc1088762999">
            <w:r w:rsidRPr="20EC61F5" w:rsidR="20EC61F5">
              <w:rPr>
                <w:rStyle w:val="Hyperlink"/>
              </w:rPr>
              <w:t>Organisational Culture &amp; Context</w:t>
            </w:r>
            <w:r>
              <w:tab/>
            </w:r>
            <w:r>
              <w:fldChar w:fldCharType="begin"/>
            </w:r>
            <w:r>
              <w:instrText xml:space="preserve">PAGEREF _Toc1088762999 \h</w:instrText>
            </w:r>
            <w:r>
              <w:fldChar w:fldCharType="separate"/>
            </w:r>
            <w:r w:rsidRPr="20EC61F5" w:rsidR="20EC61F5">
              <w:rPr>
                <w:rStyle w:val="Hyperlink"/>
              </w:rPr>
              <w:t>3</w:t>
            </w:r>
            <w:r>
              <w:fldChar w:fldCharType="end"/>
            </w:r>
          </w:hyperlink>
        </w:p>
        <w:p xmlns:wp14="http://schemas.microsoft.com/office/word/2010/wordml" w:rsidP="20EC61F5" wp14:paraId="7CCFBFEE" wp14:textId="11663CE0">
          <w:pPr>
            <w:pStyle w:val="TOC3"/>
            <w:tabs>
              <w:tab w:val="right" w:leader="dot" w:pos="9015"/>
            </w:tabs>
            <w:bidi w:val="0"/>
            <w:rPr>
              <w:rStyle w:val="Hyperlink"/>
            </w:rPr>
          </w:pPr>
          <w:hyperlink w:anchor="_Toc709635208">
            <w:r w:rsidRPr="20EC61F5" w:rsidR="20EC61F5">
              <w:rPr>
                <w:rStyle w:val="Hyperlink"/>
              </w:rPr>
              <w:t>What is Organisational Culture?</w:t>
            </w:r>
            <w:r>
              <w:tab/>
            </w:r>
            <w:r>
              <w:fldChar w:fldCharType="begin"/>
            </w:r>
            <w:r>
              <w:instrText xml:space="preserve">PAGEREF _Toc709635208 \h</w:instrText>
            </w:r>
            <w:r>
              <w:fldChar w:fldCharType="separate"/>
            </w:r>
            <w:r w:rsidRPr="20EC61F5" w:rsidR="20EC61F5">
              <w:rPr>
                <w:rStyle w:val="Hyperlink"/>
              </w:rPr>
              <w:t>3</w:t>
            </w:r>
            <w:r>
              <w:fldChar w:fldCharType="end"/>
            </w:r>
          </w:hyperlink>
        </w:p>
        <w:p xmlns:wp14="http://schemas.microsoft.com/office/word/2010/wordml" w:rsidP="20EC61F5" wp14:paraId="1BAB918C" wp14:textId="2F78BD35">
          <w:pPr>
            <w:pStyle w:val="TOC3"/>
            <w:tabs>
              <w:tab w:val="right" w:leader="dot" w:pos="9015"/>
            </w:tabs>
            <w:bidi w:val="0"/>
            <w:rPr>
              <w:rStyle w:val="Hyperlink"/>
            </w:rPr>
          </w:pPr>
          <w:hyperlink w:anchor="_Toc2051429143">
            <w:r w:rsidRPr="20EC61F5" w:rsidR="20EC61F5">
              <w:rPr>
                <w:rStyle w:val="Hyperlink"/>
              </w:rPr>
              <w:t>Models Defining Organisational Culture</w:t>
            </w:r>
            <w:r>
              <w:tab/>
            </w:r>
            <w:r>
              <w:fldChar w:fldCharType="begin"/>
            </w:r>
            <w:r>
              <w:instrText xml:space="preserve">PAGEREF _Toc2051429143 \h</w:instrText>
            </w:r>
            <w:r>
              <w:fldChar w:fldCharType="separate"/>
            </w:r>
            <w:r w:rsidRPr="20EC61F5" w:rsidR="20EC61F5">
              <w:rPr>
                <w:rStyle w:val="Hyperlink"/>
              </w:rPr>
              <w:t>3</w:t>
            </w:r>
            <w:r>
              <w:fldChar w:fldCharType="end"/>
            </w:r>
          </w:hyperlink>
        </w:p>
        <w:p xmlns:wp14="http://schemas.microsoft.com/office/word/2010/wordml" w:rsidP="20EC61F5" wp14:paraId="6847801E" wp14:textId="10DC6823">
          <w:pPr>
            <w:pStyle w:val="TOC3"/>
            <w:tabs>
              <w:tab w:val="right" w:leader="dot" w:pos="9015"/>
            </w:tabs>
            <w:bidi w:val="0"/>
            <w:rPr>
              <w:rStyle w:val="Hyperlink"/>
            </w:rPr>
          </w:pPr>
          <w:hyperlink w:anchor="_Toc727934865">
            <w:r w:rsidRPr="20EC61F5" w:rsidR="20EC61F5">
              <w:rPr>
                <w:rStyle w:val="Hyperlink"/>
              </w:rPr>
              <w:t>Schein’s Layers of Culture</w:t>
            </w:r>
            <w:r>
              <w:tab/>
            </w:r>
            <w:r>
              <w:fldChar w:fldCharType="begin"/>
            </w:r>
            <w:r>
              <w:instrText xml:space="preserve">PAGEREF _Toc727934865 \h</w:instrText>
            </w:r>
            <w:r>
              <w:fldChar w:fldCharType="separate"/>
            </w:r>
            <w:r w:rsidRPr="20EC61F5" w:rsidR="20EC61F5">
              <w:rPr>
                <w:rStyle w:val="Hyperlink"/>
              </w:rPr>
              <w:t>4</w:t>
            </w:r>
            <w:r>
              <w:fldChar w:fldCharType="end"/>
            </w:r>
          </w:hyperlink>
        </w:p>
        <w:p xmlns:wp14="http://schemas.microsoft.com/office/word/2010/wordml" w:rsidP="20EC61F5" wp14:paraId="796B8A67" wp14:textId="48FD3C5E">
          <w:pPr>
            <w:pStyle w:val="TOC3"/>
            <w:tabs>
              <w:tab w:val="right" w:leader="dot" w:pos="9015"/>
            </w:tabs>
            <w:bidi w:val="0"/>
            <w:rPr>
              <w:rStyle w:val="Hyperlink"/>
            </w:rPr>
          </w:pPr>
          <w:hyperlink w:anchor="_Toc1469380636">
            <w:r w:rsidRPr="20EC61F5" w:rsidR="20EC61F5">
              <w:rPr>
                <w:rStyle w:val="Hyperlink"/>
              </w:rPr>
              <w:t>Handy’s Culture Types</w:t>
            </w:r>
            <w:r>
              <w:tab/>
            </w:r>
            <w:r>
              <w:fldChar w:fldCharType="begin"/>
            </w:r>
            <w:r>
              <w:instrText xml:space="preserve">PAGEREF _Toc1469380636 \h</w:instrText>
            </w:r>
            <w:r>
              <w:fldChar w:fldCharType="separate"/>
            </w:r>
            <w:r w:rsidRPr="20EC61F5" w:rsidR="20EC61F5">
              <w:rPr>
                <w:rStyle w:val="Hyperlink"/>
              </w:rPr>
              <w:t>4</w:t>
            </w:r>
            <w:r>
              <w:fldChar w:fldCharType="end"/>
            </w:r>
          </w:hyperlink>
        </w:p>
        <w:p xmlns:wp14="http://schemas.microsoft.com/office/word/2010/wordml" w:rsidP="20EC61F5" wp14:paraId="278DE19F" wp14:textId="3CDAB169">
          <w:pPr>
            <w:pStyle w:val="TOC3"/>
            <w:tabs>
              <w:tab w:val="right" w:leader="dot" w:pos="9015"/>
            </w:tabs>
            <w:bidi w:val="0"/>
            <w:rPr>
              <w:rStyle w:val="Hyperlink"/>
            </w:rPr>
          </w:pPr>
          <w:hyperlink w:anchor="_Toc204213400">
            <w:r w:rsidRPr="20EC61F5" w:rsidR="20EC61F5">
              <w:rPr>
                <w:rStyle w:val="Hyperlink"/>
              </w:rPr>
              <w:t>Hofstede’s Cultural Dimensions</w:t>
            </w:r>
            <w:r>
              <w:tab/>
            </w:r>
            <w:r>
              <w:fldChar w:fldCharType="begin"/>
            </w:r>
            <w:r>
              <w:instrText xml:space="preserve">PAGEREF _Toc204213400 \h</w:instrText>
            </w:r>
            <w:r>
              <w:fldChar w:fldCharType="separate"/>
            </w:r>
            <w:r w:rsidRPr="20EC61F5" w:rsidR="20EC61F5">
              <w:rPr>
                <w:rStyle w:val="Hyperlink"/>
              </w:rPr>
              <w:t>4</w:t>
            </w:r>
            <w:r>
              <w:fldChar w:fldCharType="end"/>
            </w:r>
          </w:hyperlink>
        </w:p>
        <w:p xmlns:wp14="http://schemas.microsoft.com/office/word/2010/wordml" w:rsidP="20EC61F5" wp14:paraId="18CE9012" wp14:textId="29AD8A08">
          <w:pPr>
            <w:pStyle w:val="TOC3"/>
            <w:tabs>
              <w:tab w:val="right" w:leader="dot" w:pos="9015"/>
            </w:tabs>
            <w:bidi w:val="0"/>
            <w:rPr>
              <w:rStyle w:val="Hyperlink"/>
            </w:rPr>
          </w:pPr>
          <w:hyperlink w:anchor="_Toc1180895141">
            <w:r w:rsidRPr="20EC61F5" w:rsidR="20EC61F5">
              <w:rPr>
                <w:rStyle w:val="Hyperlink"/>
              </w:rPr>
              <w:t>Johnson &amp; Scholes’ Cultural Web</w:t>
            </w:r>
            <w:r>
              <w:tab/>
            </w:r>
            <w:r>
              <w:fldChar w:fldCharType="begin"/>
            </w:r>
            <w:r>
              <w:instrText xml:space="preserve">PAGEREF _Toc1180895141 \h</w:instrText>
            </w:r>
            <w:r>
              <w:fldChar w:fldCharType="separate"/>
            </w:r>
            <w:r w:rsidRPr="20EC61F5" w:rsidR="20EC61F5">
              <w:rPr>
                <w:rStyle w:val="Hyperlink"/>
              </w:rPr>
              <w:t>5</w:t>
            </w:r>
            <w:r>
              <w:fldChar w:fldCharType="end"/>
            </w:r>
          </w:hyperlink>
        </w:p>
        <w:p xmlns:wp14="http://schemas.microsoft.com/office/word/2010/wordml" w:rsidP="20EC61F5" wp14:paraId="1F0A9EFF" wp14:textId="43C19927">
          <w:pPr>
            <w:pStyle w:val="TOC3"/>
            <w:tabs>
              <w:tab w:val="right" w:leader="dot" w:pos="9015"/>
            </w:tabs>
            <w:bidi w:val="0"/>
            <w:rPr>
              <w:rStyle w:val="Hyperlink"/>
            </w:rPr>
          </w:pPr>
          <w:hyperlink w:anchor="_Toc973723491">
            <w:r w:rsidRPr="20EC61F5" w:rsidR="20EC61F5">
              <w:rPr>
                <w:rStyle w:val="Hyperlink"/>
              </w:rPr>
              <w:t>Trompenaars’ Corporate Cultures</w:t>
            </w:r>
            <w:r>
              <w:tab/>
            </w:r>
            <w:r>
              <w:fldChar w:fldCharType="begin"/>
            </w:r>
            <w:r>
              <w:instrText xml:space="preserve">PAGEREF _Toc973723491 \h</w:instrText>
            </w:r>
            <w:r>
              <w:fldChar w:fldCharType="separate"/>
            </w:r>
            <w:r w:rsidRPr="20EC61F5" w:rsidR="20EC61F5">
              <w:rPr>
                <w:rStyle w:val="Hyperlink"/>
              </w:rPr>
              <w:t>5</w:t>
            </w:r>
            <w:r>
              <w:fldChar w:fldCharType="end"/>
            </w:r>
          </w:hyperlink>
        </w:p>
        <w:p xmlns:wp14="http://schemas.microsoft.com/office/word/2010/wordml" w:rsidP="20EC61F5" wp14:paraId="157E34BB" wp14:textId="60BC255C">
          <w:pPr>
            <w:pStyle w:val="TOC2"/>
            <w:tabs>
              <w:tab w:val="right" w:leader="dot" w:pos="9015"/>
            </w:tabs>
            <w:bidi w:val="0"/>
            <w:rPr>
              <w:rStyle w:val="Hyperlink"/>
            </w:rPr>
          </w:pPr>
          <w:hyperlink w:anchor="_Toc796309883">
            <w:r w:rsidRPr="20EC61F5" w:rsidR="20EC61F5">
              <w:rPr>
                <w:rStyle w:val="Hyperlink"/>
              </w:rPr>
              <w:t>Critical Assessment of Each Organisation</w:t>
            </w:r>
            <w:r>
              <w:tab/>
            </w:r>
            <w:r>
              <w:fldChar w:fldCharType="begin"/>
            </w:r>
            <w:r>
              <w:instrText xml:space="preserve">PAGEREF _Toc796309883 \h</w:instrText>
            </w:r>
            <w:r>
              <w:fldChar w:fldCharType="separate"/>
            </w:r>
            <w:r w:rsidRPr="20EC61F5" w:rsidR="20EC61F5">
              <w:rPr>
                <w:rStyle w:val="Hyperlink"/>
              </w:rPr>
              <w:t>8</w:t>
            </w:r>
            <w:r>
              <w:fldChar w:fldCharType="end"/>
            </w:r>
          </w:hyperlink>
        </w:p>
        <w:p xmlns:wp14="http://schemas.microsoft.com/office/word/2010/wordml" w:rsidP="20EC61F5" wp14:paraId="334AF0E6" wp14:textId="2A0E08D6">
          <w:pPr>
            <w:pStyle w:val="TOC3"/>
            <w:tabs>
              <w:tab w:val="right" w:leader="dot" w:pos="9015"/>
            </w:tabs>
            <w:bidi w:val="0"/>
            <w:rPr>
              <w:rStyle w:val="Hyperlink"/>
            </w:rPr>
          </w:pPr>
          <w:hyperlink w:anchor="_Toc1701962656">
            <w:r w:rsidRPr="20EC61F5" w:rsidR="20EC61F5">
              <w:rPr>
                <w:rStyle w:val="Hyperlink"/>
              </w:rPr>
              <w:t>Multinational Hospitality Chain Organisation</w:t>
            </w:r>
            <w:r>
              <w:tab/>
            </w:r>
            <w:r>
              <w:fldChar w:fldCharType="begin"/>
            </w:r>
            <w:r>
              <w:instrText xml:space="preserve">PAGEREF _Toc1701962656 \h</w:instrText>
            </w:r>
            <w:r>
              <w:fldChar w:fldCharType="separate"/>
            </w:r>
            <w:r w:rsidRPr="20EC61F5" w:rsidR="20EC61F5">
              <w:rPr>
                <w:rStyle w:val="Hyperlink"/>
              </w:rPr>
              <w:t>8</w:t>
            </w:r>
            <w:r>
              <w:fldChar w:fldCharType="end"/>
            </w:r>
          </w:hyperlink>
        </w:p>
        <w:p xmlns:wp14="http://schemas.microsoft.com/office/word/2010/wordml" w:rsidP="20EC61F5" wp14:paraId="6C828212" wp14:textId="151D7D9C">
          <w:pPr>
            <w:pStyle w:val="TOC3"/>
            <w:tabs>
              <w:tab w:val="right" w:leader="dot" w:pos="9015"/>
            </w:tabs>
            <w:bidi w:val="0"/>
            <w:rPr>
              <w:rStyle w:val="Hyperlink"/>
            </w:rPr>
          </w:pPr>
          <w:hyperlink w:anchor="_Toc105467034">
            <w:r w:rsidRPr="20EC61F5" w:rsidR="20EC61F5">
              <w:rPr>
                <w:rStyle w:val="Hyperlink"/>
              </w:rPr>
              <w:t>Small Independent Restaurant</w:t>
            </w:r>
            <w:r>
              <w:tab/>
            </w:r>
            <w:r>
              <w:fldChar w:fldCharType="begin"/>
            </w:r>
            <w:r>
              <w:instrText xml:space="preserve">PAGEREF _Toc105467034 \h</w:instrText>
            </w:r>
            <w:r>
              <w:fldChar w:fldCharType="separate"/>
            </w:r>
            <w:r w:rsidRPr="20EC61F5" w:rsidR="20EC61F5">
              <w:rPr>
                <w:rStyle w:val="Hyperlink"/>
              </w:rPr>
              <w:t>9</w:t>
            </w:r>
            <w:r>
              <w:fldChar w:fldCharType="end"/>
            </w:r>
          </w:hyperlink>
        </w:p>
        <w:p xmlns:wp14="http://schemas.microsoft.com/office/word/2010/wordml" w:rsidP="20EC61F5" wp14:paraId="7B1D280F" wp14:textId="7DD53D77">
          <w:pPr>
            <w:pStyle w:val="TOC2"/>
            <w:tabs>
              <w:tab w:val="right" w:leader="dot" w:pos="9015"/>
            </w:tabs>
            <w:bidi w:val="0"/>
            <w:rPr>
              <w:rStyle w:val="Hyperlink"/>
            </w:rPr>
          </w:pPr>
          <w:hyperlink w:anchor="_Toc1885737455">
            <w:r w:rsidRPr="20EC61F5" w:rsidR="20EC61F5">
              <w:rPr>
                <w:rStyle w:val="Hyperlink"/>
              </w:rPr>
              <w:t>Environmental Analysis</w:t>
            </w:r>
            <w:r>
              <w:tab/>
            </w:r>
            <w:r>
              <w:fldChar w:fldCharType="begin"/>
            </w:r>
            <w:r>
              <w:instrText xml:space="preserve">PAGEREF _Toc1885737455 \h</w:instrText>
            </w:r>
            <w:r>
              <w:fldChar w:fldCharType="separate"/>
            </w:r>
            <w:r w:rsidRPr="20EC61F5" w:rsidR="20EC61F5">
              <w:rPr>
                <w:rStyle w:val="Hyperlink"/>
              </w:rPr>
              <w:t>10</w:t>
            </w:r>
            <w:r>
              <w:fldChar w:fldCharType="end"/>
            </w:r>
          </w:hyperlink>
        </w:p>
        <w:p xmlns:wp14="http://schemas.microsoft.com/office/word/2010/wordml" w:rsidP="20EC61F5" wp14:paraId="4043A270" wp14:textId="198EABCE">
          <w:pPr>
            <w:pStyle w:val="TOC3"/>
            <w:tabs>
              <w:tab w:val="right" w:leader="dot" w:pos="9015"/>
            </w:tabs>
            <w:bidi w:val="0"/>
            <w:rPr>
              <w:rStyle w:val="Hyperlink"/>
            </w:rPr>
          </w:pPr>
          <w:hyperlink w:anchor="_Toc1871884937">
            <w:r w:rsidRPr="20EC61F5" w:rsidR="20EC61F5">
              <w:rPr>
                <w:rStyle w:val="Hyperlink"/>
              </w:rPr>
              <w:t>PESTLE Analysis Aguilar (1967)</w:t>
            </w:r>
            <w:r>
              <w:tab/>
            </w:r>
            <w:r>
              <w:fldChar w:fldCharType="begin"/>
            </w:r>
            <w:r>
              <w:instrText xml:space="preserve">PAGEREF _Toc1871884937 \h</w:instrText>
            </w:r>
            <w:r>
              <w:fldChar w:fldCharType="separate"/>
            </w:r>
            <w:r w:rsidRPr="20EC61F5" w:rsidR="20EC61F5">
              <w:rPr>
                <w:rStyle w:val="Hyperlink"/>
              </w:rPr>
              <w:t>11</w:t>
            </w:r>
            <w:r>
              <w:fldChar w:fldCharType="end"/>
            </w:r>
          </w:hyperlink>
        </w:p>
        <w:p xmlns:wp14="http://schemas.microsoft.com/office/word/2010/wordml" w:rsidP="20EC61F5" wp14:paraId="53B7F9E3" wp14:textId="753C777A">
          <w:pPr>
            <w:pStyle w:val="TOC3"/>
            <w:tabs>
              <w:tab w:val="right" w:leader="dot" w:pos="9015"/>
            </w:tabs>
            <w:bidi w:val="0"/>
            <w:rPr>
              <w:rStyle w:val="Hyperlink"/>
            </w:rPr>
          </w:pPr>
          <w:hyperlink w:anchor="_Toc422243814">
            <w:r w:rsidRPr="20EC61F5" w:rsidR="20EC61F5">
              <w:rPr>
                <w:rStyle w:val="Hyperlink"/>
              </w:rPr>
              <w:t>The McKinsey 7S Framework</w:t>
            </w:r>
            <w:r>
              <w:tab/>
            </w:r>
            <w:r>
              <w:fldChar w:fldCharType="begin"/>
            </w:r>
            <w:r>
              <w:instrText xml:space="preserve">PAGEREF _Toc422243814 \h</w:instrText>
            </w:r>
            <w:r>
              <w:fldChar w:fldCharType="separate"/>
            </w:r>
            <w:r w:rsidRPr="20EC61F5" w:rsidR="20EC61F5">
              <w:rPr>
                <w:rStyle w:val="Hyperlink"/>
              </w:rPr>
              <w:t>12</w:t>
            </w:r>
            <w:r>
              <w:fldChar w:fldCharType="end"/>
            </w:r>
          </w:hyperlink>
        </w:p>
        <w:p xmlns:wp14="http://schemas.microsoft.com/office/word/2010/wordml" w:rsidP="20EC61F5" wp14:paraId="189EC155" wp14:textId="25DA1EE8">
          <w:pPr>
            <w:pStyle w:val="TOC2"/>
            <w:tabs>
              <w:tab w:val="right" w:leader="dot" w:pos="9015"/>
            </w:tabs>
            <w:bidi w:val="0"/>
            <w:rPr>
              <w:rStyle w:val="Hyperlink"/>
            </w:rPr>
          </w:pPr>
          <w:hyperlink w:anchor="_Toc609866157">
            <w:r w:rsidRPr="20EC61F5" w:rsidR="20EC61F5">
              <w:rPr>
                <w:rStyle w:val="Hyperlink"/>
              </w:rPr>
              <w:t>Ethics &amp; Ethical Behaviour</w:t>
            </w:r>
            <w:r>
              <w:tab/>
            </w:r>
            <w:r>
              <w:fldChar w:fldCharType="begin"/>
            </w:r>
            <w:r>
              <w:instrText xml:space="preserve">PAGEREF _Toc609866157 \h</w:instrText>
            </w:r>
            <w:r>
              <w:fldChar w:fldCharType="separate"/>
            </w:r>
            <w:r w:rsidRPr="20EC61F5" w:rsidR="20EC61F5">
              <w:rPr>
                <w:rStyle w:val="Hyperlink"/>
              </w:rPr>
              <w:t>12</w:t>
            </w:r>
            <w:r>
              <w:fldChar w:fldCharType="end"/>
            </w:r>
          </w:hyperlink>
        </w:p>
        <w:p xmlns:wp14="http://schemas.microsoft.com/office/word/2010/wordml" w:rsidP="20EC61F5" wp14:paraId="519D3B18" wp14:textId="62F6D90A">
          <w:pPr>
            <w:pStyle w:val="TOC3"/>
            <w:tabs>
              <w:tab w:val="right" w:leader="dot" w:pos="9015"/>
            </w:tabs>
            <w:bidi w:val="0"/>
            <w:rPr>
              <w:rStyle w:val="Hyperlink"/>
            </w:rPr>
          </w:pPr>
          <w:hyperlink w:anchor="_Toc83371362">
            <w:r w:rsidRPr="20EC61F5" w:rsidR="20EC61F5">
              <w:rPr>
                <w:rStyle w:val="Hyperlink"/>
              </w:rPr>
              <w:t>Ethical Decision-Making</w:t>
            </w:r>
            <w:r>
              <w:tab/>
            </w:r>
            <w:r>
              <w:fldChar w:fldCharType="begin"/>
            </w:r>
            <w:r>
              <w:instrText xml:space="preserve">PAGEREF _Toc83371362 \h</w:instrText>
            </w:r>
            <w:r>
              <w:fldChar w:fldCharType="separate"/>
            </w:r>
            <w:r w:rsidRPr="20EC61F5" w:rsidR="20EC61F5">
              <w:rPr>
                <w:rStyle w:val="Hyperlink"/>
              </w:rPr>
              <w:t>13</w:t>
            </w:r>
            <w:r>
              <w:fldChar w:fldCharType="end"/>
            </w:r>
          </w:hyperlink>
        </w:p>
        <w:p xmlns:wp14="http://schemas.microsoft.com/office/word/2010/wordml" w:rsidP="20EC61F5" wp14:paraId="71BECBAB" wp14:textId="7FEE8B93">
          <w:pPr>
            <w:pStyle w:val="TOC2"/>
            <w:tabs>
              <w:tab w:val="right" w:leader="dot" w:pos="9015"/>
            </w:tabs>
            <w:bidi w:val="0"/>
            <w:rPr>
              <w:rStyle w:val="Hyperlink"/>
            </w:rPr>
          </w:pPr>
          <w:hyperlink w:anchor="_Toc275229200">
            <w:r w:rsidRPr="20EC61F5" w:rsidR="20EC61F5">
              <w:rPr>
                <w:rStyle w:val="Hyperlink"/>
              </w:rPr>
              <w:t>Developing a High-Performance Culture</w:t>
            </w:r>
            <w:r>
              <w:tab/>
            </w:r>
            <w:r>
              <w:fldChar w:fldCharType="begin"/>
            </w:r>
            <w:r>
              <w:instrText xml:space="preserve">PAGEREF _Toc275229200 \h</w:instrText>
            </w:r>
            <w:r>
              <w:fldChar w:fldCharType="separate"/>
            </w:r>
            <w:r w:rsidRPr="20EC61F5" w:rsidR="20EC61F5">
              <w:rPr>
                <w:rStyle w:val="Hyperlink"/>
              </w:rPr>
              <w:t>14</w:t>
            </w:r>
            <w:r>
              <w:fldChar w:fldCharType="end"/>
            </w:r>
          </w:hyperlink>
        </w:p>
        <w:p xmlns:wp14="http://schemas.microsoft.com/office/word/2010/wordml" w:rsidP="20EC61F5" wp14:paraId="087524EB" wp14:textId="0E757530">
          <w:pPr>
            <w:pStyle w:val="TOC2"/>
            <w:tabs>
              <w:tab w:val="right" w:leader="dot" w:pos="9015"/>
            </w:tabs>
            <w:bidi w:val="0"/>
            <w:rPr>
              <w:rStyle w:val="Hyperlink"/>
            </w:rPr>
          </w:pPr>
          <w:hyperlink w:anchor="_Toc744253859">
            <w:r w:rsidRPr="20EC61F5" w:rsidR="20EC61F5">
              <w:rPr>
                <w:rStyle w:val="Hyperlink"/>
              </w:rPr>
              <w:t>Conclusion</w:t>
            </w:r>
            <w:r>
              <w:tab/>
            </w:r>
            <w:r>
              <w:fldChar w:fldCharType="begin"/>
            </w:r>
            <w:r>
              <w:instrText xml:space="preserve">PAGEREF _Toc744253859 \h</w:instrText>
            </w:r>
            <w:r>
              <w:fldChar w:fldCharType="separate"/>
            </w:r>
            <w:r w:rsidRPr="20EC61F5" w:rsidR="20EC61F5">
              <w:rPr>
                <w:rStyle w:val="Hyperlink"/>
              </w:rPr>
              <w:t>14</w:t>
            </w:r>
            <w:r>
              <w:fldChar w:fldCharType="end"/>
            </w:r>
          </w:hyperlink>
        </w:p>
        <w:p xmlns:wp14="http://schemas.microsoft.com/office/word/2010/wordml" w:rsidP="20EC61F5" wp14:paraId="601AF439" wp14:textId="7CEA74DB">
          <w:pPr>
            <w:pStyle w:val="TOC1"/>
            <w:tabs>
              <w:tab w:val="right" w:leader="dot" w:pos="9015"/>
            </w:tabs>
            <w:bidi w:val="0"/>
            <w:rPr>
              <w:rStyle w:val="Hyperlink"/>
            </w:rPr>
          </w:pPr>
          <w:hyperlink w:anchor="_Toc768691518">
            <w:r w:rsidRPr="20EC61F5" w:rsidR="20EC61F5">
              <w:rPr>
                <w:rStyle w:val="Hyperlink"/>
              </w:rPr>
              <w:t>References</w:t>
            </w:r>
            <w:r>
              <w:tab/>
            </w:r>
            <w:r>
              <w:fldChar w:fldCharType="begin"/>
            </w:r>
            <w:r>
              <w:instrText xml:space="preserve">PAGEREF _Toc768691518 \h</w:instrText>
            </w:r>
            <w:r>
              <w:fldChar w:fldCharType="separate"/>
            </w:r>
            <w:r w:rsidRPr="20EC61F5" w:rsidR="20EC61F5">
              <w:rPr>
                <w:rStyle w:val="Hyperlink"/>
              </w:rPr>
              <w:t>16</w:t>
            </w:r>
            <w:r>
              <w:fldChar w:fldCharType="end"/>
            </w:r>
          </w:hyperlink>
          <w:r>
            <w:fldChar w:fldCharType="end"/>
          </w:r>
        </w:p>
      </w:sdtContent>
    </w:sdt>
    <w:p xmlns:wp14="http://schemas.microsoft.com/office/word/2010/wordml" w:rsidP="20EC61F5" wp14:paraId="571A9F10" wp14:textId="0E0F2EE1">
      <w:pPr>
        <w:tabs>
          <w:tab w:val="right" w:leader="dot" w:pos="9015"/>
        </w:tabs>
        <w:bidi w:val="0"/>
        <w:spacing w:after="10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0EC61F5" wp14:paraId="67214435" wp14:textId="2EEE8CF5">
      <w:pPr>
        <w:pStyle w:val="Heading2"/>
        <w:keepNext w:val="1"/>
        <w:keepLines w:val="1"/>
        <w:bidi w:val="0"/>
        <w:spacing w:before="299" w:beforeAutospacing="off" w:after="299" w:afterAutospacing="off"/>
        <w:rPr>
          <w:rFonts w:ascii="Aptos Display" w:hAnsi="Aptos Display" w:eastAsia="Aptos Display" w:cs="Aptos Display"/>
          <w:b w:val="1"/>
          <w:bCs w:val="1"/>
          <w:i w:val="0"/>
          <w:iCs w:val="0"/>
          <w:caps w:val="0"/>
          <w:smallCaps w:val="0"/>
          <w:strike w:val="0"/>
          <w:dstrike w:val="0"/>
          <w:noProof w:val="0"/>
          <w:color w:val="auto"/>
          <w:sz w:val="32"/>
          <w:szCs w:val="32"/>
          <w:u w:val="single"/>
          <w:lang w:val="en-GB"/>
        </w:rPr>
      </w:pPr>
    </w:p>
    <w:p xmlns:wp14="http://schemas.microsoft.com/office/word/2010/wordml" w:rsidP="20EC61F5" wp14:paraId="6BEBAF2A" wp14:textId="31DEBDBC">
      <w:pPr>
        <w:pStyle w:val="Heading2"/>
        <w:keepNext w:val="1"/>
        <w:keepLines w:val="1"/>
        <w:bidi w:val="0"/>
        <w:spacing w:before="299" w:beforeAutospacing="off" w:after="299" w:afterAutospacing="off"/>
        <w:rPr>
          <w:rFonts w:ascii="Aptos Display" w:hAnsi="Aptos Display" w:eastAsia="Aptos Display" w:cs="Aptos Display"/>
          <w:b w:val="1"/>
          <w:bCs w:val="1"/>
          <w:i w:val="0"/>
          <w:iCs w:val="0"/>
          <w:caps w:val="0"/>
          <w:smallCaps w:val="0"/>
          <w:strike w:val="0"/>
          <w:dstrike w:val="0"/>
          <w:noProof w:val="0"/>
          <w:color w:val="auto"/>
          <w:sz w:val="32"/>
          <w:szCs w:val="32"/>
          <w:u w:val="single"/>
          <w:lang w:val="en-GB"/>
        </w:rPr>
      </w:pPr>
    </w:p>
    <w:p xmlns:wp14="http://schemas.microsoft.com/office/word/2010/wordml" w:rsidP="20EC61F5" wp14:paraId="2881932A" wp14:textId="207EDC90">
      <w:pPr>
        <w:pStyle w:val="Heading2"/>
        <w:keepNext w:val="1"/>
        <w:keepLines w:val="1"/>
        <w:bidi w:val="0"/>
        <w:spacing w:before="299" w:beforeAutospacing="off" w:after="299" w:afterAutospacing="off"/>
        <w:rPr>
          <w:rFonts w:ascii="Aptos Display" w:hAnsi="Aptos Display" w:eastAsia="Aptos Display" w:cs="Aptos Display"/>
          <w:b w:val="0"/>
          <w:bCs w:val="0"/>
          <w:i w:val="0"/>
          <w:iCs w:val="0"/>
          <w:caps w:val="0"/>
          <w:smallCaps w:val="0"/>
          <w:noProof w:val="0"/>
          <w:color w:val="auto"/>
          <w:sz w:val="32"/>
          <w:szCs w:val="32"/>
          <w:lang w:val="en-GB"/>
        </w:rPr>
      </w:pPr>
      <w:bookmarkStart w:name="_Toc1762443816" w:id="307543788"/>
      <w:r w:rsidRPr="20EC61F5" w:rsidR="3FBDACE5">
        <w:rPr>
          <w:rFonts w:ascii="Aptos Display" w:hAnsi="Aptos Display" w:eastAsia="Aptos Display" w:cs="Aptos Display"/>
          <w:b w:val="1"/>
          <w:bCs w:val="1"/>
          <w:i w:val="0"/>
          <w:iCs w:val="0"/>
          <w:caps w:val="0"/>
          <w:smallCaps w:val="0"/>
          <w:strike w:val="0"/>
          <w:dstrike w:val="0"/>
          <w:noProof w:val="0"/>
          <w:color w:val="auto"/>
          <w:sz w:val="32"/>
          <w:szCs w:val="32"/>
          <w:u w:val="single"/>
          <w:lang w:val="en-GB"/>
        </w:rPr>
        <w:t>Introduction</w:t>
      </w:r>
      <w:bookmarkEnd w:id="307543788"/>
    </w:p>
    <w:p xmlns:wp14="http://schemas.microsoft.com/office/word/2010/wordml" w:rsidP="20EC61F5" wp14:paraId="4153BD05" wp14:textId="7101FA60">
      <w:pPr>
        <w:bidi w:val="0"/>
        <w:spacing w:before="240" w:beforeAutospacing="off" w:after="240" w:afterAutospacing="off"/>
        <w:rPr>
          <w:rFonts w:ascii="Aptos" w:hAnsi="Aptos" w:eastAsia="Aptos" w:cs="Aptos"/>
          <w:b w:val="0"/>
          <w:bCs w:val="0"/>
          <w:i w:val="0"/>
          <w:iCs w:val="0"/>
          <w:caps w:val="0"/>
          <w:smallCaps w:val="0"/>
          <w:noProof w:val="0"/>
          <w:color w:val="auto"/>
          <w:sz w:val="24"/>
          <w:szCs w:val="24"/>
          <w:lang w:val="en-GB"/>
        </w:rPr>
      </w:pPr>
      <w:r w:rsidRPr="20EC61F5" w:rsidR="3FBDACE5">
        <w:rPr>
          <w:rFonts w:ascii="Aptos" w:hAnsi="Aptos" w:eastAsia="Aptos" w:cs="Aptos"/>
          <w:b w:val="0"/>
          <w:bCs w:val="0"/>
          <w:i w:val="0"/>
          <w:iCs w:val="0"/>
          <w:caps w:val="0"/>
          <w:smallCaps w:val="0"/>
          <w:noProof w:val="0"/>
          <w:color w:val="auto"/>
          <w:sz w:val="24"/>
          <w:szCs w:val="24"/>
          <w:lang w:val="en-GB"/>
        </w:rPr>
        <w:t>This analysis compares two contrasting organisations within the hospitality sector: a multinational hospitality chain and a small independent restaurant. The multinational chain operates with a global presence, structured hierarchies, and formal systems designed to ensure consistency across diverse markets (Mintzberg, 1993). In contrast, the independent restaurant relies on flat structures, trust-based relationships, and community-driven values to sustain performance and customer loyalty (Alvesson, 2012). The purpose of this analysis is to explore how organisational culture, ethics, and informal networks shape behaviour and decision-making in these settings. Culture typologies, ethical frameworks, and the role of informal relationships are examined to highlight differences and similarities in how each organisation manages challenges and opportunities (Schein, 2017). This comparison is highly relevant to the development of a high-performance culture, as ethical behaviour and trust-based networks are increasingly recognised as critical drivers of resilience, innovation, and long-term success (Cameron &amp; Quinn, 2011). By evaluating both organisations, lessons can be drawn on how culture and ethics influence performance and how each can adapt to strengthen ethical decision-making and organisational outcomes.</w:t>
      </w:r>
    </w:p>
    <w:p xmlns:wp14="http://schemas.microsoft.com/office/word/2010/wordml" w:rsidP="20EC61F5" wp14:paraId="213CAB97" wp14:textId="71E740FC">
      <w:pPr>
        <w:pStyle w:val="Heading2"/>
        <w:keepNext w:val="1"/>
        <w:keepLines w:val="1"/>
        <w:bidi w:val="0"/>
        <w:spacing w:before="160" w:after="80"/>
        <w:rPr>
          <w:rFonts w:ascii="Aptos Display" w:hAnsi="Aptos Display" w:eastAsia="Aptos Display" w:cs="Aptos Display"/>
          <w:b w:val="0"/>
          <w:bCs w:val="0"/>
          <w:i w:val="0"/>
          <w:iCs w:val="0"/>
          <w:caps w:val="0"/>
          <w:smallCaps w:val="0"/>
          <w:noProof w:val="0"/>
          <w:color w:val="auto"/>
          <w:sz w:val="32"/>
          <w:szCs w:val="32"/>
          <w:lang w:val="en-GB"/>
        </w:rPr>
      </w:pPr>
      <w:bookmarkStart w:name="_Toc1088762999" w:id="692086776"/>
      <w:r w:rsidRPr="20EC61F5" w:rsidR="3FBDACE5">
        <w:rPr>
          <w:rFonts w:ascii="Aptos Display" w:hAnsi="Aptos Display" w:eastAsia="Aptos Display" w:cs="Aptos Display"/>
          <w:b w:val="1"/>
          <w:bCs w:val="1"/>
          <w:i w:val="0"/>
          <w:iCs w:val="0"/>
          <w:caps w:val="0"/>
          <w:smallCaps w:val="0"/>
          <w:strike w:val="0"/>
          <w:dstrike w:val="0"/>
          <w:noProof w:val="0"/>
          <w:color w:val="auto"/>
          <w:sz w:val="32"/>
          <w:szCs w:val="32"/>
          <w:u w:val="single"/>
          <w:lang w:val="en-GB"/>
        </w:rPr>
        <w:t>Organisational Culture &amp; Context</w:t>
      </w:r>
      <w:bookmarkEnd w:id="692086776"/>
    </w:p>
    <w:p xmlns:wp14="http://schemas.microsoft.com/office/word/2010/wordml" w:rsidP="20EC61F5" wp14:paraId="7EF8244A" wp14:textId="5D6B1D05">
      <w:pPr>
        <w:pStyle w:val="Heading3"/>
        <w:keepNext w:val="1"/>
        <w:keepLines w:val="1"/>
        <w:bidi w:val="0"/>
        <w:spacing w:before="281" w:beforeAutospacing="off" w:after="281" w:afterAutospacing="off"/>
        <w:rPr>
          <w:rFonts w:ascii="Aptos Display" w:hAnsi="Aptos Display" w:eastAsia="Aptos Display" w:cs="Aptos Display"/>
          <w:b w:val="0"/>
          <w:bCs w:val="0"/>
          <w:i w:val="0"/>
          <w:iCs w:val="0"/>
          <w:caps w:val="0"/>
          <w:smallCaps w:val="0"/>
          <w:noProof w:val="0"/>
          <w:color w:val="auto"/>
          <w:sz w:val="28"/>
          <w:szCs w:val="28"/>
          <w:lang w:val="en-GB"/>
        </w:rPr>
      </w:pPr>
      <w:bookmarkStart w:name="_Toc709635208" w:id="1541529522"/>
      <w:r w:rsidRPr="20EC61F5" w:rsidR="3FBDACE5">
        <w:rPr>
          <w:rFonts w:ascii="Aptos Display" w:hAnsi="Aptos Display" w:eastAsia="Aptos Display" w:cs="Aptos Display"/>
          <w:b w:val="1"/>
          <w:bCs w:val="1"/>
          <w:i w:val="0"/>
          <w:iCs w:val="0"/>
          <w:caps w:val="0"/>
          <w:smallCaps w:val="0"/>
          <w:noProof w:val="0"/>
          <w:color w:val="auto"/>
          <w:sz w:val="28"/>
          <w:szCs w:val="28"/>
          <w:lang w:val="en-GB"/>
        </w:rPr>
        <w:t>What is Organisational Culture?</w:t>
      </w:r>
      <w:bookmarkEnd w:id="1541529522"/>
    </w:p>
    <w:p xmlns:wp14="http://schemas.microsoft.com/office/word/2010/wordml" w:rsidP="20EC61F5" wp14:paraId="539BD492" wp14:textId="583234FF">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Work culture can be understood as the collective values, norms and practices that guide how employees behave and interact within an organisation. It reflects both formal systems, such as leadership and policies and informal aspects, including trust, communication and workplace relationships. A positive work culture fosters collaboration, ethical behaviour and performance, while a negative one can lead to dis-engagement and conflict. Deal &amp; Kennedy (2000), emphasise that culture is expressed through organisational rites and rituals, while Cameron &amp; Quinn (2011) highlight how competing values shape cultural dynamics and performance. Alvesson (2012) further argues that culture is not static but continuously constructed and interpreted by members of the organisation. Ultimately, work culture provides the “social glue” that shapes organisational identity and influences how work is experienced day to day.</w:t>
      </w:r>
    </w:p>
    <w:p xmlns:wp14="http://schemas.microsoft.com/office/word/2010/wordml" w:rsidP="20EC61F5" wp14:paraId="1F8A4008" wp14:textId="553DEEC0">
      <w:pPr>
        <w:pStyle w:val="Heading3"/>
        <w:keepNext w:val="1"/>
        <w:keepLines w:val="1"/>
        <w:bidi w:val="0"/>
        <w:spacing w:before="160" w:after="80"/>
        <w:rPr>
          <w:rFonts w:ascii="Aptos Display" w:hAnsi="Aptos Display" w:eastAsia="Aptos Display" w:cs="Aptos Display"/>
          <w:b w:val="0"/>
          <w:bCs w:val="0"/>
          <w:i w:val="0"/>
          <w:iCs w:val="0"/>
          <w:caps w:val="0"/>
          <w:smallCaps w:val="0"/>
          <w:noProof w:val="0"/>
          <w:color w:val="000000" w:themeColor="text1" w:themeTint="FF" w:themeShade="FF"/>
          <w:sz w:val="28"/>
          <w:szCs w:val="28"/>
          <w:lang w:val="en-GB"/>
        </w:rPr>
      </w:pPr>
      <w:bookmarkStart w:name="_Toc2051429143" w:id="424395122"/>
      <w:r w:rsidRPr="20EC61F5" w:rsidR="3FBDACE5">
        <w:rPr>
          <w:rFonts w:ascii="Aptos Display" w:hAnsi="Aptos Display" w:eastAsia="Aptos Display" w:cs="Aptos Display"/>
          <w:b w:val="1"/>
          <w:bCs w:val="1"/>
          <w:i w:val="0"/>
          <w:iCs w:val="0"/>
          <w:caps w:val="0"/>
          <w:smallCaps w:val="0"/>
          <w:noProof w:val="0"/>
          <w:color w:val="000000" w:themeColor="text1" w:themeTint="FF" w:themeShade="FF"/>
          <w:sz w:val="28"/>
          <w:szCs w:val="28"/>
          <w:lang w:val="en-GB"/>
        </w:rPr>
        <w:t>Models Defining Organisational Culture</w:t>
      </w:r>
      <w:bookmarkEnd w:id="424395122"/>
    </w:p>
    <w:p xmlns:wp14="http://schemas.microsoft.com/office/word/2010/wordml" w:rsidP="20EC61F5" wp14:paraId="72B848DC" wp14:textId="098C1EFB">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Organisational culture is the set of shared values, beliefs, ideas, behaviours and symbols that affect how people work together, make choices and deal with problems inside and outside the company. The following models show understanding of organisational culture through multiple perspectives:</w:t>
      </w:r>
    </w:p>
    <w:p xmlns:wp14="http://schemas.microsoft.com/office/word/2010/wordml" w:rsidP="20EC61F5" wp14:paraId="58E1187C" wp14:textId="4BFB3249">
      <w:pPr>
        <w:pStyle w:val="Heading3"/>
        <w:keepNext w:val="1"/>
        <w:keepLines w:val="1"/>
        <w:bidi w:val="0"/>
        <w:spacing w:before="160" w:after="80"/>
        <w:rPr>
          <w:rFonts w:ascii="Aptos Display" w:hAnsi="Aptos Display" w:eastAsia="Aptos Display" w:cs="Aptos Display"/>
          <w:b w:val="0"/>
          <w:bCs w:val="0"/>
          <w:i w:val="0"/>
          <w:iCs w:val="0"/>
          <w:caps w:val="0"/>
          <w:smallCaps w:val="0"/>
          <w:noProof w:val="0"/>
          <w:color w:val="000000" w:themeColor="text1" w:themeTint="FF" w:themeShade="FF"/>
          <w:sz w:val="28"/>
          <w:szCs w:val="28"/>
          <w:lang w:val="en-GB"/>
        </w:rPr>
      </w:pPr>
      <w:bookmarkStart w:name="_Toc727934865" w:id="1925969281"/>
      <w:r w:rsidRPr="20EC61F5" w:rsidR="3FBDACE5">
        <w:rPr>
          <w:rFonts w:ascii="Aptos Display" w:hAnsi="Aptos Display" w:eastAsia="Aptos Display" w:cs="Aptos Display"/>
          <w:b w:val="1"/>
          <w:bCs w:val="1"/>
          <w:i w:val="0"/>
          <w:iCs w:val="0"/>
          <w:caps w:val="0"/>
          <w:smallCaps w:val="0"/>
          <w:noProof w:val="0"/>
          <w:color w:val="000000" w:themeColor="text1" w:themeTint="FF" w:themeShade="FF"/>
          <w:sz w:val="28"/>
          <w:szCs w:val="28"/>
          <w:lang w:val="en-GB"/>
        </w:rPr>
        <w:t>Schein’s Layers of Culture</w:t>
      </w:r>
      <w:bookmarkEnd w:id="1925969281"/>
    </w:p>
    <w:p xmlns:wp14="http://schemas.microsoft.com/office/word/2010/wordml" w:rsidP="20EC61F5" wp14:paraId="5D20CD24" wp14:textId="52AD5809">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Edgar Schein (1980) proposed that organisational culture exists at</w:t>
      </w: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 xml:space="preserve"> </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three levels:</w:t>
      </w:r>
    </w:p>
    <w:p xmlns:wp14="http://schemas.microsoft.com/office/word/2010/wordml" w:rsidP="20EC61F5" wp14:paraId="4B1F9821" wp14:textId="17B510C0">
      <w:pPr>
        <w:pStyle w:val="ListParagraph"/>
        <w:numPr>
          <w:ilvl w:val="0"/>
          <w:numId w:val="1"/>
        </w:num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Artifacts</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visible elements such as dress code, office layout and rituals. </w:t>
      </w: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Espoused values</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stated principles, strategies and goals.</w:t>
      </w:r>
    </w:p>
    <w:p xmlns:wp14="http://schemas.microsoft.com/office/word/2010/wordml" w:rsidP="20EC61F5" wp14:paraId="7C21FA51" wp14:textId="43F08CAE">
      <w:pPr>
        <w:pStyle w:val="ListParagraph"/>
        <w:numPr>
          <w:ilvl w:val="0"/>
          <w:numId w:val="1"/>
        </w:num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Underlying assumptions</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deeply ingrained beliefs that unconsciously guide behaviour. </w:t>
      </w:r>
    </w:p>
    <w:p xmlns:wp14="http://schemas.microsoft.com/office/word/2010/wordml" w:rsidP="20EC61F5" wp14:paraId="67A99C72" wp14:textId="469AB3A5">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This model highlights how culture is both visible and hidden, shaping decision-making and interactions. In a large multinational hospitality chain, artifacts may include formal uniforms, structured training programmes and standardised procedures, reflecting stability and compliance. In a small independent restaurant, artifacts might be informal dress codes, flexible routines and personalised customer service, reflecting adaptability and creativity. This shows how context shapes visible practices and deeper assumptions.</w:t>
      </w:r>
    </w:p>
    <w:p xmlns:wp14="http://schemas.microsoft.com/office/word/2010/wordml" w:rsidP="20EC61F5" wp14:paraId="6384373A" wp14:textId="6163E2A0">
      <w:pPr>
        <w:pStyle w:val="Heading3"/>
        <w:keepNext w:val="1"/>
        <w:keepLines w:val="1"/>
        <w:bidi w:val="0"/>
        <w:spacing w:before="240" w:beforeAutospacing="off" w:after="240" w:afterAutospacing="off"/>
        <w:ind w:left="0"/>
        <w:rPr>
          <w:rFonts w:ascii="Aptos Display" w:hAnsi="Aptos Display" w:eastAsia="Aptos Display" w:cs="Aptos Display"/>
          <w:b w:val="0"/>
          <w:bCs w:val="0"/>
          <w:i w:val="0"/>
          <w:iCs w:val="0"/>
          <w:caps w:val="0"/>
          <w:smallCaps w:val="0"/>
          <w:noProof w:val="0"/>
          <w:color w:val="000000" w:themeColor="text1" w:themeTint="FF" w:themeShade="FF"/>
          <w:sz w:val="28"/>
          <w:szCs w:val="28"/>
          <w:lang w:val="en-GB"/>
        </w:rPr>
      </w:pPr>
      <w:bookmarkStart w:name="_Toc1469380636" w:id="268502379"/>
      <w:r w:rsidRPr="20EC61F5" w:rsidR="3FBDACE5">
        <w:rPr>
          <w:rFonts w:ascii="Aptos Display" w:hAnsi="Aptos Display" w:eastAsia="Aptos Display" w:cs="Aptos Display"/>
          <w:b w:val="1"/>
          <w:bCs w:val="1"/>
          <w:i w:val="0"/>
          <w:iCs w:val="0"/>
          <w:caps w:val="0"/>
          <w:smallCaps w:val="0"/>
          <w:noProof w:val="0"/>
          <w:color w:val="000000" w:themeColor="text1" w:themeTint="FF" w:themeShade="FF"/>
          <w:sz w:val="28"/>
          <w:szCs w:val="28"/>
          <w:lang w:val="en-GB"/>
        </w:rPr>
        <w:t>Handy’s Culture Types</w:t>
      </w:r>
      <w:bookmarkEnd w:id="268502379"/>
    </w:p>
    <w:p xmlns:wp14="http://schemas.microsoft.com/office/word/2010/wordml" w:rsidP="20EC61F5" wp14:paraId="51DA7252" wp14:textId="623F4FBE">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Charles Handy (1995) identified four organisational culture types:</w:t>
      </w:r>
    </w:p>
    <w:p xmlns:wp14="http://schemas.microsoft.com/office/word/2010/wordml" w:rsidP="20EC61F5" wp14:paraId="29D8715F" wp14:textId="3A42C827">
      <w:pPr>
        <w:pStyle w:val="ListParagraph"/>
        <w:numPr>
          <w:ilvl w:val="0"/>
          <w:numId w:val="2"/>
        </w:num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Power culture</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authority concentrated in a central figure.</w:t>
      </w:r>
    </w:p>
    <w:p xmlns:wp14="http://schemas.microsoft.com/office/word/2010/wordml" w:rsidP="20EC61F5" wp14:paraId="6919A85B" wp14:textId="35D0ED1B">
      <w:pPr>
        <w:pStyle w:val="ListParagraph"/>
        <w:numPr>
          <w:ilvl w:val="0"/>
          <w:numId w:val="2"/>
        </w:num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Role culture</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structured, rule-based and with clear hierarchies.</w:t>
      </w:r>
    </w:p>
    <w:p xmlns:wp14="http://schemas.microsoft.com/office/word/2010/wordml" w:rsidP="20EC61F5" wp14:paraId="37876BEE" wp14:textId="595B76AF">
      <w:pPr>
        <w:pStyle w:val="ListParagraph"/>
        <w:numPr>
          <w:ilvl w:val="0"/>
          <w:numId w:val="2"/>
        </w:num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Task culture</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teamwork and problem-solving dominate.</w:t>
      </w:r>
    </w:p>
    <w:p xmlns:wp14="http://schemas.microsoft.com/office/word/2010/wordml" w:rsidP="20EC61F5" wp14:paraId="387F8A0A" wp14:textId="7A823DDE">
      <w:pPr>
        <w:pStyle w:val="ListParagraph"/>
        <w:numPr>
          <w:ilvl w:val="0"/>
          <w:numId w:val="2"/>
        </w:num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Person culture</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individual expertise and autonomy valued. </w:t>
      </w:r>
    </w:p>
    <w:p xmlns:wp14="http://schemas.microsoft.com/office/word/2010/wordml" w:rsidP="20EC61F5" wp14:paraId="1325C0CF" wp14:textId="1DEDB657">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This typology shows how organisations differ in control, collaboration and flexibility. A multinational chain often reflects a role culture, with clear hierarchies and defined responsibilities. A small restaurant may lean towards a support or task culture, where teamwork and informal relationships drive performance. This highlights how organisational size and structure influence cultural type.</w:t>
      </w:r>
    </w:p>
    <w:p xmlns:wp14="http://schemas.microsoft.com/office/word/2010/wordml" w:rsidP="20EC61F5" wp14:paraId="4F29D71A" wp14:textId="71026EB3">
      <w:pPr>
        <w:pStyle w:val="Heading3"/>
        <w:bidi w:val="0"/>
        <w:rPr>
          <w:rFonts w:ascii="Aptos Display" w:hAnsi="Aptos Display" w:eastAsia="Aptos Display" w:cs="Aptos Display" w:asciiTheme="majorAscii" w:hAnsiTheme="majorAscii" w:eastAsiaTheme="majorAscii" w:cstheme="majorAscii"/>
          <w:b w:val="1"/>
          <w:bCs w:val="1"/>
          <w:i w:val="0"/>
          <w:iCs w:val="0"/>
          <w:caps w:val="0"/>
          <w:smallCaps w:val="0"/>
          <w:noProof w:val="0"/>
          <w:color w:val="auto"/>
          <w:sz w:val="24"/>
          <w:szCs w:val="24"/>
          <w:lang w:val="en-GB"/>
        </w:rPr>
      </w:pPr>
      <w:bookmarkStart w:name="_Toc204213400" w:id="411907082"/>
      <w:r w:rsidRPr="20EC61F5" w:rsidR="3FBDACE5">
        <w:rPr>
          <w:rFonts w:ascii="Aptos Display" w:hAnsi="Aptos Display" w:eastAsia="Aptos Display" w:cs="Aptos Display" w:asciiTheme="majorAscii" w:hAnsiTheme="majorAscii" w:eastAsiaTheme="majorAscii" w:cstheme="majorAscii"/>
          <w:b w:val="1"/>
          <w:bCs w:val="1"/>
          <w:noProof w:val="0"/>
          <w:color w:val="auto"/>
          <w:lang w:val="en-GB"/>
        </w:rPr>
        <w:t>Hofstede’s Cultural Dimensions</w:t>
      </w:r>
      <w:bookmarkEnd w:id="411907082"/>
    </w:p>
    <w:p xmlns:wp14="http://schemas.microsoft.com/office/word/2010/wordml" w:rsidP="20EC61F5" wp14:paraId="482F67E6" wp14:textId="5D6E8E4A">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Geert Hofstede’s framework (1980, updated 2011) identifies six dimensions of national and organisational culture:</w:t>
      </w:r>
    </w:p>
    <w:p xmlns:wp14="http://schemas.microsoft.com/office/word/2010/wordml" w:rsidP="20EC61F5" wp14:paraId="618DB184" wp14:textId="2F6D53A6">
      <w:pPr>
        <w:pStyle w:val="ListParagraph"/>
        <w:numPr>
          <w:ilvl w:val="0"/>
          <w:numId w:val="3"/>
        </w:num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Power distance</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(acceptance of hierarchy)</w:t>
      </w:r>
    </w:p>
    <w:p xmlns:wp14="http://schemas.microsoft.com/office/word/2010/wordml" w:rsidP="20EC61F5" wp14:paraId="7D822255" wp14:textId="5F4B1B51">
      <w:pPr>
        <w:pStyle w:val="ListParagraph"/>
        <w:numPr>
          <w:ilvl w:val="0"/>
          <w:numId w:val="3"/>
        </w:num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Individualism vs collectivism</w:t>
      </w:r>
    </w:p>
    <w:p xmlns:wp14="http://schemas.microsoft.com/office/word/2010/wordml" w:rsidP="20EC61F5" wp14:paraId="322CF49F" wp14:textId="3F0D4D39">
      <w:pPr>
        <w:pStyle w:val="ListParagraph"/>
        <w:numPr>
          <w:ilvl w:val="0"/>
          <w:numId w:val="3"/>
        </w:num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Masculinity vs femininity</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(competition vs care)</w:t>
      </w:r>
    </w:p>
    <w:p xmlns:wp14="http://schemas.microsoft.com/office/word/2010/wordml" w:rsidP="20EC61F5" wp14:paraId="40180EBE" wp14:textId="5E473A38">
      <w:pPr>
        <w:pStyle w:val="ListParagraph"/>
        <w:numPr>
          <w:ilvl w:val="0"/>
          <w:numId w:val="3"/>
        </w:num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Uncertainty avoidance</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(comfort with risk)</w:t>
      </w:r>
    </w:p>
    <w:p xmlns:wp14="http://schemas.microsoft.com/office/word/2010/wordml" w:rsidP="20EC61F5" wp14:paraId="746AF36F" wp14:textId="01B691D1">
      <w:pPr>
        <w:pStyle w:val="ListParagraph"/>
        <w:numPr>
          <w:ilvl w:val="0"/>
          <w:numId w:val="3"/>
        </w:num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Long-term vs short-term orientation</w:t>
      </w:r>
    </w:p>
    <w:p xmlns:wp14="http://schemas.microsoft.com/office/word/2010/wordml" w:rsidP="20EC61F5" wp14:paraId="5F0BDA22" wp14:textId="1F7ADD9D">
      <w:pPr>
        <w:pStyle w:val="ListParagraph"/>
        <w:numPr>
          <w:ilvl w:val="0"/>
          <w:numId w:val="3"/>
        </w:num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Indulgence vs restraint</w:t>
      </w:r>
    </w:p>
    <w:p xmlns:wp14="http://schemas.microsoft.com/office/word/2010/wordml" w:rsidP="20EC61F5" wp14:paraId="111EC04A" wp14:textId="077D6A0D">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Hofstede’s model explains how values shape organisational behaviour through dimensions such as power distance, individualism vs collectivism, and uncertainty avoidance. In a large multinational hospitality chain, high power distance may be evident, with employees accepting hierarchical authority and formal decision-making. In contrast, a small independent restaurant may show lower power distance, where staff interact more equally and rely on informal networks. Collectivism is often stronger in smaller organisations where teamwork and loyalty drive performance, while larger organisations may emphasise individual accountability within structured systems (Hofstede, 2001). Uncertainty avoidance also differs, multinational chains often reduce risk through strict procedures, whereas smaller restaurants may adapt flexibly to changing circumstances. These differences highlight how organisational context shapes culture and ethical behaviour.</w:t>
      </w:r>
    </w:p>
    <w:p xmlns:wp14="http://schemas.microsoft.com/office/word/2010/wordml" w:rsidP="20EC61F5" wp14:paraId="7C3F9244" wp14:textId="11464CA3">
      <w:pPr>
        <w:pStyle w:val="Heading3"/>
        <w:keepNext w:val="1"/>
        <w:keepLines w:val="1"/>
        <w:bidi w:val="0"/>
        <w:spacing w:before="240" w:beforeAutospacing="off" w:after="240" w:afterAutospacing="off"/>
        <w:ind w:left="0"/>
        <w:rPr>
          <w:rFonts w:ascii="Aptos Display" w:hAnsi="Aptos Display" w:eastAsia="Aptos Display" w:cs="Aptos Display"/>
          <w:b w:val="0"/>
          <w:bCs w:val="0"/>
          <w:i w:val="0"/>
          <w:iCs w:val="0"/>
          <w:caps w:val="0"/>
          <w:smallCaps w:val="0"/>
          <w:noProof w:val="0"/>
          <w:color w:val="auto"/>
          <w:sz w:val="28"/>
          <w:szCs w:val="28"/>
          <w:lang w:val="en-GB"/>
        </w:rPr>
      </w:pPr>
      <w:bookmarkStart w:name="_Toc1180895141" w:id="1305438246"/>
      <w:r w:rsidRPr="20EC61F5" w:rsidR="3FBDACE5">
        <w:rPr>
          <w:rFonts w:ascii="Aptos Display" w:hAnsi="Aptos Display" w:eastAsia="Aptos Display" w:cs="Aptos Display"/>
          <w:b w:val="1"/>
          <w:bCs w:val="1"/>
          <w:i w:val="0"/>
          <w:iCs w:val="0"/>
          <w:caps w:val="0"/>
          <w:smallCaps w:val="0"/>
          <w:noProof w:val="0"/>
          <w:color w:val="auto"/>
          <w:sz w:val="28"/>
          <w:szCs w:val="28"/>
          <w:lang w:val="en-GB"/>
        </w:rPr>
        <w:t>Johnson &amp; Scholes’ Cultural Web</w:t>
      </w:r>
      <w:bookmarkEnd w:id="1305438246"/>
    </w:p>
    <w:p xmlns:wp14="http://schemas.microsoft.com/office/word/2010/wordml" w:rsidP="20EC61F5" wp14:paraId="1A5F3A0E" wp14:textId="20D0B563">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Johnson and Scholes (1992) developed the Cultural Web to map organisational culture through six elements:</w:t>
      </w:r>
    </w:p>
    <w:p xmlns:wp14="http://schemas.microsoft.com/office/word/2010/wordml" w:rsidP="20EC61F5" wp14:paraId="38CD0F5F" wp14:textId="5B52CFB1">
      <w:pPr>
        <w:pStyle w:val="ListParagraph"/>
        <w:numPr>
          <w:ilvl w:val="0"/>
          <w:numId w:val="4"/>
        </w:num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Stories</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(narratives about the organisation)</w:t>
      </w:r>
    </w:p>
    <w:p xmlns:wp14="http://schemas.microsoft.com/office/word/2010/wordml" w:rsidP="20EC61F5" wp14:paraId="3973FCED" wp14:textId="29722D5E">
      <w:pPr>
        <w:pStyle w:val="ListParagraph"/>
        <w:numPr>
          <w:ilvl w:val="0"/>
          <w:numId w:val="4"/>
        </w:num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Symbols</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(logos, office design, dress codes)</w:t>
      </w:r>
    </w:p>
    <w:p xmlns:wp14="http://schemas.microsoft.com/office/word/2010/wordml" w:rsidP="20EC61F5" wp14:paraId="0888D454" wp14:textId="45C938B5">
      <w:pPr>
        <w:pStyle w:val="ListParagraph"/>
        <w:numPr>
          <w:ilvl w:val="0"/>
          <w:numId w:val="4"/>
        </w:num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Rituals and routines</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(daily practices)</w:t>
      </w:r>
    </w:p>
    <w:p xmlns:wp14="http://schemas.microsoft.com/office/word/2010/wordml" w:rsidP="20EC61F5" wp14:paraId="03D5100A" wp14:textId="3B156EFF">
      <w:pPr>
        <w:pStyle w:val="ListParagraph"/>
        <w:numPr>
          <w:ilvl w:val="0"/>
          <w:numId w:val="4"/>
        </w:num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Control systems</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(measurement and reward structures)</w:t>
      </w:r>
    </w:p>
    <w:p xmlns:wp14="http://schemas.microsoft.com/office/word/2010/wordml" w:rsidP="20EC61F5" wp14:paraId="27E74DE8" wp14:textId="6662A7D6">
      <w:pPr>
        <w:pStyle w:val="ListParagraph"/>
        <w:numPr>
          <w:ilvl w:val="0"/>
          <w:numId w:val="4"/>
        </w:num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Organisational structures</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(hierarchy and reporting lines)</w:t>
      </w:r>
    </w:p>
    <w:p xmlns:wp14="http://schemas.microsoft.com/office/word/2010/wordml" w:rsidP="20EC61F5" wp14:paraId="22617CDE" wp14:textId="2169575A">
      <w:pPr>
        <w:pStyle w:val="ListParagraph"/>
        <w:numPr>
          <w:ilvl w:val="0"/>
          <w:numId w:val="4"/>
        </w:num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Power structures</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(who holds influence)</w:t>
      </w:r>
    </w:p>
    <w:p xmlns:wp14="http://schemas.microsoft.com/office/word/2010/wordml" w:rsidP="20EC61F5" wp14:paraId="4AE0BD3A" wp14:textId="753F3C88">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At the centre lies the paradigm - the shared assumptions that define “how things are done.” In a multinational chain, stories may emphasise global success and brand consistency, with rituals centred on formal training and audits. In a small restaurant, stories may focus on local reputation and customer loyalty, with rituals shaped by daily teamwork and informal communication. This illustrates how organisational narratives and routines reinforce different cultural paradigms.</w:t>
      </w:r>
    </w:p>
    <w:p xmlns:wp14="http://schemas.microsoft.com/office/word/2010/wordml" w:rsidP="20EC61F5" wp14:paraId="38780CBB" wp14:textId="4566364D">
      <w:pPr>
        <w:pStyle w:val="Heading3"/>
        <w:keepNext w:val="1"/>
        <w:keepLines w:val="1"/>
        <w:bidi w:val="0"/>
        <w:spacing w:before="240" w:beforeAutospacing="off" w:after="240" w:afterAutospacing="off"/>
        <w:ind w:left="0"/>
        <w:rPr>
          <w:rFonts w:ascii="Aptos Display" w:hAnsi="Aptos Display" w:eastAsia="Aptos Display" w:cs="Aptos Display"/>
          <w:b w:val="0"/>
          <w:bCs w:val="0"/>
          <w:i w:val="0"/>
          <w:iCs w:val="0"/>
          <w:caps w:val="0"/>
          <w:smallCaps w:val="0"/>
          <w:noProof w:val="0"/>
          <w:color w:val="auto"/>
          <w:sz w:val="28"/>
          <w:szCs w:val="28"/>
          <w:lang w:val="en-GB"/>
        </w:rPr>
      </w:pPr>
      <w:bookmarkStart w:name="_Toc973723491" w:id="676142527"/>
      <w:r w:rsidRPr="20EC61F5" w:rsidR="3FBDACE5">
        <w:rPr>
          <w:rFonts w:ascii="Aptos Display" w:hAnsi="Aptos Display" w:eastAsia="Aptos Display" w:cs="Aptos Display"/>
          <w:b w:val="1"/>
          <w:bCs w:val="1"/>
          <w:i w:val="0"/>
          <w:iCs w:val="0"/>
          <w:caps w:val="0"/>
          <w:smallCaps w:val="0"/>
          <w:noProof w:val="0"/>
          <w:color w:val="auto"/>
          <w:sz w:val="28"/>
          <w:szCs w:val="28"/>
          <w:lang w:val="en-GB"/>
        </w:rPr>
        <w:t>Trompenaars’ Corporate Cultures</w:t>
      </w:r>
      <w:bookmarkEnd w:id="676142527"/>
    </w:p>
    <w:p xmlns:wp14="http://schemas.microsoft.com/office/word/2010/wordml" w:rsidP="20EC61F5" wp14:paraId="5DF5687A" wp14:textId="51C84739">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Trompenaars’ model is a framework for understanding cultural differences,</w:t>
      </w:r>
      <w:r w:rsidRPr="20EC61F5" w:rsidR="3FBDACE5">
        <w:rPr>
          <w:rFonts w:ascii="Roboto" w:hAnsi="Roboto" w:eastAsia="Roboto" w:cs="Roboto"/>
          <w:b w:val="0"/>
          <w:bCs w:val="0"/>
          <w:i w:val="0"/>
          <w:iCs w:val="0"/>
          <w:caps w:val="0"/>
          <w:smallCaps w:val="0"/>
          <w:noProof w:val="0"/>
          <w:color w:val="E6E8F0"/>
          <w:sz w:val="24"/>
          <w:szCs w:val="24"/>
          <w:lang w:val="en-GB"/>
        </w:rPr>
        <w:t xml:space="preserve"> </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it includes both a model of 4 corporate cultures and 7 dimensions of national culture:</w:t>
      </w:r>
    </w:p>
    <w:p xmlns:wp14="http://schemas.microsoft.com/office/word/2010/wordml" w:rsidP="20EC61F5" wp14:paraId="52D20017" wp14:textId="7327238A">
      <w:pPr>
        <w:pStyle w:val="ListParagraph"/>
        <w:numPr>
          <w:ilvl w:val="0"/>
          <w:numId w:val="5"/>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Family</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(hierarchical, person-oriented)</w:t>
      </w:r>
    </w:p>
    <w:p xmlns:wp14="http://schemas.microsoft.com/office/word/2010/wordml" w:rsidP="20EC61F5" wp14:paraId="46BF43FB" wp14:textId="63683CFD">
      <w:pPr>
        <w:pStyle w:val="ListParagraph"/>
        <w:numPr>
          <w:ilvl w:val="0"/>
          <w:numId w:val="5"/>
        </w:numPr>
        <w:bidi w:val="0"/>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Eiffel Tower</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(structured, role-oriented)</w:t>
      </w:r>
    </w:p>
    <w:p xmlns:wp14="http://schemas.microsoft.com/office/word/2010/wordml" w:rsidP="20EC61F5" wp14:paraId="461C70E2" wp14:textId="798BFB45">
      <w:pPr>
        <w:pStyle w:val="ListParagraph"/>
        <w:numPr>
          <w:ilvl w:val="0"/>
          <w:numId w:val="5"/>
        </w:numPr>
        <w:bidi w:val="0"/>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Guided Missile</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(task-focused, all people are equal and deserve equal rights and opportunities)</w:t>
      </w:r>
    </w:p>
    <w:p xmlns:wp14="http://schemas.microsoft.com/office/word/2010/wordml" w:rsidP="20EC61F5" wp14:paraId="551A9833" wp14:textId="4905C6C4">
      <w:pPr>
        <w:pStyle w:val="ListParagraph"/>
        <w:numPr>
          <w:ilvl w:val="0"/>
          <w:numId w:val="5"/>
        </w:numPr>
        <w:bidi w:val="0"/>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Incubator</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(creative, person-focused)</w:t>
      </w:r>
    </w:p>
    <w:p xmlns:wp14="http://schemas.microsoft.com/office/word/2010/wordml" w:rsidP="20EC61F5" wp14:paraId="2B21BD34" wp14:textId="7DFD6722">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Trompenaars and Hampden-Turner (1998) outlined seven dimensions of culture:</w:t>
      </w:r>
    </w:p>
    <w:p xmlns:wp14="http://schemas.microsoft.com/office/word/2010/wordml" w:rsidP="20EC61F5" wp14:paraId="4886EEF1" wp14:textId="6BBFEF8F">
      <w:pPr>
        <w:pStyle w:val="ListParagraph"/>
        <w:numPr>
          <w:ilvl w:val="0"/>
          <w:numId w:val="6"/>
        </w:num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Universalism vs particularism</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(rules vs relationships)</w:t>
      </w:r>
    </w:p>
    <w:p xmlns:wp14="http://schemas.microsoft.com/office/word/2010/wordml" w:rsidP="20EC61F5" wp14:paraId="5D5B0CE2" wp14:textId="07029693">
      <w:pPr>
        <w:pStyle w:val="ListParagraph"/>
        <w:numPr>
          <w:ilvl w:val="0"/>
          <w:numId w:val="6"/>
        </w:num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Individualism vs communitarianism</w:t>
      </w:r>
    </w:p>
    <w:p xmlns:wp14="http://schemas.microsoft.com/office/word/2010/wordml" w:rsidP="20EC61F5" wp14:paraId="68E0A568" wp14:textId="5BC9FA83">
      <w:pPr>
        <w:pStyle w:val="ListParagraph"/>
        <w:numPr>
          <w:ilvl w:val="0"/>
          <w:numId w:val="6"/>
        </w:num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Specific vs diffuse</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(separating vs integrating work/personal life)</w:t>
      </w:r>
    </w:p>
    <w:p xmlns:wp14="http://schemas.microsoft.com/office/word/2010/wordml" w:rsidP="20EC61F5" wp14:paraId="7C69005C" wp14:textId="7160C15A">
      <w:pPr>
        <w:pStyle w:val="ListParagraph"/>
        <w:numPr>
          <w:ilvl w:val="0"/>
          <w:numId w:val="6"/>
        </w:num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Neutral vs emotional</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(emotional expression)</w:t>
      </w:r>
    </w:p>
    <w:p xmlns:wp14="http://schemas.microsoft.com/office/word/2010/wordml" w:rsidP="20EC61F5" wp14:paraId="1ECC2AA3" wp14:textId="521BE99C">
      <w:pPr>
        <w:pStyle w:val="ListParagraph"/>
        <w:numPr>
          <w:ilvl w:val="0"/>
          <w:numId w:val="6"/>
        </w:num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Achievement vs ascription</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(status by results vs position)</w:t>
      </w:r>
    </w:p>
    <w:p xmlns:wp14="http://schemas.microsoft.com/office/word/2010/wordml" w:rsidP="20EC61F5" wp14:paraId="073A3270" wp14:textId="7AF9C80A">
      <w:pPr>
        <w:pStyle w:val="ListParagraph"/>
        <w:numPr>
          <w:ilvl w:val="0"/>
          <w:numId w:val="6"/>
        </w:num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Sequential vs synchronic time</w:t>
      </w:r>
    </w:p>
    <w:p xmlns:wp14="http://schemas.microsoft.com/office/word/2010/wordml" w:rsidP="20EC61F5" wp14:paraId="22387B40" wp14:textId="5C8A0483">
      <w:pPr>
        <w:pStyle w:val="ListParagraph"/>
        <w:numPr>
          <w:ilvl w:val="0"/>
          <w:numId w:val="6"/>
        </w:num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Internal vs external control</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(control over environment vs adapting to it) This model emphasises how cultural differences affect communication and management.</w:t>
      </w:r>
    </w:p>
    <w:p xmlns:wp14="http://schemas.microsoft.com/office/word/2010/wordml" w:rsidP="20EC61F5" wp14:paraId="594B7F93" wp14:textId="3376501C">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Trompenaars &amp; Hampden-Turner (1998) describe orientations using 7 dimensions and four corporate culture types, that explain how organisations structure relationships, authority and work practices. These cultures highlight differences between organisations and provide a useful framework for comparison. Trompenaars’ model shows how organisational culture influences relationships, trust, and ethical behaviour. In a Family culture, common in small independent restaurants, ethics are shaped by loyalty and personal trust, with informal networks guiding advice and decision-making. In contrast, a large multinational chain often reflects the Eiffel Tower culture, where ethics are formalised through rules, procedures, and hierarchical authority. The Guided Missile culture emphasises equality and task achievement, meaning ethical behaviour is linked to fairness and shared goals, while the Incubator culture values creativity and personal growth, with ethics emerging from individual responsibility and informal collaboration. This comparison highlights that smaller organisations rely more on informal networks to shape ethical behaviour, while larger ones depend on formal systems. Each can learn from the other, structured organisations can benefit from trust-based networks, while smaller firms can strengthen consistency through formal ethical frameworks. According to Jackson (2016) cultural context strongly influences ethical behaviour, with informal networks playing a larger role in smaller, relationship-driven organisations. Schwartz (2013) argues that sustaining an ethical corporate culture requires both formal systems and informal values, showing how larger organisations can learn from trust-based networks, while smaller firms can benefit from structured ethical frameworks.</w:t>
      </w:r>
    </w:p>
    <w:p xmlns:wp14="http://schemas.microsoft.com/office/word/2010/wordml" w:rsidP="20EC61F5" wp14:paraId="6735D8EC" wp14:textId="488973FE">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Culture can be defined as the shared values, assumptions and practices that shape behaviour in organisations. These models provide complementary perspectives: Schein explains layers, Handy categorises types, Hofstede and Trompenaars highlight cross-cultural differences and Johnson &amp; Scholes map cultural influences within organisations. Together, they offer a comprehensive toolkit for analysing and comparing organisational culture. Comparing organisations through these models shows that work culture is context-dependent, large, formal organisations often emphasise structure, hierarchy, and consistency, smaller, informal organisations emphasise flexibility, relationships and adaptability. Each can learn from the other, structured systems can improve reliability in smaller firms, while informal networks can enhance engagement and ethical decision-making in larger organisations.</w:t>
      </w:r>
    </w:p>
    <w:p xmlns:wp14="http://schemas.microsoft.com/office/word/2010/wordml" w:rsidP="20EC61F5" wp14:paraId="0389D3D1" wp14:textId="72DB1843">
      <w:pPr>
        <w:bidi w:val="0"/>
        <w:spacing w:before="240" w:beforeAutospacing="off" w:after="240" w:afterAutospacing="off"/>
        <w:ind w:left="0"/>
        <w:rPr>
          <w:rFonts w:ascii="Aptos Display" w:hAnsi="Aptos Display" w:eastAsia="Aptos Display" w:cs="Aptos Display"/>
          <w:b w:val="0"/>
          <w:bCs w:val="0"/>
          <w:i w:val="0"/>
          <w:iCs w:val="0"/>
          <w:caps w:val="0"/>
          <w:smallCaps w:val="0"/>
          <w:noProof w:val="0"/>
          <w:color w:val="000000" w:themeColor="text1" w:themeTint="FF" w:themeShade="FF"/>
          <w:sz w:val="28"/>
          <w:szCs w:val="28"/>
          <w:lang w:val="en-GB"/>
        </w:rPr>
      </w:pPr>
      <w:r w:rsidRPr="20EC61F5" w:rsidR="3FBDACE5">
        <w:rPr>
          <w:rFonts w:ascii="Aptos Display" w:hAnsi="Aptos Display" w:eastAsia="Aptos Display" w:cs="Aptos Display"/>
          <w:b w:val="1"/>
          <w:bCs w:val="1"/>
          <w:i w:val="0"/>
          <w:iCs w:val="0"/>
          <w:caps w:val="0"/>
          <w:smallCaps w:val="0"/>
          <w:noProof w:val="0"/>
          <w:color w:val="000000" w:themeColor="text1" w:themeTint="FF" w:themeShade="FF"/>
          <w:sz w:val="28"/>
          <w:szCs w:val="28"/>
          <w:lang w:val="en-GB"/>
        </w:rPr>
        <w:t>What is Organisational Context?</w:t>
      </w:r>
    </w:p>
    <w:p xmlns:wp14="http://schemas.microsoft.com/office/word/2010/wordml" w:rsidP="20EC61F5" wp14:paraId="2A067F7E" wp14:textId="5E007CA0">
      <w:pPr>
        <w:bidi w:val="0"/>
        <w:spacing w:before="240" w:beforeAutospacing="off" w:after="240" w:afterAutospacing="of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20EC61F5" w:rsidR="3FBDACE5">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Organisational context refers to the internal and external conditions that shape how an organisation functions and develops its culture. These conditions include factors such as </w:t>
      </w:r>
      <w:r w:rsidRPr="20EC61F5" w:rsidR="3FBDACE5">
        <w:rPr>
          <w:rFonts w:ascii="Aptos Display" w:hAnsi="Aptos Display" w:eastAsia="Aptos Display" w:cs="Aptos Display"/>
          <w:b w:val="1"/>
          <w:bCs w:val="1"/>
          <w:i w:val="0"/>
          <w:iCs w:val="0"/>
          <w:caps w:val="0"/>
          <w:smallCaps w:val="0"/>
          <w:noProof w:val="0"/>
          <w:color w:val="000000" w:themeColor="text1" w:themeTint="FF" w:themeShade="FF"/>
          <w:sz w:val="24"/>
          <w:szCs w:val="24"/>
          <w:lang w:val="en-GB"/>
        </w:rPr>
        <w:t>industry, size, structure and leadership style</w:t>
      </w:r>
      <w:r w:rsidRPr="20EC61F5" w:rsidR="3FBDACE5">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which influence the values, behaviours and practices within the workplace. For example, a highly regulated industry often produces a more formal, rule-based culture, whereas smaller, creative organisations may encourage flexibility and innovation. Leadership style is particularly significant, as it sets behavioural expectations and can either reinforce hierarchical control or promote collaboration (Cameron &amp; Quinn, 2011).</w:t>
      </w:r>
    </w:p>
    <w:p xmlns:wp14="http://schemas.microsoft.com/office/word/2010/wordml" w:rsidP="20EC61F5" wp14:paraId="350D5634" wp14:textId="1A9AD4C7">
      <w:pPr>
        <w:bidi w:val="0"/>
        <w:spacing w:before="240" w:beforeAutospacing="off" w:after="240" w:afterAutospacing="of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20EC61F5" w:rsidR="3FBDACE5">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Context shapes culture by providing the environment in which organisational norms and practices emerge. External pressures such as market competition, regulation and social expectations interact with internal dynamics like employee relationships and management systems. Hatch &amp; Cunliffe (2013) argue that organisational culture cannot be separated from its broader context, as culture is continuously influenced by symbolic and structural conditions. Schneider et al (2013) emphasise that organisational climate and culture are products of contextual forces, which determine whether culture evolves towards stability and control or adaptability and innovation.</w:t>
      </w:r>
    </w:p>
    <w:p xmlns:wp14="http://schemas.microsoft.com/office/word/2010/wordml" w:rsidP="20EC61F5" wp14:paraId="6136D69B" wp14:textId="211557A3">
      <w:pPr>
        <w:bidi w:val="0"/>
        <w:spacing w:before="240" w:beforeAutospacing="off" w:after="240" w:afterAutospacing="of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20EC61F5" w:rsidR="3FBDACE5">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Organisational context plays a critical role in shaping culture, and differences in industry, size, structure, and leadership style often explain why two organisations develop distinct cultural identities. For example, a large multinational hospitality chain operating in a highly regulated environment may adopt a role-oriented culture with strong formal systems, policies and hierarchical structures. This context encourages consistency, compliance and efficiency, but may limit flexibility. In contrast, a small independent restaurant may operate within a more informal, creative context, where leadership is hands-on and communication flows through trust-based networks. This often produces a support or achievement culture, where collaboration, innovation and personal relationships drive performance.</w:t>
      </w:r>
    </w:p>
    <w:p xmlns:wp14="http://schemas.microsoft.com/office/word/2010/wordml" w:rsidP="20EC61F5" wp14:paraId="3472997D" wp14:textId="1ECDF94E">
      <w:pPr>
        <w:bidi w:val="0"/>
        <w:spacing w:before="240" w:beforeAutospacing="off" w:after="240" w:afterAutospacing="of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20EC61F5" w:rsidR="3FBDACE5">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Cameron and Quinn (2011) argue that organisational culture is shaped by competing values within its context, meaning that external pressures (e.g., regulation, competition) and internal dynamics (e.g., leadership style, staff relationships) interact to determine cultural outcomes. Hatch and Cunliffe (2013) highlight that context provides the symbolic and structural conditions through which culture is interpreted, while Schneider et al (2013) emphasise that organisational climate and culture are inseparable from contextual forces. Alvesson (2012) stresses that culture is continuously constructed and reconstructed through everyday practices, making context central to its evolution. Deal and Kennedy (2000) further illustrate that rituals and routines, shaped by industry and organisational size, reinforce cultural norms. Denison (1990) adds that organisational effectiveness is directly linked to how well culture aligns with contextual demands, such as adaptability in dynamic markets, therefore, differences between organisations are not accidental, but emerge from the environments in which they operate. One organisation can learn from the other by recognising how context influences strengths and weaknesses. For instance, the multinational may benefit from adopting more informal trust-based networks to enhance ethical decision-making and staff engagement, while the smaller business could learn from the structured systems of the larger organisation to ensure consistency and scalability.</w:t>
      </w:r>
    </w:p>
    <w:p xmlns:wp14="http://schemas.microsoft.com/office/word/2010/wordml" w:rsidP="20EC61F5" wp14:paraId="11B3DB13" wp14:textId="4F7ED025">
      <w:pPr>
        <w:pStyle w:val="Heading2"/>
        <w:keepNext w:val="1"/>
        <w:keepLines w:val="1"/>
        <w:bidi w:val="0"/>
        <w:spacing w:before="160" w:after="80"/>
        <w:rPr>
          <w:rFonts w:ascii="Aptos Display" w:hAnsi="Aptos Display" w:eastAsia="Aptos Display" w:cs="Aptos Display"/>
          <w:b w:val="0"/>
          <w:bCs w:val="0"/>
          <w:i w:val="0"/>
          <w:iCs w:val="0"/>
          <w:caps w:val="0"/>
          <w:smallCaps w:val="0"/>
          <w:noProof w:val="0"/>
          <w:color w:val="auto"/>
          <w:sz w:val="32"/>
          <w:szCs w:val="32"/>
          <w:lang w:val="en-GB"/>
        </w:rPr>
      </w:pPr>
      <w:bookmarkStart w:name="_Toc796309883" w:id="441534267"/>
      <w:r w:rsidRPr="20EC61F5" w:rsidR="3FBDACE5">
        <w:rPr>
          <w:rFonts w:ascii="Aptos Display" w:hAnsi="Aptos Display" w:eastAsia="Aptos Display" w:cs="Aptos Display"/>
          <w:b w:val="1"/>
          <w:bCs w:val="1"/>
          <w:i w:val="0"/>
          <w:iCs w:val="0"/>
          <w:caps w:val="0"/>
          <w:smallCaps w:val="0"/>
          <w:strike w:val="0"/>
          <w:dstrike w:val="0"/>
          <w:noProof w:val="0"/>
          <w:color w:val="auto"/>
          <w:sz w:val="32"/>
          <w:szCs w:val="32"/>
          <w:u w:val="single"/>
          <w:lang w:val="en-GB"/>
        </w:rPr>
        <w:t>Critical Assessment of Each Organisation</w:t>
      </w:r>
      <w:bookmarkEnd w:id="441534267"/>
    </w:p>
    <w:p xmlns:wp14="http://schemas.microsoft.com/office/word/2010/wordml" w:rsidP="20EC61F5" wp14:paraId="69DAEF99" wp14:textId="717BD4EA">
      <w:pPr>
        <w:pStyle w:val="Heading3"/>
        <w:keepNext w:val="1"/>
        <w:keepLines w:val="1"/>
        <w:bidi w:val="0"/>
        <w:spacing w:before="160" w:after="80"/>
        <w:rPr>
          <w:rFonts w:ascii="Aptos" w:hAnsi="Aptos" w:eastAsia="Aptos" w:cs="Aptos"/>
          <w:b w:val="0"/>
          <w:bCs w:val="0"/>
          <w:i w:val="0"/>
          <w:iCs w:val="0"/>
          <w:caps w:val="0"/>
          <w:smallCaps w:val="0"/>
          <w:noProof w:val="0"/>
          <w:color w:val="auto"/>
          <w:sz w:val="28"/>
          <w:szCs w:val="28"/>
          <w:lang w:val="en-GB"/>
        </w:rPr>
      </w:pPr>
      <w:bookmarkStart w:name="_Toc1701962656" w:id="804267170"/>
      <w:r w:rsidRPr="20EC61F5" w:rsidR="3FBDACE5">
        <w:rPr>
          <w:rFonts w:ascii="Aptos" w:hAnsi="Aptos" w:eastAsia="Aptos" w:cs="Aptos"/>
          <w:b w:val="1"/>
          <w:bCs w:val="1"/>
          <w:i w:val="0"/>
          <w:iCs w:val="0"/>
          <w:caps w:val="0"/>
          <w:smallCaps w:val="0"/>
          <w:noProof w:val="0"/>
          <w:color w:val="auto"/>
          <w:sz w:val="28"/>
          <w:szCs w:val="28"/>
          <w:lang w:val="en-GB"/>
        </w:rPr>
        <w:t>Multinational Hospitality Chain Organisation</w:t>
      </w:r>
      <w:bookmarkEnd w:id="804267170"/>
    </w:p>
    <w:p xmlns:wp14="http://schemas.microsoft.com/office/word/2010/wordml" w:rsidP="20EC61F5" wp14:paraId="49C3D3B4" wp14:textId="0C473031">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Applying Handy’s culture types, a multinational chain often reflects a</w:t>
      </w: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 xml:space="preserve"> </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Role culture, where authority is defined by position and rules dominate (Handy, 1993). Formal relationships are shaped by hierarchical structures, standard operating procedures, and compliance systems. Informal networks exist but are secondary, often forming around problem-solving or peer support within departments. Denison (1990) says that these kinds of organisations put a lot of stress on stability and consistency, which fits with a bureaucratic culture that values control. Ethical behaviour is reinforced through formal codes of conduct and monitoring systems, which Butterfield et al (1998) argue are essential for sustaining integrity in large, complex organisations.</w:t>
      </w:r>
    </w:p>
    <w:p xmlns:wp14="http://schemas.microsoft.com/office/word/2010/wordml" w:rsidP="20EC61F5" wp14:paraId="34CE9FC5" wp14:textId="5DAA5A60">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By applying Trompenaars’ Corporate Cultures such organisations often align with the Eiffel Tower culture, which is structured and role oriented. Authority is based on position, tasks are clearly defined, and efficiency is achieved through rules and systems (Trompenaars &amp; Hampden-Turner, 2012). Rituals include formal training and audits, symbols are global branding and uniforms, and stories emphasise corporate success and consistency.</w:t>
      </w:r>
    </w:p>
    <w:p xmlns:wp14="http://schemas.microsoft.com/office/word/2010/wordml" w:rsidP="20EC61F5" wp14:paraId="7C0F55FE" wp14:textId="115268F7">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A large chain typically reflects a role culture, where authority is defined by position and rules dominate (Handy, 1995). This culture is characterised by clear hierarchies, standard operating procedures and strong compliance systems, that ensure consistency across diverse locations. Formal relationships are shaped by reporting lines and structured processes, while informal networks remain secondary. Ethical behaviour in these contexts is usually formalised through codes of conduct and compliance mechanisms, which Kaptein (2008) argues are essential for maintaining integrity in large, complex organisations.</w:t>
      </w:r>
    </w:p>
    <w:p xmlns:wp14="http://schemas.microsoft.com/office/word/2010/wordml" w:rsidP="20EC61F5" wp14:paraId="1C44511E" wp14:textId="1A21F800">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In a large chain, formal relationships are primarily shaped by hierarchical structures, standard operating procedures, and compliance systems. Authority flows through reporting lines, and communication is often centralised to ensure consistency across global operations. This reflects a bureaucratic organisational climate where stability and control dominate (Mintzberg, 1993). Informal relationships, however, still play a role. They often emerge within departments or across teams to solve problems, share advice, or navigate complex processes. Krackhardt &amp; Hanson (1993) highlight informal networks provide the “company behind the chart,” enabling employees to access support and information outside formal structures. These networks complement formal systems but remain secondary in shaping behaviour.</w:t>
      </w:r>
    </w:p>
    <w:p xmlns:wp14="http://schemas.microsoft.com/office/word/2010/wordml" w:rsidP="20EC61F5" wp14:paraId="7415AAB0" wp14:textId="5E0A2F4C">
      <w:pPr>
        <w:pStyle w:val="Heading3"/>
        <w:bidi w:val="0"/>
        <w:spacing w:before="240" w:beforeAutospacing="off" w:after="240" w:afterAutospacing="off"/>
        <w:rPr>
          <w:rFonts w:ascii="Aptos Display" w:hAnsi="Aptos Display" w:eastAsia="Aptos Display" w:cs="Aptos Display"/>
          <w:b w:val="1"/>
          <w:bCs w:val="1"/>
          <w:i w:val="0"/>
          <w:iCs w:val="0"/>
          <w:caps w:val="0"/>
          <w:smallCaps w:val="0"/>
          <w:noProof w:val="0"/>
          <w:color w:val="auto"/>
          <w:sz w:val="28"/>
          <w:szCs w:val="28"/>
          <w:lang w:val="en-GB"/>
        </w:rPr>
      </w:pPr>
      <w:bookmarkStart w:name="_Toc105467034" w:id="25312593"/>
      <w:r w:rsidRPr="20EC61F5" w:rsidR="3FBDACE5">
        <w:rPr>
          <w:rFonts w:ascii="Aptos Display" w:hAnsi="Aptos Display" w:eastAsia="Aptos Display" w:cs="Aptos Display"/>
          <w:b w:val="1"/>
          <w:bCs w:val="1"/>
          <w:i w:val="0"/>
          <w:iCs w:val="0"/>
          <w:caps w:val="0"/>
          <w:smallCaps w:val="0"/>
          <w:noProof w:val="0"/>
          <w:color w:val="auto"/>
          <w:sz w:val="28"/>
          <w:szCs w:val="28"/>
          <w:lang w:val="en-GB"/>
        </w:rPr>
        <w:t>Small Independent Restaurant</w:t>
      </w:r>
      <w:bookmarkEnd w:id="25312593"/>
    </w:p>
    <w:p xmlns:wp14="http://schemas.microsoft.com/office/word/2010/wordml" w:rsidP="20EC61F5" wp14:paraId="76CE47D7" wp14:textId="4758A5B7">
      <w:pPr>
        <w:pStyle w:val="Heading3"/>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Using Johnson and Scholes’ Cultural Web, the restaurant’s culture is reinforced through everyday practices and symbols. Rituals include daily teamwork and informal routines that shape how tasks are completed. Symbols are found in personalised service and the restaurant’s local reputation, which represent its identity to both staff and customers. Stories emphasise customer loyalty and creativity, reinforcing values of trust and innovation. The power structures are flat, with leadership being accessible and collaborative, while control systems are minimal, relying on trust rather than rigid procedures. This creates a relational climate where informal networks play </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a central role</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in shaping behaviour. </w:t>
      </w:r>
    </w:p>
    <w:p xmlns:wp14="http://schemas.microsoft.com/office/word/2010/wordml" w:rsidP="20EC61F5" wp14:paraId="20A2B47E" wp14:textId="32F6D442">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Applying Hofstede’s Dimensions to the small independent restaurant reflects low power distance, meaning staff interact more equally and leadership is hands-on. Authority is not heavily centralised with employees feeling more comfortable engaging directly with managers. This creates a collaborative environment where communication flows openly across levels. In addition, stronger collectivism is evident, as teamwork and loyalty drive performance. Staff members rely on one another to achieve shared goals, and the emphasis is placed on group success rather than individual achievement (Hofstede, 2001).</w:t>
      </w:r>
    </w:p>
    <w:p xmlns:wp14="http://schemas.microsoft.com/office/word/2010/wordml" w:rsidP="20EC61F5" wp14:paraId="08782209" wp14:textId="1C84D2EE">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A small independent restaurant typically reflects a</w:t>
      </w: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 xml:space="preserve"> </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support culture, where collaboration, trust and shared values drive performance. Leadership is hands-on and accessible, with staff working closely together to achieve shared goals. Formal structures are minimal, and flexibility in roles allows employees to adapt quickly to daily challenges. According to Kotter &amp; Heskett (1992), cultures that emphasise adaptability and shared values are more responsive to change, which suits smaller, dynamic organisations. Informal networks also play a central role in shaping organisational climate, as Cross and Parker (2004) highlight, enabling faster co-ordination and ethical sense making through peer relationships. Research shows that smaller organisations often rely on strong interpersonal relationships and informal networks to sustain performance. Deal and Kennedy (2000) highlight that cultures built on trust and teamwork foster resilience and creativity. Kotter and Heskett (1992) argue that supportive cultures encourage adaptability and customer-focused innovation, which are critical for independent restaurants competing in dynamic markets.</w:t>
      </w:r>
    </w:p>
    <w:p xmlns:wp14="http://schemas.microsoft.com/office/word/2010/wordml" w:rsidP="20EC61F5" wp14:paraId="4A2CEEA6" wp14:textId="39D8C40C">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In a small restaurant, formal relationships are minimal, with flat structures and flexible roles. Leadership is hands-on, and communication flows directly between staff and managers. This creates a participative climate where authority is less rigid, and decisions are often made collaboratively (Kotter &amp; Heskett, 1992). Informal relationships dominate, built on trust, daily collaboration and shared responsibility. Staff rely on peer networks for advice, co-ordination and ethical decision-making. Cross and Parker (2004) emphasise that such informal networks are critical in smaller organisations, enabling agility, creativity and resilience with culture reinforced through stories of teamwork and customer loyalty.</w:t>
      </w:r>
    </w:p>
    <w:p xmlns:wp14="http://schemas.microsoft.com/office/word/2010/wordml" w:rsidP="20EC61F5" wp14:paraId="38B3E535" wp14:textId="76477F5B">
      <w:pPr>
        <w:pStyle w:val="Heading2"/>
        <w:keepNext w:val="1"/>
        <w:keepLines w:val="1"/>
        <w:bidi w:val="0"/>
        <w:spacing w:before="160" w:after="80"/>
        <w:rPr>
          <w:rFonts w:ascii="Aptos Display" w:hAnsi="Aptos Display" w:eastAsia="Aptos Display" w:cs="Aptos Display"/>
          <w:b w:val="0"/>
          <w:bCs w:val="0"/>
          <w:i w:val="0"/>
          <w:iCs w:val="0"/>
          <w:caps w:val="0"/>
          <w:smallCaps w:val="0"/>
          <w:noProof w:val="0"/>
          <w:color w:val="auto"/>
          <w:sz w:val="32"/>
          <w:szCs w:val="32"/>
          <w:lang w:val="en-GB"/>
        </w:rPr>
      </w:pPr>
      <w:bookmarkStart w:name="_Toc1885737455" w:id="1534345301"/>
      <w:r w:rsidRPr="20EC61F5" w:rsidR="3FBDACE5">
        <w:rPr>
          <w:rFonts w:ascii="Aptos Display" w:hAnsi="Aptos Display" w:eastAsia="Aptos Display" w:cs="Aptos Display"/>
          <w:b w:val="1"/>
          <w:bCs w:val="1"/>
          <w:i w:val="0"/>
          <w:iCs w:val="0"/>
          <w:caps w:val="0"/>
          <w:smallCaps w:val="0"/>
          <w:strike w:val="0"/>
          <w:dstrike w:val="0"/>
          <w:noProof w:val="0"/>
          <w:color w:val="auto"/>
          <w:sz w:val="32"/>
          <w:szCs w:val="32"/>
          <w:u w:val="single"/>
          <w:lang w:val="en-GB"/>
        </w:rPr>
        <w:t>Environmental Analysis</w:t>
      </w:r>
      <w:bookmarkEnd w:id="1534345301"/>
    </w:p>
    <w:p xmlns:wp14="http://schemas.microsoft.com/office/word/2010/wordml" w:rsidP="20EC61F5" wp14:paraId="286923DC" wp14:textId="1C9F0271">
      <w:pPr>
        <w:bidi w:val="0"/>
        <w:rPr>
          <w:rFonts w:ascii="Aptos Display" w:hAnsi="Aptos Display" w:eastAsia="Aptos Display" w:cs="Aptos Display"/>
          <w:b w:val="0"/>
          <w:bCs w:val="0"/>
          <w:i w:val="0"/>
          <w:iCs w:val="0"/>
          <w:caps w:val="0"/>
          <w:smallCaps w:val="0"/>
          <w:noProof w:val="0"/>
          <w:color w:val="000000" w:themeColor="text1" w:themeTint="FF" w:themeShade="FF"/>
          <w:sz w:val="28"/>
          <w:szCs w:val="28"/>
          <w:lang w:val="en-GB"/>
        </w:rPr>
      </w:pPr>
      <w:r w:rsidRPr="20EC61F5" w:rsidR="3FBDACE5">
        <w:rPr>
          <w:rFonts w:ascii="Aptos Display" w:hAnsi="Aptos Display" w:eastAsia="Aptos Display" w:cs="Aptos Display"/>
          <w:b w:val="1"/>
          <w:bCs w:val="1"/>
          <w:i w:val="0"/>
          <w:iCs w:val="0"/>
          <w:caps w:val="0"/>
          <w:smallCaps w:val="0"/>
          <w:noProof w:val="0"/>
          <w:color w:val="000000" w:themeColor="text1" w:themeTint="FF" w:themeShade="FF"/>
          <w:sz w:val="28"/>
          <w:szCs w:val="28"/>
          <w:lang w:val="en-GB"/>
        </w:rPr>
        <w:t>SWOT Analysis Humphrey (1960)</w:t>
      </w: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3000"/>
        <w:gridCol w:w="3000"/>
        <w:gridCol w:w="3000"/>
      </w:tblGrid>
      <w:tr w:rsidR="20EC61F5" w:rsidTr="20EC61F5" w14:paraId="3D49A21C">
        <w:trPr>
          <w:trHeight w:val="300"/>
        </w:trPr>
        <w:tc>
          <w:tcPr>
            <w:tcW w:w="3000" w:type="dxa"/>
            <w:tcMar>
              <w:left w:w="105" w:type="dxa"/>
              <w:right w:w="105" w:type="dxa"/>
            </w:tcMar>
            <w:vAlign w:val="top"/>
          </w:tcPr>
          <w:p w:rsidR="20EC61F5" w:rsidP="20EC61F5" w:rsidRDefault="20EC61F5" w14:paraId="422AF9E8" w14:textId="32A4148F">
            <w:pPr>
              <w:bidi w:val="0"/>
              <w:spacing w:before="0" w:beforeAutospacing="off" w:after="0" w:afterAutospacing="off"/>
              <w:jc w:val="center"/>
              <w:rPr>
                <w:rFonts w:ascii="Aptos" w:hAnsi="Aptos" w:eastAsia="Aptos" w:cs="Aptos"/>
                <w:b w:val="0"/>
                <w:bCs w:val="0"/>
                <w:i w:val="0"/>
                <w:iCs w:val="0"/>
                <w:sz w:val="24"/>
                <w:szCs w:val="24"/>
                <w:lang w:val="en-GB"/>
              </w:rPr>
            </w:pPr>
            <w:r w:rsidRPr="20EC61F5" w:rsidR="20EC61F5">
              <w:rPr>
                <w:rFonts w:ascii="Aptos" w:hAnsi="Aptos" w:eastAsia="Aptos" w:cs="Aptos"/>
                <w:b w:val="1"/>
                <w:bCs w:val="1"/>
                <w:i w:val="0"/>
                <w:iCs w:val="0"/>
                <w:sz w:val="24"/>
                <w:szCs w:val="24"/>
                <w:lang w:val="en-GB"/>
              </w:rPr>
              <w:t>Factor</w:t>
            </w:r>
          </w:p>
        </w:tc>
        <w:tc>
          <w:tcPr>
            <w:tcW w:w="3000" w:type="dxa"/>
            <w:tcMar>
              <w:left w:w="105" w:type="dxa"/>
              <w:right w:w="105" w:type="dxa"/>
            </w:tcMar>
            <w:vAlign w:val="top"/>
          </w:tcPr>
          <w:p w:rsidR="20EC61F5" w:rsidP="20EC61F5" w:rsidRDefault="20EC61F5" w14:paraId="5F33470B" w14:textId="4FBDFAC4">
            <w:pPr>
              <w:bidi w:val="0"/>
              <w:spacing w:before="0" w:beforeAutospacing="off" w:after="0" w:afterAutospacing="off"/>
              <w:jc w:val="center"/>
              <w:rPr>
                <w:rFonts w:ascii="Aptos" w:hAnsi="Aptos" w:eastAsia="Aptos" w:cs="Aptos"/>
                <w:b w:val="0"/>
                <w:bCs w:val="0"/>
                <w:i w:val="0"/>
                <w:iCs w:val="0"/>
                <w:sz w:val="24"/>
                <w:szCs w:val="24"/>
                <w:lang w:val="en-GB"/>
              </w:rPr>
            </w:pPr>
            <w:r w:rsidRPr="20EC61F5" w:rsidR="20EC61F5">
              <w:rPr>
                <w:rFonts w:ascii="Aptos" w:hAnsi="Aptos" w:eastAsia="Aptos" w:cs="Aptos"/>
                <w:b w:val="1"/>
                <w:bCs w:val="1"/>
                <w:i w:val="0"/>
                <w:iCs w:val="0"/>
                <w:sz w:val="24"/>
                <w:szCs w:val="24"/>
                <w:lang w:val="en-GB"/>
              </w:rPr>
              <w:t>Multinational Hospitality Chain</w:t>
            </w:r>
          </w:p>
        </w:tc>
        <w:tc>
          <w:tcPr>
            <w:tcW w:w="3000" w:type="dxa"/>
            <w:tcMar>
              <w:left w:w="105" w:type="dxa"/>
              <w:right w:w="105" w:type="dxa"/>
            </w:tcMar>
            <w:vAlign w:val="top"/>
          </w:tcPr>
          <w:p w:rsidR="20EC61F5" w:rsidP="20EC61F5" w:rsidRDefault="20EC61F5" w14:paraId="5C3EE413" w14:textId="43280E09">
            <w:pPr>
              <w:bidi w:val="0"/>
              <w:spacing w:before="0" w:beforeAutospacing="off" w:after="0" w:afterAutospacing="off"/>
              <w:jc w:val="center"/>
              <w:rPr>
                <w:rFonts w:ascii="Aptos" w:hAnsi="Aptos" w:eastAsia="Aptos" w:cs="Aptos"/>
                <w:b w:val="0"/>
                <w:bCs w:val="0"/>
                <w:i w:val="0"/>
                <w:iCs w:val="0"/>
                <w:sz w:val="24"/>
                <w:szCs w:val="24"/>
                <w:lang w:val="en-GB"/>
              </w:rPr>
            </w:pPr>
            <w:r w:rsidRPr="20EC61F5" w:rsidR="20EC61F5">
              <w:rPr>
                <w:rFonts w:ascii="Aptos" w:hAnsi="Aptos" w:eastAsia="Aptos" w:cs="Aptos"/>
                <w:b w:val="1"/>
                <w:bCs w:val="1"/>
                <w:i w:val="0"/>
                <w:iCs w:val="0"/>
                <w:sz w:val="24"/>
                <w:szCs w:val="24"/>
                <w:lang w:val="en-GB"/>
              </w:rPr>
              <w:t>Small Independent Restaurant</w:t>
            </w:r>
          </w:p>
        </w:tc>
      </w:tr>
      <w:tr w:rsidR="20EC61F5" w:rsidTr="20EC61F5" w14:paraId="45AB9EDF">
        <w:trPr>
          <w:trHeight w:val="300"/>
        </w:trPr>
        <w:tc>
          <w:tcPr>
            <w:tcW w:w="3000" w:type="dxa"/>
            <w:tcMar>
              <w:left w:w="105" w:type="dxa"/>
              <w:right w:w="105" w:type="dxa"/>
            </w:tcMar>
            <w:vAlign w:val="top"/>
          </w:tcPr>
          <w:p w:rsidR="20EC61F5" w:rsidP="20EC61F5" w:rsidRDefault="20EC61F5" w14:paraId="6AD14BA4" w14:textId="5B0EDB02">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1"/>
                <w:bCs w:val="1"/>
                <w:i w:val="0"/>
                <w:iCs w:val="0"/>
                <w:sz w:val="24"/>
                <w:szCs w:val="24"/>
                <w:lang w:val="en-GB"/>
              </w:rPr>
              <w:t>Strengths</w:t>
            </w:r>
          </w:p>
        </w:tc>
        <w:tc>
          <w:tcPr>
            <w:tcW w:w="3000" w:type="dxa"/>
            <w:tcMar>
              <w:left w:w="105" w:type="dxa"/>
              <w:right w:w="105" w:type="dxa"/>
            </w:tcMar>
            <w:vAlign w:val="top"/>
          </w:tcPr>
          <w:p w:rsidR="20EC61F5" w:rsidP="20EC61F5" w:rsidRDefault="20EC61F5" w14:paraId="714BFDB6" w14:textId="6CE5A5BC">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0"/>
                <w:bCs w:val="0"/>
                <w:i w:val="0"/>
                <w:iCs w:val="0"/>
                <w:sz w:val="24"/>
                <w:szCs w:val="24"/>
                <w:lang w:val="en-GB"/>
              </w:rPr>
              <w:t>Global brand recognition; economies of scale; consistent service standards</w:t>
            </w:r>
          </w:p>
        </w:tc>
        <w:tc>
          <w:tcPr>
            <w:tcW w:w="3000" w:type="dxa"/>
            <w:tcMar>
              <w:left w:w="105" w:type="dxa"/>
              <w:right w:w="105" w:type="dxa"/>
            </w:tcMar>
            <w:vAlign w:val="top"/>
          </w:tcPr>
          <w:p w:rsidR="20EC61F5" w:rsidP="20EC61F5" w:rsidRDefault="20EC61F5" w14:paraId="5C9B6897" w14:textId="7F0CD65D">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0"/>
                <w:bCs w:val="0"/>
                <w:i w:val="0"/>
                <w:iCs w:val="0"/>
                <w:sz w:val="24"/>
                <w:szCs w:val="24"/>
                <w:lang w:val="en-GB"/>
              </w:rPr>
              <w:t>Flexibility; personalised service; strong customer loyalty</w:t>
            </w:r>
          </w:p>
        </w:tc>
      </w:tr>
      <w:tr w:rsidR="20EC61F5" w:rsidTr="20EC61F5" w14:paraId="5708B360">
        <w:trPr>
          <w:trHeight w:val="300"/>
        </w:trPr>
        <w:tc>
          <w:tcPr>
            <w:tcW w:w="3000" w:type="dxa"/>
            <w:tcMar>
              <w:left w:w="105" w:type="dxa"/>
              <w:right w:w="105" w:type="dxa"/>
            </w:tcMar>
            <w:vAlign w:val="top"/>
          </w:tcPr>
          <w:p w:rsidR="20EC61F5" w:rsidP="20EC61F5" w:rsidRDefault="20EC61F5" w14:paraId="11341360" w14:textId="64015271">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1"/>
                <w:bCs w:val="1"/>
                <w:i w:val="0"/>
                <w:iCs w:val="0"/>
                <w:sz w:val="24"/>
                <w:szCs w:val="24"/>
                <w:lang w:val="en-GB"/>
              </w:rPr>
              <w:t>Weaknesses</w:t>
            </w:r>
          </w:p>
        </w:tc>
        <w:tc>
          <w:tcPr>
            <w:tcW w:w="3000" w:type="dxa"/>
            <w:tcMar>
              <w:left w:w="105" w:type="dxa"/>
              <w:right w:w="105" w:type="dxa"/>
            </w:tcMar>
            <w:vAlign w:val="top"/>
          </w:tcPr>
          <w:p w:rsidR="20EC61F5" w:rsidP="20EC61F5" w:rsidRDefault="20EC61F5" w14:paraId="293F417F" w14:textId="57953866">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0"/>
                <w:bCs w:val="0"/>
                <w:i w:val="0"/>
                <w:iCs w:val="0"/>
                <w:sz w:val="24"/>
                <w:szCs w:val="24"/>
                <w:lang w:val="en-GB"/>
              </w:rPr>
              <w:t>Bureaucratic structure; high operating costs; limited adaptability</w:t>
            </w:r>
          </w:p>
        </w:tc>
        <w:tc>
          <w:tcPr>
            <w:tcW w:w="3000" w:type="dxa"/>
            <w:tcMar>
              <w:left w:w="105" w:type="dxa"/>
              <w:right w:w="105" w:type="dxa"/>
            </w:tcMar>
            <w:vAlign w:val="top"/>
          </w:tcPr>
          <w:p w:rsidR="20EC61F5" w:rsidP="20EC61F5" w:rsidRDefault="20EC61F5" w14:paraId="72495B58" w14:textId="0FBF06F5">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0"/>
                <w:bCs w:val="0"/>
                <w:i w:val="0"/>
                <w:iCs w:val="0"/>
                <w:sz w:val="24"/>
                <w:szCs w:val="24"/>
                <w:lang w:val="en-GB"/>
              </w:rPr>
              <w:t>Limited resources; dependence on local demand; less formal systems</w:t>
            </w:r>
          </w:p>
        </w:tc>
      </w:tr>
      <w:tr w:rsidR="20EC61F5" w:rsidTr="20EC61F5" w14:paraId="375A6B4C">
        <w:trPr>
          <w:trHeight w:val="300"/>
        </w:trPr>
        <w:tc>
          <w:tcPr>
            <w:tcW w:w="3000" w:type="dxa"/>
            <w:tcMar>
              <w:left w:w="105" w:type="dxa"/>
              <w:right w:w="105" w:type="dxa"/>
            </w:tcMar>
            <w:vAlign w:val="top"/>
          </w:tcPr>
          <w:p w:rsidR="20EC61F5" w:rsidP="20EC61F5" w:rsidRDefault="20EC61F5" w14:paraId="3CC7FAFE" w14:textId="7913D703">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1"/>
                <w:bCs w:val="1"/>
                <w:i w:val="0"/>
                <w:iCs w:val="0"/>
                <w:sz w:val="24"/>
                <w:szCs w:val="24"/>
                <w:lang w:val="en-GB"/>
              </w:rPr>
              <w:t>Opportunities</w:t>
            </w:r>
          </w:p>
        </w:tc>
        <w:tc>
          <w:tcPr>
            <w:tcW w:w="3000" w:type="dxa"/>
            <w:tcMar>
              <w:left w:w="105" w:type="dxa"/>
              <w:right w:w="105" w:type="dxa"/>
            </w:tcMar>
            <w:vAlign w:val="top"/>
          </w:tcPr>
          <w:p w:rsidR="20EC61F5" w:rsidP="20EC61F5" w:rsidRDefault="20EC61F5" w14:paraId="45007FEB" w14:textId="5FC37A33">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0"/>
                <w:bCs w:val="0"/>
                <w:i w:val="0"/>
                <w:iCs w:val="0"/>
                <w:sz w:val="24"/>
                <w:szCs w:val="24"/>
                <w:lang w:val="en-GB"/>
              </w:rPr>
              <w:t>Expansion into emerging markets; digital innovation; sustainability initiatives</w:t>
            </w:r>
          </w:p>
        </w:tc>
        <w:tc>
          <w:tcPr>
            <w:tcW w:w="3000" w:type="dxa"/>
            <w:tcMar>
              <w:left w:w="105" w:type="dxa"/>
              <w:right w:w="105" w:type="dxa"/>
            </w:tcMar>
            <w:vAlign w:val="top"/>
          </w:tcPr>
          <w:p w:rsidR="20EC61F5" w:rsidP="20EC61F5" w:rsidRDefault="20EC61F5" w14:paraId="5EF1B57D" w14:textId="0752B722">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0"/>
                <w:bCs w:val="0"/>
                <w:i w:val="0"/>
                <w:iCs w:val="0"/>
                <w:sz w:val="24"/>
                <w:szCs w:val="24"/>
                <w:lang w:val="en-GB"/>
              </w:rPr>
              <w:t>Local sourcing; community engagement</w:t>
            </w:r>
          </w:p>
        </w:tc>
      </w:tr>
      <w:tr w:rsidR="20EC61F5" w:rsidTr="20EC61F5" w14:paraId="662ED50D">
        <w:trPr>
          <w:trHeight w:val="300"/>
        </w:trPr>
        <w:tc>
          <w:tcPr>
            <w:tcW w:w="3000" w:type="dxa"/>
            <w:tcMar>
              <w:left w:w="105" w:type="dxa"/>
              <w:right w:w="105" w:type="dxa"/>
            </w:tcMar>
            <w:vAlign w:val="top"/>
          </w:tcPr>
          <w:p w:rsidR="20EC61F5" w:rsidP="20EC61F5" w:rsidRDefault="20EC61F5" w14:paraId="5AA48356" w14:textId="78454C14">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1"/>
                <w:bCs w:val="1"/>
                <w:i w:val="0"/>
                <w:iCs w:val="0"/>
                <w:sz w:val="24"/>
                <w:szCs w:val="24"/>
                <w:lang w:val="en-GB"/>
              </w:rPr>
              <w:t>Threats</w:t>
            </w:r>
          </w:p>
        </w:tc>
        <w:tc>
          <w:tcPr>
            <w:tcW w:w="3000" w:type="dxa"/>
            <w:tcMar>
              <w:left w:w="105" w:type="dxa"/>
              <w:right w:w="105" w:type="dxa"/>
            </w:tcMar>
            <w:vAlign w:val="top"/>
          </w:tcPr>
          <w:p w:rsidR="20EC61F5" w:rsidP="20EC61F5" w:rsidRDefault="20EC61F5" w14:paraId="0D935225" w14:textId="59FBD0D2">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0"/>
                <w:bCs w:val="0"/>
                <w:i w:val="0"/>
                <w:iCs w:val="0"/>
                <w:sz w:val="24"/>
                <w:szCs w:val="24"/>
                <w:lang w:val="en-GB"/>
              </w:rPr>
              <w:t>Intense global competition; economic downturns; crises (e.g., pandemics)</w:t>
            </w:r>
          </w:p>
        </w:tc>
        <w:tc>
          <w:tcPr>
            <w:tcW w:w="3000" w:type="dxa"/>
            <w:tcMar>
              <w:left w:w="105" w:type="dxa"/>
              <w:right w:w="105" w:type="dxa"/>
            </w:tcMar>
            <w:vAlign w:val="top"/>
          </w:tcPr>
          <w:p w:rsidR="20EC61F5" w:rsidP="20EC61F5" w:rsidRDefault="20EC61F5" w14:paraId="1BDC2D33" w14:textId="6992F726">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0"/>
                <w:bCs w:val="0"/>
                <w:i w:val="0"/>
                <w:iCs w:val="0"/>
                <w:sz w:val="24"/>
                <w:szCs w:val="24"/>
                <w:lang w:val="en-GB"/>
              </w:rPr>
              <w:t>Competition from chains; rising costs</w:t>
            </w:r>
          </w:p>
        </w:tc>
      </w:tr>
    </w:tbl>
    <w:p xmlns:wp14="http://schemas.microsoft.com/office/word/2010/wordml" w:rsidP="20EC61F5" wp14:paraId="3952067A" wp14:textId="375DA91F">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0EC61F5" wp14:paraId="1B5FC3B0" wp14:textId="5F412826">
      <w:pPr>
        <w:pStyle w:val="Heading3"/>
        <w:keepNext w:val="1"/>
        <w:keepLines w:val="1"/>
        <w:bidi w:val="0"/>
        <w:spacing w:before="160" w:after="80"/>
        <w:ind w:left="0"/>
        <w:rPr>
          <w:rFonts w:ascii="Aptos Display" w:hAnsi="Aptos Display" w:eastAsia="Aptos Display" w:cs="Aptos Display"/>
          <w:b w:val="0"/>
          <w:bCs w:val="0"/>
          <w:i w:val="0"/>
          <w:iCs w:val="0"/>
          <w:caps w:val="0"/>
          <w:smallCaps w:val="0"/>
          <w:noProof w:val="0"/>
          <w:color w:val="auto"/>
          <w:sz w:val="28"/>
          <w:szCs w:val="28"/>
          <w:lang w:val="en-GB"/>
        </w:rPr>
      </w:pPr>
      <w:bookmarkStart w:name="_Toc1871884937" w:id="72724834"/>
      <w:r w:rsidRPr="20EC61F5" w:rsidR="3FBDACE5">
        <w:rPr>
          <w:rFonts w:ascii="Aptos Display" w:hAnsi="Aptos Display" w:eastAsia="Aptos Display" w:cs="Aptos Display"/>
          <w:b w:val="1"/>
          <w:bCs w:val="1"/>
          <w:i w:val="0"/>
          <w:iCs w:val="0"/>
          <w:caps w:val="0"/>
          <w:smallCaps w:val="0"/>
          <w:noProof w:val="0"/>
          <w:color w:val="auto"/>
          <w:sz w:val="28"/>
          <w:szCs w:val="28"/>
          <w:lang w:val="en-GB"/>
        </w:rPr>
        <w:t>PESTLE Analysis Aguilar (1967)</w:t>
      </w:r>
      <w:bookmarkEnd w:id="72724834"/>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3000"/>
        <w:gridCol w:w="3000"/>
        <w:gridCol w:w="3000"/>
      </w:tblGrid>
      <w:tr w:rsidR="20EC61F5" w:rsidTr="20EC61F5" w14:paraId="3A0E38B9">
        <w:trPr>
          <w:trHeight w:val="300"/>
        </w:trPr>
        <w:tc>
          <w:tcPr>
            <w:tcW w:w="3000" w:type="dxa"/>
            <w:tcMar>
              <w:left w:w="105" w:type="dxa"/>
              <w:right w:w="105" w:type="dxa"/>
            </w:tcMar>
            <w:vAlign w:val="top"/>
          </w:tcPr>
          <w:p w:rsidR="20EC61F5" w:rsidP="20EC61F5" w:rsidRDefault="20EC61F5" w14:paraId="5307ADB1" w14:textId="2B968F45">
            <w:pPr>
              <w:bidi w:val="0"/>
              <w:spacing w:before="0" w:beforeAutospacing="off" w:after="0" w:afterAutospacing="off"/>
              <w:jc w:val="center"/>
              <w:rPr>
                <w:rFonts w:ascii="Aptos" w:hAnsi="Aptos" w:eastAsia="Aptos" w:cs="Aptos"/>
                <w:b w:val="0"/>
                <w:bCs w:val="0"/>
                <w:i w:val="0"/>
                <w:iCs w:val="0"/>
                <w:color w:val="auto"/>
                <w:sz w:val="24"/>
                <w:szCs w:val="24"/>
                <w:lang w:val="en-GB"/>
              </w:rPr>
            </w:pPr>
            <w:r w:rsidRPr="20EC61F5" w:rsidR="20EC61F5">
              <w:rPr>
                <w:rFonts w:ascii="Aptos" w:hAnsi="Aptos" w:eastAsia="Aptos" w:cs="Aptos"/>
                <w:b w:val="1"/>
                <w:bCs w:val="1"/>
                <w:i w:val="0"/>
                <w:iCs w:val="0"/>
                <w:color w:val="auto"/>
                <w:sz w:val="24"/>
                <w:szCs w:val="24"/>
                <w:lang w:val="en-GB"/>
              </w:rPr>
              <w:t>Factor</w:t>
            </w:r>
          </w:p>
        </w:tc>
        <w:tc>
          <w:tcPr>
            <w:tcW w:w="3000" w:type="dxa"/>
            <w:tcMar>
              <w:left w:w="105" w:type="dxa"/>
              <w:right w:w="105" w:type="dxa"/>
            </w:tcMar>
            <w:vAlign w:val="top"/>
          </w:tcPr>
          <w:p w:rsidR="20EC61F5" w:rsidP="20EC61F5" w:rsidRDefault="20EC61F5" w14:paraId="3686B509" w14:textId="5EC9EE2B">
            <w:pPr>
              <w:bidi w:val="0"/>
              <w:spacing w:before="0" w:beforeAutospacing="off" w:after="0" w:afterAutospacing="off"/>
              <w:jc w:val="center"/>
              <w:rPr>
                <w:rFonts w:ascii="Aptos" w:hAnsi="Aptos" w:eastAsia="Aptos" w:cs="Aptos"/>
                <w:b w:val="0"/>
                <w:bCs w:val="0"/>
                <w:i w:val="0"/>
                <w:iCs w:val="0"/>
                <w:color w:val="auto"/>
                <w:sz w:val="24"/>
                <w:szCs w:val="24"/>
                <w:lang w:val="en-GB"/>
              </w:rPr>
            </w:pPr>
            <w:r w:rsidRPr="20EC61F5" w:rsidR="20EC61F5">
              <w:rPr>
                <w:rFonts w:ascii="Aptos" w:hAnsi="Aptos" w:eastAsia="Aptos" w:cs="Aptos"/>
                <w:b w:val="1"/>
                <w:bCs w:val="1"/>
                <w:i w:val="0"/>
                <w:iCs w:val="0"/>
                <w:color w:val="auto"/>
                <w:sz w:val="24"/>
                <w:szCs w:val="24"/>
                <w:lang w:val="en-GB"/>
              </w:rPr>
              <w:t>Multinational Hospitality Chain</w:t>
            </w:r>
          </w:p>
        </w:tc>
        <w:tc>
          <w:tcPr>
            <w:tcW w:w="3000" w:type="dxa"/>
            <w:tcMar>
              <w:left w:w="105" w:type="dxa"/>
              <w:right w:w="105" w:type="dxa"/>
            </w:tcMar>
            <w:vAlign w:val="top"/>
          </w:tcPr>
          <w:p w:rsidR="20EC61F5" w:rsidP="20EC61F5" w:rsidRDefault="20EC61F5" w14:paraId="16B13B77" w14:textId="316175AA">
            <w:pPr>
              <w:bidi w:val="0"/>
              <w:spacing w:before="0" w:beforeAutospacing="off" w:after="0" w:afterAutospacing="off"/>
              <w:jc w:val="center"/>
              <w:rPr>
                <w:rFonts w:ascii="Aptos" w:hAnsi="Aptos" w:eastAsia="Aptos" w:cs="Aptos"/>
                <w:b w:val="0"/>
                <w:bCs w:val="0"/>
                <w:i w:val="0"/>
                <w:iCs w:val="0"/>
                <w:color w:val="auto"/>
                <w:sz w:val="24"/>
                <w:szCs w:val="24"/>
                <w:lang w:val="en-GB"/>
              </w:rPr>
            </w:pPr>
            <w:r w:rsidRPr="20EC61F5" w:rsidR="20EC61F5">
              <w:rPr>
                <w:rFonts w:ascii="Aptos" w:hAnsi="Aptos" w:eastAsia="Aptos" w:cs="Aptos"/>
                <w:b w:val="1"/>
                <w:bCs w:val="1"/>
                <w:i w:val="0"/>
                <w:iCs w:val="0"/>
                <w:color w:val="auto"/>
                <w:sz w:val="24"/>
                <w:szCs w:val="24"/>
                <w:lang w:val="en-GB"/>
              </w:rPr>
              <w:t>Small Independent Restaurant</w:t>
            </w:r>
          </w:p>
        </w:tc>
      </w:tr>
      <w:tr w:rsidR="20EC61F5" w:rsidTr="20EC61F5" w14:paraId="3412C6F8">
        <w:trPr>
          <w:trHeight w:val="300"/>
        </w:trPr>
        <w:tc>
          <w:tcPr>
            <w:tcW w:w="3000" w:type="dxa"/>
            <w:tcMar>
              <w:left w:w="105" w:type="dxa"/>
              <w:right w:w="105" w:type="dxa"/>
            </w:tcMar>
            <w:vAlign w:val="top"/>
          </w:tcPr>
          <w:p w:rsidR="20EC61F5" w:rsidP="20EC61F5" w:rsidRDefault="20EC61F5" w14:paraId="6D071CD4" w14:textId="194E10E9">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1"/>
                <w:bCs w:val="1"/>
                <w:i w:val="0"/>
                <w:iCs w:val="0"/>
                <w:sz w:val="24"/>
                <w:szCs w:val="24"/>
                <w:lang w:val="en-GB"/>
              </w:rPr>
              <w:t>Political</w:t>
            </w:r>
          </w:p>
        </w:tc>
        <w:tc>
          <w:tcPr>
            <w:tcW w:w="3000" w:type="dxa"/>
            <w:tcMar>
              <w:left w:w="105" w:type="dxa"/>
              <w:right w:w="105" w:type="dxa"/>
            </w:tcMar>
            <w:vAlign w:val="top"/>
          </w:tcPr>
          <w:p w:rsidR="20EC61F5" w:rsidP="20EC61F5" w:rsidRDefault="20EC61F5" w14:paraId="71A2212D" w14:textId="3D858BD7">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0"/>
                <w:bCs w:val="0"/>
                <w:i w:val="0"/>
                <w:iCs w:val="0"/>
                <w:sz w:val="24"/>
                <w:szCs w:val="24"/>
                <w:lang w:val="en-GB"/>
              </w:rPr>
              <w:t xml:space="preserve">Global operations influenced by government regulations, trade policies, and labour laws; compliance culture reinforced </w:t>
            </w:r>
          </w:p>
        </w:tc>
        <w:tc>
          <w:tcPr>
            <w:tcW w:w="3000" w:type="dxa"/>
            <w:tcMar>
              <w:left w:w="105" w:type="dxa"/>
              <w:right w:w="105" w:type="dxa"/>
            </w:tcMar>
            <w:vAlign w:val="top"/>
          </w:tcPr>
          <w:p w:rsidR="20EC61F5" w:rsidP="20EC61F5" w:rsidRDefault="20EC61F5" w14:paraId="77F16984" w14:textId="16E93B5B">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0"/>
                <w:bCs w:val="0"/>
                <w:i w:val="0"/>
                <w:iCs w:val="0"/>
                <w:sz w:val="24"/>
                <w:szCs w:val="24"/>
                <w:lang w:val="en-GB"/>
              </w:rPr>
              <w:t xml:space="preserve">Local council policies, food safety regulations, and community politics shape ethical practices and trust </w:t>
            </w:r>
          </w:p>
        </w:tc>
      </w:tr>
      <w:tr w:rsidR="20EC61F5" w:rsidTr="20EC61F5" w14:paraId="36D91972">
        <w:trPr>
          <w:trHeight w:val="300"/>
        </w:trPr>
        <w:tc>
          <w:tcPr>
            <w:tcW w:w="3000" w:type="dxa"/>
            <w:tcMar>
              <w:left w:w="105" w:type="dxa"/>
              <w:right w:w="105" w:type="dxa"/>
            </w:tcMar>
            <w:vAlign w:val="top"/>
          </w:tcPr>
          <w:p w:rsidR="20EC61F5" w:rsidP="20EC61F5" w:rsidRDefault="20EC61F5" w14:paraId="12E07040" w14:textId="7A9AD80E">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1"/>
                <w:bCs w:val="1"/>
                <w:i w:val="0"/>
                <w:iCs w:val="0"/>
                <w:sz w:val="24"/>
                <w:szCs w:val="24"/>
                <w:lang w:val="en-GB"/>
              </w:rPr>
              <w:t>Economic</w:t>
            </w:r>
          </w:p>
        </w:tc>
        <w:tc>
          <w:tcPr>
            <w:tcW w:w="3000" w:type="dxa"/>
            <w:tcMar>
              <w:left w:w="105" w:type="dxa"/>
              <w:right w:w="105" w:type="dxa"/>
            </w:tcMar>
            <w:vAlign w:val="top"/>
          </w:tcPr>
          <w:p w:rsidR="20EC61F5" w:rsidP="20EC61F5" w:rsidRDefault="20EC61F5" w14:paraId="727CEC98" w14:textId="2E878703">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0"/>
                <w:bCs w:val="0"/>
                <w:i w:val="0"/>
                <w:iCs w:val="0"/>
                <w:sz w:val="24"/>
                <w:szCs w:val="24"/>
                <w:lang w:val="en-GB"/>
              </w:rPr>
              <w:t xml:space="preserve">Sensitive to global economic cycles, exchange rates and tourism demand; efficiency and cost-control dominate culture </w:t>
            </w:r>
          </w:p>
        </w:tc>
        <w:tc>
          <w:tcPr>
            <w:tcW w:w="3000" w:type="dxa"/>
            <w:tcMar>
              <w:left w:w="105" w:type="dxa"/>
              <w:right w:w="105" w:type="dxa"/>
            </w:tcMar>
            <w:vAlign w:val="top"/>
          </w:tcPr>
          <w:p w:rsidR="20EC61F5" w:rsidP="20EC61F5" w:rsidRDefault="20EC61F5" w14:paraId="572765F8" w14:textId="388B9BB1">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0"/>
                <w:bCs w:val="0"/>
                <w:i w:val="0"/>
                <w:iCs w:val="0"/>
                <w:sz w:val="24"/>
                <w:szCs w:val="24"/>
                <w:lang w:val="en-GB"/>
              </w:rPr>
              <w:t>Dependent on local economy and customer spending; ethics tied to fair pricing and sustainable sourcing (Kotler &amp; Keller, 2016).</w:t>
            </w:r>
          </w:p>
        </w:tc>
      </w:tr>
      <w:tr w:rsidR="20EC61F5" w:rsidTr="20EC61F5" w14:paraId="67F9ACCA">
        <w:trPr>
          <w:trHeight w:val="300"/>
        </w:trPr>
        <w:tc>
          <w:tcPr>
            <w:tcW w:w="3000" w:type="dxa"/>
            <w:tcMar>
              <w:left w:w="105" w:type="dxa"/>
              <w:right w:w="105" w:type="dxa"/>
            </w:tcMar>
            <w:vAlign w:val="top"/>
          </w:tcPr>
          <w:p w:rsidR="20EC61F5" w:rsidP="20EC61F5" w:rsidRDefault="20EC61F5" w14:paraId="49E5B307" w14:textId="25D9089A">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1"/>
                <w:bCs w:val="1"/>
                <w:i w:val="0"/>
                <w:iCs w:val="0"/>
                <w:sz w:val="24"/>
                <w:szCs w:val="24"/>
                <w:lang w:val="en-GB"/>
              </w:rPr>
              <w:t>Social</w:t>
            </w:r>
          </w:p>
        </w:tc>
        <w:tc>
          <w:tcPr>
            <w:tcW w:w="3000" w:type="dxa"/>
            <w:tcMar>
              <w:left w:w="105" w:type="dxa"/>
              <w:right w:w="105" w:type="dxa"/>
            </w:tcMar>
            <w:vAlign w:val="top"/>
          </w:tcPr>
          <w:p w:rsidR="20EC61F5" w:rsidP="20EC61F5" w:rsidRDefault="20EC61F5" w14:paraId="4EF706F3" w14:textId="79D651DD">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0"/>
                <w:bCs w:val="0"/>
                <w:i w:val="0"/>
                <w:iCs w:val="0"/>
                <w:sz w:val="24"/>
                <w:szCs w:val="24"/>
                <w:lang w:val="en-GB"/>
              </w:rPr>
              <w:t>Diverse workforce and global customers require inclusive policies; ethics shaped by multicultural awareness (Hofstede et al., 2010).</w:t>
            </w:r>
          </w:p>
        </w:tc>
        <w:tc>
          <w:tcPr>
            <w:tcW w:w="3000" w:type="dxa"/>
            <w:tcMar>
              <w:left w:w="105" w:type="dxa"/>
              <w:right w:w="105" w:type="dxa"/>
            </w:tcMar>
            <w:vAlign w:val="top"/>
          </w:tcPr>
          <w:p w:rsidR="20EC61F5" w:rsidP="20EC61F5" w:rsidRDefault="20EC61F5" w14:paraId="76F455F1" w14:textId="17552126">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0"/>
                <w:bCs w:val="0"/>
                <w:i w:val="0"/>
                <w:iCs w:val="0"/>
                <w:sz w:val="24"/>
                <w:szCs w:val="24"/>
                <w:lang w:val="en-GB"/>
              </w:rPr>
              <w:t>Strong community ties and customer loyalty; ethics shaped by personal relationships and local values</w:t>
            </w:r>
          </w:p>
        </w:tc>
      </w:tr>
      <w:tr w:rsidR="20EC61F5" w:rsidTr="20EC61F5" w14:paraId="4360D624">
        <w:trPr>
          <w:trHeight w:val="300"/>
        </w:trPr>
        <w:tc>
          <w:tcPr>
            <w:tcW w:w="3000" w:type="dxa"/>
            <w:tcMar>
              <w:left w:w="105" w:type="dxa"/>
              <w:right w:w="105" w:type="dxa"/>
            </w:tcMar>
            <w:vAlign w:val="top"/>
          </w:tcPr>
          <w:p w:rsidR="20EC61F5" w:rsidP="20EC61F5" w:rsidRDefault="20EC61F5" w14:paraId="71A152AC" w14:textId="43983E1A">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1"/>
                <w:bCs w:val="1"/>
                <w:i w:val="0"/>
                <w:iCs w:val="0"/>
                <w:sz w:val="24"/>
                <w:szCs w:val="24"/>
                <w:lang w:val="en-GB"/>
              </w:rPr>
              <w:t>Technological</w:t>
            </w:r>
          </w:p>
        </w:tc>
        <w:tc>
          <w:tcPr>
            <w:tcW w:w="3000" w:type="dxa"/>
            <w:tcMar>
              <w:left w:w="105" w:type="dxa"/>
              <w:right w:w="105" w:type="dxa"/>
            </w:tcMar>
            <w:vAlign w:val="top"/>
          </w:tcPr>
          <w:p w:rsidR="20EC61F5" w:rsidP="20EC61F5" w:rsidRDefault="20EC61F5" w14:paraId="1A2FCCA4" w14:textId="7D7E628E">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0"/>
                <w:bCs w:val="0"/>
                <w:i w:val="0"/>
                <w:iCs w:val="0"/>
                <w:sz w:val="24"/>
                <w:szCs w:val="24"/>
                <w:lang w:val="en-GB"/>
              </w:rPr>
              <w:t>Heavy investment in digital booking, CRM and automation; culture emphasises innovation and compliance with data ethics (Porter, 2008).</w:t>
            </w:r>
          </w:p>
        </w:tc>
        <w:tc>
          <w:tcPr>
            <w:tcW w:w="3000" w:type="dxa"/>
            <w:tcMar>
              <w:left w:w="105" w:type="dxa"/>
              <w:right w:w="105" w:type="dxa"/>
            </w:tcMar>
            <w:vAlign w:val="top"/>
          </w:tcPr>
          <w:p w:rsidR="20EC61F5" w:rsidP="20EC61F5" w:rsidRDefault="20EC61F5" w14:paraId="003BA23A" w14:textId="738B5607">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0"/>
                <w:bCs w:val="0"/>
                <w:i w:val="0"/>
                <w:iCs w:val="0"/>
                <w:sz w:val="24"/>
                <w:szCs w:val="24"/>
                <w:lang w:val="en-GB"/>
              </w:rPr>
              <w:t>Limited resources but use of social media and POS systems; ethics shaped by transparency and customer engagement (Chaffey &amp; Ellis-Chadwick, 2019).</w:t>
            </w:r>
          </w:p>
        </w:tc>
      </w:tr>
      <w:tr w:rsidR="20EC61F5" w:rsidTr="20EC61F5" w14:paraId="57CE67E6">
        <w:trPr>
          <w:trHeight w:val="300"/>
        </w:trPr>
        <w:tc>
          <w:tcPr>
            <w:tcW w:w="3000" w:type="dxa"/>
            <w:tcMar>
              <w:left w:w="105" w:type="dxa"/>
              <w:right w:w="105" w:type="dxa"/>
            </w:tcMar>
            <w:vAlign w:val="top"/>
          </w:tcPr>
          <w:p w:rsidR="20EC61F5" w:rsidP="20EC61F5" w:rsidRDefault="20EC61F5" w14:paraId="4E117337" w14:textId="63966453">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1"/>
                <w:bCs w:val="1"/>
                <w:i w:val="0"/>
                <w:iCs w:val="0"/>
                <w:sz w:val="24"/>
                <w:szCs w:val="24"/>
                <w:lang w:val="en-GB"/>
              </w:rPr>
              <w:t>Legal</w:t>
            </w:r>
          </w:p>
        </w:tc>
        <w:tc>
          <w:tcPr>
            <w:tcW w:w="3000" w:type="dxa"/>
            <w:tcMar>
              <w:left w:w="105" w:type="dxa"/>
              <w:right w:w="105" w:type="dxa"/>
            </w:tcMar>
            <w:vAlign w:val="top"/>
          </w:tcPr>
          <w:p w:rsidR="20EC61F5" w:rsidP="20EC61F5" w:rsidRDefault="20EC61F5" w14:paraId="132AAEA5" w14:textId="7ACF137F">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0"/>
                <w:bCs w:val="0"/>
                <w:i w:val="0"/>
                <w:iCs w:val="0"/>
                <w:sz w:val="24"/>
                <w:szCs w:val="24"/>
                <w:lang w:val="en-GB"/>
              </w:rPr>
              <w:t>Strict adherence to international labour, health &amp; safety, and corporate governance laws; compliance-driven ethics (Kaptein, 2008).</w:t>
            </w:r>
          </w:p>
        </w:tc>
        <w:tc>
          <w:tcPr>
            <w:tcW w:w="3000" w:type="dxa"/>
            <w:tcMar>
              <w:left w:w="105" w:type="dxa"/>
              <w:right w:w="105" w:type="dxa"/>
            </w:tcMar>
            <w:vAlign w:val="top"/>
          </w:tcPr>
          <w:p w:rsidR="20EC61F5" w:rsidP="20EC61F5" w:rsidRDefault="20EC61F5" w14:paraId="6A48218A" w14:textId="76FEEEB2">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0"/>
                <w:bCs w:val="0"/>
                <w:i w:val="0"/>
                <w:iCs w:val="0"/>
                <w:sz w:val="24"/>
                <w:szCs w:val="24"/>
                <w:lang w:val="en-GB"/>
              </w:rPr>
              <w:t>Local licensing, food hygiene, and employment law shape culture; ethics reinforced through trust and accountability (Spencer &amp; Waring, 2019).</w:t>
            </w:r>
          </w:p>
        </w:tc>
      </w:tr>
      <w:tr w:rsidR="20EC61F5" w:rsidTr="20EC61F5" w14:paraId="1BE2B31F">
        <w:trPr>
          <w:trHeight w:val="300"/>
        </w:trPr>
        <w:tc>
          <w:tcPr>
            <w:tcW w:w="3000" w:type="dxa"/>
            <w:tcMar>
              <w:left w:w="105" w:type="dxa"/>
              <w:right w:w="105" w:type="dxa"/>
            </w:tcMar>
            <w:vAlign w:val="top"/>
          </w:tcPr>
          <w:p w:rsidR="20EC61F5" w:rsidP="20EC61F5" w:rsidRDefault="20EC61F5" w14:paraId="26E0ED73" w14:textId="073D708F">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1"/>
                <w:bCs w:val="1"/>
                <w:i w:val="0"/>
                <w:iCs w:val="0"/>
                <w:sz w:val="24"/>
                <w:szCs w:val="24"/>
                <w:lang w:val="en-GB"/>
              </w:rPr>
              <w:t>Environmental</w:t>
            </w:r>
          </w:p>
        </w:tc>
        <w:tc>
          <w:tcPr>
            <w:tcW w:w="3000" w:type="dxa"/>
            <w:tcMar>
              <w:left w:w="105" w:type="dxa"/>
              <w:right w:w="105" w:type="dxa"/>
            </w:tcMar>
            <w:vAlign w:val="top"/>
          </w:tcPr>
          <w:p w:rsidR="20EC61F5" w:rsidP="20EC61F5" w:rsidRDefault="20EC61F5" w14:paraId="39B28DE8" w14:textId="17B999FD">
            <w:pPr>
              <w:bidi w:val="0"/>
              <w:spacing w:before="0" w:beforeAutospacing="off" w:after="0" w:afterAutospacing="off"/>
              <w:rPr>
                <w:rFonts w:ascii="Aptos" w:hAnsi="Aptos" w:eastAsia="Aptos" w:cs="Aptos"/>
                <w:b w:val="0"/>
                <w:bCs w:val="0"/>
                <w:i w:val="0"/>
                <w:iCs w:val="0"/>
                <w:sz w:val="24"/>
                <w:szCs w:val="24"/>
                <w:lang w:val="en-GB"/>
              </w:rPr>
            </w:pPr>
            <w:r w:rsidRPr="20EC61F5" w:rsidR="20EC61F5">
              <w:rPr>
                <w:rFonts w:ascii="Aptos" w:hAnsi="Aptos" w:eastAsia="Aptos" w:cs="Aptos"/>
                <w:b w:val="0"/>
                <w:bCs w:val="0"/>
                <w:i w:val="0"/>
                <w:iCs w:val="0"/>
                <w:sz w:val="24"/>
                <w:szCs w:val="24"/>
                <w:lang w:val="en-GB"/>
              </w:rPr>
              <w:t>Global sustainability pressures (carbon footprint, waste reduction) drive formal CSR programmes; ethics linked to corporate responsibility (Bansal &amp; Song, 2017).</w:t>
            </w:r>
          </w:p>
        </w:tc>
        <w:tc>
          <w:tcPr>
            <w:tcW w:w="3000" w:type="dxa"/>
            <w:tcMar>
              <w:left w:w="105" w:type="dxa"/>
              <w:right w:w="105" w:type="dxa"/>
            </w:tcMar>
            <w:vAlign w:val="top"/>
          </w:tcPr>
          <w:p w:rsidR="20EC61F5" w:rsidP="20EC61F5" w:rsidRDefault="20EC61F5" w14:paraId="21E598A5" w14:textId="5BDB9047">
            <w:pPr>
              <w:bidi w:val="0"/>
              <w:rPr>
                <w:rFonts w:ascii="Aptos" w:hAnsi="Aptos" w:eastAsia="Aptos" w:cs="Aptos"/>
                <w:b w:val="0"/>
                <w:bCs w:val="0"/>
                <w:i w:val="0"/>
                <w:iCs w:val="0"/>
                <w:sz w:val="24"/>
                <w:szCs w:val="24"/>
                <w:lang w:val="en-GB"/>
              </w:rPr>
            </w:pPr>
            <w:r w:rsidRPr="20EC61F5" w:rsidR="20EC61F5">
              <w:rPr>
                <w:rFonts w:ascii="Aptos" w:hAnsi="Aptos" w:eastAsia="Aptos" w:cs="Aptos"/>
                <w:b w:val="0"/>
                <w:bCs w:val="0"/>
                <w:i w:val="0"/>
                <w:iCs w:val="0"/>
                <w:sz w:val="24"/>
                <w:szCs w:val="24"/>
                <w:lang w:val="en-GB"/>
              </w:rPr>
              <w:t>Local sourcing and waste management practices influence culture; ethics shaped by community sustainability values (Jones et al., 2016).</w:t>
            </w:r>
          </w:p>
        </w:tc>
      </w:tr>
    </w:tbl>
    <w:p xmlns:wp14="http://schemas.microsoft.com/office/word/2010/wordml" w:rsidP="20EC61F5" wp14:paraId="563256A1" wp14:textId="4D9F0F41">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0EC61F5" wp14:paraId="0BC12DC1" wp14:textId="47D4C93E">
      <w:pPr>
        <w:pStyle w:val="Heading3"/>
        <w:keepNext w:val="1"/>
        <w:keepLines w:val="1"/>
        <w:bidi w:val="0"/>
        <w:spacing w:before="160" w:after="80"/>
        <w:rPr>
          <w:rFonts w:ascii="Aptos" w:hAnsi="Aptos" w:eastAsia="Aptos" w:cs="Aptos"/>
          <w:b w:val="0"/>
          <w:bCs w:val="0"/>
          <w:i w:val="0"/>
          <w:iCs w:val="0"/>
          <w:caps w:val="0"/>
          <w:smallCaps w:val="0"/>
          <w:noProof w:val="0"/>
          <w:color w:val="auto"/>
          <w:sz w:val="28"/>
          <w:szCs w:val="28"/>
          <w:lang w:val="en-GB"/>
        </w:rPr>
      </w:pPr>
      <w:bookmarkStart w:name="_Toc422243814" w:id="1797997292"/>
      <w:r w:rsidRPr="20EC61F5" w:rsidR="3FBDACE5">
        <w:rPr>
          <w:rFonts w:ascii="Aptos" w:hAnsi="Aptos" w:eastAsia="Aptos" w:cs="Aptos"/>
          <w:b w:val="1"/>
          <w:bCs w:val="1"/>
          <w:i w:val="0"/>
          <w:iCs w:val="0"/>
          <w:caps w:val="0"/>
          <w:smallCaps w:val="0"/>
          <w:noProof w:val="0"/>
          <w:color w:val="auto"/>
          <w:sz w:val="28"/>
          <w:szCs w:val="28"/>
          <w:lang w:val="en-GB"/>
        </w:rPr>
        <w:t>The McKinsey 7S Framework</w:t>
      </w:r>
      <w:bookmarkEnd w:id="1797997292"/>
      <w:r w:rsidRPr="20EC61F5" w:rsidR="3FBDACE5">
        <w:rPr>
          <w:rFonts w:ascii="Aptos" w:hAnsi="Aptos" w:eastAsia="Aptos" w:cs="Aptos"/>
          <w:b w:val="1"/>
          <w:bCs w:val="1"/>
          <w:i w:val="0"/>
          <w:iCs w:val="0"/>
          <w:caps w:val="0"/>
          <w:smallCaps w:val="0"/>
          <w:noProof w:val="0"/>
          <w:color w:val="auto"/>
          <w:sz w:val="28"/>
          <w:szCs w:val="28"/>
          <w:lang w:val="en-GB"/>
        </w:rPr>
        <w:t xml:space="preserve"> </w:t>
      </w:r>
    </w:p>
    <w:p xmlns:wp14="http://schemas.microsoft.com/office/word/2010/wordml" w:rsidP="20EC61F5" wp14:paraId="1B062F5F" wp14:textId="329D0D1B">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This framework helps evaluate whether the seven elements of an organisation are aligned to support culture, ethics, and performance. </w:t>
      </w:r>
    </w:p>
    <w:p xmlns:wp14="http://schemas.microsoft.com/office/word/2010/wordml" w:rsidP="20EC61F5" wp14:paraId="64A0B9C8" wp14:textId="4B6BE127">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 xml:space="preserve">Strategy: </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Multinational chains focus on global expansion and efficiency, while small restaurants emphasise local differentiation and customer loyalty. Alignment requires strategy to match resources and market scope (Jurevicius, 2025).</w:t>
      </w:r>
    </w:p>
    <w:p xmlns:wp14="http://schemas.microsoft.com/office/word/2010/wordml" w:rsidP="20EC61F5" wp14:paraId="48C0AD1F" wp14:textId="741059F3">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 xml:space="preserve">Structure: </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Chains adopt hierarchical structures with clear reporting lines; independents use flat, flexible structures. Structure must align with strategy to avoid inefficiency (Peters &amp; Waterman, 1982).</w:t>
      </w:r>
    </w:p>
    <w:p xmlns:wp14="http://schemas.microsoft.com/office/word/2010/wordml" w:rsidP="20EC61F5" wp14:paraId="220D3A8D" wp14:textId="7C8368C1">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 xml:space="preserve">Systems: </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Large chains rely on formal systems (compliance, audits, IT platforms), while independents depend on informal routines and direct communication. Systems should reinforce consistency and trust (Harvey, 2020).</w:t>
      </w:r>
    </w:p>
    <w:p xmlns:wp14="http://schemas.microsoft.com/office/word/2010/wordml" w:rsidP="20EC61F5" wp14:paraId="0B949CD2" wp14:textId="5AA6FF90">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 xml:space="preserve">Shared Values: </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Chains emphasise brand standards and corporate responsibility; independents value community, creativity, and loyalty. Shared values guide ethical behaviour and cohesion (Tracey &amp; Blood, 2012).</w:t>
      </w:r>
    </w:p>
    <w:p xmlns:wp14="http://schemas.microsoft.com/office/word/2010/wordml" w:rsidP="20EC61F5" wp14:paraId="516B509A" wp14:textId="6BD18E93">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 xml:space="preserve">Style: </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Leadership in chains is formal and managerial; in independents, it is participative and hands-on. Style must reflect values and support staff engagement (Mintzberg, 1993).</w:t>
      </w:r>
    </w:p>
    <w:p xmlns:wp14="http://schemas.microsoft.com/office/word/2010/wordml" w:rsidP="20EC61F5" wp14:paraId="261A7F05" wp14:textId="04DA4B98">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 xml:space="preserve">Staff: </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Chains employ diverse, specialised staff with formal training; independents rely on multi-skilled staff with strong interpersonal ties. Staff alignment ensures capability matches organisational needs (Barney, 1991).</w:t>
      </w:r>
    </w:p>
    <w:p xmlns:wp14="http://schemas.microsoft.com/office/word/2010/wordml" w:rsidP="20EC61F5" wp14:paraId="6DD8528B" wp14:textId="780CB3A6">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 xml:space="preserve">Skills: </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Chains emphasise technical, managerial, and compliance skills; independents focus on customer service, adaptability, and creativity. Skills must align with strategy and values to sustain performance (Grant, 2019).</w:t>
      </w:r>
    </w:p>
    <w:p xmlns:wp14="http://schemas.microsoft.com/office/word/2010/wordml" w:rsidP="20EC61F5" wp14:paraId="24701ABE" wp14:textId="52DB5F0D">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This evaluation shows that alignment across the 7S elements is critical. Large chains rely on formal systems and structures, while small restaurants depend on flexibility and shared values. Both must ensure strategy, staff and skills are consistent with their organisational climate.</w:t>
      </w:r>
    </w:p>
    <w:p xmlns:wp14="http://schemas.microsoft.com/office/word/2010/wordml" w:rsidP="20EC61F5" wp14:paraId="02D82AF0" wp14:textId="10D49355">
      <w:pPr>
        <w:pStyle w:val="Heading2"/>
        <w:keepNext w:val="1"/>
        <w:keepLines w:val="1"/>
        <w:bidi w:val="0"/>
        <w:spacing w:before="240" w:beforeAutospacing="off" w:after="240" w:afterAutospacing="off"/>
        <w:ind w:left="0"/>
        <w:rPr>
          <w:rFonts w:ascii="Aptos Display" w:hAnsi="Aptos Display" w:eastAsia="Aptos Display" w:cs="Aptos Display"/>
          <w:b w:val="0"/>
          <w:bCs w:val="0"/>
          <w:i w:val="0"/>
          <w:iCs w:val="0"/>
          <w:caps w:val="0"/>
          <w:smallCaps w:val="0"/>
          <w:noProof w:val="0"/>
          <w:color w:val="auto"/>
          <w:sz w:val="32"/>
          <w:szCs w:val="32"/>
          <w:lang w:val="en-GB"/>
        </w:rPr>
      </w:pPr>
      <w:bookmarkStart w:name="_Toc609866157" w:id="270370239"/>
      <w:r w:rsidRPr="20EC61F5" w:rsidR="3FBDACE5">
        <w:rPr>
          <w:rFonts w:ascii="Aptos Display" w:hAnsi="Aptos Display" w:eastAsia="Aptos Display" w:cs="Aptos Display"/>
          <w:b w:val="1"/>
          <w:bCs w:val="1"/>
          <w:i w:val="0"/>
          <w:iCs w:val="0"/>
          <w:caps w:val="0"/>
          <w:smallCaps w:val="0"/>
          <w:strike w:val="0"/>
          <w:dstrike w:val="0"/>
          <w:noProof w:val="0"/>
          <w:color w:val="auto"/>
          <w:sz w:val="32"/>
          <w:szCs w:val="32"/>
          <w:u w:val="single"/>
          <w:lang w:val="en-GB"/>
        </w:rPr>
        <w:t>Ethics &amp; Ethical Behaviour</w:t>
      </w:r>
      <w:bookmarkEnd w:id="270370239"/>
    </w:p>
    <w:p xmlns:wp14="http://schemas.microsoft.com/office/word/2010/wordml" w:rsidP="20EC61F5" wp14:paraId="239E5AE4" wp14:textId="3C803A9D">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Ethical behaviour in organisations refers to actions and decisions that align with moral principles, fairness and integrity, guiding how employees and leaders interact with stakeholders. Ethical behaviour involves acting responsibly, respecting others and ensuring decisions are consistent with organisational values and societal expectations. It underpins trust, reputation, and long-term success (Ferrell et al., 2019). In practice, this includes honesty, fairness in treatment, compliance with laws and accountability for outcomes (Crane &amp; Matten, 2016).</w:t>
      </w:r>
    </w:p>
    <w:p xmlns:wp14="http://schemas.microsoft.com/office/word/2010/wordml" w:rsidP="20EC61F5" wp14:paraId="43ECA8E4" wp14:textId="40D5EC9B">
      <w:pPr>
        <w:bidi w:val="0"/>
        <w:rPr>
          <w:rFonts w:ascii="Aptos" w:hAnsi="Aptos" w:eastAsia="Aptos" w:cs="Aptos"/>
          <w:b w:val="0"/>
          <w:bCs w:val="0"/>
          <w:i w:val="0"/>
          <w:iCs w:val="0"/>
          <w:caps w:val="0"/>
          <w:smallCaps w:val="0"/>
          <w:noProof w:val="0"/>
          <w:color w:val="000000" w:themeColor="text1" w:themeTint="FF" w:themeShade="FF"/>
          <w:sz w:val="28"/>
          <w:szCs w:val="28"/>
          <w:lang w:val="en-GB"/>
        </w:rPr>
      </w:pPr>
      <w:r w:rsidRPr="20EC61F5" w:rsidR="3FBDACE5">
        <w:rPr>
          <w:rFonts w:ascii="Aptos" w:hAnsi="Aptos" w:eastAsia="Aptos" w:cs="Aptos"/>
          <w:b w:val="1"/>
          <w:bCs w:val="1"/>
          <w:i w:val="0"/>
          <w:iCs w:val="0"/>
          <w:caps w:val="0"/>
          <w:smallCaps w:val="0"/>
          <w:noProof w:val="0"/>
          <w:color w:val="000000" w:themeColor="text1" w:themeTint="FF" w:themeShade="FF"/>
          <w:sz w:val="28"/>
          <w:szCs w:val="28"/>
          <w:lang w:val="en-GB"/>
        </w:rPr>
        <w:t>Consequentialist and Non-consequentialist Perspective</w:t>
      </w:r>
    </w:p>
    <w:p xmlns:wp14="http://schemas.microsoft.com/office/word/2010/wordml" w:rsidP="20EC61F5" wp14:paraId="4A0DD66C" wp14:textId="46987458">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From a consequentialist view, the morality of an action is judged by its outcomes. In organisations, decisions are considered ethical if they maximise positive results, such as profitability, stakeholder satisfaction, or social good (EBSCO, 2024). </w:t>
      </w:r>
    </w:p>
    <w:p xmlns:wp14="http://schemas.microsoft.com/office/word/2010/wordml" w:rsidP="20EC61F5" wp14:paraId="6455D0D0" wp14:textId="0B3132FC">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A</w:t>
      </w: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 xml:space="preserve"> </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non-consequentialist view argues that actions are ethical based on duties, principles, or intentions, regardless of outcomes. In organisational settings, this means following rules, respecting rights, and acting with integrity even if results are less favourable (Kamm, 2007). Deontological ethics, for example, emphasises obligations such as honesty and fairness over profit-driven outcomes (Gustafson, 2018).</w:t>
      </w:r>
    </w:p>
    <w:p xmlns:wp14="http://schemas.microsoft.com/office/word/2010/wordml" w:rsidP="20EC61F5" wp14:paraId="01CBAF34" wp14:textId="1BACD4E9">
      <w:pPr>
        <w:bidi w:val="0"/>
        <w:spacing w:before="240" w:beforeAutospacing="off" w:after="240" w:afterAutospacing="off"/>
        <w:rPr>
          <w:rFonts w:ascii="Aptos Display" w:hAnsi="Aptos Display" w:eastAsia="Aptos Display" w:cs="Aptos Display"/>
          <w:b w:val="0"/>
          <w:bCs w:val="0"/>
          <w:i w:val="0"/>
          <w:iCs w:val="0"/>
          <w:caps w:val="0"/>
          <w:smallCaps w:val="0"/>
          <w:noProof w:val="0"/>
          <w:color w:val="000000" w:themeColor="text1" w:themeTint="FF" w:themeShade="FF"/>
          <w:sz w:val="28"/>
          <w:szCs w:val="28"/>
          <w:lang w:val="en-GB"/>
        </w:rPr>
      </w:pPr>
      <w:r w:rsidRPr="20EC61F5" w:rsidR="3FBDACE5">
        <w:rPr>
          <w:rFonts w:ascii="Aptos Display" w:hAnsi="Aptos Display" w:eastAsia="Aptos Display" w:cs="Aptos Display"/>
          <w:b w:val="1"/>
          <w:bCs w:val="1"/>
          <w:i w:val="0"/>
          <w:iCs w:val="0"/>
          <w:caps w:val="0"/>
          <w:smallCaps w:val="0"/>
          <w:noProof w:val="0"/>
          <w:color w:val="000000" w:themeColor="text1" w:themeTint="FF" w:themeShade="FF"/>
          <w:sz w:val="28"/>
          <w:szCs w:val="28"/>
          <w:lang w:val="en-GB"/>
        </w:rPr>
        <w:t>Factors Shaping Ethical Behaviour</w:t>
      </w:r>
    </w:p>
    <w:p xmlns:wp14="http://schemas.microsoft.com/office/word/2010/wordml" w:rsidP="20EC61F5" wp14:paraId="35777C93" wp14:textId="78B9F2B7">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 xml:space="preserve">Leadership Style - </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Leadership strongly influences ethical behaviour. Transformational and participative leaders foster integrity and accountability, while authoritarian styles may prioritise compliance over values (Brown &amp; Treviño, 2006).</w:t>
      </w:r>
    </w:p>
    <w:p xmlns:wp14="http://schemas.microsoft.com/office/word/2010/wordml" w:rsidP="20EC61F5" wp14:paraId="1B015954" wp14:textId="3EB3A2B4">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 xml:space="preserve">Organisational Values and Attitudes - </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Shared values and cultural attitudes guide decision-making. Organisations with strong ethical climates embed fairness, responsibility, and respect into daily practices.</w:t>
      </w:r>
    </w:p>
    <w:p xmlns:wp14="http://schemas.microsoft.com/office/word/2010/wordml" w:rsidP="20EC61F5" wp14:paraId="1F082BEB" wp14:textId="242F67F1">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 xml:space="preserve">Communication Norms - </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Transparent communication supports ethical behaviour by reducing ambiguity and encourages being open. Poor communication can lead to ethical lapses or concealment of misconduct (Christensen et al., 2011).</w:t>
      </w:r>
    </w:p>
    <w:p xmlns:wp14="http://schemas.microsoft.com/office/word/2010/wordml" w:rsidP="20EC61F5" wp14:paraId="4EB6AA53" wp14:textId="2B4CD139">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1"/>
          <w:bCs w:val="1"/>
          <w:i w:val="0"/>
          <w:iCs w:val="0"/>
          <w:caps w:val="0"/>
          <w:smallCaps w:val="0"/>
          <w:noProof w:val="0"/>
          <w:color w:val="000000" w:themeColor="text1" w:themeTint="FF" w:themeShade="FF"/>
          <w:sz w:val="24"/>
          <w:szCs w:val="24"/>
          <w:lang w:val="en-GB"/>
        </w:rPr>
        <w:t>Informal Networks -</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Trust, peer influence and advice exchanged through informal networks shape ethical behaviour beyond formal rules. These networks reinforce norms and provide guidance in ambiguous situations (Clegg et al., 2007).</w:t>
      </w:r>
    </w:p>
    <w:p xmlns:wp14="http://schemas.microsoft.com/office/word/2010/wordml" w:rsidP="20EC61F5" wp14:paraId="0D9F60FA" wp14:textId="76FB7AA5">
      <w:pPr>
        <w:pStyle w:val="Heading3"/>
        <w:keepNext w:val="1"/>
        <w:keepLines w:val="1"/>
        <w:bidi w:val="0"/>
        <w:spacing w:before="160" w:after="80"/>
        <w:rPr>
          <w:rFonts w:ascii="Aptos Display" w:hAnsi="Aptos Display" w:eastAsia="Aptos Display" w:cs="Aptos Display"/>
          <w:b w:val="0"/>
          <w:bCs w:val="0"/>
          <w:i w:val="0"/>
          <w:iCs w:val="0"/>
          <w:caps w:val="0"/>
          <w:smallCaps w:val="0"/>
          <w:noProof w:val="0"/>
          <w:color w:val="auto"/>
          <w:sz w:val="28"/>
          <w:szCs w:val="28"/>
          <w:lang w:val="en-GB"/>
        </w:rPr>
      </w:pPr>
      <w:bookmarkStart w:name="_Toc83371362" w:id="280493833"/>
      <w:r w:rsidRPr="20EC61F5" w:rsidR="3FBDACE5">
        <w:rPr>
          <w:rFonts w:ascii="Aptos Display" w:hAnsi="Aptos Display" w:eastAsia="Aptos Display" w:cs="Aptos Display"/>
          <w:b w:val="1"/>
          <w:bCs w:val="1"/>
          <w:i w:val="0"/>
          <w:iCs w:val="0"/>
          <w:caps w:val="0"/>
          <w:smallCaps w:val="0"/>
          <w:noProof w:val="0"/>
          <w:color w:val="auto"/>
          <w:sz w:val="28"/>
          <w:szCs w:val="28"/>
          <w:lang w:val="en-GB"/>
        </w:rPr>
        <w:t>Ethical Decision-Making</w:t>
      </w:r>
      <w:bookmarkEnd w:id="280493833"/>
    </w:p>
    <w:p xmlns:wp14="http://schemas.microsoft.com/office/word/2010/wordml" w:rsidP="20EC61F5" wp14:paraId="54507A64" wp14:textId="12BB27E3">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Informal relationships play a critical role in shaping ethical behaviour. They provide guidance in ambiguous situations, reinforce shared values and often determine whether employees speak up or remain silent about dilemmas (Mayer et al., 2012). Peer networks can encourage ethical conduct by modelling integrity, but they may also enable misconduct if group norms tolerate it (Treviño et al., 2006).</w:t>
      </w:r>
    </w:p>
    <w:p xmlns:wp14="http://schemas.microsoft.com/office/word/2010/wordml" w:rsidP="20EC61F5" wp14:paraId="28FA0439" wp14:textId="4F93B2E8">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In large chains, ethical dilemmas are typically handled through formal codes of conduct, compliance systems and monitoring. Informal networks exist but are secondary, often used for peer support or navigating complex procedures. Ethical choices are influenced by hierarchical authority and structured reporting, with informal advice helping employees interpret rules in practice (Kaptein, 2011). In small restaurants, ethical dilemmas are often resolved through informal relationships. Trust, loyalty and peer influence dominate, with staff relying on daily collaboration and shared responsibility. Ethical choices are shaped by personal relationships and community values rather than formal codes. Informal networks provide flexibility and quick resolution, but they may lack consistency compared to formal systems (Valentine &amp; Barnett, 2007). In large chains, ethical dilemmas are handled formally, with informal networks offering interpretation and support. In small restaurants, ethical dilemmas resolved informally, with trust and peer influence guiding choices.</w:t>
      </w:r>
    </w:p>
    <w:p xmlns:wp14="http://schemas.microsoft.com/office/word/2010/wordml" w:rsidP="20EC61F5" wp14:paraId="7C0B116C" wp14:textId="07F2BB3F">
      <w:pPr>
        <w:pStyle w:val="Heading2"/>
        <w:keepNext w:val="1"/>
        <w:keepLines w:val="1"/>
        <w:bidi w:val="0"/>
        <w:spacing w:before="160" w:after="80"/>
        <w:rPr>
          <w:rFonts w:ascii="Aptos Display" w:hAnsi="Aptos Display" w:eastAsia="Aptos Display" w:cs="Aptos Display"/>
          <w:b w:val="0"/>
          <w:bCs w:val="0"/>
          <w:i w:val="0"/>
          <w:iCs w:val="0"/>
          <w:caps w:val="0"/>
          <w:smallCaps w:val="0"/>
          <w:noProof w:val="0"/>
          <w:color w:val="auto"/>
          <w:sz w:val="32"/>
          <w:szCs w:val="32"/>
          <w:lang w:val="en-GB"/>
        </w:rPr>
      </w:pPr>
      <w:bookmarkStart w:name="_Toc275229200" w:id="1829395287"/>
      <w:r w:rsidRPr="20EC61F5" w:rsidR="3FBDACE5">
        <w:rPr>
          <w:rFonts w:ascii="Aptos Display" w:hAnsi="Aptos Display" w:eastAsia="Aptos Display" w:cs="Aptos Display"/>
          <w:b w:val="1"/>
          <w:bCs w:val="1"/>
          <w:i w:val="0"/>
          <w:iCs w:val="0"/>
          <w:caps w:val="0"/>
          <w:smallCaps w:val="0"/>
          <w:strike w:val="0"/>
          <w:dstrike w:val="0"/>
          <w:noProof w:val="0"/>
          <w:color w:val="auto"/>
          <w:sz w:val="32"/>
          <w:szCs w:val="32"/>
          <w:u w:val="single"/>
          <w:lang w:val="en-GB"/>
        </w:rPr>
        <w:t>Developing a High-Performance Culture</w:t>
      </w:r>
      <w:bookmarkEnd w:id="1829395287"/>
    </w:p>
    <w:p xmlns:wp14="http://schemas.microsoft.com/office/word/2010/wordml" w:rsidP="20EC61F5" wp14:paraId="007704F6" wp14:textId="5D20D9A2">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Integrating ethical behaviour and trust-based informal networks are essential for building a high-performance culture. When employees act with integrity and rely on peer support, organisations strengthen collaboration, innovation and resilience. Informal networks provide guidance and reinforce shared values, complementing formal systems and helping staff navigate ethical dilemmas. Ethical climates also enhance employee commitment and reduce misconduct, directly supporting organisational performance (Sims, 1992). The strategic recommendations are to align culture with performance goals such as embedding fairness, responsibility and collaboration into everyday practices (Denison, 1990). Strengthening ethical leadership with leaders modelling integrity and encouraging open dialogue to reinforce ethical standards (Ciulla, 2004). Support informal networks by encouraging peer mentoring, trust, and advice-sharing to complement formal systems and improve adaptability (Ibarra, 1993).</w:t>
      </w:r>
    </w:p>
    <w:p xmlns:wp14="http://schemas.microsoft.com/office/word/2010/wordml" w:rsidP="20EC61F5" wp14:paraId="63CDE31B" wp14:textId="3CE64A05">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0EC61F5" wp14:paraId="4F5A70BF" wp14:textId="571893BF">
      <w:pPr>
        <w:pStyle w:val="Heading2"/>
        <w:keepNext w:val="1"/>
        <w:keepLines w:val="1"/>
        <w:bidi w:val="0"/>
        <w:spacing w:before="299" w:beforeAutospacing="off" w:after="299" w:afterAutospacing="off"/>
        <w:rPr>
          <w:rFonts w:ascii="Aptos Display" w:hAnsi="Aptos Display" w:eastAsia="Aptos Display" w:cs="Aptos Display"/>
          <w:b w:val="0"/>
          <w:bCs w:val="0"/>
          <w:i w:val="0"/>
          <w:iCs w:val="0"/>
          <w:caps w:val="0"/>
          <w:smallCaps w:val="0"/>
          <w:noProof w:val="0"/>
          <w:color w:val="auto"/>
          <w:sz w:val="32"/>
          <w:szCs w:val="32"/>
          <w:lang w:val="en-GB"/>
        </w:rPr>
      </w:pPr>
      <w:bookmarkStart w:name="_Toc744253859" w:id="526795197"/>
      <w:r w:rsidRPr="20EC61F5" w:rsidR="3FBDACE5">
        <w:rPr>
          <w:rFonts w:ascii="Aptos Display" w:hAnsi="Aptos Display" w:eastAsia="Aptos Display" w:cs="Aptos Display"/>
          <w:b w:val="1"/>
          <w:bCs w:val="1"/>
          <w:i w:val="0"/>
          <w:iCs w:val="0"/>
          <w:caps w:val="0"/>
          <w:smallCaps w:val="0"/>
          <w:strike w:val="0"/>
          <w:dstrike w:val="0"/>
          <w:noProof w:val="0"/>
          <w:color w:val="auto"/>
          <w:sz w:val="32"/>
          <w:szCs w:val="32"/>
          <w:u w:val="single"/>
          <w:lang w:val="en-GB"/>
        </w:rPr>
        <w:t>Conclusion</w:t>
      </w:r>
      <w:bookmarkEnd w:id="526795197"/>
    </w:p>
    <w:p xmlns:wp14="http://schemas.microsoft.com/office/word/2010/wordml" w:rsidP="20EC61F5" wp14:paraId="12CE1613" wp14:textId="58D8398C">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The comparison between the multinational hospitality chain and the small independent restaurant highlights how culture and ethics shape organisational success in distinct ways. The large chain's role culture relies on hierarchy, formal systems and compliance, ensuring consistency but limiting flexibility. In contrast, the restaurant’s support culture thrives on trust, teamwork and informal networks, fostering adaptability and customer loyalty (Handy, 1995). Ethical behaviour patterns differ, large organisations depend on formal codes and monitoring, while smaller ones rely on personal relationships and community values. Informal networks play a secondary role in chains but are central to independent restaurants, guiding daily collaboration and ethical choices (Kaptein, 2017). These differences stem from environmental pressures, leadership styles and strategic contexts (Johnson et al., 2017). Ultimately, both organisations demonstrate that culture and ethics are critical drivers of performance. High-performance cultures emerge when ethical leadership, shared values and trust-based networks align with strategic goals. Multinational chains can learn to integrate more relational trust, while independents can benefit from adopting light formal systems to reinforce consistency. Success depends on balancing formal structures with ethical climates and informal support systems that sustain resilience and innovation (Denison, 1990).</w:t>
      </w:r>
    </w:p>
    <w:p xmlns:wp14="http://schemas.microsoft.com/office/word/2010/wordml" w:rsidP="20EC61F5" wp14:paraId="4022D085" wp14:textId="532CFD78">
      <w:pPr>
        <w:bidi w:val="0"/>
        <w:spacing w:before="120" w:after="120" w:line="360" w:lineRule="auto"/>
        <w:rPr>
          <w:rFonts w:ascii="Aptos Display" w:hAnsi="Aptos Display" w:eastAsia="Aptos Display" w:cs="Aptos Display"/>
          <w:b w:val="0"/>
          <w:bCs w:val="0"/>
          <w:i w:val="0"/>
          <w:iCs w:val="0"/>
          <w:caps w:val="0"/>
          <w:smallCaps w:val="0"/>
          <w:noProof w:val="0"/>
          <w:color w:val="000000" w:themeColor="text1" w:themeTint="FF" w:themeShade="FF"/>
          <w:sz w:val="22"/>
          <w:szCs w:val="22"/>
          <w:lang w:val="en-GB"/>
        </w:rPr>
      </w:pPr>
    </w:p>
    <w:p xmlns:wp14="http://schemas.microsoft.com/office/word/2010/wordml" w:rsidP="20EC61F5" wp14:paraId="44051FD2" wp14:textId="1B51C3D0">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xmlns:wp14="http://schemas.microsoft.com/office/word/2010/wordml" w:rsidP="20EC61F5" wp14:paraId="14BD2F3E" wp14:textId="69A63050">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xmlns:wp14="http://schemas.microsoft.com/office/word/2010/wordml" w:rsidP="20EC61F5" wp14:paraId="50ED44E2" wp14:textId="3B9F2046">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xmlns:wp14="http://schemas.microsoft.com/office/word/2010/wordml" w:rsidP="20EC61F5" wp14:paraId="1639C1A5" wp14:textId="25C62F4F">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xmlns:wp14="http://schemas.microsoft.com/office/word/2010/wordml" w:rsidP="20EC61F5" wp14:paraId="325AEE17" wp14:textId="5E5019CC">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xmlns:wp14="http://schemas.microsoft.com/office/word/2010/wordml" w:rsidP="20EC61F5" wp14:paraId="07D59BBF" wp14:textId="341DA996">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xmlns:wp14="http://schemas.microsoft.com/office/word/2010/wordml" w:rsidP="20EC61F5" wp14:paraId="71F256F3" wp14:textId="12130908">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xmlns:wp14="http://schemas.microsoft.com/office/word/2010/wordml" w:rsidP="20EC61F5" wp14:paraId="6F8194D4" wp14:textId="1CB64FC6">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xmlns:wp14="http://schemas.microsoft.com/office/word/2010/wordml" w:rsidP="20EC61F5" wp14:paraId="7B0B90D0" wp14:textId="17ECF8B5">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xmlns:wp14="http://schemas.microsoft.com/office/word/2010/wordml" w:rsidP="20EC61F5" wp14:paraId="0AAF0836" wp14:textId="4227C9C5">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xmlns:wp14="http://schemas.microsoft.com/office/word/2010/wordml" w:rsidP="20EC61F5" wp14:paraId="4D3B0D5E" wp14:textId="316A592E">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xmlns:wp14="http://schemas.microsoft.com/office/word/2010/wordml" w:rsidP="20EC61F5" wp14:paraId="08E4670A" wp14:textId="481EA6B1">
      <w:pPr>
        <w:pStyle w:val="Heading1"/>
        <w:bidi w:val="0"/>
        <w:rPr>
          <w:rFonts w:ascii="Aptos Display" w:hAnsi="Aptos Display" w:eastAsia="Aptos Display" w:cs="Aptos Display"/>
          <w:b w:val="0"/>
          <w:bCs w:val="0"/>
          <w:i w:val="0"/>
          <w:iCs w:val="0"/>
          <w:caps w:val="0"/>
          <w:smallCaps w:val="0"/>
          <w:noProof w:val="0"/>
          <w:color w:val="auto"/>
          <w:sz w:val="32"/>
          <w:szCs w:val="32"/>
          <w:lang w:val="en-GB"/>
        </w:rPr>
      </w:pPr>
      <w:bookmarkStart w:name="_Toc768691518" w:id="143099765"/>
      <w:r w:rsidRPr="20EC61F5" w:rsidR="3FBDACE5">
        <w:rPr>
          <w:rFonts w:ascii="Aptos Display" w:hAnsi="Aptos Display" w:eastAsia="Aptos Display" w:cs="Aptos Display"/>
          <w:b w:val="1"/>
          <w:bCs w:val="1"/>
          <w:i w:val="0"/>
          <w:iCs w:val="0"/>
          <w:caps w:val="0"/>
          <w:smallCaps w:val="0"/>
          <w:strike w:val="0"/>
          <w:dstrike w:val="0"/>
          <w:noProof w:val="0"/>
          <w:color w:val="auto"/>
          <w:sz w:val="32"/>
          <w:szCs w:val="32"/>
          <w:u w:val="single"/>
          <w:lang w:val="en-GB"/>
        </w:rPr>
        <w:t>References</w:t>
      </w:r>
      <w:bookmarkEnd w:id="143099765"/>
    </w:p>
    <w:p xmlns:wp14="http://schemas.microsoft.com/office/word/2010/wordml" w:rsidP="20EC61F5" wp14:paraId="09DF4815" wp14:textId="60F2C44F">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Aguilar, F. J. (1967).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Scanning the business environment</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Macmillan.</w:t>
      </w:r>
    </w:p>
    <w:p xmlns:wp14="http://schemas.microsoft.com/office/word/2010/wordml" w:rsidP="20EC61F5" wp14:paraId="758DD7D2" wp14:textId="20A67A93">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Alvesson, M. (2012).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Understanding organisational culture</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(2nd ed.). SAGE Publications.</w:t>
      </w:r>
    </w:p>
    <w:p xmlns:wp14="http://schemas.microsoft.com/office/word/2010/wordml" w:rsidP="20EC61F5" wp14:paraId="3121E2F6" wp14:textId="798406D2">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Bansal, P., &amp; Song, H. C. (2017). Similar but different: Corporate sustainability across industries.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Academy of Management Annals, 11</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(1), 1–48</w:t>
      </w:r>
    </w:p>
    <w:p xmlns:wp14="http://schemas.microsoft.com/office/word/2010/wordml" w:rsidP="20EC61F5" wp14:paraId="31A6A1BD" wp14:textId="6F32A63F">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Barney, J. B. (1991). Firm resources and sustained competitive advantage.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Journal of Management, 17</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(1), 99–120.</w:t>
      </w:r>
    </w:p>
    <w:p xmlns:wp14="http://schemas.microsoft.com/office/word/2010/wordml" w:rsidP="20EC61F5" wp14:paraId="31C1FD28" wp14:textId="7195AA63">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Brown, M. E., &amp; Treviño, L. K. (2006). Ethical leadership: A review and future directions.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The Leadership Quarterly, 17</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(6), 595–616</w:t>
      </w:r>
    </w:p>
    <w:p xmlns:wp14="http://schemas.microsoft.com/office/word/2010/wordml" w:rsidP="20EC61F5" wp14:paraId="01A95257" wp14:textId="3C23F84B">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Butterfield, K. D., Treviño, L. K., &amp; McCabe, D. L. (1998). The ethical context in organizations: Influences on employee attitudes and behaviours.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Business Ethics Quarterly, 8</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(3), 447–476.</w:t>
      </w:r>
    </w:p>
    <w:p xmlns:wp14="http://schemas.microsoft.com/office/word/2010/wordml" w:rsidP="20EC61F5" wp14:paraId="086CAE03" wp14:textId="2806407D">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Cameron, K. S., &amp; Quinn, R. E. (2011).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Diagnosing and changing organisational culture: Based on the competing values framework</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(3rd ed.)</w:t>
      </w:r>
    </w:p>
    <w:p xmlns:wp14="http://schemas.microsoft.com/office/word/2010/wordml" w:rsidP="20EC61F5" wp14:paraId="2C5BCB10" wp14:textId="31F6597E">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Chaffey, D., &amp; Ellis-Chadwick, F. (2019).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Digital marketing</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(7th ed.). Pearson Education.</w:t>
      </w:r>
    </w:p>
    <w:p xmlns:wp14="http://schemas.microsoft.com/office/word/2010/wordml" w:rsidP="20EC61F5" wp14:paraId="4A54CC64" wp14:textId="368377C8">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Christensen, L. T., Morsing, M., &amp; Cheney, G. (2011).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Corporate communications: Convention, complexity, and critique</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SAGE Publications.</w:t>
      </w:r>
    </w:p>
    <w:p xmlns:wp14="http://schemas.microsoft.com/office/word/2010/wordml" w:rsidP="20EC61F5" wp14:paraId="5B4B4A69" wp14:textId="50A14EDF">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Ciulla, J. B. (2004).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Ethics, the heart of leadership</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(2nd ed.). Praeger.</w:t>
      </w:r>
    </w:p>
    <w:p xmlns:wp14="http://schemas.microsoft.com/office/word/2010/wordml" w:rsidP="20EC61F5" wp14:paraId="125BE2BB" wp14:textId="746A9D22">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Clegg, S., Kornberger, M., &amp; Pitsis, T. (2007).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Managing and organizations: An introduction to theory and practice</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SAGE Publications.</w:t>
      </w:r>
    </w:p>
    <w:p xmlns:wp14="http://schemas.microsoft.com/office/word/2010/wordml" w:rsidP="20EC61F5" wp14:paraId="70D96188" wp14:textId="4334A9AF">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Crane, A., &amp; Matten, D. (2016).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Business ethics: Managing corporate citizenship and sustainability in the age of globalization</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(4th ed.). Oxford University Press</w:t>
      </w:r>
    </w:p>
    <w:p xmlns:wp14="http://schemas.microsoft.com/office/word/2010/wordml" w:rsidP="20EC61F5" wp14:paraId="2722ADFE" wp14:textId="4464D2F2">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Cross, R., &amp; Parker, A. (2004).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The hidden power of social networks: Understanding how work really gets done in organisations</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Harvard Business School Press.</w:t>
      </w:r>
    </w:p>
    <w:p xmlns:wp14="http://schemas.microsoft.com/office/word/2010/wordml" w:rsidP="20EC61F5" wp14:paraId="3344A5C1" wp14:textId="35688E3E">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Deal, T. E., &amp; Kennedy, A. A. (2000).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Corporate cultures: The rites and rituals of corporate life</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Perseus Publishing</w:t>
      </w:r>
    </w:p>
    <w:p xmlns:wp14="http://schemas.microsoft.com/office/word/2010/wordml" w:rsidP="20EC61F5" wp14:paraId="6D9F3C15" wp14:textId="6860C1B5">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Denison, D. R. (1990).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Corporate culture and organizational effectiveness</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Wiley.</w:t>
      </w:r>
    </w:p>
    <w:p xmlns:wp14="http://schemas.microsoft.com/office/word/2010/wordml" w:rsidP="20EC61F5" wp14:paraId="05057DA5" wp14:textId="69BD9879">
      <w:pPr>
        <w:keepNext w:val="1"/>
        <w:keepLines w:val="1"/>
        <w:widowControl w:val="0"/>
        <w:bidi w:val="0"/>
        <w:spacing w:before="240" w:beforeAutospacing="off" w:after="240" w:afterAutospacing="off"/>
        <w:ind w:left="0"/>
        <w:contextualSpacing/>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EBSCO. (2024). Consequentialism (ethics).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Research Starters</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Retrieved from </w:t>
      </w:r>
      <w:hyperlink r:id="R5d9c775f98624fdf">
        <w:r w:rsidRPr="20EC61F5" w:rsidR="3FBDACE5">
          <w:rPr>
            <w:rStyle w:val="Hyperlink"/>
            <w:rFonts w:ascii="Aptos" w:hAnsi="Aptos" w:eastAsia="Aptos" w:cs="Aptos"/>
            <w:b w:val="0"/>
            <w:bCs w:val="0"/>
            <w:i w:val="0"/>
            <w:iCs w:val="0"/>
            <w:caps w:val="0"/>
            <w:smallCaps w:val="0"/>
            <w:strike w:val="0"/>
            <w:dstrike w:val="0"/>
            <w:noProof w:val="0"/>
            <w:sz w:val="24"/>
            <w:szCs w:val="24"/>
            <w:lang w:val="en-GB"/>
          </w:rPr>
          <w:t>https://www.ebsco.com/research-starters/religion-and-philosophy/consequentialism-ethics</w:t>
        </w:r>
      </w:hyperlink>
    </w:p>
    <w:p xmlns:wp14="http://schemas.microsoft.com/office/word/2010/wordml" w:rsidP="20EC61F5" wp14:paraId="53B99304" wp14:textId="3817C8A5">
      <w:pPr>
        <w:bidi w:val="0"/>
        <w:spacing w:before="240" w:beforeAutospacing="off" w:after="240" w:afterAutospacing="off"/>
        <w:ind w:left="0"/>
        <w:contextualSpacing/>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Ferrell, O. C., Fraedrich, J., &amp; Ferrell, L. (2019).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Business ethics: Ethical decision making and cases</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(12th ed.). Cengage Learning.</w:t>
      </w:r>
    </w:p>
    <w:p xmlns:wp14="http://schemas.microsoft.com/office/word/2010/wordml" w:rsidP="20EC61F5" wp14:paraId="4B03DE07" wp14:textId="00D2D052">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Grant, R. M. (2019).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Contemporary strategy analysis</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(10th ed.). Wiley.</w:t>
      </w:r>
    </w:p>
    <w:p xmlns:wp14="http://schemas.microsoft.com/office/word/2010/wordml" w:rsidP="20EC61F5" wp14:paraId="634F44CC" wp14:textId="6B3713C8">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Gustafson, A. (2018). Consequentialism and non-consequentialism. In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The Routledge Companion to Business Ethics</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(pp. 17–32). Routledge.</w:t>
      </w:r>
    </w:p>
    <w:p xmlns:wp14="http://schemas.microsoft.com/office/word/2010/wordml" w:rsidP="20EC61F5" wp14:paraId="70519B61" wp14:textId="0B3646F6">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Handy, C. (1995).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The age of unreason</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(2nd ed.). Arrow Books.</w:t>
      </w:r>
    </w:p>
    <w:p xmlns:wp14="http://schemas.microsoft.com/office/word/2010/wordml" w:rsidP="20EC61F5" wp14:paraId="4ED826C4" wp14:textId="616D2BCD">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Harvey, M. (2020). McKinsey 7S framework of hotel industry.</w:t>
      </w:r>
    </w:p>
    <w:p xmlns:wp14="http://schemas.microsoft.com/office/word/2010/wordml" w:rsidP="20EC61F5" wp14:paraId="6A5CE37D" wp14:textId="4C3D8D9F">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Hatch, M. J., &amp; Cunliffe, A. L. (2013).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Organisation theory: Modern, symbolic, and postmodern perspectives</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(3rd ed.). Oxford University Press.</w:t>
      </w:r>
    </w:p>
    <w:p xmlns:wp14="http://schemas.microsoft.com/office/word/2010/wordml" w:rsidP="20EC61F5" wp14:paraId="6BCBDD95" wp14:textId="1346D553">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Hill, C. W. L., Jones, G. R., &amp; Schilling, M. A. (2014).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Strategic management: Theory: An integrated approach</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(11th ed.). Cengage Learning.</w:t>
      </w:r>
    </w:p>
    <w:p xmlns:wp14="http://schemas.microsoft.com/office/word/2010/wordml" w:rsidP="20EC61F5" wp14:paraId="08BDD2B1" wp14:textId="4812DDE0">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Hofstede, G. (2001).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Culture’s consequences: Comparing values, behaviours, institutions, and organisations across nations</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(2nd ed.). SAGE Publications.</w:t>
      </w:r>
    </w:p>
    <w:p xmlns:wp14="http://schemas.microsoft.com/office/word/2010/wordml" w:rsidP="20EC61F5" wp14:paraId="107732D5" wp14:textId="50A18D10">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Hofstede, G., Hofstede, G. J., &amp; Minkov, M. (2010).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Cultures and organisations: Software of the mind</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(3rd ed.). McGraw-Hill.</w:t>
      </w:r>
    </w:p>
    <w:p xmlns:wp14="http://schemas.microsoft.com/office/word/2010/wordml" w:rsidP="20EC61F5" wp14:paraId="0A4C1510" wp14:textId="0D4B6775">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Humphrey, A. (2005). SWOT analysis.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Society of Management Review</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(Original framework developed at Stanford Research Institute in the 1960s).</w:t>
      </w:r>
    </w:p>
    <w:p xmlns:wp14="http://schemas.microsoft.com/office/word/2010/wordml" w:rsidP="20EC61F5" wp14:paraId="5277217B" wp14:textId="6458CE95">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Ibarra, H. (1993). Network centrality, power, and innovation in work teams.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Academy of Management Journal, 36</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(3), 471–501.</w:t>
      </w:r>
    </w:p>
    <w:p xmlns:wp14="http://schemas.microsoft.com/office/word/2010/wordml" w:rsidP="20EC61F5" wp14:paraId="443F6F9C" wp14:textId="5634AD7F">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Jackson, T. (2016).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International management ethics: A critical, cross-cultural perspective</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Routledge.</w:t>
      </w:r>
    </w:p>
    <w:p xmlns:wp14="http://schemas.microsoft.com/office/word/2010/wordml" w:rsidP="20EC61F5" wp14:paraId="31E2F819" wp14:textId="416A3985">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Johnson, G., &amp; Scholes, K. (1992).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Exploring corporate strategy</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Prentice Hall</w:t>
      </w:r>
    </w:p>
    <w:p xmlns:wp14="http://schemas.microsoft.com/office/word/2010/wordml" w:rsidP="20EC61F5" wp14:paraId="4B674FC9" wp14:textId="7924596B">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Johnson, G., Whittington, R., Scholes, K., Angwin, D., &amp; Regnér, P. (2017).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Exploring strategy: Text and cases</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(11th ed.). Pearson Education.</w:t>
      </w:r>
    </w:p>
    <w:p xmlns:wp14="http://schemas.microsoft.com/office/word/2010/wordml" w:rsidP="20EC61F5" wp14:paraId="37080140" wp14:textId="61BB03A3">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Jones, P., Hillier, D., &amp; Comfort, D. (2016). Sustainability in the hospitality industry: Some personal reflections.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International Journal of Contemporary Hospitality Management, 28</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(1), 36–67.</w:t>
      </w:r>
    </w:p>
    <w:p xmlns:wp14="http://schemas.microsoft.com/office/word/2010/wordml" w:rsidP="20EC61F5" wp14:paraId="3607BE01" wp14:textId="25970C6C">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Jurevicius, O. (2025). McKinsey 7S model explained.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Strategic Management Insight</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Retrieved from </w:t>
      </w:r>
      <w:hyperlink r:id="Rb46557fb63c04369">
        <w:r w:rsidRPr="20EC61F5" w:rsidR="3FBDACE5">
          <w:rPr>
            <w:rStyle w:val="Hyperlink"/>
            <w:rFonts w:ascii="Aptos" w:hAnsi="Aptos" w:eastAsia="Aptos" w:cs="Aptos"/>
            <w:b w:val="0"/>
            <w:bCs w:val="0"/>
            <w:i w:val="0"/>
            <w:iCs w:val="0"/>
            <w:caps w:val="0"/>
            <w:smallCaps w:val="0"/>
            <w:noProof w:val="0"/>
            <w:sz w:val="24"/>
            <w:szCs w:val="24"/>
            <w:lang w:val="en-GB"/>
          </w:rPr>
          <w:t>https://strategicmanagementinsight.com</w:t>
        </w:r>
      </w:hyperlink>
    </w:p>
    <w:p xmlns:wp14="http://schemas.microsoft.com/office/word/2010/wordml" w:rsidP="20EC61F5" wp14:paraId="53D12B8E" wp14:textId="4FD2F99A">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Kaptein, M. (2008). Developing and testing a measure for the ethical culture of organizations: The corporate ethical virtues model.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Journal of Organisational Behaviour, 29</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(7), 923–947.</w:t>
      </w:r>
    </w:p>
    <w:p xmlns:wp14="http://schemas.microsoft.com/office/word/2010/wordml" w:rsidP="20EC61F5" wp14:paraId="06441458" wp14:textId="7947DF1F">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Kamm, F. M. (2007). Non-consequentialism. In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Intricate ethics: Rights, responsibilities, and permissible harm</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(pp. 10–47). Oxford University Press.</w:t>
      </w:r>
    </w:p>
    <w:p xmlns:wp14="http://schemas.microsoft.com/office/word/2010/wordml" w:rsidP="20EC61F5" wp14:paraId="74E74B85" wp14:textId="0508D8CC">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Kotter, J. P., &amp; Heskett, J. L. (1992).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Corporate culture and performance</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0EC61F5" wp14:paraId="7C7428E9" wp14:textId="20A09E45">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Kotler, P., &amp; Keller, K. L. (2016).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Marketing management</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(15th ed.). Pearson Education.</w:t>
      </w:r>
    </w:p>
    <w:p xmlns:wp14="http://schemas.microsoft.com/office/word/2010/wordml" w:rsidP="20EC61F5" wp14:paraId="10098455" wp14:textId="6433D77E">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Krackhardt, D., &amp; Hanson, J. R. (1993). Informal networks: The company behind the chart.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Harvard Business Review, 71</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(4), 104–111.</w:t>
      </w:r>
    </w:p>
    <w:p xmlns:wp14="http://schemas.microsoft.com/office/word/2010/wordml" w:rsidP="20EC61F5" wp14:paraId="6984C6C2" wp14:textId="4408CB77">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Mayer, D. M., Kuenzi, M., &amp; Greenbaum, R. L. (2012). Examining the link between ethical leadership and employee misconduct: The mediating role of ethical climate.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Journal of Business Ethics, 105</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(1), 7–16.</w:t>
      </w:r>
    </w:p>
    <w:p xmlns:wp14="http://schemas.microsoft.com/office/word/2010/wordml" w:rsidP="20EC61F5" wp14:paraId="10405263" wp14:textId="49AB6495">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Mintzberg, H. (1993).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Structure in fives: Designing effective organisations</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Prentice Hall.</w:t>
      </w:r>
    </w:p>
    <w:p xmlns:wp14="http://schemas.microsoft.com/office/word/2010/wordml" w:rsidP="20EC61F5" wp14:paraId="600F4CF9" wp14:textId="18C136E2">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Peters, T. J., &amp; Waterman, R. H. (1982).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In search of excellence: Lessons from America’s best-run companies</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Harper &amp; Row.</w:t>
      </w:r>
    </w:p>
    <w:p xmlns:wp14="http://schemas.microsoft.com/office/word/2010/wordml" w:rsidP="20EC61F5" wp14:paraId="79ABB2F3" wp14:textId="206B1EF1">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Porter, M. E. (2008).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Competitive strategy: Techniques for analysing industries and competitors,</w:t>
      </w:r>
    </w:p>
    <w:p xmlns:wp14="http://schemas.microsoft.com/office/word/2010/wordml" w:rsidP="20EC61F5" wp14:paraId="4314FD96" wp14:textId="27359EC5">
      <w:pPr>
        <w:bidi w:val="0"/>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Schein, E. H. (2010).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Organisational culture and leadership</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(4th ed.)</w:t>
      </w:r>
    </w:p>
    <w:p xmlns:wp14="http://schemas.microsoft.com/office/word/2010/wordml" w:rsidP="20EC61F5" wp14:paraId="52544C7B" wp14:textId="28E932B8">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Schneider, B., Ehrhart, M. G., &amp; Macey, W. H. (2013). Organisational climate and culture.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Annual Review of Psychology, 64</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(1), 361–388.</w:t>
      </w:r>
    </w:p>
    <w:p xmlns:wp14="http://schemas.microsoft.com/office/word/2010/wordml" w:rsidP="20EC61F5" wp14:paraId="5831A664" wp14:textId="51229460">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Schwartz, M. S. (2013). Developing and sustaining an ethical corporate culture: The core elements.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Business Horizons, 56</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(1), 39–50.</w:t>
      </w:r>
    </w:p>
    <w:p xmlns:wp14="http://schemas.microsoft.com/office/word/2010/wordml" w:rsidP="20EC61F5" wp14:paraId="0581009C" wp14:textId="493F93BF">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Sims, R. R. (1992). The challenge of ethical behaviour in organizations.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Journal of Business Ethics, 11</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(7), 505–513.</w:t>
      </w:r>
    </w:p>
    <w:p xmlns:wp14="http://schemas.microsoft.com/office/word/2010/wordml" w:rsidP="20EC61F5" wp14:paraId="60FC6592" wp14:textId="286D2156">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Spencer, D., &amp; Waring, P. (2019).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Workplace culture and employment relations in hospitality</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Routledge.</w:t>
      </w:r>
    </w:p>
    <w:p xmlns:wp14="http://schemas.microsoft.com/office/word/2010/wordml" w:rsidP="20EC61F5" wp14:paraId="33677D2C" wp14:textId="73C8D7FF">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Tracey, J. B., &amp; Blood, B. (2012). A case study of the application of the McKinsey 7S framework.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Cornell Hospitality Report, 12</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(7), 1–15.</w:t>
      </w:r>
    </w:p>
    <w:p xmlns:wp14="http://schemas.microsoft.com/office/word/2010/wordml" w:rsidP="20EC61F5" wp14:paraId="4E9398B6" wp14:textId="728FEF08">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Treviño, L. K., Weaver, G. R., &amp; Reynolds, S. J. (2006). Behavioural ethics in organisations: A review.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Journal of Management, 32</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(6), 951–990.</w:t>
      </w:r>
    </w:p>
    <w:p xmlns:wp14="http://schemas.microsoft.com/office/word/2010/wordml" w:rsidP="20EC61F5" wp14:paraId="1C2F094A" wp14:textId="2310D0D1">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Trompenaars, F., &amp; Hampden-Turner, C. (1998).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Riding the waves of culture: Understanding diversity in global business</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 (2nd ed.). McGraw-Hill.</w:t>
      </w:r>
    </w:p>
    <w:p xmlns:wp14="http://schemas.microsoft.com/office/word/2010/wordml" w:rsidP="20EC61F5" wp14:paraId="401BF99D" wp14:textId="67A5F271">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 xml:space="preserve">Valentine, S., &amp; Barnett, T. (2007). Perceived organisational ethics and the ethical decisions of sales and marketing personnel. </w:t>
      </w:r>
      <w:r w:rsidRPr="20EC61F5" w:rsidR="3FBDACE5">
        <w:rPr>
          <w:rFonts w:ascii="Aptos" w:hAnsi="Aptos" w:eastAsia="Aptos" w:cs="Aptos"/>
          <w:b w:val="0"/>
          <w:bCs w:val="0"/>
          <w:i w:val="1"/>
          <w:iCs w:val="1"/>
          <w:caps w:val="0"/>
          <w:smallCaps w:val="0"/>
          <w:noProof w:val="0"/>
          <w:color w:val="000000" w:themeColor="text1" w:themeTint="FF" w:themeShade="FF"/>
          <w:sz w:val="24"/>
          <w:szCs w:val="24"/>
          <w:lang w:val="en-GB"/>
        </w:rPr>
        <w:t>Journal of Personal Selling &amp; Sales Management, 27</w:t>
      </w:r>
      <w:r w:rsidRPr="20EC61F5" w:rsidR="3FBDACE5">
        <w:rPr>
          <w:rFonts w:ascii="Aptos" w:hAnsi="Aptos" w:eastAsia="Aptos" w:cs="Aptos"/>
          <w:b w:val="0"/>
          <w:bCs w:val="0"/>
          <w:i w:val="0"/>
          <w:iCs w:val="0"/>
          <w:caps w:val="0"/>
          <w:smallCaps w:val="0"/>
          <w:noProof w:val="0"/>
          <w:color w:val="000000" w:themeColor="text1" w:themeTint="FF" w:themeShade="FF"/>
          <w:sz w:val="24"/>
          <w:szCs w:val="24"/>
          <w:lang w:val="en-GB"/>
        </w:rPr>
        <w:t>(4), 373–388.</w:t>
      </w:r>
    </w:p>
    <w:p xmlns:wp14="http://schemas.microsoft.com/office/word/2010/wordml" wp14:paraId="5E5787A5" wp14:textId="22282689"/>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61e3f5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f5ac8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14a76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f452c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7a527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567b0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426480"/>
    <w:rsid w:val="16426480"/>
    <w:rsid w:val="1B3B6842"/>
    <w:rsid w:val="20EC61F5"/>
    <w:rsid w:val="3C9111AA"/>
    <w:rsid w:val="3CA0496A"/>
    <w:rsid w:val="3FBDACE5"/>
    <w:rsid w:val="4B0A6854"/>
    <w:rsid w:val="58450F11"/>
    <w:rsid w:val="58450F11"/>
    <w:rsid w:val="5EC453F6"/>
    <w:rsid w:val="6515313B"/>
    <w:rsid w:val="76B1E5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26480"/>
  <w15:chartTrackingRefBased/>
  <w15:docId w15:val="{FEB4032E-715A-462F-92F2-622C26966B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0EC61F5"/>
    <w:pPr>
      <w:spacing/>
      <w:ind w:left="720"/>
      <w:contextualSpacing/>
    </w:pPr>
  </w:style>
  <w:style w:type="character" w:styleId="Hyperlink">
    <w:uiPriority w:val="99"/>
    <w:name w:val="Hyperlink"/>
    <w:basedOn w:val="DefaultParagraphFont"/>
    <w:unhideWhenUsed/>
    <w:rsid w:val="20EC61F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010588030" /><Relationship Type="http://schemas.openxmlformats.org/officeDocument/2006/relationships/hyperlink" Target="https://www.ebsco.com/research-starters/religion-and-philosophy/consequentialism-ethics" TargetMode="External" Id="R5d9c775f98624fdf" /><Relationship Type="http://schemas.openxmlformats.org/officeDocument/2006/relationships/hyperlink" Target="https://strategicmanagementinsight.com" TargetMode="External" Id="Rb46557fb63c04369" /><Relationship Type="http://schemas.openxmlformats.org/officeDocument/2006/relationships/numbering" Target="/word/numbering.xml" Id="Re29d96972c9f4d9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Jodie Loosmore (2320605)</dc:creator>
  <keywords/>
  <dc:description/>
  <lastModifiedBy>Jodie Loosmore (2320605)</lastModifiedBy>
  <revision>2</revision>
  <dcterms:created xsi:type="dcterms:W3CDTF">2025-11-16T15:49:47.8591933Z</dcterms:created>
  <dcterms:modified xsi:type="dcterms:W3CDTF">2025-11-16T15:56:27.0305266Z</dcterms:modified>
</coreProperties>
</file>