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017F7" w14:textId="0B622271" w:rsidR="00CF199E" w:rsidRDefault="00444FB4" w:rsidP="002C728C">
      <w:pPr>
        <w:spacing w:after="0"/>
        <w:rPr>
          <w:b/>
          <w:sz w:val="24"/>
          <w:szCs w:val="24"/>
          <w:u w:val="single"/>
        </w:rPr>
      </w:pPr>
      <w:r>
        <w:rPr>
          <w:b/>
          <w:sz w:val="24"/>
          <w:szCs w:val="24"/>
          <w:u w:val="single"/>
        </w:rPr>
        <w:t xml:space="preserve">Gobbet on </w:t>
      </w:r>
      <w:r w:rsidR="009E7415" w:rsidRPr="002C728C">
        <w:rPr>
          <w:b/>
          <w:sz w:val="24"/>
          <w:szCs w:val="24"/>
          <w:u w:val="single"/>
        </w:rPr>
        <w:t>Ausonius</w:t>
      </w:r>
      <w:r>
        <w:rPr>
          <w:b/>
          <w:sz w:val="24"/>
          <w:szCs w:val="24"/>
          <w:u w:val="single"/>
        </w:rPr>
        <w:t>’</w:t>
      </w:r>
      <w:r w:rsidR="009E7415" w:rsidRPr="002C728C">
        <w:rPr>
          <w:b/>
          <w:sz w:val="24"/>
          <w:szCs w:val="24"/>
          <w:u w:val="single"/>
        </w:rPr>
        <w:t xml:space="preserve"> </w:t>
      </w:r>
      <w:proofErr w:type="spellStart"/>
      <w:r w:rsidR="009E7415" w:rsidRPr="00444FB4">
        <w:rPr>
          <w:b/>
          <w:i/>
          <w:iCs/>
          <w:sz w:val="24"/>
          <w:szCs w:val="24"/>
          <w:u w:val="single"/>
        </w:rPr>
        <w:t>Mosella</w:t>
      </w:r>
      <w:proofErr w:type="spellEnd"/>
      <w:r w:rsidR="009E7415" w:rsidRPr="002C728C">
        <w:rPr>
          <w:b/>
          <w:sz w:val="24"/>
          <w:szCs w:val="24"/>
          <w:u w:val="single"/>
        </w:rPr>
        <w:t>; Loeb translation</w:t>
      </w:r>
      <w:r w:rsidR="00373163">
        <w:rPr>
          <w:b/>
          <w:sz w:val="24"/>
          <w:szCs w:val="24"/>
          <w:u w:val="single"/>
        </w:rPr>
        <w:t xml:space="preserve"> </w:t>
      </w:r>
      <w:r w:rsidR="009E7415" w:rsidRPr="002C728C">
        <w:rPr>
          <w:b/>
          <w:sz w:val="24"/>
          <w:szCs w:val="24"/>
          <w:u w:val="single"/>
        </w:rPr>
        <w:t>(White) 438-483</w:t>
      </w:r>
    </w:p>
    <w:p w14:paraId="0583C0EC" w14:textId="2A8CD482" w:rsidR="002C728C" w:rsidRDefault="002C728C" w:rsidP="002C728C">
      <w:pPr>
        <w:spacing w:after="0"/>
        <w:rPr>
          <w:b/>
          <w:sz w:val="24"/>
          <w:szCs w:val="24"/>
          <w:u w:val="single"/>
        </w:rPr>
      </w:pPr>
    </w:p>
    <w:p w14:paraId="77C15098" w14:textId="77777777" w:rsidR="002C728C" w:rsidRPr="002C728C" w:rsidRDefault="002C728C" w:rsidP="002C728C">
      <w:pPr>
        <w:spacing w:after="0"/>
        <w:rPr>
          <w:b/>
          <w:sz w:val="24"/>
          <w:szCs w:val="24"/>
          <w:u w:val="single"/>
        </w:rPr>
      </w:pPr>
    </w:p>
    <w:p w14:paraId="15540C11" w14:textId="53B99890" w:rsidR="00CF199E" w:rsidRDefault="009E7415" w:rsidP="002C728C">
      <w:pPr>
        <w:spacing w:after="0"/>
        <w:rPr>
          <w:sz w:val="24"/>
          <w:szCs w:val="24"/>
        </w:rPr>
      </w:pPr>
      <w:r w:rsidRPr="002C728C">
        <w:rPr>
          <w:sz w:val="24"/>
          <w:szCs w:val="24"/>
        </w:rPr>
        <w:t xml:space="preserve">Decimus Magnus Ausonius’s, </w:t>
      </w:r>
      <w:r w:rsidRPr="002C728C">
        <w:rPr>
          <w:i/>
          <w:sz w:val="24"/>
          <w:szCs w:val="24"/>
        </w:rPr>
        <w:t>Mosella</w:t>
      </w:r>
      <w:r w:rsidRPr="002C728C">
        <w:rPr>
          <w:sz w:val="24"/>
          <w:szCs w:val="24"/>
        </w:rPr>
        <w:t xml:space="preserve"> is an eponymous poem of 483 hexameter verses, initially presumed to have been written between 370 and 371 AD. At that time, Ausonius was serving as the personal tutor of Gratian, the son of Emperor Valentinian I.</w:t>
      </w:r>
      <w:r w:rsidR="002C728C">
        <w:rPr>
          <w:sz w:val="24"/>
          <w:szCs w:val="24"/>
        </w:rPr>
        <w:t xml:space="preserve"> </w:t>
      </w:r>
      <w:r w:rsidRPr="002C728C">
        <w:rPr>
          <w:sz w:val="24"/>
          <w:szCs w:val="24"/>
        </w:rPr>
        <w:t>Based at Valentinian’s Court in Trier</w:t>
      </w:r>
      <w:r w:rsidR="002C728C">
        <w:rPr>
          <w:sz w:val="24"/>
          <w:szCs w:val="24"/>
        </w:rPr>
        <w:t xml:space="preserve">, </w:t>
      </w:r>
      <w:r>
        <w:rPr>
          <w:rStyle w:val="FootnoteReference"/>
          <w:sz w:val="24"/>
          <w:szCs w:val="24"/>
        </w:rPr>
        <w:footnoteReference w:id="1"/>
      </w:r>
      <w:r w:rsidRPr="002C728C">
        <w:rPr>
          <w:sz w:val="24"/>
          <w:szCs w:val="24"/>
        </w:rPr>
        <w:t xml:space="preserve"> </w:t>
      </w:r>
      <w:r w:rsidRPr="002C728C">
        <w:rPr>
          <w:sz w:val="24"/>
          <w:szCs w:val="24"/>
        </w:rPr>
        <w:t>he had recently accompanied them both during a military campaign against “the Germans”</w:t>
      </w:r>
      <w:r w:rsidR="002C728C">
        <w:rPr>
          <w:sz w:val="24"/>
          <w:szCs w:val="24"/>
        </w:rPr>
        <w:t>.</w:t>
      </w:r>
      <w:r>
        <w:rPr>
          <w:rStyle w:val="FootnoteReference"/>
          <w:sz w:val="24"/>
          <w:szCs w:val="24"/>
        </w:rPr>
        <w:footnoteReference w:id="2"/>
      </w:r>
      <w:r w:rsidR="002C728C">
        <w:rPr>
          <w:sz w:val="24"/>
          <w:szCs w:val="24"/>
        </w:rPr>
        <w:t xml:space="preserve"> </w:t>
      </w:r>
      <w:r w:rsidRPr="002C728C">
        <w:rPr>
          <w:sz w:val="24"/>
          <w:szCs w:val="24"/>
        </w:rPr>
        <w:t xml:space="preserve"> It is regarded as his “most ambitious and certainly his best work</w:t>
      </w:r>
      <w:r w:rsidR="002C728C">
        <w:rPr>
          <w:sz w:val="24"/>
          <w:szCs w:val="24"/>
        </w:rPr>
        <w:t>.</w:t>
      </w:r>
      <w:r w:rsidRPr="002C728C">
        <w:rPr>
          <w:sz w:val="24"/>
          <w:szCs w:val="24"/>
        </w:rPr>
        <w:t>”</w:t>
      </w:r>
      <w:r>
        <w:rPr>
          <w:rStyle w:val="FootnoteReference"/>
          <w:sz w:val="24"/>
          <w:szCs w:val="24"/>
        </w:rPr>
        <w:footnoteReference w:id="3"/>
      </w:r>
      <w:r w:rsidRPr="002C728C">
        <w:rPr>
          <w:sz w:val="24"/>
          <w:szCs w:val="24"/>
        </w:rPr>
        <w:t xml:space="preserve"> Aside from its literary achievements, the "reward seems to have been the honorary rank of </w:t>
      </w:r>
      <w:r w:rsidRPr="002C728C">
        <w:rPr>
          <w:i/>
          <w:sz w:val="24"/>
          <w:szCs w:val="24"/>
        </w:rPr>
        <w:t>comes</w:t>
      </w:r>
      <w:r w:rsidR="002C728C">
        <w:rPr>
          <w:i/>
          <w:sz w:val="24"/>
          <w:szCs w:val="24"/>
        </w:rPr>
        <w:t>.</w:t>
      </w:r>
      <w:r w:rsidRPr="002C728C">
        <w:rPr>
          <w:sz w:val="24"/>
          <w:szCs w:val="24"/>
        </w:rPr>
        <w:t>”</w:t>
      </w:r>
      <w:r>
        <w:rPr>
          <w:rStyle w:val="FootnoteReference"/>
          <w:sz w:val="24"/>
          <w:szCs w:val="24"/>
        </w:rPr>
        <w:footnoteReference w:id="4"/>
      </w:r>
      <w:r w:rsidRPr="002C728C">
        <w:rPr>
          <w:sz w:val="24"/>
          <w:szCs w:val="24"/>
        </w:rPr>
        <w:t xml:space="preserve">  This particular translation was done by Hugh G Evelyn White in 1919.</w:t>
      </w:r>
    </w:p>
    <w:p w14:paraId="6D261677" w14:textId="77777777" w:rsidR="002C728C" w:rsidRPr="002C728C" w:rsidRDefault="002C728C" w:rsidP="002C728C">
      <w:pPr>
        <w:spacing w:after="0"/>
        <w:rPr>
          <w:sz w:val="24"/>
          <w:szCs w:val="24"/>
        </w:rPr>
      </w:pPr>
    </w:p>
    <w:p w14:paraId="545F9788" w14:textId="2E7DADC0" w:rsidR="00CF199E" w:rsidRDefault="009E7415" w:rsidP="002C728C">
      <w:pPr>
        <w:spacing w:after="0"/>
        <w:rPr>
          <w:sz w:val="24"/>
          <w:szCs w:val="24"/>
        </w:rPr>
      </w:pPr>
      <w:r w:rsidRPr="002C728C">
        <w:rPr>
          <w:bCs/>
          <w:sz w:val="24"/>
          <w:szCs w:val="24"/>
        </w:rPr>
        <w:t>Roberts divides the poem into four sections</w:t>
      </w:r>
      <w:r w:rsidR="002C728C">
        <w:rPr>
          <w:bCs/>
          <w:sz w:val="24"/>
          <w:szCs w:val="24"/>
        </w:rPr>
        <w:t>.</w:t>
      </w:r>
      <w:r>
        <w:rPr>
          <w:rStyle w:val="FootnoteReference"/>
          <w:bCs/>
          <w:sz w:val="24"/>
          <w:szCs w:val="24"/>
        </w:rPr>
        <w:footnoteReference w:id="5"/>
      </w:r>
      <w:r w:rsidRPr="002C728C">
        <w:rPr>
          <w:bCs/>
          <w:sz w:val="24"/>
          <w:szCs w:val="24"/>
        </w:rPr>
        <w:t xml:space="preserve"> </w:t>
      </w:r>
      <w:r w:rsidRPr="002C728C">
        <w:rPr>
          <w:sz w:val="24"/>
          <w:szCs w:val="24"/>
        </w:rPr>
        <w:t xml:space="preserve"> After the introduction, which he calls an </w:t>
      </w:r>
      <w:r w:rsidRPr="002C728C">
        <w:rPr>
          <w:i/>
          <w:sz w:val="24"/>
          <w:szCs w:val="24"/>
        </w:rPr>
        <w:t>hodoeporikon</w:t>
      </w:r>
      <w:r w:rsidRPr="002C728C">
        <w:rPr>
          <w:sz w:val="24"/>
          <w:szCs w:val="24"/>
        </w:rPr>
        <w:t>, an itinerary, there are three distinctive elements: “23-51, the waters of th</w:t>
      </w:r>
      <w:r w:rsidRPr="002C728C">
        <w:rPr>
          <w:sz w:val="24"/>
          <w:szCs w:val="24"/>
        </w:rPr>
        <w:t>e Moselle; 152-348, the sights of the Moselle; and 349-483 the people of the Moselle and its fellow rivers</w:t>
      </w:r>
      <w:r w:rsidR="00297995">
        <w:rPr>
          <w:sz w:val="24"/>
          <w:szCs w:val="24"/>
        </w:rPr>
        <w:t>.</w:t>
      </w:r>
      <w:r w:rsidRPr="002C728C">
        <w:rPr>
          <w:sz w:val="24"/>
          <w:szCs w:val="24"/>
        </w:rPr>
        <w:t>”</w:t>
      </w:r>
      <w:r>
        <w:rPr>
          <w:rStyle w:val="FootnoteReference"/>
          <w:sz w:val="24"/>
          <w:szCs w:val="24"/>
        </w:rPr>
        <w:footnoteReference w:id="6"/>
      </w:r>
      <w:r w:rsidRPr="002C728C">
        <w:rPr>
          <w:sz w:val="24"/>
          <w:szCs w:val="24"/>
        </w:rPr>
        <w:t xml:space="preserve">  He superimposes a  subjective conclusion upon this delineation by concluding that the first 348 lines, while appearing to the modern audience simply as stylised tales of the riverbank, are, in fact, an exploration of a common theme, violation of boundari</w:t>
      </w:r>
      <w:r w:rsidRPr="002C728C">
        <w:rPr>
          <w:sz w:val="24"/>
          <w:szCs w:val="24"/>
        </w:rPr>
        <w:t>es</w:t>
      </w:r>
      <w:r w:rsidR="00297995">
        <w:rPr>
          <w:sz w:val="24"/>
          <w:szCs w:val="24"/>
        </w:rPr>
        <w:t>.</w:t>
      </w:r>
      <w:r>
        <w:rPr>
          <w:rStyle w:val="FootnoteReference"/>
          <w:sz w:val="24"/>
          <w:szCs w:val="24"/>
        </w:rPr>
        <w:footnoteReference w:id="7"/>
      </w:r>
      <w:r w:rsidR="00297995">
        <w:rPr>
          <w:sz w:val="24"/>
          <w:szCs w:val="24"/>
        </w:rPr>
        <w:t xml:space="preserve">  </w:t>
      </w:r>
      <w:r w:rsidRPr="002C728C">
        <w:rPr>
          <w:sz w:val="24"/>
          <w:szCs w:val="24"/>
        </w:rPr>
        <w:t>The remainder appear "to fit less comfortably into this picture</w:t>
      </w:r>
      <w:r w:rsidR="00297995">
        <w:rPr>
          <w:sz w:val="24"/>
          <w:szCs w:val="24"/>
        </w:rPr>
        <w:t>”.</w:t>
      </w:r>
      <w:r>
        <w:rPr>
          <w:rStyle w:val="FootnoteReference"/>
          <w:sz w:val="24"/>
          <w:szCs w:val="24"/>
        </w:rPr>
        <w:footnoteReference w:id="8"/>
      </w:r>
      <w:r w:rsidR="00297995">
        <w:rPr>
          <w:sz w:val="24"/>
          <w:szCs w:val="24"/>
        </w:rPr>
        <w:t xml:space="preserve"> </w:t>
      </w:r>
      <w:r w:rsidRPr="002C728C">
        <w:rPr>
          <w:sz w:val="24"/>
          <w:szCs w:val="24"/>
        </w:rPr>
        <w:t>They are not about the violation of boundaries. Instead, they become panegyric in nature and geopolitical in subject, alluding to Valentinian i's campaigns of 369-370</w:t>
      </w:r>
      <w:r w:rsidR="00297995">
        <w:rPr>
          <w:sz w:val="24"/>
          <w:szCs w:val="24"/>
        </w:rPr>
        <w:t>.</w:t>
      </w:r>
      <w:r>
        <w:rPr>
          <w:rStyle w:val="FootnoteReference"/>
          <w:sz w:val="24"/>
          <w:szCs w:val="24"/>
        </w:rPr>
        <w:footnoteReference w:id="9"/>
      </w:r>
      <w:r w:rsidRPr="002C728C">
        <w:rPr>
          <w:sz w:val="24"/>
          <w:szCs w:val="24"/>
        </w:rPr>
        <w:t xml:space="preserve"> Roberts con</w:t>
      </w:r>
      <w:r w:rsidRPr="002C728C">
        <w:rPr>
          <w:sz w:val="24"/>
          <w:szCs w:val="24"/>
        </w:rPr>
        <w:t>tests that Line 438, “haec ego Vivisca ducens ab origine gentem”</w:t>
      </w:r>
      <w:r>
        <w:rPr>
          <w:rStyle w:val="FootnoteReference"/>
          <w:sz w:val="24"/>
          <w:szCs w:val="24"/>
        </w:rPr>
        <w:footnoteReference w:id="10"/>
      </w:r>
      <w:r w:rsidRPr="002C728C">
        <w:rPr>
          <w:sz w:val="24"/>
          <w:szCs w:val="24"/>
        </w:rPr>
        <w:t xml:space="preserve"> is used by Ausonius to place his “seal on the poem</w:t>
      </w:r>
      <w:r w:rsidR="00297995">
        <w:rPr>
          <w:sz w:val="24"/>
          <w:szCs w:val="24"/>
        </w:rPr>
        <w:t>.</w:t>
      </w:r>
      <w:r w:rsidRPr="002C728C">
        <w:rPr>
          <w:sz w:val="24"/>
          <w:szCs w:val="24"/>
        </w:rPr>
        <w:t>”</w:t>
      </w:r>
      <w:r>
        <w:rPr>
          <w:rStyle w:val="FootnoteReference"/>
          <w:sz w:val="24"/>
          <w:szCs w:val="24"/>
        </w:rPr>
        <w:footnoteReference w:id="11"/>
      </w:r>
      <w:r w:rsidRPr="002C728C">
        <w:rPr>
          <w:sz w:val="24"/>
          <w:szCs w:val="24"/>
        </w:rPr>
        <w:t xml:space="preserve"> Roberts does not comment upon whether this is an intentional conclusion or a final shift in direction. Instead, he sees it as an attem</w:t>
      </w:r>
      <w:r w:rsidRPr="002C728C">
        <w:rPr>
          <w:sz w:val="24"/>
          <w:szCs w:val="24"/>
        </w:rPr>
        <w:t>pt to sell the advantages of his native Aquitaine to the more turbulent frontier zone</w:t>
      </w:r>
      <w:r w:rsidR="00297995">
        <w:rPr>
          <w:sz w:val="24"/>
          <w:szCs w:val="24"/>
        </w:rPr>
        <w:t>.</w:t>
      </w:r>
      <w:r>
        <w:rPr>
          <w:rStyle w:val="FootnoteReference"/>
          <w:sz w:val="24"/>
          <w:szCs w:val="24"/>
        </w:rPr>
        <w:footnoteReference w:id="12"/>
      </w:r>
      <w:r w:rsidRPr="002C728C">
        <w:rPr>
          <w:sz w:val="24"/>
          <w:szCs w:val="24"/>
        </w:rPr>
        <w:t xml:space="preserve"> </w:t>
      </w:r>
    </w:p>
    <w:p w14:paraId="3F657113" w14:textId="77777777" w:rsidR="002C728C" w:rsidRPr="002C728C" w:rsidRDefault="002C728C" w:rsidP="002C728C">
      <w:pPr>
        <w:spacing w:after="0"/>
        <w:rPr>
          <w:sz w:val="24"/>
          <w:szCs w:val="24"/>
        </w:rPr>
      </w:pPr>
    </w:p>
    <w:p w14:paraId="72450E73" w14:textId="0EFF8063" w:rsidR="00CF199E" w:rsidRDefault="009E7415" w:rsidP="002C728C">
      <w:pPr>
        <w:spacing w:after="0"/>
        <w:rPr>
          <w:sz w:val="24"/>
          <w:szCs w:val="24"/>
        </w:rPr>
      </w:pPr>
      <w:r w:rsidRPr="00297995">
        <w:rPr>
          <w:bCs/>
          <w:sz w:val="24"/>
          <w:szCs w:val="24"/>
        </w:rPr>
        <w:t>Lines 438-483</w:t>
      </w:r>
      <w:r w:rsidRPr="002C728C">
        <w:rPr>
          <w:sz w:val="24"/>
          <w:szCs w:val="24"/>
        </w:rPr>
        <w:t xml:space="preserve"> still encompass boundaries, although these are now vertical rather than horizontal</w:t>
      </w:r>
      <w:r w:rsidR="00297995">
        <w:rPr>
          <w:sz w:val="24"/>
          <w:szCs w:val="24"/>
        </w:rPr>
        <w:t>.</w:t>
      </w:r>
      <w:r>
        <w:rPr>
          <w:rStyle w:val="FootnoteReference"/>
          <w:sz w:val="24"/>
          <w:szCs w:val="24"/>
        </w:rPr>
        <w:footnoteReference w:id="13"/>
      </w:r>
      <w:r w:rsidRPr="002C728C">
        <w:rPr>
          <w:sz w:val="24"/>
          <w:szCs w:val="24"/>
        </w:rPr>
        <w:t xml:space="preserve">  Ausonius declares himself as a foreigner to the region, not even</w:t>
      </w:r>
      <w:r w:rsidRPr="002C728C">
        <w:rPr>
          <w:sz w:val="24"/>
          <w:szCs w:val="24"/>
        </w:rPr>
        <w:t xml:space="preserve"> a Roman by birth</w:t>
      </w:r>
      <w:r w:rsidR="00297995">
        <w:rPr>
          <w:sz w:val="24"/>
          <w:szCs w:val="24"/>
        </w:rPr>
        <w:t>,</w:t>
      </w:r>
      <w:r>
        <w:rPr>
          <w:rStyle w:val="FootnoteReference"/>
          <w:sz w:val="24"/>
          <w:szCs w:val="24"/>
        </w:rPr>
        <w:footnoteReference w:id="14"/>
      </w:r>
      <w:r w:rsidR="00297995">
        <w:rPr>
          <w:sz w:val="24"/>
          <w:szCs w:val="24"/>
        </w:rPr>
        <w:t xml:space="preserve"> </w:t>
      </w:r>
      <w:r w:rsidRPr="002C728C">
        <w:rPr>
          <w:sz w:val="24"/>
          <w:szCs w:val="24"/>
        </w:rPr>
        <w:t xml:space="preserve">and is self-deprecating about the quality of his own panegyric to the greatness of the </w:t>
      </w:r>
      <w:r w:rsidRPr="002C728C">
        <w:rPr>
          <w:sz w:val="24"/>
          <w:szCs w:val="24"/>
        </w:rPr>
        <w:lastRenderedPageBreak/>
        <w:t>Moselle, “audax exigua fide concino</w:t>
      </w:r>
      <w:r w:rsidR="00297995">
        <w:rPr>
          <w:sz w:val="24"/>
          <w:szCs w:val="24"/>
        </w:rPr>
        <w:t>.</w:t>
      </w:r>
      <w:r w:rsidRPr="002C728C">
        <w:rPr>
          <w:sz w:val="24"/>
          <w:szCs w:val="24"/>
        </w:rPr>
        <w:t>”</w:t>
      </w:r>
      <w:r>
        <w:rPr>
          <w:rStyle w:val="FootnoteReference"/>
          <w:sz w:val="24"/>
          <w:szCs w:val="24"/>
        </w:rPr>
        <w:footnoteReference w:id="15"/>
      </w:r>
      <w:r w:rsidRPr="002C728C">
        <w:rPr>
          <w:sz w:val="24"/>
          <w:szCs w:val="24"/>
        </w:rPr>
        <w:t xml:space="preserve"> Moving to his future career path and impending retirement, he says he will continue the story of the region </w:t>
      </w:r>
      <w:r w:rsidRPr="002C728C">
        <w:rPr>
          <w:sz w:val="24"/>
          <w:szCs w:val="24"/>
        </w:rPr>
        <w:t>as one of turmoil changed to peace</w:t>
      </w:r>
      <w:r w:rsidR="00297995">
        <w:rPr>
          <w:sz w:val="24"/>
          <w:szCs w:val="24"/>
        </w:rPr>
        <w:t>.</w:t>
      </w:r>
      <w:r>
        <w:rPr>
          <w:rStyle w:val="FootnoteReference"/>
          <w:sz w:val="24"/>
          <w:szCs w:val="24"/>
        </w:rPr>
        <w:footnoteReference w:id="16"/>
      </w:r>
      <w:r w:rsidRPr="002C728C">
        <w:rPr>
          <w:sz w:val="24"/>
          <w:szCs w:val="24"/>
        </w:rPr>
        <w:t xml:space="preserve">  Returning to panegyric, he then compares the Moselle to other rivers such as the Axona and Matrona, the  Aisne and the Marne.</w:t>
      </w:r>
      <w:r>
        <w:rPr>
          <w:rStyle w:val="FootnoteReference"/>
          <w:sz w:val="24"/>
          <w:szCs w:val="24"/>
        </w:rPr>
        <w:footnoteReference w:id="17"/>
      </w:r>
      <w:r w:rsidRPr="002C728C">
        <w:rPr>
          <w:sz w:val="24"/>
          <w:szCs w:val="24"/>
        </w:rPr>
        <w:t xml:space="preserve">  All it seems are inferior to the Moselle, “dominae tamen ante Mosellae</w:t>
      </w:r>
      <w:r w:rsidR="00121C84">
        <w:rPr>
          <w:sz w:val="24"/>
          <w:szCs w:val="24"/>
        </w:rPr>
        <w:t>.</w:t>
      </w:r>
      <w:r w:rsidRPr="002C728C">
        <w:rPr>
          <w:sz w:val="24"/>
          <w:szCs w:val="24"/>
        </w:rPr>
        <w:t>”</w:t>
      </w:r>
      <w:r>
        <w:rPr>
          <w:rStyle w:val="FootnoteReference"/>
          <w:sz w:val="24"/>
          <w:szCs w:val="24"/>
        </w:rPr>
        <w:footnoteReference w:id="18"/>
      </w:r>
      <w:r w:rsidRPr="002C728C">
        <w:rPr>
          <w:sz w:val="24"/>
          <w:szCs w:val="24"/>
        </w:rPr>
        <w:t xml:space="preserve">  The one cave</w:t>
      </w:r>
      <w:r w:rsidRPr="002C728C">
        <w:rPr>
          <w:sz w:val="24"/>
          <w:szCs w:val="24"/>
        </w:rPr>
        <w:t>at is the last line when Ausonius declares one river equal to the Moselle, the Garonne of his homeland</w:t>
      </w:r>
      <w:r w:rsidR="00121C84">
        <w:rPr>
          <w:sz w:val="24"/>
          <w:szCs w:val="24"/>
        </w:rPr>
        <w:t>.</w:t>
      </w:r>
      <w:r>
        <w:rPr>
          <w:rStyle w:val="FootnoteReference"/>
          <w:sz w:val="24"/>
          <w:szCs w:val="24"/>
        </w:rPr>
        <w:footnoteReference w:id="19"/>
      </w:r>
    </w:p>
    <w:p w14:paraId="2CC464DB" w14:textId="77777777" w:rsidR="002C728C" w:rsidRPr="002C728C" w:rsidRDefault="002C728C" w:rsidP="002C728C">
      <w:pPr>
        <w:spacing w:after="0"/>
        <w:rPr>
          <w:sz w:val="24"/>
          <w:szCs w:val="24"/>
        </w:rPr>
      </w:pPr>
    </w:p>
    <w:p w14:paraId="5E484E02" w14:textId="61971A07" w:rsidR="00CF199E" w:rsidRDefault="009E7415" w:rsidP="002C728C">
      <w:pPr>
        <w:spacing w:after="0"/>
        <w:rPr>
          <w:sz w:val="24"/>
          <w:szCs w:val="24"/>
        </w:rPr>
      </w:pPr>
      <w:r w:rsidRPr="00121C84">
        <w:rPr>
          <w:bCs/>
          <w:sz w:val="24"/>
          <w:szCs w:val="24"/>
        </w:rPr>
        <w:t>Some doubt surrounding the date of composition</w:t>
      </w:r>
      <w:r w:rsidRPr="002C728C">
        <w:rPr>
          <w:sz w:val="24"/>
          <w:szCs w:val="24"/>
        </w:rPr>
        <w:t xml:space="preserve"> has accentuated the importance of the last 45 lines. There are four pieces of evidence within the poem when dating it to 371</w:t>
      </w:r>
      <w:r w:rsidR="00231E70">
        <w:rPr>
          <w:sz w:val="24"/>
          <w:szCs w:val="24"/>
        </w:rPr>
        <w:t>AD</w:t>
      </w:r>
      <w:r w:rsidRPr="002C728C">
        <w:rPr>
          <w:sz w:val="24"/>
          <w:szCs w:val="24"/>
        </w:rPr>
        <w:t>, one of which occurs at Line 450. “</w:t>
      </w:r>
      <w:r w:rsidRPr="002C728C">
        <w:rPr>
          <w:i/>
          <w:sz w:val="24"/>
          <w:szCs w:val="24"/>
        </w:rPr>
        <w:t>Augustus pater et nati, mea maxima cura</w:t>
      </w:r>
      <w:r w:rsidR="00121C84">
        <w:rPr>
          <w:i/>
          <w:sz w:val="24"/>
          <w:szCs w:val="24"/>
        </w:rPr>
        <w:t>.</w:t>
      </w:r>
      <w:r w:rsidRPr="002C728C">
        <w:rPr>
          <w:sz w:val="24"/>
          <w:szCs w:val="24"/>
        </w:rPr>
        <w:t>”</w:t>
      </w:r>
      <w:r>
        <w:rPr>
          <w:rStyle w:val="FootnoteReference"/>
          <w:sz w:val="24"/>
          <w:szCs w:val="24"/>
        </w:rPr>
        <w:footnoteReference w:id="20"/>
      </w:r>
      <w:r w:rsidRPr="002C728C">
        <w:rPr>
          <w:sz w:val="24"/>
          <w:szCs w:val="24"/>
        </w:rPr>
        <w:t xml:space="preserve"> </w:t>
      </w:r>
      <w:r w:rsidR="00121C84">
        <w:rPr>
          <w:sz w:val="24"/>
          <w:szCs w:val="24"/>
        </w:rPr>
        <w:t xml:space="preserve"> </w:t>
      </w:r>
      <w:r w:rsidRPr="002C728C">
        <w:rPr>
          <w:sz w:val="24"/>
          <w:szCs w:val="24"/>
        </w:rPr>
        <w:t xml:space="preserve">The argument is that for </w:t>
      </w:r>
      <w:r w:rsidRPr="002C728C">
        <w:rPr>
          <w:i/>
          <w:sz w:val="24"/>
          <w:szCs w:val="24"/>
        </w:rPr>
        <w:t>nati</w:t>
      </w:r>
      <w:r w:rsidRPr="002C728C">
        <w:rPr>
          <w:sz w:val="24"/>
          <w:szCs w:val="24"/>
        </w:rPr>
        <w:t xml:space="preserve"> to be plural and indeed plural sons, then, the </w:t>
      </w:r>
      <w:r w:rsidRPr="002C728C">
        <w:rPr>
          <w:i/>
          <w:sz w:val="24"/>
          <w:szCs w:val="24"/>
        </w:rPr>
        <w:t>terminus post quem</w:t>
      </w:r>
      <w:r w:rsidRPr="002C728C">
        <w:rPr>
          <w:sz w:val="24"/>
          <w:szCs w:val="24"/>
        </w:rPr>
        <w:t xml:space="preserve"> is the birth of Valentinian </w:t>
      </w:r>
      <w:r w:rsidR="00231E70">
        <w:rPr>
          <w:sz w:val="24"/>
          <w:szCs w:val="24"/>
        </w:rPr>
        <w:t>II</w:t>
      </w:r>
      <w:r w:rsidRPr="002C728C">
        <w:rPr>
          <w:sz w:val="24"/>
          <w:szCs w:val="24"/>
        </w:rPr>
        <w:t xml:space="preserve"> in July 371</w:t>
      </w:r>
      <w:r w:rsidR="00231E70">
        <w:rPr>
          <w:sz w:val="24"/>
          <w:szCs w:val="24"/>
        </w:rPr>
        <w:t>AD</w:t>
      </w:r>
      <w:r w:rsidRPr="002C728C">
        <w:rPr>
          <w:sz w:val="24"/>
          <w:szCs w:val="24"/>
        </w:rPr>
        <w:t>.</w:t>
      </w:r>
      <w:r w:rsidR="00121C84">
        <w:rPr>
          <w:sz w:val="24"/>
          <w:szCs w:val="24"/>
        </w:rPr>
        <w:t xml:space="preserve"> </w:t>
      </w:r>
      <w:r w:rsidRPr="002C728C">
        <w:rPr>
          <w:sz w:val="24"/>
          <w:szCs w:val="24"/>
        </w:rPr>
        <w:t>In 1990</w:t>
      </w:r>
      <w:r w:rsidR="00935451">
        <w:rPr>
          <w:sz w:val="24"/>
          <w:szCs w:val="24"/>
        </w:rPr>
        <w:t>,</w:t>
      </w:r>
      <w:r w:rsidRPr="002C728C">
        <w:rPr>
          <w:sz w:val="24"/>
          <w:szCs w:val="24"/>
        </w:rPr>
        <w:t xml:space="preserve"> Hagith </w:t>
      </w:r>
      <w:r w:rsidR="00652066">
        <w:rPr>
          <w:sz w:val="24"/>
          <w:szCs w:val="24"/>
        </w:rPr>
        <w:t>Sivan</w:t>
      </w:r>
      <w:r w:rsidRPr="002C728C">
        <w:rPr>
          <w:sz w:val="24"/>
          <w:szCs w:val="24"/>
        </w:rPr>
        <w:t xml:space="preserve"> challenged this precept and used, amongst others, four items in the last 45 lines to this ef</w:t>
      </w:r>
      <w:r w:rsidRPr="002C728C">
        <w:rPr>
          <w:sz w:val="24"/>
          <w:szCs w:val="24"/>
        </w:rPr>
        <w:t xml:space="preserve">fect. </w:t>
      </w:r>
      <w:r w:rsidR="00121C84">
        <w:rPr>
          <w:sz w:val="24"/>
          <w:szCs w:val="24"/>
        </w:rPr>
        <w:t xml:space="preserve"> </w:t>
      </w:r>
      <w:r w:rsidRPr="002C728C">
        <w:rPr>
          <w:sz w:val="24"/>
          <w:szCs w:val="24"/>
        </w:rPr>
        <w:t>The first is Aus</w:t>
      </w:r>
      <w:r w:rsidR="00935451">
        <w:rPr>
          <w:sz w:val="24"/>
          <w:szCs w:val="24"/>
        </w:rPr>
        <w:t>o</w:t>
      </w:r>
      <w:r w:rsidRPr="002C728C">
        <w:rPr>
          <w:sz w:val="24"/>
          <w:szCs w:val="24"/>
        </w:rPr>
        <w:t>nius’s use of the term Augustus</w:t>
      </w:r>
      <w:r w:rsidR="00935451">
        <w:rPr>
          <w:sz w:val="24"/>
          <w:szCs w:val="24"/>
        </w:rPr>
        <w:t>,</w:t>
      </w:r>
      <w:r w:rsidRPr="002C728C">
        <w:rPr>
          <w:sz w:val="24"/>
          <w:szCs w:val="24"/>
        </w:rPr>
        <w:t xml:space="preserve"> “</w:t>
      </w:r>
      <w:r w:rsidRPr="002C728C">
        <w:rPr>
          <w:i/>
          <w:sz w:val="24"/>
          <w:szCs w:val="24"/>
        </w:rPr>
        <w:t>Burdiigalam cum me in patriam nidumque senectae, Augustus, pater et nati, mea maxima cura</w:t>
      </w:r>
      <w:r w:rsidR="00121C84">
        <w:rPr>
          <w:i/>
          <w:sz w:val="24"/>
          <w:szCs w:val="24"/>
        </w:rPr>
        <w:t>.</w:t>
      </w:r>
      <w:r w:rsidRPr="002C728C">
        <w:rPr>
          <w:sz w:val="24"/>
          <w:szCs w:val="24"/>
        </w:rPr>
        <w:t>”</w:t>
      </w:r>
      <w:r>
        <w:rPr>
          <w:rStyle w:val="FootnoteReference"/>
          <w:sz w:val="24"/>
          <w:szCs w:val="24"/>
        </w:rPr>
        <w:footnoteReference w:id="21"/>
      </w:r>
      <w:r w:rsidRPr="002C728C">
        <w:rPr>
          <w:sz w:val="24"/>
          <w:szCs w:val="24"/>
        </w:rPr>
        <w:t xml:space="preserve"> Why </w:t>
      </w:r>
      <w:r w:rsidR="00652066">
        <w:rPr>
          <w:sz w:val="24"/>
          <w:szCs w:val="24"/>
        </w:rPr>
        <w:t>Sivan</w:t>
      </w:r>
      <w:r w:rsidRPr="002C728C">
        <w:rPr>
          <w:sz w:val="24"/>
          <w:szCs w:val="24"/>
        </w:rPr>
        <w:t xml:space="preserve"> asks, does Ausonius refer to a singular Augustus when both Gratian and his father had the same</w:t>
      </w:r>
      <w:r w:rsidRPr="002C728C">
        <w:rPr>
          <w:sz w:val="24"/>
          <w:szCs w:val="24"/>
        </w:rPr>
        <w:t xml:space="preserve"> title</w:t>
      </w:r>
      <w:r w:rsidR="00121C84">
        <w:rPr>
          <w:sz w:val="24"/>
          <w:szCs w:val="24"/>
        </w:rPr>
        <w:t>?</w:t>
      </w:r>
      <w:r>
        <w:rPr>
          <w:rStyle w:val="FootnoteReference"/>
          <w:sz w:val="24"/>
          <w:szCs w:val="24"/>
        </w:rPr>
        <w:footnoteReference w:id="22"/>
      </w:r>
      <w:r w:rsidRPr="002C728C">
        <w:rPr>
          <w:sz w:val="24"/>
          <w:szCs w:val="24"/>
        </w:rPr>
        <w:t xml:space="preserve">  </w:t>
      </w:r>
      <w:r w:rsidR="00652066">
        <w:rPr>
          <w:sz w:val="24"/>
          <w:szCs w:val="24"/>
        </w:rPr>
        <w:t>Sivan</w:t>
      </w:r>
      <w:r w:rsidRPr="002C728C">
        <w:rPr>
          <w:sz w:val="24"/>
          <w:szCs w:val="24"/>
        </w:rPr>
        <w:t xml:space="preserve"> proves this is not the only time he has done so by quoting a similar instance in his </w:t>
      </w:r>
      <w:r w:rsidRPr="002C728C">
        <w:rPr>
          <w:i/>
          <w:sz w:val="24"/>
          <w:szCs w:val="24"/>
        </w:rPr>
        <w:t>Epigrams</w:t>
      </w:r>
      <w:r w:rsidR="00121C84">
        <w:rPr>
          <w:i/>
          <w:sz w:val="24"/>
          <w:szCs w:val="24"/>
        </w:rPr>
        <w:t>.</w:t>
      </w:r>
      <w:r>
        <w:rPr>
          <w:rStyle w:val="FootnoteReference"/>
          <w:i/>
          <w:sz w:val="24"/>
          <w:szCs w:val="24"/>
        </w:rPr>
        <w:footnoteReference w:id="23"/>
      </w:r>
      <w:r w:rsidRPr="002C728C">
        <w:rPr>
          <w:sz w:val="24"/>
          <w:szCs w:val="24"/>
        </w:rPr>
        <w:t xml:space="preserve"> Furthermore</w:t>
      </w:r>
      <w:r w:rsidR="00121C84">
        <w:rPr>
          <w:sz w:val="24"/>
          <w:szCs w:val="24"/>
        </w:rPr>
        <w:t>,</w:t>
      </w:r>
      <w:r w:rsidRPr="002C728C">
        <w:rPr>
          <w:sz w:val="24"/>
          <w:szCs w:val="24"/>
        </w:rPr>
        <w:t xml:space="preserve"> Ausonius is labelling both </w:t>
      </w:r>
      <w:r w:rsidRPr="002C728C">
        <w:rPr>
          <w:i/>
          <w:sz w:val="24"/>
          <w:szCs w:val="24"/>
        </w:rPr>
        <w:t>nati</w:t>
      </w:r>
      <w:r w:rsidRPr="002C728C">
        <w:rPr>
          <w:sz w:val="24"/>
          <w:szCs w:val="24"/>
        </w:rPr>
        <w:t xml:space="preserve"> as his </w:t>
      </w:r>
      <w:r w:rsidRPr="002C728C">
        <w:rPr>
          <w:i/>
          <w:sz w:val="24"/>
          <w:szCs w:val="24"/>
        </w:rPr>
        <w:t>maxima cura</w:t>
      </w:r>
      <w:r w:rsidRPr="002C728C">
        <w:rPr>
          <w:sz w:val="24"/>
          <w:szCs w:val="24"/>
        </w:rPr>
        <w:t xml:space="preserve">, and that would be impossible until at least 377 when Valentinian </w:t>
      </w:r>
      <w:r w:rsidR="00121C84">
        <w:rPr>
          <w:sz w:val="24"/>
          <w:szCs w:val="24"/>
        </w:rPr>
        <w:t>II</w:t>
      </w:r>
      <w:r w:rsidRPr="002C728C">
        <w:rPr>
          <w:sz w:val="24"/>
          <w:szCs w:val="24"/>
        </w:rPr>
        <w:t xml:space="preserve"> was of sc</w:t>
      </w:r>
      <w:r w:rsidRPr="002C728C">
        <w:rPr>
          <w:sz w:val="24"/>
          <w:szCs w:val="24"/>
        </w:rPr>
        <w:t>hool age</w:t>
      </w:r>
      <w:r w:rsidR="00121C84">
        <w:rPr>
          <w:sz w:val="24"/>
          <w:szCs w:val="24"/>
        </w:rPr>
        <w:t>.</w:t>
      </w:r>
      <w:r>
        <w:rPr>
          <w:rStyle w:val="FootnoteReference"/>
          <w:sz w:val="24"/>
          <w:szCs w:val="24"/>
        </w:rPr>
        <w:footnoteReference w:id="24"/>
      </w:r>
      <w:r w:rsidRPr="002C728C">
        <w:rPr>
          <w:sz w:val="24"/>
          <w:szCs w:val="24"/>
        </w:rPr>
        <w:t xml:space="preserve">  Secondly, “ </w:t>
      </w:r>
      <w:r w:rsidRPr="002C728C">
        <w:rPr>
          <w:i/>
          <w:sz w:val="24"/>
          <w:szCs w:val="24"/>
        </w:rPr>
        <w:t>fascibus Ausoniis decoratum et honorore curuli, mitten emeritae post munera disciplinae”</w:t>
      </w:r>
      <w:r>
        <w:rPr>
          <w:rStyle w:val="FootnoteReference"/>
          <w:i/>
          <w:sz w:val="24"/>
          <w:szCs w:val="24"/>
        </w:rPr>
        <w:footnoteReference w:id="25"/>
      </w:r>
      <w:r w:rsidRPr="002C728C">
        <w:rPr>
          <w:sz w:val="24"/>
          <w:szCs w:val="24"/>
        </w:rPr>
        <w:t xml:space="preserve"> represents a prediction of his own promotion to consul, which would have been impossible for him to make in 371, some eight years before the</w:t>
      </w:r>
      <w:r w:rsidRPr="002C728C">
        <w:rPr>
          <w:sz w:val="24"/>
          <w:szCs w:val="24"/>
        </w:rPr>
        <w:t xml:space="preserve"> event</w:t>
      </w:r>
      <w:r w:rsidR="00121C84">
        <w:rPr>
          <w:sz w:val="24"/>
          <w:szCs w:val="24"/>
        </w:rPr>
        <w:t>.</w:t>
      </w:r>
      <w:r>
        <w:rPr>
          <w:rStyle w:val="FootnoteReference"/>
          <w:sz w:val="24"/>
          <w:szCs w:val="24"/>
        </w:rPr>
        <w:footnoteReference w:id="26"/>
      </w:r>
      <w:r w:rsidRPr="002C728C">
        <w:rPr>
          <w:sz w:val="24"/>
          <w:szCs w:val="24"/>
        </w:rPr>
        <w:t xml:space="preserve"> </w:t>
      </w:r>
      <w:r w:rsidR="00121C84">
        <w:rPr>
          <w:sz w:val="24"/>
          <w:szCs w:val="24"/>
        </w:rPr>
        <w:t xml:space="preserve"> </w:t>
      </w:r>
      <w:r w:rsidRPr="002C728C">
        <w:rPr>
          <w:sz w:val="24"/>
          <w:szCs w:val="24"/>
        </w:rPr>
        <w:t>Thirdly, in  his first sphragis, “</w:t>
      </w:r>
      <w:r w:rsidRPr="002C728C">
        <w:rPr>
          <w:i/>
          <w:sz w:val="24"/>
          <w:szCs w:val="24"/>
        </w:rPr>
        <w:t>Belgarum hospitiis non per nova foedera notus</w:t>
      </w:r>
      <w:r w:rsidR="00121C84">
        <w:rPr>
          <w:i/>
          <w:sz w:val="24"/>
          <w:szCs w:val="24"/>
        </w:rPr>
        <w:t>,</w:t>
      </w:r>
      <w:r w:rsidRPr="002C728C">
        <w:rPr>
          <w:sz w:val="24"/>
          <w:szCs w:val="24"/>
        </w:rPr>
        <w:t>”</w:t>
      </w:r>
      <w:r>
        <w:rPr>
          <w:rStyle w:val="FootnoteReference"/>
          <w:sz w:val="24"/>
          <w:szCs w:val="24"/>
        </w:rPr>
        <w:footnoteReference w:id="27"/>
      </w:r>
      <w:r w:rsidRPr="002C728C">
        <w:rPr>
          <w:sz w:val="24"/>
          <w:szCs w:val="24"/>
        </w:rPr>
        <w:t xml:space="preserve"> Ausoniius, by referring to himself as an old guest of the Belgica, is difficult to square with his description of the recent victories east of the Rhine in </w:t>
      </w:r>
      <w:r w:rsidRPr="002C728C">
        <w:rPr>
          <w:sz w:val="24"/>
          <w:szCs w:val="24"/>
        </w:rPr>
        <w:t>Lines 422-6</w:t>
      </w:r>
      <w:r w:rsidR="00121C84">
        <w:rPr>
          <w:sz w:val="24"/>
          <w:szCs w:val="24"/>
        </w:rPr>
        <w:t>.</w:t>
      </w:r>
      <w:r>
        <w:rPr>
          <w:rStyle w:val="FootnoteReference"/>
          <w:sz w:val="24"/>
          <w:szCs w:val="24"/>
        </w:rPr>
        <w:footnoteReference w:id="28"/>
      </w:r>
      <w:r w:rsidRPr="002C728C">
        <w:rPr>
          <w:sz w:val="24"/>
          <w:szCs w:val="24"/>
        </w:rPr>
        <w:t xml:space="preserve">  Lastly, “addam praesidiis dubiarum condita rerum, sed modo securis non castra sed horrea Belgis</w:t>
      </w:r>
      <w:r w:rsidR="00231E70">
        <w:rPr>
          <w:sz w:val="24"/>
          <w:szCs w:val="24"/>
        </w:rPr>
        <w:t>,</w:t>
      </w:r>
      <w:r w:rsidRPr="002C728C">
        <w:rPr>
          <w:sz w:val="24"/>
          <w:szCs w:val="24"/>
        </w:rPr>
        <w:t>”</w:t>
      </w:r>
      <w:r>
        <w:rPr>
          <w:rStyle w:val="FootnoteReference"/>
          <w:sz w:val="24"/>
          <w:szCs w:val="24"/>
        </w:rPr>
        <w:footnoteReference w:id="29"/>
      </w:r>
      <w:r w:rsidR="00231E70">
        <w:rPr>
          <w:sz w:val="24"/>
          <w:szCs w:val="24"/>
        </w:rPr>
        <w:t xml:space="preserve"> </w:t>
      </w:r>
      <w:r w:rsidRPr="002C728C">
        <w:rPr>
          <w:sz w:val="24"/>
          <w:szCs w:val="24"/>
        </w:rPr>
        <w:t xml:space="preserve">is dismissed by </w:t>
      </w:r>
      <w:r w:rsidR="00652066">
        <w:rPr>
          <w:sz w:val="24"/>
          <w:szCs w:val="24"/>
        </w:rPr>
        <w:t>Sivan</w:t>
      </w:r>
      <w:r w:rsidRPr="002C728C">
        <w:rPr>
          <w:sz w:val="24"/>
          <w:szCs w:val="24"/>
        </w:rPr>
        <w:t xml:space="preserve"> because she believes that it is unlikely that any of the fortresses built within the frontier zone could so quickly ha</w:t>
      </w:r>
      <w:r w:rsidRPr="002C728C">
        <w:rPr>
          <w:sz w:val="24"/>
          <w:szCs w:val="24"/>
        </w:rPr>
        <w:t>ve been converted to granaries</w:t>
      </w:r>
      <w:r w:rsidR="00231E70">
        <w:rPr>
          <w:sz w:val="24"/>
          <w:szCs w:val="24"/>
        </w:rPr>
        <w:t>.</w:t>
      </w:r>
      <w:r>
        <w:rPr>
          <w:rStyle w:val="FootnoteReference"/>
          <w:sz w:val="24"/>
          <w:szCs w:val="24"/>
        </w:rPr>
        <w:footnoteReference w:id="30"/>
      </w:r>
      <w:r w:rsidRPr="002C728C">
        <w:rPr>
          <w:sz w:val="24"/>
          <w:szCs w:val="24"/>
        </w:rPr>
        <w:t xml:space="preserve"> The  Moselle is, therefore, to be seen as the sum of two parts.</w:t>
      </w:r>
      <w:r w:rsidR="00231E70">
        <w:rPr>
          <w:sz w:val="24"/>
          <w:szCs w:val="24"/>
        </w:rPr>
        <w:t xml:space="preserve"> </w:t>
      </w:r>
      <w:r w:rsidR="00652066">
        <w:rPr>
          <w:sz w:val="24"/>
          <w:szCs w:val="24"/>
        </w:rPr>
        <w:t>Sivan</w:t>
      </w:r>
      <w:r w:rsidRPr="002C728C">
        <w:rPr>
          <w:sz w:val="24"/>
          <w:szCs w:val="24"/>
        </w:rPr>
        <w:t xml:space="preserve"> concludes that the </w:t>
      </w:r>
      <w:r w:rsidRPr="002C728C">
        <w:rPr>
          <w:sz w:val="24"/>
          <w:szCs w:val="24"/>
        </w:rPr>
        <w:lastRenderedPageBreak/>
        <w:t>“bulk of the Moselle</w:t>
      </w:r>
      <w:r w:rsidR="00231E70">
        <w:rPr>
          <w:sz w:val="24"/>
          <w:szCs w:val="24"/>
        </w:rPr>
        <w:t>,</w:t>
      </w:r>
      <w:r w:rsidRPr="002C728C">
        <w:rPr>
          <w:sz w:val="24"/>
          <w:szCs w:val="24"/>
        </w:rPr>
        <w:t>” lines 1-437, were written around 368</w:t>
      </w:r>
      <w:r w:rsidR="00231E70">
        <w:rPr>
          <w:sz w:val="24"/>
          <w:szCs w:val="24"/>
        </w:rPr>
        <w:t>AD</w:t>
      </w:r>
      <w:r w:rsidRPr="002C728C">
        <w:rPr>
          <w:sz w:val="24"/>
          <w:szCs w:val="24"/>
        </w:rPr>
        <w:t>, but then a "revised and possibly expanded version" was produced at the</w:t>
      </w:r>
      <w:r w:rsidRPr="002C728C">
        <w:rPr>
          <w:sz w:val="24"/>
          <w:szCs w:val="24"/>
        </w:rPr>
        <w:t xml:space="preserve"> end of Valentinian's reign</w:t>
      </w:r>
      <w:r w:rsidR="00231E70">
        <w:rPr>
          <w:sz w:val="24"/>
          <w:szCs w:val="24"/>
        </w:rPr>
        <w:t>.</w:t>
      </w:r>
      <w:r>
        <w:rPr>
          <w:rStyle w:val="FootnoteReference"/>
          <w:sz w:val="24"/>
          <w:szCs w:val="24"/>
        </w:rPr>
        <w:footnoteReference w:id="31"/>
      </w:r>
      <w:r w:rsidRPr="002C728C">
        <w:rPr>
          <w:sz w:val="24"/>
          <w:szCs w:val="24"/>
        </w:rPr>
        <w:t xml:space="preserve"> </w:t>
      </w:r>
    </w:p>
    <w:p w14:paraId="7ED4637C" w14:textId="77777777" w:rsidR="002C728C" w:rsidRPr="002C728C" w:rsidRDefault="002C728C" w:rsidP="002C728C">
      <w:pPr>
        <w:spacing w:after="0"/>
        <w:rPr>
          <w:sz w:val="24"/>
          <w:szCs w:val="24"/>
        </w:rPr>
      </w:pPr>
    </w:p>
    <w:p w14:paraId="16E582DD" w14:textId="2A5DE7EA" w:rsidR="00CF199E" w:rsidRDefault="009E7415" w:rsidP="002C728C">
      <w:pPr>
        <w:spacing w:after="0"/>
        <w:rPr>
          <w:sz w:val="24"/>
          <w:szCs w:val="24"/>
        </w:rPr>
      </w:pPr>
      <w:r w:rsidRPr="002C728C">
        <w:rPr>
          <w:sz w:val="24"/>
          <w:szCs w:val="24"/>
        </w:rPr>
        <w:t xml:space="preserve">Not surprisingly, </w:t>
      </w:r>
      <w:r w:rsidR="00652066">
        <w:rPr>
          <w:sz w:val="24"/>
          <w:szCs w:val="24"/>
        </w:rPr>
        <w:t>Sivan</w:t>
      </w:r>
      <w:r w:rsidRPr="002C728C">
        <w:rPr>
          <w:sz w:val="24"/>
          <w:szCs w:val="24"/>
        </w:rPr>
        <w:t xml:space="preserve">’s redating has been the subject of </w:t>
      </w:r>
      <w:r w:rsidRPr="00935451">
        <w:rPr>
          <w:bCs/>
          <w:sz w:val="24"/>
          <w:szCs w:val="24"/>
        </w:rPr>
        <w:t>counter-argument</w:t>
      </w:r>
      <w:r w:rsidRPr="002C728C">
        <w:rPr>
          <w:sz w:val="24"/>
          <w:szCs w:val="24"/>
        </w:rPr>
        <w:t>. Green pointed out that the “</w:t>
      </w:r>
      <w:r w:rsidRPr="002C728C">
        <w:rPr>
          <w:i/>
          <w:sz w:val="24"/>
          <w:szCs w:val="24"/>
        </w:rPr>
        <w:t>Belgarum hospitiis”</w:t>
      </w:r>
      <w:r>
        <w:rPr>
          <w:rStyle w:val="FootnoteReference"/>
          <w:i/>
          <w:sz w:val="24"/>
          <w:szCs w:val="24"/>
        </w:rPr>
        <w:footnoteReference w:id="32"/>
      </w:r>
      <w:r w:rsidRPr="002C728C">
        <w:rPr>
          <w:sz w:val="24"/>
          <w:szCs w:val="24"/>
        </w:rPr>
        <w:t xml:space="preserve"> are Ausonius’s recollection rather than a matter of fact</w:t>
      </w:r>
      <w:r w:rsidR="00935451">
        <w:rPr>
          <w:sz w:val="24"/>
          <w:szCs w:val="24"/>
        </w:rPr>
        <w:t>.</w:t>
      </w:r>
      <w:r>
        <w:rPr>
          <w:rStyle w:val="FootnoteReference"/>
          <w:sz w:val="24"/>
          <w:szCs w:val="24"/>
        </w:rPr>
        <w:footnoteReference w:id="33"/>
      </w:r>
      <w:r w:rsidRPr="002C728C">
        <w:rPr>
          <w:sz w:val="24"/>
          <w:szCs w:val="24"/>
        </w:rPr>
        <w:t xml:space="preserve">  This is a persuasive argument, and </w:t>
      </w:r>
      <w:r w:rsidRPr="002C728C">
        <w:rPr>
          <w:sz w:val="24"/>
          <w:szCs w:val="24"/>
        </w:rPr>
        <w:t>it may well be that, for Ausonius, several years might well constitute "old ties</w:t>
      </w:r>
      <w:r w:rsidR="00935451">
        <w:rPr>
          <w:sz w:val="24"/>
          <w:szCs w:val="24"/>
        </w:rPr>
        <w:t>.</w:t>
      </w:r>
      <w:r w:rsidRPr="002C728C">
        <w:rPr>
          <w:sz w:val="24"/>
          <w:szCs w:val="24"/>
        </w:rPr>
        <w:t>”</w:t>
      </w:r>
      <w:r>
        <w:rPr>
          <w:rStyle w:val="FootnoteReference"/>
          <w:sz w:val="24"/>
          <w:szCs w:val="24"/>
        </w:rPr>
        <w:footnoteReference w:id="34"/>
      </w:r>
      <w:r w:rsidRPr="002C728C">
        <w:rPr>
          <w:sz w:val="24"/>
          <w:szCs w:val="24"/>
        </w:rPr>
        <w:t xml:space="preserve">  Additionally, Green argues that “addam praesidiis”</w:t>
      </w:r>
      <w:r>
        <w:rPr>
          <w:rStyle w:val="FootnoteReference"/>
          <w:sz w:val="24"/>
          <w:szCs w:val="24"/>
        </w:rPr>
        <w:footnoteReference w:id="35"/>
      </w:r>
      <w:r w:rsidRPr="002C728C">
        <w:rPr>
          <w:sz w:val="24"/>
          <w:szCs w:val="24"/>
        </w:rPr>
        <w:t xml:space="preserve"> involves the future tense of the verb </w:t>
      </w:r>
      <w:r w:rsidRPr="002C728C">
        <w:rPr>
          <w:i/>
          <w:sz w:val="24"/>
          <w:szCs w:val="24"/>
        </w:rPr>
        <w:t xml:space="preserve">addo </w:t>
      </w:r>
      <w:r w:rsidRPr="002C728C">
        <w:rPr>
          <w:sz w:val="24"/>
          <w:szCs w:val="24"/>
        </w:rPr>
        <w:t xml:space="preserve">and; therefore, Ausonius is predicting the future by saying, "I will tell </w:t>
      </w:r>
      <w:r w:rsidRPr="002C728C">
        <w:rPr>
          <w:sz w:val="24"/>
          <w:szCs w:val="24"/>
        </w:rPr>
        <w:t>also of fortresses</w:t>
      </w:r>
      <w:r w:rsidR="00935451">
        <w:rPr>
          <w:sz w:val="24"/>
          <w:szCs w:val="24"/>
        </w:rPr>
        <w:t>.</w:t>
      </w:r>
      <w:r w:rsidRPr="002C728C">
        <w:rPr>
          <w:sz w:val="24"/>
          <w:szCs w:val="24"/>
        </w:rPr>
        <w:t>”</w:t>
      </w:r>
      <w:r>
        <w:rPr>
          <w:rStyle w:val="FootnoteReference"/>
          <w:sz w:val="24"/>
          <w:szCs w:val="24"/>
        </w:rPr>
        <w:footnoteReference w:id="36"/>
      </w:r>
      <w:r w:rsidRPr="002C728C">
        <w:rPr>
          <w:sz w:val="24"/>
          <w:szCs w:val="24"/>
        </w:rPr>
        <w:t xml:space="preserve">   The implication is that fortresses have not yet been turned into granaries, thus removing the time problem from the equation.</w:t>
      </w:r>
      <w:r w:rsidR="00935451">
        <w:rPr>
          <w:sz w:val="24"/>
          <w:szCs w:val="24"/>
        </w:rPr>
        <w:t xml:space="preserve"> </w:t>
      </w:r>
      <w:r w:rsidRPr="002C728C">
        <w:rPr>
          <w:sz w:val="24"/>
          <w:szCs w:val="24"/>
        </w:rPr>
        <w:t>I think this is less compelling. Ausonius may simply be saying that; additionally, he would like to talk about this phenomenon.</w:t>
      </w:r>
      <w:r w:rsidR="00935451">
        <w:rPr>
          <w:sz w:val="24"/>
          <w:szCs w:val="24"/>
        </w:rPr>
        <w:t xml:space="preserve"> </w:t>
      </w:r>
      <w:r w:rsidRPr="002C728C">
        <w:rPr>
          <w:sz w:val="24"/>
          <w:szCs w:val="24"/>
        </w:rPr>
        <w:t>Of Ausonius's proleptic mention of consulship in line 451, Green says that the consulship is not specifically mentioned and, irrespective of the precise wording, that "Ausonius then may have been promised the consulship, whether formally or not, in recogn</w:t>
      </w:r>
      <w:r w:rsidRPr="002C728C">
        <w:rPr>
          <w:sz w:val="24"/>
          <w:szCs w:val="24"/>
        </w:rPr>
        <w:t>ition of his work in educating Gratian</w:t>
      </w:r>
      <w:r w:rsidR="00935451">
        <w:rPr>
          <w:sz w:val="24"/>
          <w:szCs w:val="24"/>
        </w:rPr>
        <w:t>.</w:t>
      </w:r>
      <w:r w:rsidRPr="002C728C">
        <w:rPr>
          <w:sz w:val="24"/>
          <w:szCs w:val="24"/>
        </w:rPr>
        <w:t>”</w:t>
      </w:r>
      <w:r>
        <w:rPr>
          <w:rStyle w:val="FootnoteReference"/>
          <w:sz w:val="24"/>
          <w:szCs w:val="24"/>
        </w:rPr>
        <w:footnoteReference w:id="37"/>
      </w:r>
      <w:r w:rsidRPr="002C728C">
        <w:rPr>
          <w:sz w:val="24"/>
          <w:szCs w:val="24"/>
        </w:rPr>
        <w:t xml:space="preserve"> He says, therefore, that it is plausible that such a promise was made in 371</w:t>
      </w:r>
      <w:r w:rsidR="00935451">
        <w:rPr>
          <w:sz w:val="24"/>
          <w:szCs w:val="24"/>
        </w:rPr>
        <w:t>AD</w:t>
      </w:r>
      <w:r w:rsidRPr="002C728C">
        <w:rPr>
          <w:sz w:val="24"/>
          <w:szCs w:val="24"/>
        </w:rPr>
        <w:t>, which Ausonius believed would become a reality in the mid-370s</w:t>
      </w:r>
      <w:r w:rsidR="00935451">
        <w:rPr>
          <w:sz w:val="24"/>
          <w:szCs w:val="24"/>
        </w:rPr>
        <w:t>.</w:t>
      </w:r>
      <w:r>
        <w:rPr>
          <w:rStyle w:val="FootnoteReference"/>
          <w:sz w:val="24"/>
          <w:szCs w:val="24"/>
        </w:rPr>
        <w:footnoteReference w:id="38"/>
      </w:r>
      <w:r w:rsidRPr="002C728C">
        <w:rPr>
          <w:sz w:val="24"/>
          <w:szCs w:val="24"/>
        </w:rPr>
        <w:t xml:space="preserve">  It is interesting to note, however, that the White translation doe</w:t>
      </w:r>
      <w:r w:rsidRPr="002C728C">
        <w:rPr>
          <w:sz w:val="24"/>
          <w:szCs w:val="24"/>
        </w:rPr>
        <w:t>s involve the word consulship</w:t>
      </w:r>
      <w:r w:rsidR="00935451">
        <w:rPr>
          <w:sz w:val="24"/>
          <w:szCs w:val="24"/>
        </w:rPr>
        <w:t>.</w:t>
      </w:r>
      <w:r>
        <w:rPr>
          <w:rStyle w:val="FootnoteReference"/>
          <w:sz w:val="24"/>
          <w:szCs w:val="24"/>
        </w:rPr>
        <w:footnoteReference w:id="39"/>
      </w:r>
      <w:r w:rsidRPr="002C728C">
        <w:rPr>
          <w:sz w:val="24"/>
          <w:szCs w:val="24"/>
        </w:rPr>
        <w:t xml:space="preserve">  Finally, Green presents the possibly fatal flaw in </w:t>
      </w:r>
      <w:r w:rsidR="00652066">
        <w:rPr>
          <w:sz w:val="24"/>
          <w:szCs w:val="24"/>
        </w:rPr>
        <w:t>Sivan</w:t>
      </w:r>
      <w:r w:rsidRPr="002C728C">
        <w:rPr>
          <w:sz w:val="24"/>
          <w:szCs w:val="24"/>
        </w:rPr>
        <w:t>’s contention that Ausonius rewrote the original</w:t>
      </w:r>
      <w:r w:rsidR="00935451">
        <w:rPr>
          <w:sz w:val="24"/>
          <w:szCs w:val="24"/>
        </w:rPr>
        <w:t>.</w:t>
      </w:r>
      <w:r>
        <w:rPr>
          <w:rStyle w:val="FootnoteReference"/>
          <w:sz w:val="24"/>
          <w:szCs w:val="24"/>
        </w:rPr>
        <w:footnoteReference w:id="40"/>
      </w:r>
      <w:r w:rsidRPr="002C728C">
        <w:rPr>
          <w:sz w:val="24"/>
          <w:szCs w:val="24"/>
        </w:rPr>
        <w:t xml:space="preserve">  “While adding the final section he strangely omitted to revise the passage immediately before that, which had bee</w:t>
      </w:r>
      <w:r w:rsidRPr="002C728C">
        <w:rPr>
          <w:sz w:val="24"/>
          <w:szCs w:val="24"/>
        </w:rPr>
        <w:t>n overtaken by events: the passage referring to an imperial triumph</w:t>
      </w:r>
      <w:r w:rsidR="00935451">
        <w:rPr>
          <w:sz w:val="24"/>
          <w:szCs w:val="24"/>
        </w:rPr>
        <w:t>.</w:t>
      </w:r>
      <w:r w:rsidRPr="002C728C">
        <w:rPr>
          <w:sz w:val="24"/>
          <w:szCs w:val="24"/>
        </w:rPr>
        <w:t>”</w:t>
      </w:r>
      <w:r>
        <w:rPr>
          <w:rStyle w:val="FootnoteReference"/>
          <w:sz w:val="24"/>
          <w:szCs w:val="24"/>
        </w:rPr>
        <w:footnoteReference w:id="41"/>
      </w:r>
      <w:r w:rsidRPr="002C728C">
        <w:rPr>
          <w:sz w:val="24"/>
          <w:szCs w:val="24"/>
        </w:rPr>
        <w:t xml:space="preserve">  Green concludes that for the rewrite scenario to hold water, Ausonius would surely have deleted the minor victory, the “antique patrisque triumphos</w:t>
      </w:r>
      <w:r w:rsidR="00E9215D">
        <w:rPr>
          <w:sz w:val="24"/>
          <w:szCs w:val="24"/>
        </w:rPr>
        <w:t>,</w:t>
      </w:r>
      <w:r w:rsidRPr="002C728C">
        <w:rPr>
          <w:sz w:val="24"/>
          <w:szCs w:val="24"/>
        </w:rPr>
        <w:t>”</w:t>
      </w:r>
      <w:r>
        <w:rPr>
          <w:rStyle w:val="FootnoteReference"/>
          <w:sz w:val="24"/>
          <w:szCs w:val="24"/>
        </w:rPr>
        <w:footnoteReference w:id="42"/>
      </w:r>
      <w:r w:rsidRPr="002C728C">
        <w:rPr>
          <w:sz w:val="24"/>
          <w:szCs w:val="24"/>
        </w:rPr>
        <w:t xml:space="preserve">  and concentrated on the decisi</w:t>
      </w:r>
      <w:r w:rsidRPr="002C728C">
        <w:rPr>
          <w:sz w:val="24"/>
          <w:szCs w:val="24"/>
        </w:rPr>
        <w:t>ve victory at Solicinium.</w:t>
      </w:r>
      <w:r w:rsidR="00E9215D">
        <w:rPr>
          <w:sz w:val="24"/>
          <w:szCs w:val="24"/>
        </w:rPr>
        <w:t xml:space="preserve"> </w:t>
      </w:r>
      <w:r w:rsidRPr="002C728C">
        <w:rPr>
          <w:sz w:val="24"/>
          <w:szCs w:val="24"/>
        </w:rPr>
        <w:t xml:space="preserve"> Since he did not, he must have been finally completed it in 371</w:t>
      </w:r>
      <w:r w:rsidR="00E9215D">
        <w:rPr>
          <w:sz w:val="24"/>
          <w:szCs w:val="24"/>
        </w:rPr>
        <w:t>AD</w:t>
      </w:r>
      <w:r w:rsidRPr="002C728C">
        <w:rPr>
          <w:sz w:val="24"/>
          <w:szCs w:val="24"/>
        </w:rPr>
        <w:t>, whilst the original was penned several years earlier</w:t>
      </w:r>
      <w:r w:rsidR="00E9215D">
        <w:rPr>
          <w:sz w:val="24"/>
          <w:szCs w:val="24"/>
        </w:rPr>
        <w:t>.</w:t>
      </w:r>
      <w:r>
        <w:rPr>
          <w:rStyle w:val="FootnoteReference"/>
          <w:sz w:val="24"/>
          <w:szCs w:val="24"/>
        </w:rPr>
        <w:footnoteReference w:id="43"/>
      </w:r>
    </w:p>
    <w:p w14:paraId="66916D75" w14:textId="77777777" w:rsidR="002C728C" w:rsidRPr="002C728C" w:rsidRDefault="002C728C" w:rsidP="002C728C">
      <w:pPr>
        <w:spacing w:after="0"/>
        <w:rPr>
          <w:sz w:val="24"/>
          <w:szCs w:val="24"/>
        </w:rPr>
      </w:pPr>
    </w:p>
    <w:p w14:paraId="7DDA0D7B" w14:textId="0668EC87" w:rsidR="00CF199E" w:rsidRDefault="009E7415" w:rsidP="002C728C">
      <w:pPr>
        <w:spacing w:after="0"/>
        <w:rPr>
          <w:sz w:val="24"/>
          <w:szCs w:val="24"/>
        </w:rPr>
      </w:pPr>
      <w:r w:rsidRPr="00E9215D">
        <w:rPr>
          <w:bCs/>
          <w:sz w:val="24"/>
          <w:szCs w:val="24"/>
        </w:rPr>
        <w:t>Irrespective of the dating controversy</w:t>
      </w:r>
      <w:r w:rsidR="00E9215D">
        <w:rPr>
          <w:bCs/>
          <w:sz w:val="24"/>
          <w:szCs w:val="24"/>
        </w:rPr>
        <w:t>,</w:t>
      </w:r>
      <w:r w:rsidRPr="002C728C">
        <w:rPr>
          <w:b/>
          <w:sz w:val="24"/>
          <w:szCs w:val="24"/>
        </w:rPr>
        <w:t xml:space="preserve"> </w:t>
      </w:r>
      <w:r w:rsidRPr="00E9215D">
        <w:rPr>
          <w:bCs/>
          <w:sz w:val="24"/>
          <w:szCs w:val="24"/>
        </w:rPr>
        <w:t>t</w:t>
      </w:r>
      <w:r w:rsidRPr="002C728C">
        <w:rPr>
          <w:sz w:val="24"/>
          <w:szCs w:val="24"/>
        </w:rPr>
        <w:t xml:space="preserve">he last part of the poem displays the most obvious linkage to the </w:t>
      </w:r>
      <w:r w:rsidRPr="00E9215D">
        <w:rPr>
          <w:bCs/>
          <w:sz w:val="24"/>
          <w:szCs w:val="24"/>
        </w:rPr>
        <w:t>geopolitical situation</w:t>
      </w:r>
      <w:r w:rsidRPr="002C728C">
        <w:rPr>
          <w:sz w:val="24"/>
          <w:szCs w:val="24"/>
        </w:rPr>
        <w:t>. Kenney was convinced that “It was clearly intended as propaganda</w:t>
      </w:r>
      <w:r w:rsidR="00E9215D">
        <w:rPr>
          <w:sz w:val="24"/>
          <w:szCs w:val="24"/>
        </w:rPr>
        <w:t>.</w:t>
      </w:r>
      <w:r w:rsidRPr="002C728C">
        <w:rPr>
          <w:sz w:val="24"/>
          <w:szCs w:val="24"/>
        </w:rPr>
        <w:t>”</w:t>
      </w:r>
      <w:r>
        <w:rPr>
          <w:rStyle w:val="FootnoteReference"/>
          <w:sz w:val="24"/>
          <w:szCs w:val="24"/>
        </w:rPr>
        <w:footnoteReference w:id="44"/>
      </w:r>
      <w:r w:rsidR="00E9215D">
        <w:rPr>
          <w:sz w:val="24"/>
          <w:szCs w:val="24"/>
        </w:rPr>
        <w:t xml:space="preserve">  </w:t>
      </w:r>
      <w:r w:rsidRPr="002C728C">
        <w:rPr>
          <w:sz w:val="24"/>
          <w:szCs w:val="24"/>
        </w:rPr>
        <w:t>The purpose was to reassure the Gauls of the integrity of the defensive umbrella that Rome provi</w:t>
      </w:r>
      <w:r w:rsidRPr="002C728C">
        <w:rPr>
          <w:sz w:val="24"/>
          <w:szCs w:val="24"/>
        </w:rPr>
        <w:t xml:space="preserve">ded at a time when there were significant threats from the East. </w:t>
      </w:r>
      <w:r w:rsidRPr="002C728C">
        <w:rPr>
          <w:sz w:val="24"/>
          <w:szCs w:val="24"/>
        </w:rPr>
        <w:lastRenderedPageBreak/>
        <w:t>Having said that, Kenney immediately contradicts himself, claiming that Ausonius was operating in a sterile academic environment</w:t>
      </w:r>
      <w:r w:rsidR="00E9215D">
        <w:rPr>
          <w:sz w:val="24"/>
          <w:szCs w:val="24"/>
        </w:rPr>
        <w:t>.</w:t>
      </w:r>
      <w:r>
        <w:rPr>
          <w:rStyle w:val="FootnoteReference"/>
          <w:sz w:val="24"/>
          <w:szCs w:val="24"/>
        </w:rPr>
        <w:footnoteReference w:id="45"/>
      </w:r>
      <w:r w:rsidRPr="002C728C">
        <w:rPr>
          <w:sz w:val="24"/>
          <w:szCs w:val="24"/>
        </w:rPr>
        <w:t xml:space="preserve"> </w:t>
      </w:r>
      <w:r w:rsidR="00E9215D">
        <w:rPr>
          <w:sz w:val="24"/>
          <w:szCs w:val="24"/>
        </w:rPr>
        <w:t xml:space="preserve"> </w:t>
      </w:r>
      <w:r w:rsidRPr="002C728C">
        <w:rPr>
          <w:sz w:val="24"/>
          <w:szCs w:val="24"/>
        </w:rPr>
        <w:t>He is not alone in that view. Chadwick contends that he wa</w:t>
      </w:r>
      <w:r w:rsidRPr="002C728C">
        <w:rPr>
          <w:sz w:val="24"/>
          <w:szCs w:val="24"/>
        </w:rPr>
        <w:t>s unaffected by the tumultuous events of the time, such as the Council of Nicea and that he was “withdrawn from movements of thought and politics</w:t>
      </w:r>
      <w:r w:rsidR="00E9215D">
        <w:rPr>
          <w:sz w:val="24"/>
          <w:szCs w:val="24"/>
        </w:rPr>
        <w:t>.</w:t>
      </w:r>
      <w:r w:rsidRPr="002C728C">
        <w:rPr>
          <w:sz w:val="24"/>
          <w:szCs w:val="24"/>
        </w:rPr>
        <w:t>”</w:t>
      </w:r>
      <w:r>
        <w:rPr>
          <w:rStyle w:val="FootnoteReference"/>
          <w:sz w:val="24"/>
          <w:szCs w:val="24"/>
        </w:rPr>
        <w:footnoteReference w:id="46"/>
      </w:r>
      <w:r w:rsidRPr="002C728C">
        <w:rPr>
          <w:sz w:val="24"/>
          <w:szCs w:val="24"/>
        </w:rPr>
        <w:t xml:space="preserve">  Danuta Shanzer</w:t>
      </w:r>
      <w:r w:rsidRPr="002C728C">
        <w:rPr>
          <w:sz w:val="24"/>
          <w:szCs w:val="24"/>
        </w:rPr>
        <w:t xml:space="preserve"> believed that Ausonius knew exactly what he was doing. As such, the Mosella serves to “elaborate the relationship between man and nature, and between poet and emperor patron</w:t>
      </w:r>
      <w:r w:rsidR="00962077">
        <w:rPr>
          <w:sz w:val="24"/>
          <w:szCs w:val="24"/>
        </w:rPr>
        <w:t>.”</w:t>
      </w:r>
      <w:r>
        <w:rPr>
          <w:rStyle w:val="FootnoteReference"/>
          <w:sz w:val="24"/>
          <w:szCs w:val="24"/>
        </w:rPr>
        <w:footnoteReference w:id="47"/>
      </w:r>
      <w:r w:rsidRPr="002C728C">
        <w:rPr>
          <w:sz w:val="24"/>
          <w:szCs w:val="24"/>
        </w:rPr>
        <w:t xml:space="preserve">  The first part of the poem might be viewed as a word painting of the river a</w:t>
      </w:r>
      <w:r w:rsidRPr="002C728C">
        <w:rPr>
          <w:sz w:val="24"/>
          <w:szCs w:val="24"/>
        </w:rPr>
        <w:t>nd its environment.   This area most interested Ausonius because it was here that he could fully employ his Latin prose skills in what Kenney rather unkindly termed "literary embalming</w:t>
      </w:r>
      <w:r w:rsidR="00962077">
        <w:rPr>
          <w:sz w:val="24"/>
          <w:szCs w:val="24"/>
        </w:rPr>
        <w:t>.</w:t>
      </w:r>
      <w:r w:rsidRPr="002C728C">
        <w:rPr>
          <w:sz w:val="24"/>
          <w:szCs w:val="24"/>
        </w:rPr>
        <w:t>”</w:t>
      </w:r>
      <w:r>
        <w:rPr>
          <w:rStyle w:val="FootnoteReference"/>
          <w:sz w:val="24"/>
          <w:szCs w:val="24"/>
        </w:rPr>
        <w:footnoteReference w:id="48"/>
      </w:r>
      <w:r w:rsidRPr="002C728C">
        <w:rPr>
          <w:sz w:val="24"/>
          <w:szCs w:val="24"/>
        </w:rPr>
        <w:t xml:space="preserve"> </w:t>
      </w:r>
      <w:r w:rsidR="00962077">
        <w:rPr>
          <w:sz w:val="24"/>
          <w:szCs w:val="24"/>
        </w:rPr>
        <w:t xml:space="preserve"> </w:t>
      </w:r>
      <w:r w:rsidRPr="002C728C">
        <w:rPr>
          <w:sz w:val="24"/>
          <w:szCs w:val="24"/>
        </w:rPr>
        <w:t>The final 135, and especially the last 45 lines, have a less artis</w:t>
      </w:r>
      <w:r w:rsidRPr="002C728C">
        <w:rPr>
          <w:sz w:val="24"/>
          <w:szCs w:val="24"/>
        </w:rPr>
        <w:t>tic intent. Instead, the aim is to write pleasing propaganda in the hope of future promotion.</w:t>
      </w:r>
      <w:r w:rsidR="00962077">
        <w:rPr>
          <w:sz w:val="24"/>
          <w:szCs w:val="24"/>
        </w:rPr>
        <w:t xml:space="preserve"> </w:t>
      </w:r>
      <w:r w:rsidRPr="002C728C">
        <w:rPr>
          <w:sz w:val="24"/>
          <w:szCs w:val="24"/>
        </w:rPr>
        <w:t>“The rhetoric at the end of the poem exemplifies the two directions in which the poet is drawn</w:t>
      </w:r>
      <w:r w:rsidR="00962077">
        <w:rPr>
          <w:sz w:val="24"/>
          <w:szCs w:val="24"/>
        </w:rPr>
        <w:t>.</w:t>
      </w:r>
      <w:r w:rsidRPr="002C728C">
        <w:rPr>
          <w:sz w:val="24"/>
          <w:szCs w:val="24"/>
        </w:rPr>
        <w:t>”</w:t>
      </w:r>
      <w:r>
        <w:rPr>
          <w:rStyle w:val="FootnoteReference"/>
          <w:sz w:val="24"/>
          <w:szCs w:val="24"/>
        </w:rPr>
        <w:footnoteReference w:id="49"/>
      </w:r>
      <w:r w:rsidRPr="002C728C">
        <w:rPr>
          <w:sz w:val="24"/>
          <w:szCs w:val="24"/>
        </w:rPr>
        <w:t xml:space="preserve"> </w:t>
      </w:r>
    </w:p>
    <w:p w14:paraId="2922FC62" w14:textId="77777777" w:rsidR="002C728C" w:rsidRPr="002C728C" w:rsidRDefault="002C728C" w:rsidP="002C728C">
      <w:pPr>
        <w:spacing w:after="0"/>
        <w:rPr>
          <w:sz w:val="24"/>
          <w:szCs w:val="24"/>
        </w:rPr>
      </w:pPr>
    </w:p>
    <w:p w14:paraId="3144268A" w14:textId="03C86EDC" w:rsidR="00CF199E" w:rsidRDefault="009E7415" w:rsidP="002C728C">
      <w:pPr>
        <w:spacing w:after="0"/>
        <w:rPr>
          <w:sz w:val="24"/>
          <w:szCs w:val="24"/>
        </w:rPr>
      </w:pPr>
      <w:r w:rsidRPr="002C728C">
        <w:rPr>
          <w:sz w:val="24"/>
          <w:szCs w:val="24"/>
        </w:rPr>
        <w:t>Despite Green's counter-arguments</w:t>
      </w:r>
      <w:r w:rsidR="00962077">
        <w:rPr>
          <w:sz w:val="24"/>
          <w:szCs w:val="24"/>
        </w:rPr>
        <w:t>,</w:t>
      </w:r>
      <w:r w:rsidRPr="002C728C">
        <w:rPr>
          <w:sz w:val="24"/>
          <w:szCs w:val="24"/>
        </w:rPr>
        <w:t xml:space="preserve"> I find </w:t>
      </w:r>
      <w:r w:rsidR="00652066">
        <w:rPr>
          <w:sz w:val="24"/>
          <w:szCs w:val="24"/>
        </w:rPr>
        <w:t>Sivan</w:t>
      </w:r>
      <w:r w:rsidRPr="002C728C">
        <w:rPr>
          <w:sz w:val="24"/>
          <w:szCs w:val="24"/>
        </w:rPr>
        <w:t>’s analysis ha</w:t>
      </w:r>
      <w:r w:rsidRPr="002C728C">
        <w:rPr>
          <w:sz w:val="24"/>
          <w:szCs w:val="24"/>
        </w:rPr>
        <w:t>s some merit.</w:t>
      </w:r>
      <w:r w:rsidR="00962077">
        <w:rPr>
          <w:sz w:val="24"/>
          <w:szCs w:val="24"/>
        </w:rPr>
        <w:t xml:space="preserve"> </w:t>
      </w:r>
      <w:r w:rsidRPr="002C728C">
        <w:rPr>
          <w:sz w:val="24"/>
          <w:szCs w:val="24"/>
        </w:rPr>
        <w:t>It is unreasonable to think that a man who prided himself on accuracy could include so many factual inconsistencies. Reinforcing the theory that this part of the poem is a later edition are the verses immediately preceding them, which read li</w:t>
      </w:r>
      <w:r w:rsidRPr="002C728C">
        <w:rPr>
          <w:sz w:val="24"/>
          <w:szCs w:val="24"/>
        </w:rPr>
        <w:t xml:space="preserve">ke a conclusion: </w:t>
      </w:r>
      <w:r w:rsidRPr="002C728C">
        <w:rPr>
          <w:i/>
          <w:sz w:val="24"/>
          <w:szCs w:val="24"/>
        </w:rPr>
        <w:t>“tunc verus habebere limes</w:t>
      </w:r>
      <w:r w:rsidR="00962077">
        <w:rPr>
          <w:i/>
          <w:sz w:val="24"/>
          <w:szCs w:val="24"/>
        </w:rPr>
        <w:t>,</w:t>
      </w:r>
      <w:r w:rsidRPr="002C728C">
        <w:rPr>
          <w:i/>
          <w:sz w:val="24"/>
          <w:szCs w:val="24"/>
        </w:rPr>
        <w:t xml:space="preserve"> </w:t>
      </w:r>
      <w:r w:rsidR="00962077">
        <w:rPr>
          <w:i/>
          <w:sz w:val="24"/>
          <w:szCs w:val="24"/>
        </w:rPr>
        <w:t>a</w:t>
      </w:r>
      <w:r w:rsidRPr="002C728C">
        <w:rPr>
          <w:i/>
          <w:sz w:val="24"/>
          <w:szCs w:val="24"/>
        </w:rPr>
        <w:t>ccedet tanto geminum tibi nomen ab amni, cumque unus de fonte fluas, dicere bicornis</w:t>
      </w:r>
      <w:r w:rsidR="00962077">
        <w:rPr>
          <w:i/>
          <w:sz w:val="24"/>
          <w:szCs w:val="24"/>
        </w:rPr>
        <w:t>.</w:t>
      </w:r>
      <w:r w:rsidRPr="002C728C">
        <w:rPr>
          <w:i/>
          <w:sz w:val="24"/>
          <w:szCs w:val="24"/>
        </w:rPr>
        <w:t>“</w:t>
      </w:r>
      <w:r>
        <w:rPr>
          <w:rStyle w:val="FootnoteReference"/>
          <w:i/>
          <w:sz w:val="24"/>
          <w:szCs w:val="24"/>
        </w:rPr>
        <w:footnoteReference w:id="50"/>
      </w:r>
      <w:r w:rsidRPr="002C728C">
        <w:rPr>
          <w:i/>
          <w:sz w:val="24"/>
          <w:szCs w:val="24"/>
        </w:rPr>
        <w:t xml:space="preserve">   </w:t>
      </w:r>
      <w:r w:rsidRPr="002C728C">
        <w:rPr>
          <w:sz w:val="24"/>
          <w:szCs w:val="24"/>
        </w:rPr>
        <w:t>Indeed Ausonius returns to the concept of the “Horned Moselle”</w:t>
      </w:r>
      <w:r>
        <w:rPr>
          <w:rStyle w:val="FootnoteReference"/>
          <w:sz w:val="24"/>
          <w:szCs w:val="24"/>
        </w:rPr>
        <w:footnoteReference w:id="51"/>
      </w:r>
      <w:r w:rsidRPr="002C728C">
        <w:rPr>
          <w:sz w:val="24"/>
          <w:szCs w:val="24"/>
        </w:rPr>
        <w:t xml:space="preserve"> just before the final conclusion in line 469. The pane</w:t>
      </w:r>
      <w:r w:rsidRPr="002C728C">
        <w:rPr>
          <w:sz w:val="24"/>
          <w:szCs w:val="24"/>
        </w:rPr>
        <w:t>gyric style, which so characterises these last 45 lines, is clearly done with an eye to career progression.</w:t>
      </w:r>
      <w:r w:rsidR="00962077">
        <w:rPr>
          <w:sz w:val="24"/>
          <w:szCs w:val="24"/>
        </w:rPr>
        <w:t xml:space="preserve"> </w:t>
      </w:r>
      <w:r w:rsidRPr="002C728C">
        <w:rPr>
          <w:sz w:val="24"/>
          <w:szCs w:val="24"/>
        </w:rPr>
        <w:t xml:space="preserve">His allusion to future high office almost seems to serve as a reminder to his patron of a quid pro quo arrangement that should not be forgotten. He </w:t>
      </w:r>
      <w:r w:rsidRPr="002C728C">
        <w:rPr>
          <w:sz w:val="24"/>
          <w:szCs w:val="24"/>
        </w:rPr>
        <w:t>has written a poem which raises a river of secondary importance to that of “the most important waterway at least in Gaul</w:t>
      </w:r>
      <w:r w:rsidR="00962077">
        <w:rPr>
          <w:sz w:val="24"/>
          <w:szCs w:val="24"/>
        </w:rPr>
        <w:t>.</w:t>
      </w:r>
      <w:r w:rsidRPr="002C728C">
        <w:rPr>
          <w:sz w:val="24"/>
          <w:szCs w:val="24"/>
        </w:rPr>
        <w:t>”</w:t>
      </w:r>
      <w:r>
        <w:rPr>
          <w:rStyle w:val="FootnoteReference"/>
          <w:sz w:val="24"/>
          <w:szCs w:val="24"/>
        </w:rPr>
        <w:footnoteReference w:id="52"/>
      </w:r>
      <w:r w:rsidRPr="002C728C">
        <w:rPr>
          <w:sz w:val="24"/>
          <w:szCs w:val="24"/>
        </w:rPr>
        <w:t xml:space="preserve">   He has done so to sell the merits of empire, security, prosperity and order and, in doing </w:t>
      </w:r>
      <w:r w:rsidR="00373163">
        <w:rPr>
          <w:sz w:val="24"/>
          <w:szCs w:val="24"/>
        </w:rPr>
        <w:t xml:space="preserve">so, </w:t>
      </w:r>
      <w:r w:rsidRPr="002C728C">
        <w:rPr>
          <w:sz w:val="24"/>
          <w:szCs w:val="24"/>
        </w:rPr>
        <w:t>to sell himself as a solid candidat</w:t>
      </w:r>
      <w:r w:rsidRPr="002C728C">
        <w:rPr>
          <w:sz w:val="24"/>
          <w:szCs w:val="24"/>
        </w:rPr>
        <w:t>e for advancement.</w:t>
      </w:r>
      <w:r w:rsidR="00373163">
        <w:rPr>
          <w:sz w:val="24"/>
          <w:szCs w:val="24"/>
        </w:rPr>
        <w:t xml:space="preserve"> </w:t>
      </w:r>
      <w:r w:rsidRPr="002C728C">
        <w:rPr>
          <w:sz w:val="24"/>
          <w:szCs w:val="24"/>
        </w:rPr>
        <w:t>This last section of the poem unequivocally signals the ascendancy of the second of Shanzer’s directions, less artistic in content but with an end purpose in mind.</w:t>
      </w:r>
      <w:r w:rsidR="00373163">
        <w:rPr>
          <w:sz w:val="24"/>
          <w:szCs w:val="24"/>
        </w:rPr>
        <w:t xml:space="preserve"> </w:t>
      </w:r>
      <w:r w:rsidRPr="002C728C">
        <w:rPr>
          <w:sz w:val="24"/>
          <w:szCs w:val="24"/>
        </w:rPr>
        <w:t>As an indication of the effect of autocracy, it represents the most signi</w:t>
      </w:r>
      <w:r w:rsidRPr="002C728C">
        <w:rPr>
          <w:sz w:val="24"/>
          <w:szCs w:val="24"/>
        </w:rPr>
        <w:t>ficant part of his work.</w:t>
      </w:r>
    </w:p>
    <w:p w14:paraId="04DC090B" w14:textId="0853976F" w:rsidR="002332FC" w:rsidRDefault="002332FC" w:rsidP="002C728C">
      <w:pPr>
        <w:spacing w:after="0"/>
        <w:rPr>
          <w:sz w:val="24"/>
          <w:szCs w:val="24"/>
        </w:rPr>
      </w:pPr>
    </w:p>
    <w:p w14:paraId="09E525CA" w14:textId="53290A57" w:rsidR="002332FC" w:rsidRPr="002332FC" w:rsidRDefault="009E7415" w:rsidP="002C728C">
      <w:pPr>
        <w:spacing w:after="0"/>
        <w:rPr>
          <w:i/>
          <w:iCs/>
          <w:sz w:val="24"/>
          <w:szCs w:val="24"/>
        </w:rPr>
      </w:pPr>
      <w:r w:rsidRPr="002332FC">
        <w:rPr>
          <w:i/>
          <w:iCs/>
          <w:sz w:val="24"/>
          <w:szCs w:val="24"/>
        </w:rPr>
        <w:t>(15</w:t>
      </w:r>
      <w:r w:rsidR="00003189">
        <w:rPr>
          <w:i/>
          <w:iCs/>
          <w:sz w:val="24"/>
          <w:szCs w:val="24"/>
        </w:rPr>
        <w:t>15</w:t>
      </w:r>
      <w:r w:rsidRPr="002332FC">
        <w:rPr>
          <w:i/>
          <w:iCs/>
          <w:sz w:val="24"/>
          <w:szCs w:val="24"/>
        </w:rPr>
        <w:t xml:space="preserve"> word count, excluding titles and citations).</w:t>
      </w:r>
    </w:p>
    <w:p w14:paraId="2ED30368" w14:textId="03F2CE42" w:rsidR="00962077" w:rsidRDefault="009E7415">
      <w:pPr>
        <w:rPr>
          <w:sz w:val="24"/>
          <w:szCs w:val="24"/>
        </w:rPr>
      </w:pPr>
      <w:r>
        <w:rPr>
          <w:sz w:val="24"/>
          <w:szCs w:val="24"/>
        </w:rPr>
        <w:br w:type="page"/>
      </w:r>
    </w:p>
    <w:p w14:paraId="14DF7F5D" w14:textId="77777777" w:rsidR="002C728C" w:rsidRPr="002C728C" w:rsidRDefault="002C728C" w:rsidP="002C728C">
      <w:pPr>
        <w:spacing w:after="0"/>
        <w:rPr>
          <w:sz w:val="24"/>
          <w:szCs w:val="24"/>
        </w:rPr>
      </w:pPr>
    </w:p>
    <w:p w14:paraId="17CA7F00" w14:textId="2042AE6F" w:rsidR="00105E4C" w:rsidRDefault="009E7415" w:rsidP="00AE2BB3">
      <w:pPr>
        <w:spacing w:after="0"/>
        <w:rPr>
          <w:b/>
          <w:sz w:val="24"/>
          <w:szCs w:val="24"/>
        </w:rPr>
      </w:pPr>
      <w:r>
        <w:rPr>
          <w:b/>
          <w:sz w:val="24"/>
          <w:szCs w:val="24"/>
        </w:rPr>
        <w:t>Bibliography</w:t>
      </w:r>
    </w:p>
    <w:p w14:paraId="392AA4FA" w14:textId="77777777" w:rsidR="00AE2BB3" w:rsidRDefault="00AE2BB3" w:rsidP="00AE2BB3">
      <w:pPr>
        <w:spacing w:after="0"/>
        <w:rPr>
          <w:b/>
          <w:sz w:val="24"/>
          <w:szCs w:val="24"/>
        </w:rPr>
      </w:pPr>
    </w:p>
    <w:p w14:paraId="2C694711" w14:textId="6B91DDCB" w:rsidR="00105E4C" w:rsidRDefault="009E7415" w:rsidP="00AE2BB3">
      <w:pPr>
        <w:spacing w:after="0"/>
        <w:rPr>
          <w:sz w:val="24"/>
          <w:szCs w:val="24"/>
        </w:rPr>
      </w:pPr>
      <w:r w:rsidRPr="00105E4C">
        <w:rPr>
          <w:sz w:val="24"/>
          <w:szCs w:val="24"/>
        </w:rPr>
        <w:t>Ausonius, Decimus Magnus.  </w:t>
      </w:r>
      <w:r w:rsidRPr="00105E4C">
        <w:rPr>
          <w:i/>
          <w:iCs/>
          <w:sz w:val="24"/>
          <w:szCs w:val="24"/>
        </w:rPr>
        <w:t>Ausonius, with an English translation</w:t>
      </w:r>
      <w:r w:rsidR="00C66D67">
        <w:rPr>
          <w:i/>
          <w:iCs/>
          <w:sz w:val="24"/>
          <w:szCs w:val="24"/>
        </w:rPr>
        <w:t>, Volume I</w:t>
      </w:r>
      <w:r w:rsidRPr="00105E4C">
        <w:rPr>
          <w:i/>
          <w:iCs/>
          <w:sz w:val="24"/>
          <w:szCs w:val="24"/>
        </w:rPr>
        <w:t xml:space="preserve">.  </w:t>
      </w:r>
      <w:r w:rsidRPr="00105E4C">
        <w:rPr>
          <w:sz w:val="24"/>
          <w:szCs w:val="24"/>
        </w:rPr>
        <w:t xml:space="preserve">Trans by Evelyn-White, H. G.  (1924), W. Heinemann, London. Available at: </w:t>
      </w:r>
      <w:hyperlink r:id="rId6" w:history="1">
        <w:r w:rsidRPr="00105E4C">
          <w:rPr>
            <w:color w:val="0000FF"/>
            <w:sz w:val="24"/>
            <w:szCs w:val="24"/>
            <w:u w:val="single"/>
          </w:rPr>
          <w:t>https://archive.org/details/deciausonius01ausouoft/page/x/mode/2up</w:t>
        </w:r>
      </w:hyperlink>
      <w:r w:rsidRPr="00105E4C">
        <w:rPr>
          <w:sz w:val="24"/>
          <w:szCs w:val="24"/>
        </w:rPr>
        <w:t xml:space="preserve">. (Accessed </w:t>
      </w:r>
      <w:r w:rsidR="00BB3DDE">
        <w:rPr>
          <w:sz w:val="24"/>
          <w:szCs w:val="24"/>
        </w:rPr>
        <w:t>3</w:t>
      </w:r>
      <w:r w:rsidRPr="00105E4C">
        <w:rPr>
          <w:sz w:val="24"/>
          <w:szCs w:val="24"/>
        </w:rPr>
        <w:t xml:space="preserve"> Dec. 2022).</w:t>
      </w:r>
    </w:p>
    <w:p w14:paraId="689454D1" w14:textId="1D86C9B1" w:rsidR="001C29CB" w:rsidRDefault="001C29CB" w:rsidP="00AE2BB3">
      <w:pPr>
        <w:spacing w:after="0"/>
        <w:rPr>
          <w:sz w:val="24"/>
          <w:szCs w:val="24"/>
        </w:rPr>
      </w:pPr>
    </w:p>
    <w:p w14:paraId="56F45721" w14:textId="7AEC2324" w:rsidR="001C29CB" w:rsidRDefault="009E7415" w:rsidP="00AE2BB3">
      <w:pPr>
        <w:spacing w:after="0"/>
        <w:rPr>
          <w:sz w:val="24"/>
          <w:szCs w:val="24"/>
        </w:rPr>
      </w:pPr>
      <w:r w:rsidRPr="00105E4C">
        <w:rPr>
          <w:sz w:val="24"/>
          <w:szCs w:val="24"/>
        </w:rPr>
        <w:t>Ausonius, Decimus Magnus.  </w:t>
      </w:r>
      <w:r w:rsidRPr="00105E4C">
        <w:rPr>
          <w:i/>
          <w:iCs/>
          <w:sz w:val="24"/>
          <w:szCs w:val="24"/>
        </w:rPr>
        <w:t>Ausonius,</w:t>
      </w:r>
      <w:r w:rsidR="009D5F06">
        <w:rPr>
          <w:i/>
          <w:iCs/>
          <w:sz w:val="24"/>
          <w:szCs w:val="24"/>
        </w:rPr>
        <w:t xml:space="preserve"> Volume I.</w:t>
      </w:r>
      <w:r w:rsidRPr="00105E4C">
        <w:rPr>
          <w:i/>
          <w:iCs/>
          <w:sz w:val="24"/>
          <w:szCs w:val="24"/>
        </w:rPr>
        <w:t xml:space="preserve"> </w:t>
      </w:r>
      <w:r w:rsidRPr="00105E4C">
        <w:rPr>
          <w:sz w:val="24"/>
          <w:szCs w:val="24"/>
        </w:rPr>
        <w:t>Trans by Evelyn-White, H. G.  (19</w:t>
      </w:r>
      <w:r>
        <w:rPr>
          <w:sz w:val="24"/>
          <w:szCs w:val="24"/>
        </w:rPr>
        <w:t>19</w:t>
      </w:r>
      <w:r w:rsidRPr="00105E4C">
        <w:rPr>
          <w:sz w:val="24"/>
          <w:szCs w:val="24"/>
        </w:rPr>
        <w:t>),</w:t>
      </w:r>
      <w:r>
        <w:rPr>
          <w:sz w:val="24"/>
          <w:szCs w:val="24"/>
        </w:rPr>
        <w:t xml:space="preserve"> </w:t>
      </w:r>
      <w:r w:rsidR="009D5F06">
        <w:rPr>
          <w:sz w:val="24"/>
          <w:szCs w:val="24"/>
        </w:rPr>
        <w:t>W. Heinemann, London.  Available at:</w:t>
      </w:r>
      <w:r w:rsidR="009D5F06" w:rsidRPr="009D5F06">
        <w:t xml:space="preserve"> </w:t>
      </w:r>
      <w:hyperlink r:id="rId7" w:history="1">
        <w:r w:rsidR="009D5F06">
          <w:rPr>
            <w:rStyle w:val="Hyperlink"/>
          </w:rPr>
          <w:t>https://archive.org/details/in.ernet.dli.2015.39504/page/n7/mode/2up</w:t>
        </w:r>
      </w:hyperlink>
      <w:r w:rsidR="009D5F06">
        <w:t xml:space="preserve">. (Accessed </w:t>
      </w:r>
      <w:r w:rsidR="003F6546">
        <w:t>3</w:t>
      </w:r>
      <w:r w:rsidR="009D5F06">
        <w:t xml:space="preserve"> Dec. 2022).</w:t>
      </w:r>
    </w:p>
    <w:p w14:paraId="2631AC26" w14:textId="77777777" w:rsidR="009D5F06" w:rsidRDefault="009D5F06" w:rsidP="00AE2BB3">
      <w:pPr>
        <w:spacing w:after="0"/>
        <w:rPr>
          <w:sz w:val="24"/>
          <w:szCs w:val="24"/>
        </w:rPr>
      </w:pPr>
    </w:p>
    <w:p w14:paraId="4AA14B94" w14:textId="218CED48" w:rsidR="009D5F06" w:rsidRPr="003F6546" w:rsidRDefault="009E7415" w:rsidP="009D5F06">
      <w:pPr>
        <w:spacing w:after="0"/>
        <w:rPr>
          <w:sz w:val="24"/>
          <w:szCs w:val="24"/>
        </w:rPr>
      </w:pPr>
      <w:r w:rsidRPr="003F6546">
        <w:rPr>
          <w:sz w:val="24"/>
          <w:szCs w:val="24"/>
        </w:rPr>
        <w:t>Ausonius, Decimus Magnus.  </w:t>
      </w:r>
      <w:r w:rsidRPr="003F6546">
        <w:rPr>
          <w:i/>
          <w:iCs/>
          <w:sz w:val="24"/>
          <w:szCs w:val="24"/>
        </w:rPr>
        <w:t xml:space="preserve">Ausonius, Volume </w:t>
      </w:r>
      <w:r w:rsidRPr="003F6546">
        <w:rPr>
          <w:i/>
          <w:iCs/>
          <w:sz w:val="24"/>
          <w:szCs w:val="24"/>
        </w:rPr>
        <w:t xml:space="preserve">II. </w:t>
      </w:r>
      <w:r w:rsidRPr="003F6546">
        <w:rPr>
          <w:sz w:val="24"/>
          <w:szCs w:val="24"/>
        </w:rPr>
        <w:t xml:space="preserve">Trans by Evelyn-White, H. G.  (1921), W Heinemann, London.  Available at: </w:t>
      </w:r>
      <w:hyperlink r:id="rId8" w:history="1">
        <w:r w:rsidRPr="003F6546">
          <w:rPr>
            <w:rStyle w:val="Hyperlink"/>
            <w:sz w:val="24"/>
            <w:szCs w:val="24"/>
          </w:rPr>
          <w:t>https://archive.org/details/dli.bengal.10689.2414/page/n9/mode/2up</w:t>
        </w:r>
      </w:hyperlink>
      <w:r w:rsidRPr="003F6546">
        <w:rPr>
          <w:sz w:val="24"/>
          <w:szCs w:val="24"/>
        </w:rPr>
        <w:t xml:space="preserve">. (Accessed </w:t>
      </w:r>
      <w:r w:rsidR="003F6546">
        <w:rPr>
          <w:sz w:val="24"/>
          <w:szCs w:val="24"/>
        </w:rPr>
        <w:t>3</w:t>
      </w:r>
      <w:r w:rsidRPr="003F6546">
        <w:rPr>
          <w:sz w:val="24"/>
          <w:szCs w:val="24"/>
        </w:rPr>
        <w:t xml:space="preserve"> Dec. 2022).</w:t>
      </w:r>
    </w:p>
    <w:p w14:paraId="217EEC78" w14:textId="77777777" w:rsidR="00AE2BB3" w:rsidRPr="003F6546" w:rsidRDefault="00AE2BB3" w:rsidP="00AE2BB3">
      <w:pPr>
        <w:spacing w:after="0"/>
        <w:rPr>
          <w:i/>
          <w:iCs/>
          <w:sz w:val="24"/>
          <w:szCs w:val="24"/>
        </w:rPr>
      </w:pPr>
    </w:p>
    <w:p w14:paraId="3E927BB1" w14:textId="734C6E3F" w:rsidR="00450BCD" w:rsidRDefault="009E7415" w:rsidP="007F0270">
      <w:pPr>
        <w:spacing w:after="0"/>
      </w:pPr>
      <w:r w:rsidRPr="00105E4C">
        <w:rPr>
          <w:sz w:val="24"/>
          <w:szCs w:val="24"/>
        </w:rPr>
        <w:t>Chadwick</w:t>
      </w:r>
      <w:r>
        <w:rPr>
          <w:sz w:val="24"/>
          <w:szCs w:val="24"/>
        </w:rPr>
        <w:t>,</w:t>
      </w:r>
      <w:r w:rsidRPr="00105E4C">
        <w:rPr>
          <w:sz w:val="24"/>
          <w:szCs w:val="24"/>
        </w:rPr>
        <w:t xml:space="preserve"> N</w:t>
      </w:r>
      <w:r>
        <w:rPr>
          <w:sz w:val="24"/>
          <w:szCs w:val="24"/>
        </w:rPr>
        <w:t xml:space="preserve">. K. (1955) </w:t>
      </w:r>
      <w:r w:rsidRPr="007F0270">
        <w:rPr>
          <w:i/>
          <w:iCs/>
          <w:sz w:val="24"/>
          <w:szCs w:val="24"/>
        </w:rPr>
        <w:t xml:space="preserve">Poetry and Letters in </w:t>
      </w:r>
      <w:r w:rsidR="00C82571">
        <w:rPr>
          <w:i/>
          <w:iCs/>
          <w:sz w:val="24"/>
          <w:szCs w:val="24"/>
        </w:rPr>
        <w:t>E</w:t>
      </w:r>
      <w:r w:rsidRPr="007F0270">
        <w:rPr>
          <w:i/>
          <w:iCs/>
          <w:sz w:val="24"/>
          <w:szCs w:val="24"/>
        </w:rPr>
        <w:t>arly Christian Gaul</w:t>
      </w:r>
      <w:r>
        <w:rPr>
          <w:sz w:val="24"/>
          <w:szCs w:val="24"/>
        </w:rPr>
        <w:t xml:space="preserve">. Bowes &amp; Bowes, London. Available </w:t>
      </w:r>
      <w:r w:rsidRPr="00BB3DDE">
        <w:rPr>
          <w:sz w:val="24"/>
          <w:szCs w:val="24"/>
        </w:rPr>
        <w:t xml:space="preserve">at:  </w:t>
      </w:r>
      <w:hyperlink r:id="rId9" w:history="1">
        <w:r w:rsidRPr="00BB3DDE">
          <w:rPr>
            <w:rStyle w:val="Hyperlink"/>
            <w:sz w:val="24"/>
            <w:szCs w:val="24"/>
          </w:rPr>
          <w:t>https://archive.org/details/poetrylettersine0000chad</w:t>
        </w:r>
      </w:hyperlink>
      <w:r w:rsidRPr="00BB3DDE">
        <w:rPr>
          <w:sz w:val="24"/>
          <w:szCs w:val="24"/>
        </w:rPr>
        <w:t xml:space="preserve">. (Accessed </w:t>
      </w:r>
      <w:r w:rsidR="00BB3DDE" w:rsidRPr="00BB3DDE">
        <w:rPr>
          <w:sz w:val="24"/>
          <w:szCs w:val="24"/>
        </w:rPr>
        <w:t>4</w:t>
      </w:r>
      <w:r w:rsidRPr="00BB3DDE">
        <w:rPr>
          <w:sz w:val="24"/>
          <w:szCs w:val="24"/>
        </w:rPr>
        <w:t xml:space="preserve"> Dec. 2022).</w:t>
      </w:r>
    </w:p>
    <w:p w14:paraId="0D350EF6" w14:textId="77777777" w:rsidR="007F0270" w:rsidRPr="00105E4C" w:rsidRDefault="007F0270" w:rsidP="007F0270">
      <w:pPr>
        <w:spacing w:after="0"/>
        <w:rPr>
          <w:sz w:val="24"/>
          <w:szCs w:val="24"/>
        </w:rPr>
      </w:pPr>
    </w:p>
    <w:p w14:paraId="674EC2E3" w14:textId="7C278417" w:rsidR="00105E4C" w:rsidRPr="00105E4C" w:rsidRDefault="009E7415" w:rsidP="007F0270">
      <w:pPr>
        <w:spacing w:after="0"/>
        <w:rPr>
          <w:rFonts w:eastAsia="Times New Roman" w:cstheme="minorHAnsi"/>
          <w:sz w:val="24"/>
          <w:szCs w:val="24"/>
          <w:lang w:eastAsia="en-GB"/>
        </w:rPr>
      </w:pPr>
      <w:r w:rsidRPr="00105E4C">
        <w:rPr>
          <w:rFonts w:eastAsia="Times New Roman" w:cstheme="minorHAnsi"/>
          <w:sz w:val="24"/>
          <w:szCs w:val="24"/>
          <w:lang w:eastAsia="en-GB"/>
        </w:rPr>
        <w:t xml:space="preserve">Drinkwater, J. F. (1999) Re-Dating Ausonius’ War Poetry. </w:t>
      </w:r>
      <w:r w:rsidRPr="00105E4C">
        <w:rPr>
          <w:rFonts w:eastAsia="Times New Roman" w:cstheme="minorHAnsi"/>
          <w:i/>
          <w:iCs/>
          <w:sz w:val="24"/>
          <w:szCs w:val="24"/>
          <w:lang w:eastAsia="en-GB"/>
        </w:rPr>
        <w:t>The American Journal of Philology</w:t>
      </w:r>
      <w:r w:rsidRPr="00105E4C">
        <w:rPr>
          <w:rFonts w:eastAsia="Times New Roman" w:cstheme="minorHAnsi"/>
          <w:sz w:val="24"/>
          <w:szCs w:val="24"/>
          <w:lang w:eastAsia="en-GB"/>
        </w:rPr>
        <w:t xml:space="preserve">, </w:t>
      </w:r>
      <w:r w:rsidRPr="00105E4C">
        <w:rPr>
          <w:rFonts w:eastAsia="Times New Roman" w:cstheme="minorHAnsi"/>
          <w:i/>
          <w:iCs/>
          <w:sz w:val="24"/>
          <w:szCs w:val="24"/>
          <w:lang w:eastAsia="en-GB"/>
        </w:rPr>
        <w:t>vol. 120, no. 3, pp. 443–52</w:t>
      </w:r>
      <w:r w:rsidRPr="00105E4C">
        <w:rPr>
          <w:rFonts w:eastAsia="Times New Roman" w:cstheme="minorHAnsi"/>
          <w:sz w:val="24"/>
          <w:szCs w:val="24"/>
          <w:lang w:eastAsia="en-GB"/>
        </w:rPr>
        <w:t xml:space="preserve">. Available at: </w:t>
      </w:r>
      <w:r w:rsidRPr="00105E4C">
        <w:rPr>
          <w:rFonts w:eastAsia="Times New Roman" w:cstheme="minorHAnsi"/>
          <w:sz w:val="24"/>
          <w:szCs w:val="24"/>
          <w:lang w:eastAsia="en-GB"/>
        </w:rPr>
        <w:t>http://www.jstor.org/stable/1562121. (Accessed 4 Dec. 2022).</w:t>
      </w:r>
    </w:p>
    <w:p w14:paraId="53975BD3" w14:textId="77777777" w:rsidR="00105E4C" w:rsidRPr="00105E4C" w:rsidRDefault="00105E4C" w:rsidP="00105E4C">
      <w:pPr>
        <w:spacing w:after="0"/>
        <w:rPr>
          <w:rFonts w:eastAsia="Times New Roman" w:cstheme="minorHAnsi"/>
          <w:sz w:val="24"/>
          <w:szCs w:val="24"/>
          <w:lang w:eastAsia="en-GB"/>
        </w:rPr>
      </w:pPr>
    </w:p>
    <w:p w14:paraId="2183EFE5" w14:textId="075D302A" w:rsidR="00105E4C" w:rsidRDefault="009E7415" w:rsidP="00450BCD">
      <w:pPr>
        <w:spacing w:after="0"/>
        <w:rPr>
          <w:rFonts w:eastAsia="Times New Roman" w:cstheme="minorHAnsi"/>
          <w:sz w:val="24"/>
          <w:szCs w:val="24"/>
          <w:lang w:eastAsia="en-GB"/>
        </w:rPr>
      </w:pPr>
      <w:r w:rsidRPr="00105E4C">
        <w:rPr>
          <w:rFonts w:cstheme="minorHAnsi"/>
          <w:sz w:val="24"/>
          <w:szCs w:val="24"/>
        </w:rPr>
        <w:t xml:space="preserve">Formisano, M. (2016) Displacing Tradition: A New-Allegorical Reading of Ausonius, Claudian and Rutilius Namatianus. in </w:t>
      </w:r>
      <w:r w:rsidRPr="00105E4C">
        <w:rPr>
          <w:rFonts w:cstheme="minorHAnsi"/>
          <w:i/>
          <w:iCs/>
          <w:sz w:val="24"/>
          <w:szCs w:val="24"/>
        </w:rPr>
        <w:t>The poetics of Late Latin literature,</w:t>
      </w:r>
      <w:r w:rsidRPr="00105E4C">
        <w:rPr>
          <w:rFonts w:cstheme="minorHAnsi"/>
          <w:sz w:val="24"/>
          <w:szCs w:val="24"/>
        </w:rPr>
        <w:t xml:space="preserve"> J Elsner, J. Hernandez Lobato (ed.) N</w:t>
      </w:r>
      <w:r w:rsidRPr="00105E4C">
        <w:rPr>
          <w:rFonts w:cstheme="minorHAnsi"/>
          <w:sz w:val="24"/>
          <w:szCs w:val="24"/>
        </w:rPr>
        <w:t xml:space="preserve">ew York: Oxford University Press), 207-35. </w:t>
      </w:r>
      <w:r w:rsidRPr="00105E4C">
        <w:rPr>
          <w:rFonts w:eastAsia="Times New Roman" w:cstheme="minorHAnsi"/>
          <w:color w:val="2A2A2A"/>
          <w:sz w:val="24"/>
          <w:szCs w:val="24"/>
          <w:shd w:val="clear" w:color="auto" w:fill="FFFFFF"/>
          <w:lang w:eastAsia="en-GB"/>
        </w:rPr>
        <w:t xml:space="preserve">  Available at : </w:t>
      </w:r>
      <w:hyperlink r:id="rId10" w:history="1">
        <w:r w:rsidRPr="00105E4C">
          <w:rPr>
            <w:rStyle w:val="Hyperlink"/>
            <w:rFonts w:eastAsia="Times New Roman" w:cstheme="minorHAnsi"/>
            <w:sz w:val="24"/>
            <w:szCs w:val="24"/>
            <w:bdr w:val="none" w:sz="0" w:space="0" w:color="auto" w:frame="1"/>
            <w:shd w:val="clear" w:color="auto" w:fill="FFFFFF"/>
            <w:lang w:eastAsia="en-GB"/>
          </w:rPr>
          <w:t>https://doi.org/10.1093/acprof:oso/9780199355631.003.0007</w:t>
        </w:r>
      </w:hyperlink>
      <w:r w:rsidRPr="00105E4C">
        <w:rPr>
          <w:rFonts w:eastAsia="Times New Roman" w:cstheme="minorHAnsi"/>
          <w:color w:val="2A2A2A"/>
          <w:sz w:val="24"/>
          <w:szCs w:val="24"/>
          <w:shd w:val="clear" w:color="auto" w:fill="FFFFFF"/>
          <w:lang w:eastAsia="en-GB"/>
        </w:rPr>
        <w:t>, </w:t>
      </w:r>
      <w:r w:rsidRPr="00105E4C">
        <w:rPr>
          <w:rFonts w:eastAsia="Times New Roman" w:cstheme="minorHAnsi"/>
          <w:color w:val="2A2A2A"/>
          <w:sz w:val="24"/>
          <w:szCs w:val="24"/>
          <w:lang w:eastAsia="en-GB"/>
        </w:rPr>
        <w:t>(Accessed 4 Dec. 2022).</w:t>
      </w:r>
    </w:p>
    <w:p w14:paraId="1D0D642C" w14:textId="77777777" w:rsidR="00450BCD" w:rsidRPr="00450BCD" w:rsidRDefault="00450BCD" w:rsidP="00450BCD">
      <w:pPr>
        <w:spacing w:after="0"/>
        <w:rPr>
          <w:rFonts w:eastAsia="Times New Roman" w:cstheme="minorHAnsi"/>
          <w:sz w:val="24"/>
          <w:szCs w:val="24"/>
          <w:lang w:eastAsia="en-GB"/>
        </w:rPr>
      </w:pPr>
    </w:p>
    <w:p w14:paraId="5D96FB08" w14:textId="41FD3C60" w:rsidR="00105E4C" w:rsidRDefault="009E7415" w:rsidP="00BB3DDE">
      <w:pPr>
        <w:spacing w:after="0"/>
        <w:rPr>
          <w:sz w:val="24"/>
          <w:szCs w:val="24"/>
        </w:rPr>
      </w:pPr>
      <w:r w:rsidRPr="00C82571">
        <w:rPr>
          <w:sz w:val="24"/>
          <w:szCs w:val="24"/>
        </w:rPr>
        <w:t xml:space="preserve">Fisher, G. J. (1981)  </w:t>
      </w:r>
      <w:r w:rsidRPr="00C82571">
        <w:rPr>
          <w:i/>
          <w:iCs/>
          <w:sz w:val="24"/>
          <w:szCs w:val="24"/>
        </w:rPr>
        <w:t xml:space="preserve">Studies in </w:t>
      </w:r>
      <w:r w:rsidR="00C82571" w:rsidRPr="00C82571">
        <w:rPr>
          <w:i/>
          <w:iCs/>
          <w:sz w:val="24"/>
          <w:szCs w:val="24"/>
        </w:rPr>
        <w:t>F</w:t>
      </w:r>
      <w:r w:rsidRPr="00C82571">
        <w:rPr>
          <w:i/>
          <w:iCs/>
          <w:sz w:val="24"/>
          <w:szCs w:val="24"/>
        </w:rPr>
        <w:t xml:space="preserve">ourth and </w:t>
      </w:r>
      <w:r w:rsidR="00C82571" w:rsidRPr="00C82571">
        <w:rPr>
          <w:i/>
          <w:iCs/>
          <w:sz w:val="24"/>
          <w:szCs w:val="24"/>
        </w:rPr>
        <w:t>Fi</w:t>
      </w:r>
      <w:r w:rsidRPr="00C82571">
        <w:rPr>
          <w:i/>
          <w:iCs/>
          <w:sz w:val="24"/>
          <w:szCs w:val="24"/>
        </w:rPr>
        <w:t xml:space="preserve">fth </w:t>
      </w:r>
      <w:r w:rsidR="00C82571" w:rsidRPr="00C82571">
        <w:rPr>
          <w:i/>
          <w:iCs/>
          <w:sz w:val="24"/>
          <w:szCs w:val="24"/>
        </w:rPr>
        <w:t>C</w:t>
      </w:r>
      <w:r w:rsidRPr="00C82571">
        <w:rPr>
          <w:i/>
          <w:iCs/>
          <w:sz w:val="24"/>
          <w:szCs w:val="24"/>
        </w:rPr>
        <w:t xml:space="preserve">entury Latin </w:t>
      </w:r>
      <w:r w:rsidR="00C82571" w:rsidRPr="00C82571">
        <w:rPr>
          <w:i/>
          <w:iCs/>
          <w:sz w:val="24"/>
          <w:szCs w:val="24"/>
        </w:rPr>
        <w:t>L</w:t>
      </w:r>
      <w:r w:rsidRPr="00C82571">
        <w:rPr>
          <w:i/>
          <w:iCs/>
          <w:sz w:val="24"/>
          <w:szCs w:val="24"/>
        </w:rPr>
        <w:t xml:space="preserve">iterature with </w:t>
      </w:r>
      <w:r w:rsidR="00C82571" w:rsidRPr="00C82571">
        <w:rPr>
          <w:i/>
          <w:iCs/>
          <w:sz w:val="24"/>
          <w:szCs w:val="24"/>
        </w:rPr>
        <w:t>P</w:t>
      </w:r>
      <w:r w:rsidRPr="00C82571">
        <w:rPr>
          <w:i/>
          <w:iCs/>
          <w:sz w:val="24"/>
          <w:szCs w:val="24"/>
        </w:rPr>
        <w:t xml:space="preserve">articular </w:t>
      </w:r>
      <w:r w:rsidR="00C82571" w:rsidRPr="00C82571">
        <w:rPr>
          <w:i/>
          <w:iCs/>
          <w:sz w:val="24"/>
          <w:szCs w:val="24"/>
        </w:rPr>
        <w:t>R</w:t>
      </w:r>
      <w:r w:rsidRPr="00C82571">
        <w:rPr>
          <w:i/>
          <w:iCs/>
          <w:sz w:val="24"/>
          <w:szCs w:val="24"/>
        </w:rPr>
        <w:t>eference to Ausonius</w:t>
      </w:r>
      <w:r w:rsidRPr="00C82571">
        <w:rPr>
          <w:sz w:val="24"/>
          <w:szCs w:val="24"/>
        </w:rPr>
        <w:t>. (</w:t>
      </w:r>
      <w:r w:rsidR="00C82571">
        <w:rPr>
          <w:sz w:val="24"/>
          <w:szCs w:val="24"/>
        </w:rPr>
        <w:t>PhD Thesis</w:t>
      </w:r>
      <w:r w:rsidRPr="00C82571">
        <w:rPr>
          <w:sz w:val="24"/>
          <w:szCs w:val="24"/>
        </w:rPr>
        <w:t>, University of Southampton</w:t>
      </w:r>
      <w:r w:rsidR="00C82571">
        <w:rPr>
          <w:sz w:val="24"/>
          <w:szCs w:val="24"/>
        </w:rPr>
        <w:t>,</w:t>
      </w:r>
      <w:r w:rsidR="00C82571" w:rsidRPr="00C82571">
        <w:rPr>
          <w:sz w:val="24"/>
          <w:szCs w:val="24"/>
        </w:rPr>
        <w:t xml:space="preserve"> Philosophy</w:t>
      </w:r>
      <w:r w:rsidRPr="00C82571">
        <w:rPr>
          <w:sz w:val="24"/>
          <w:szCs w:val="24"/>
        </w:rPr>
        <w:t>)</w:t>
      </w:r>
      <w:r w:rsidR="00C82571">
        <w:rPr>
          <w:sz w:val="24"/>
          <w:szCs w:val="24"/>
        </w:rPr>
        <w:t xml:space="preserve">. </w:t>
      </w:r>
      <w:r w:rsidR="00BB3DDE">
        <w:rPr>
          <w:sz w:val="24"/>
          <w:szCs w:val="24"/>
        </w:rPr>
        <w:t xml:space="preserve">Available at: </w:t>
      </w:r>
      <w:hyperlink r:id="rId11" w:history="1">
        <w:r w:rsidR="00BB3DDE">
          <w:rPr>
            <w:color w:val="0000FF"/>
            <w:u w:val="single"/>
          </w:rPr>
          <w:t>https://eprints.soton.ac.uk/192481/</w:t>
        </w:r>
      </w:hyperlink>
      <w:r w:rsidR="00BB3DDE">
        <w:rPr>
          <w:sz w:val="24"/>
          <w:szCs w:val="24"/>
        </w:rPr>
        <w:t xml:space="preserve">. (Accessed 7 Dec. 2022). </w:t>
      </w:r>
    </w:p>
    <w:p w14:paraId="09E1A26D" w14:textId="77777777" w:rsidR="00271FD6" w:rsidRPr="00C82571" w:rsidRDefault="00271FD6" w:rsidP="00271FD6">
      <w:pPr>
        <w:spacing w:after="0"/>
        <w:rPr>
          <w:sz w:val="24"/>
          <w:szCs w:val="24"/>
        </w:rPr>
      </w:pPr>
    </w:p>
    <w:p w14:paraId="54F92ACD" w14:textId="466DE5F1" w:rsidR="00450BCD" w:rsidRDefault="009E7415" w:rsidP="00271FD6">
      <w:pPr>
        <w:spacing w:after="0"/>
        <w:rPr>
          <w:sz w:val="24"/>
          <w:szCs w:val="24"/>
          <w:lang w:eastAsia="en-GB"/>
        </w:rPr>
      </w:pPr>
      <w:r w:rsidRPr="00BB0FAD">
        <w:rPr>
          <w:sz w:val="24"/>
          <w:szCs w:val="24"/>
          <w:lang w:eastAsia="en-GB"/>
        </w:rPr>
        <w:t>Green</w:t>
      </w:r>
      <w:r>
        <w:rPr>
          <w:sz w:val="24"/>
          <w:szCs w:val="24"/>
          <w:lang w:eastAsia="en-GB"/>
        </w:rPr>
        <w:t>, R. P. H</w:t>
      </w:r>
      <w:r w:rsidRPr="00BB0FAD">
        <w:rPr>
          <w:sz w:val="24"/>
          <w:szCs w:val="24"/>
          <w:lang w:eastAsia="en-GB"/>
        </w:rPr>
        <w:t xml:space="preserve">. </w:t>
      </w:r>
      <w:r>
        <w:rPr>
          <w:sz w:val="24"/>
          <w:szCs w:val="24"/>
          <w:lang w:eastAsia="en-GB"/>
        </w:rPr>
        <w:t xml:space="preserve">(1997) </w:t>
      </w:r>
      <w:r w:rsidRPr="00BB0FAD">
        <w:rPr>
          <w:sz w:val="24"/>
          <w:szCs w:val="24"/>
          <w:lang w:eastAsia="en-GB"/>
        </w:rPr>
        <w:t>On a Recent Redating of Ausonius’ ‘Moselle.’</w:t>
      </w:r>
      <w:r>
        <w:rPr>
          <w:sz w:val="24"/>
          <w:szCs w:val="24"/>
          <w:lang w:eastAsia="en-GB"/>
        </w:rPr>
        <w:t xml:space="preserve"> </w:t>
      </w:r>
      <w:r w:rsidRPr="00BB0FAD">
        <w:rPr>
          <w:i/>
          <w:iCs/>
          <w:sz w:val="24"/>
          <w:szCs w:val="24"/>
          <w:lang w:val="de-DE" w:eastAsia="en-GB"/>
        </w:rPr>
        <w:t>Historia: Zeitschrift Für Alte Geschichte, vol. 46, no. 2, pp. 214–26</w:t>
      </w:r>
      <w:r w:rsidRPr="00BB0FAD">
        <w:rPr>
          <w:sz w:val="24"/>
          <w:szCs w:val="24"/>
          <w:lang w:val="de-DE" w:eastAsia="en-GB"/>
        </w:rPr>
        <w:t xml:space="preserve">. </w:t>
      </w:r>
      <w:proofErr w:type="spellStart"/>
      <w:r w:rsidRPr="00450BCD">
        <w:rPr>
          <w:sz w:val="24"/>
          <w:szCs w:val="24"/>
          <w:lang w:val="de-DE" w:eastAsia="en-GB"/>
        </w:rPr>
        <w:t>Available</w:t>
      </w:r>
      <w:proofErr w:type="spellEnd"/>
      <w:r w:rsidRPr="00450BCD">
        <w:rPr>
          <w:sz w:val="24"/>
          <w:szCs w:val="24"/>
          <w:lang w:val="de-DE" w:eastAsia="en-GB"/>
        </w:rPr>
        <w:t xml:space="preserve"> at: </w:t>
      </w:r>
      <w:hyperlink r:id="rId12" w:history="1">
        <w:r w:rsidRPr="00BB0FAD">
          <w:rPr>
            <w:rStyle w:val="Hyperlink"/>
            <w:sz w:val="24"/>
            <w:szCs w:val="24"/>
            <w:lang w:val="de-DE" w:eastAsia="en-GB"/>
          </w:rPr>
          <w:t>http://www.jstor.org/stable/4436465</w:t>
        </w:r>
      </w:hyperlink>
      <w:r w:rsidRPr="00BB0FAD">
        <w:rPr>
          <w:sz w:val="24"/>
          <w:szCs w:val="24"/>
          <w:lang w:val="de-DE" w:eastAsia="en-GB"/>
        </w:rPr>
        <w:t>.</w:t>
      </w:r>
      <w:r w:rsidRPr="00450BCD">
        <w:rPr>
          <w:sz w:val="24"/>
          <w:szCs w:val="24"/>
          <w:lang w:val="de-DE" w:eastAsia="en-GB"/>
        </w:rPr>
        <w:t xml:space="preserve"> </w:t>
      </w:r>
      <w:r w:rsidRPr="00111FBC">
        <w:rPr>
          <w:sz w:val="24"/>
          <w:szCs w:val="24"/>
          <w:lang w:eastAsia="en-GB"/>
        </w:rPr>
        <w:t>(</w:t>
      </w:r>
      <w:r w:rsidRPr="00BB0FAD">
        <w:rPr>
          <w:sz w:val="24"/>
          <w:szCs w:val="24"/>
          <w:lang w:eastAsia="en-GB"/>
        </w:rPr>
        <w:t xml:space="preserve">Accessed </w:t>
      </w:r>
      <w:r w:rsidR="00BB3DDE">
        <w:rPr>
          <w:sz w:val="24"/>
          <w:szCs w:val="24"/>
          <w:lang w:eastAsia="en-GB"/>
        </w:rPr>
        <w:t>6</w:t>
      </w:r>
      <w:r w:rsidRPr="00111FBC">
        <w:rPr>
          <w:sz w:val="24"/>
          <w:szCs w:val="24"/>
          <w:lang w:eastAsia="en-GB"/>
        </w:rPr>
        <w:t xml:space="preserve"> </w:t>
      </w:r>
      <w:r w:rsidRPr="00BB0FAD">
        <w:rPr>
          <w:sz w:val="24"/>
          <w:szCs w:val="24"/>
          <w:lang w:eastAsia="en-GB"/>
        </w:rPr>
        <w:t>Dec. 2022</w:t>
      </w:r>
      <w:r w:rsidRPr="00111FBC">
        <w:rPr>
          <w:sz w:val="24"/>
          <w:szCs w:val="24"/>
          <w:lang w:eastAsia="en-GB"/>
        </w:rPr>
        <w:t>)</w:t>
      </w:r>
      <w:r w:rsidRPr="00BB0FAD">
        <w:rPr>
          <w:sz w:val="24"/>
          <w:szCs w:val="24"/>
          <w:lang w:eastAsia="en-GB"/>
        </w:rPr>
        <w:t>.</w:t>
      </w:r>
    </w:p>
    <w:p w14:paraId="5377C7AA" w14:textId="3533B06E" w:rsidR="00450BCD" w:rsidRDefault="00450BCD" w:rsidP="00450BCD">
      <w:pPr>
        <w:spacing w:after="0"/>
        <w:rPr>
          <w:sz w:val="24"/>
          <w:szCs w:val="24"/>
          <w:lang w:eastAsia="en-GB"/>
        </w:rPr>
      </w:pPr>
    </w:p>
    <w:p w14:paraId="1B04467A" w14:textId="032A088B" w:rsidR="00450BCD" w:rsidRDefault="009E7415" w:rsidP="00450BCD">
      <w:pPr>
        <w:spacing w:after="0"/>
        <w:rPr>
          <w:rFonts w:cstheme="minorHAnsi"/>
          <w:color w:val="181817"/>
          <w:sz w:val="24"/>
          <w:szCs w:val="24"/>
          <w:shd w:val="clear" w:color="auto" w:fill="FFFFFF"/>
        </w:rPr>
      </w:pPr>
      <w:r w:rsidRPr="00105E4C">
        <w:rPr>
          <w:rFonts w:cstheme="minorHAnsi"/>
          <w:color w:val="181817"/>
          <w:sz w:val="24"/>
          <w:szCs w:val="24"/>
          <w:shd w:val="clear" w:color="auto" w:fill="FFFFFF"/>
        </w:rPr>
        <w:t xml:space="preserve">Kenney, E. J. (1984) The Mosella of Ausonius, </w:t>
      </w:r>
      <w:r w:rsidRPr="00105E4C">
        <w:rPr>
          <w:rFonts w:cstheme="minorHAnsi"/>
          <w:i/>
          <w:iCs/>
          <w:color w:val="181817"/>
          <w:sz w:val="24"/>
          <w:szCs w:val="24"/>
          <w:bdr w:val="none" w:sz="0" w:space="0" w:color="auto" w:frame="1"/>
          <w:shd w:val="clear" w:color="auto" w:fill="FFFFFF"/>
        </w:rPr>
        <w:t>Greece and Rome</w:t>
      </w:r>
      <w:r w:rsidRPr="00105E4C">
        <w:rPr>
          <w:rFonts w:cstheme="minorHAnsi"/>
          <w:color w:val="181817"/>
          <w:sz w:val="24"/>
          <w:szCs w:val="24"/>
          <w:shd w:val="clear" w:color="auto" w:fill="FFFFFF"/>
        </w:rPr>
        <w:t xml:space="preserve">, </w:t>
      </w:r>
      <w:r w:rsidRPr="00105E4C">
        <w:rPr>
          <w:rFonts w:cstheme="minorHAnsi"/>
          <w:i/>
          <w:iCs/>
          <w:color w:val="181817"/>
          <w:sz w:val="24"/>
          <w:szCs w:val="24"/>
          <w:shd w:val="clear" w:color="auto" w:fill="FFFFFF"/>
        </w:rPr>
        <w:t>31(2), pp. 190–202</w:t>
      </w:r>
      <w:r w:rsidRPr="00105E4C">
        <w:rPr>
          <w:rFonts w:cstheme="minorHAnsi"/>
          <w:color w:val="181817"/>
          <w:sz w:val="24"/>
          <w:szCs w:val="24"/>
          <w:shd w:val="clear" w:color="auto" w:fill="FFFFFF"/>
        </w:rPr>
        <w:t xml:space="preserve">. Cambridge University Press. Available at: </w:t>
      </w:r>
      <w:hyperlink r:id="rId13" w:history="1">
        <w:r w:rsidRPr="00105E4C">
          <w:rPr>
            <w:rStyle w:val="Hyperlink"/>
            <w:rFonts w:cstheme="minorHAnsi"/>
            <w:sz w:val="24"/>
            <w:szCs w:val="24"/>
            <w:shd w:val="clear" w:color="auto" w:fill="FFFFFF"/>
          </w:rPr>
          <w:t>https://doii.org/10.1017/S0017383500028576</w:t>
        </w:r>
      </w:hyperlink>
      <w:r w:rsidRPr="00105E4C">
        <w:rPr>
          <w:rFonts w:cstheme="minorHAnsi"/>
          <w:color w:val="181817"/>
          <w:sz w:val="24"/>
          <w:szCs w:val="24"/>
          <w:shd w:val="clear" w:color="auto" w:fill="FFFFFF"/>
        </w:rPr>
        <w:t xml:space="preserve">. (Accessed </w:t>
      </w:r>
      <w:r w:rsidR="00BB3DDE">
        <w:rPr>
          <w:rFonts w:cstheme="minorHAnsi"/>
          <w:color w:val="181817"/>
          <w:sz w:val="24"/>
          <w:szCs w:val="24"/>
          <w:shd w:val="clear" w:color="auto" w:fill="FFFFFF"/>
        </w:rPr>
        <w:t xml:space="preserve">7 </w:t>
      </w:r>
      <w:r w:rsidRPr="00105E4C">
        <w:rPr>
          <w:rFonts w:cstheme="minorHAnsi"/>
          <w:color w:val="181817"/>
          <w:sz w:val="24"/>
          <w:szCs w:val="24"/>
          <w:shd w:val="clear" w:color="auto" w:fill="FFFFFF"/>
        </w:rPr>
        <w:t>Dec. 2022).</w:t>
      </w:r>
    </w:p>
    <w:p w14:paraId="05C7D097" w14:textId="5D99F470" w:rsidR="00450BCD" w:rsidRDefault="00450BCD" w:rsidP="00450BCD">
      <w:pPr>
        <w:spacing w:after="0"/>
        <w:rPr>
          <w:rFonts w:cstheme="minorHAnsi"/>
          <w:color w:val="181817"/>
          <w:sz w:val="24"/>
          <w:szCs w:val="24"/>
          <w:shd w:val="clear" w:color="auto" w:fill="FFFFFF"/>
        </w:rPr>
      </w:pPr>
    </w:p>
    <w:p w14:paraId="764366BE" w14:textId="470D146A" w:rsidR="00450BCD" w:rsidRPr="00450BCD" w:rsidRDefault="009E7415" w:rsidP="00450BCD">
      <w:pPr>
        <w:spacing w:after="0"/>
        <w:rPr>
          <w:rFonts w:eastAsia="Times New Roman" w:cstheme="minorHAnsi"/>
          <w:sz w:val="24"/>
          <w:szCs w:val="24"/>
          <w:lang w:eastAsia="en-GB"/>
        </w:rPr>
      </w:pPr>
      <w:r w:rsidRPr="00105E4C">
        <w:rPr>
          <w:rFonts w:eastAsia="Times New Roman" w:cstheme="minorHAnsi"/>
          <w:sz w:val="24"/>
          <w:szCs w:val="24"/>
          <w:lang w:eastAsia="en-GB"/>
        </w:rPr>
        <w:lastRenderedPageBreak/>
        <w:t>Newlands, C. (1988)</w:t>
      </w:r>
      <w:r>
        <w:rPr>
          <w:rFonts w:eastAsia="Times New Roman" w:cstheme="minorHAnsi"/>
          <w:sz w:val="24"/>
          <w:szCs w:val="24"/>
          <w:lang w:eastAsia="en-GB"/>
        </w:rPr>
        <w:t xml:space="preserve"> </w:t>
      </w:r>
      <w:r w:rsidRPr="00105E4C">
        <w:rPr>
          <w:rFonts w:eastAsia="Times New Roman" w:cstheme="minorHAnsi"/>
          <w:sz w:val="24"/>
          <w:szCs w:val="24"/>
          <w:lang w:eastAsia="en-GB"/>
        </w:rPr>
        <w:t>Naturae Mirabor Opus: Ausonius</w:t>
      </w:r>
      <w:r w:rsidRPr="00105E4C">
        <w:rPr>
          <w:rFonts w:eastAsia="Times New Roman" w:cstheme="minorHAnsi"/>
          <w:sz w:val="24"/>
          <w:szCs w:val="24"/>
          <w:lang w:eastAsia="en-GB"/>
        </w:rPr>
        <w:t xml:space="preserve">’ Challenge to Statius in the Mosella. </w:t>
      </w:r>
      <w:r w:rsidRPr="00105E4C">
        <w:rPr>
          <w:rFonts w:eastAsia="Times New Roman" w:cstheme="minorHAnsi"/>
          <w:i/>
          <w:iCs/>
          <w:sz w:val="24"/>
          <w:szCs w:val="24"/>
          <w:lang w:eastAsia="en-GB"/>
        </w:rPr>
        <w:t>Transactions of the American Philological Association,</w:t>
      </w:r>
      <w:r w:rsidRPr="00105E4C">
        <w:rPr>
          <w:rFonts w:eastAsia="Times New Roman" w:cstheme="minorHAnsi"/>
          <w:sz w:val="24"/>
          <w:szCs w:val="24"/>
          <w:lang w:eastAsia="en-GB"/>
        </w:rPr>
        <w:t xml:space="preserve"> </w:t>
      </w:r>
      <w:r w:rsidRPr="00105E4C">
        <w:rPr>
          <w:rFonts w:eastAsia="Times New Roman" w:cstheme="minorHAnsi"/>
          <w:i/>
          <w:iCs/>
          <w:sz w:val="24"/>
          <w:szCs w:val="24"/>
          <w:lang w:eastAsia="en-GB"/>
        </w:rPr>
        <w:t>Vol. 118, pp. 403–19</w:t>
      </w:r>
      <w:r w:rsidRPr="00105E4C">
        <w:rPr>
          <w:rFonts w:eastAsia="Times New Roman" w:cstheme="minorHAnsi"/>
          <w:sz w:val="24"/>
          <w:szCs w:val="24"/>
          <w:lang w:eastAsia="en-GB"/>
        </w:rPr>
        <w:t>. Available at:  https://doi.org/10.2307/284180. (Accessed 4 Dec. 2022).</w:t>
      </w:r>
    </w:p>
    <w:p w14:paraId="30655923" w14:textId="3B19647D" w:rsidR="00450BCD" w:rsidRDefault="00450BCD" w:rsidP="00450BCD">
      <w:pPr>
        <w:spacing w:after="0"/>
        <w:rPr>
          <w:sz w:val="24"/>
          <w:szCs w:val="24"/>
          <w:lang w:eastAsia="en-GB"/>
        </w:rPr>
      </w:pPr>
    </w:p>
    <w:p w14:paraId="5830E1E8" w14:textId="0C8909CA" w:rsidR="00450BCD" w:rsidRPr="00450BCD" w:rsidRDefault="009E7415" w:rsidP="00450BCD">
      <w:pPr>
        <w:spacing w:after="0"/>
        <w:rPr>
          <w:rFonts w:eastAsia="Times New Roman" w:cstheme="minorHAnsi"/>
          <w:sz w:val="24"/>
          <w:szCs w:val="24"/>
          <w:lang w:eastAsia="en-GB"/>
        </w:rPr>
      </w:pPr>
      <w:r w:rsidRPr="00105E4C">
        <w:rPr>
          <w:rFonts w:eastAsia="Times New Roman" w:cstheme="minorHAnsi"/>
          <w:sz w:val="24"/>
          <w:szCs w:val="24"/>
          <w:lang w:eastAsia="en-GB"/>
        </w:rPr>
        <w:t>Roberts, M. (1984) The Mosella</w:t>
      </w:r>
      <w:r w:rsidRPr="00105E4C">
        <w:rPr>
          <w:rFonts w:eastAsia="Times New Roman" w:cstheme="minorHAnsi"/>
          <w:sz w:val="24"/>
          <w:szCs w:val="24"/>
          <w:lang w:eastAsia="en-GB"/>
        </w:rPr>
        <w:t xml:space="preserve"> of Ausonius: An Interpretation. </w:t>
      </w:r>
      <w:r w:rsidRPr="00105E4C">
        <w:rPr>
          <w:rFonts w:eastAsia="Times New Roman" w:cstheme="minorHAnsi"/>
          <w:i/>
          <w:iCs/>
          <w:sz w:val="24"/>
          <w:szCs w:val="24"/>
          <w:lang w:eastAsia="en-GB"/>
        </w:rPr>
        <w:t>Transactions of the American Philological Association, vol. 114, 1984, pp. 343–53.</w:t>
      </w:r>
      <w:r w:rsidRPr="00105E4C">
        <w:rPr>
          <w:rFonts w:eastAsia="Times New Roman" w:cstheme="minorHAnsi"/>
          <w:sz w:val="24"/>
          <w:szCs w:val="24"/>
          <w:lang w:eastAsia="en-GB"/>
        </w:rPr>
        <w:t xml:space="preserve"> Available at: https://doi.org/10.2307/284156. (Accessed 4 Dec. 2022).</w:t>
      </w:r>
    </w:p>
    <w:p w14:paraId="12A6E08A" w14:textId="77777777" w:rsidR="00450BCD" w:rsidRPr="00105E4C" w:rsidRDefault="00450BCD" w:rsidP="00450BCD">
      <w:pPr>
        <w:spacing w:after="0"/>
        <w:rPr>
          <w:sz w:val="24"/>
          <w:szCs w:val="24"/>
          <w:lang w:eastAsia="en-GB"/>
        </w:rPr>
      </w:pPr>
    </w:p>
    <w:p w14:paraId="00266994" w14:textId="3769288A" w:rsidR="00105E4C" w:rsidRPr="00450BCD" w:rsidRDefault="009E7415" w:rsidP="00450BCD">
      <w:pPr>
        <w:spacing w:after="0"/>
        <w:rPr>
          <w:sz w:val="24"/>
          <w:szCs w:val="24"/>
          <w:lang w:eastAsia="en-GB"/>
        </w:rPr>
      </w:pPr>
      <w:r w:rsidRPr="00AE2BB3">
        <w:rPr>
          <w:sz w:val="24"/>
          <w:szCs w:val="24"/>
          <w:lang w:eastAsia="en-GB"/>
        </w:rPr>
        <w:t xml:space="preserve">Shanzer, D. </w:t>
      </w:r>
      <w:r w:rsidRPr="00450BCD">
        <w:rPr>
          <w:sz w:val="24"/>
          <w:szCs w:val="24"/>
          <w:lang w:eastAsia="en-GB"/>
        </w:rPr>
        <w:t xml:space="preserve">(1998) </w:t>
      </w:r>
      <w:r w:rsidRPr="00AE2BB3">
        <w:rPr>
          <w:sz w:val="24"/>
          <w:szCs w:val="24"/>
          <w:lang w:eastAsia="en-GB"/>
        </w:rPr>
        <w:t>The Date and Literary Context of Ausonius’s ‘Mosel</w:t>
      </w:r>
      <w:r w:rsidRPr="00AE2BB3">
        <w:rPr>
          <w:sz w:val="24"/>
          <w:szCs w:val="24"/>
          <w:lang w:eastAsia="en-GB"/>
        </w:rPr>
        <w:t>la’: Valentinian I’s Alamannic Campaigns and an Unnamed Office-Holder.</w:t>
      </w:r>
      <w:r w:rsidRPr="00450BCD">
        <w:rPr>
          <w:sz w:val="24"/>
          <w:szCs w:val="24"/>
          <w:lang w:eastAsia="en-GB"/>
        </w:rPr>
        <w:t xml:space="preserve"> </w:t>
      </w:r>
      <w:r w:rsidRPr="00AE2BB3">
        <w:rPr>
          <w:sz w:val="24"/>
          <w:szCs w:val="24"/>
          <w:lang w:eastAsia="en-GB"/>
        </w:rPr>
        <w:t xml:space="preserve"> </w:t>
      </w:r>
      <w:r w:rsidRPr="00AE2BB3">
        <w:rPr>
          <w:i/>
          <w:iCs/>
          <w:sz w:val="24"/>
          <w:szCs w:val="24"/>
          <w:lang w:val="de-DE" w:eastAsia="en-GB"/>
        </w:rPr>
        <w:t>Historia: Zeitschrift Für Alte Geschichte, vol. 47, no. 2, pp. 204–33</w:t>
      </w:r>
      <w:r w:rsidRPr="00AE2BB3">
        <w:rPr>
          <w:sz w:val="24"/>
          <w:szCs w:val="24"/>
          <w:lang w:val="de-DE" w:eastAsia="en-GB"/>
        </w:rPr>
        <w:t xml:space="preserve">. </w:t>
      </w:r>
      <w:r w:rsidRPr="00450BCD">
        <w:rPr>
          <w:sz w:val="24"/>
          <w:szCs w:val="24"/>
          <w:lang w:val="de-DE" w:eastAsia="en-GB"/>
        </w:rPr>
        <w:t xml:space="preserve"> </w:t>
      </w:r>
      <w:proofErr w:type="spellStart"/>
      <w:r w:rsidRPr="00003189">
        <w:rPr>
          <w:sz w:val="24"/>
          <w:szCs w:val="24"/>
          <w:lang w:val="de-DE" w:eastAsia="en-GB"/>
        </w:rPr>
        <w:t>Available</w:t>
      </w:r>
      <w:proofErr w:type="spellEnd"/>
      <w:r w:rsidRPr="00003189">
        <w:rPr>
          <w:sz w:val="24"/>
          <w:szCs w:val="24"/>
          <w:lang w:val="de-DE" w:eastAsia="en-GB"/>
        </w:rPr>
        <w:t xml:space="preserve"> at: </w:t>
      </w:r>
      <w:r w:rsidRPr="00003189">
        <w:rPr>
          <w:sz w:val="24"/>
          <w:szCs w:val="24"/>
          <w:lang w:val="de-DE" w:eastAsia="en-GB"/>
        </w:rPr>
        <w:t xml:space="preserve">http://www.jstor.org/stable/4436502. </w:t>
      </w:r>
      <w:r w:rsidRPr="00003189">
        <w:rPr>
          <w:sz w:val="24"/>
          <w:szCs w:val="24"/>
          <w:lang w:val="de-DE" w:eastAsia="en-GB"/>
        </w:rPr>
        <w:t xml:space="preserve"> </w:t>
      </w:r>
      <w:r w:rsidRPr="00450BCD">
        <w:rPr>
          <w:sz w:val="24"/>
          <w:szCs w:val="24"/>
          <w:lang w:eastAsia="en-GB"/>
        </w:rPr>
        <w:t>(</w:t>
      </w:r>
      <w:r w:rsidRPr="00AE2BB3">
        <w:rPr>
          <w:sz w:val="24"/>
          <w:szCs w:val="24"/>
          <w:lang w:eastAsia="en-GB"/>
        </w:rPr>
        <w:t xml:space="preserve">Accessed </w:t>
      </w:r>
      <w:r w:rsidRPr="00450BCD">
        <w:rPr>
          <w:sz w:val="24"/>
          <w:szCs w:val="24"/>
          <w:lang w:eastAsia="en-GB"/>
        </w:rPr>
        <w:t>6</w:t>
      </w:r>
      <w:r w:rsidRPr="00AE2BB3">
        <w:rPr>
          <w:sz w:val="24"/>
          <w:szCs w:val="24"/>
          <w:lang w:eastAsia="en-GB"/>
        </w:rPr>
        <w:t xml:space="preserve"> Dec. 2022</w:t>
      </w:r>
      <w:r w:rsidRPr="00450BCD">
        <w:rPr>
          <w:sz w:val="24"/>
          <w:szCs w:val="24"/>
          <w:lang w:eastAsia="en-GB"/>
        </w:rPr>
        <w:t>)</w:t>
      </w:r>
      <w:r w:rsidRPr="00AE2BB3">
        <w:rPr>
          <w:sz w:val="24"/>
          <w:szCs w:val="24"/>
          <w:lang w:eastAsia="en-GB"/>
        </w:rPr>
        <w:t>.</w:t>
      </w:r>
    </w:p>
    <w:p w14:paraId="104E38F6" w14:textId="77777777" w:rsidR="00BB0FAD" w:rsidRPr="00450BCD" w:rsidRDefault="00BB0FAD" w:rsidP="00450BCD">
      <w:pPr>
        <w:spacing w:after="0"/>
        <w:rPr>
          <w:sz w:val="24"/>
          <w:szCs w:val="24"/>
          <w:lang w:eastAsia="en-GB"/>
        </w:rPr>
      </w:pPr>
    </w:p>
    <w:p w14:paraId="38E850A6" w14:textId="77777777" w:rsidR="00450BCD" w:rsidRPr="00652066" w:rsidRDefault="009E7415" w:rsidP="00450BCD">
      <w:pPr>
        <w:spacing w:after="0"/>
        <w:rPr>
          <w:sz w:val="24"/>
          <w:szCs w:val="24"/>
          <w:lang w:eastAsia="en-GB"/>
        </w:rPr>
      </w:pPr>
      <w:r w:rsidRPr="00652066">
        <w:rPr>
          <w:sz w:val="24"/>
          <w:szCs w:val="24"/>
          <w:lang w:eastAsia="en-GB"/>
        </w:rPr>
        <w:t xml:space="preserve">Sivan, H. </w:t>
      </w:r>
      <w:r>
        <w:rPr>
          <w:sz w:val="24"/>
          <w:szCs w:val="24"/>
          <w:lang w:eastAsia="en-GB"/>
        </w:rPr>
        <w:t xml:space="preserve">(1990) </w:t>
      </w:r>
      <w:r w:rsidRPr="00652066">
        <w:rPr>
          <w:sz w:val="24"/>
          <w:szCs w:val="24"/>
          <w:lang w:eastAsia="en-GB"/>
        </w:rPr>
        <w:t xml:space="preserve">Redating Ausonius’ Moselle. </w:t>
      </w:r>
      <w:r w:rsidRPr="00652066">
        <w:rPr>
          <w:i/>
          <w:iCs/>
          <w:sz w:val="24"/>
          <w:szCs w:val="24"/>
          <w:lang w:eastAsia="en-GB"/>
        </w:rPr>
        <w:t>The American Journal of Philology, vol. 111, no. 3, pp. 383–94.</w:t>
      </w:r>
      <w:r w:rsidRPr="00652066">
        <w:rPr>
          <w:sz w:val="24"/>
          <w:szCs w:val="24"/>
          <w:lang w:eastAsia="en-GB"/>
        </w:rPr>
        <w:t xml:space="preserve"> </w:t>
      </w:r>
      <w:r>
        <w:rPr>
          <w:sz w:val="24"/>
          <w:szCs w:val="24"/>
          <w:lang w:eastAsia="en-GB"/>
        </w:rPr>
        <w:t xml:space="preserve">Available at: </w:t>
      </w:r>
      <w:r w:rsidRPr="00652066">
        <w:rPr>
          <w:sz w:val="24"/>
          <w:szCs w:val="24"/>
          <w:lang w:eastAsia="en-GB"/>
        </w:rPr>
        <w:t xml:space="preserve">https://doi.org/10.2307/295159. </w:t>
      </w:r>
      <w:r>
        <w:rPr>
          <w:sz w:val="24"/>
          <w:szCs w:val="24"/>
          <w:lang w:eastAsia="en-GB"/>
        </w:rPr>
        <w:t>(</w:t>
      </w:r>
      <w:r w:rsidRPr="00652066">
        <w:rPr>
          <w:sz w:val="24"/>
          <w:szCs w:val="24"/>
          <w:lang w:eastAsia="en-GB"/>
        </w:rPr>
        <w:t xml:space="preserve">Accessed </w:t>
      </w:r>
      <w:r>
        <w:rPr>
          <w:sz w:val="24"/>
          <w:szCs w:val="24"/>
          <w:lang w:eastAsia="en-GB"/>
        </w:rPr>
        <w:t>4</w:t>
      </w:r>
      <w:r w:rsidRPr="00652066">
        <w:rPr>
          <w:sz w:val="24"/>
          <w:szCs w:val="24"/>
          <w:lang w:eastAsia="en-GB"/>
        </w:rPr>
        <w:t xml:space="preserve"> Dec. 2022</w:t>
      </w:r>
      <w:r>
        <w:rPr>
          <w:sz w:val="24"/>
          <w:szCs w:val="24"/>
          <w:lang w:eastAsia="en-GB"/>
        </w:rPr>
        <w:t>)</w:t>
      </w:r>
      <w:r w:rsidRPr="00652066">
        <w:rPr>
          <w:sz w:val="24"/>
          <w:szCs w:val="24"/>
          <w:lang w:eastAsia="en-GB"/>
        </w:rPr>
        <w:t>.</w:t>
      </w:r>
    </w:p>
    <w:p w14:paraId="436AD143" w14:textId="77777777" w:rsidR="00450BCD" w:rsidRPr="00652066" w:rsidRDefault="00450BCD" w:rsidP="00450BCD">
      <w:pPr>
        <w:spacing w:after="0"/>
        <w:rPr>
          <w:sz w:val="24"/>
          <w:szCs w:val="24"/>
        </w:rPr>
      </w:pPr>
    </w:p>
    <w:p w14:paraId="46288E27" w14:textId="27DC74F4" w:rsidR="00105E4C" w:rsidRDefault="009E7415" w:rsidP="00450BCD">
      <w:pPr>
        <w:spacing w:after="0"/>
        <w:rPr>
          <w:sz w:val="24"/>
          <w:szCs w:val="24"/>
        </w:rPr>
      </w:pPr>
      <w:r w:rsidRPr="00111FBC">
        <w:rPr>
          <w:sz w:val="24"/>
          <w:szCs w:val="24"/>
        </w:rPr>
        <w:t xml:space="preserve">Sivan, H. (2003) </w:t>
      </w:r>
      <w:r w:rsidRPr="00111FBC">
        <w:rPr>
          <w:i/>
          <w:iCs/>
          <w:sz w:val="24"/>
          <w:szCs w:val="24"/>
        </w:rPr>
        <w:t>Ausonius of Bordeaux</w:t>
      </w:r>
      <w:r w:rsidRPr="00111FBC">
        <w:rPr>
          <w:sz w:val="24"/>
          <w:szCs w:val="24"/>
        </w:rPr>
        <w:t xml:space="preserve">. </w:t>
      </w:r>
      <w:r>
        <w:rPr>
          <w:sz w:val="24"/>
          <w:szCs w:val="24"/>
        </w:rPr>
        <w:t>(</w:t>
      </w:r>
      <w:r w:rsidRPr="00111FBC">
        <w:rPr>
          <w:sz w:val="24"/>
          <w:szCs w:val="24"/>
        </w:rPr>
        <w:t>1st ed</w:t>
      </w:r>
      <w:r w:rsidR="00652066">
        <w:rPr>
          <w:sz w:val="24"/>
          <w:szCs w:val="24"/>
        </w:rPr>
        <w:t>)</w:t>
      </w:r>
      <w:r w:rsidRPr="00111FBC">
        <w:rPr>
          <w:sz w:val="24"/>
          <w:szCs w:val="24"/>
        </w:rPr>
        <w:t>. Taylor and Francis. Available at: https://ww</w:t>
      </w:r>
      <w:r w:rsidRPr="00111FBC">
        <w:rPr>
          <w:sz w:val="24"/>
          <w:szCs w:val="24"/>
        </w:rPr>
        <w:t>w.perlego.com/book/1711342/ausonius-of-bordeaux-genesis-of-a-gallic-aristocracy-pdf</w:t>
      </w:r>
      <w:r>
        <w:rPr>
          <w:sz w:val="24"/>
          <w:szCs w:val="24"/>
        </w:rPr>
        <w:t xml:space="preserve">. </w:t>
      </w:r>
      <w:r w:rsidRPr="00111FBC">
        <w:rPr>
          <w:sz w:val="24"/>
          <w:szCs w:val="24"/>
        </w:rPr>
        <w:t xml:space="preserve">(Accessed: </w:t>
      </w:r>
      <w:r w:rsidR="00BB3DDE">
        <w:rPr>
          <w:sz w:val="24"/>
          <w:szCs w:val="24"/>
        </w:rPr>
        <w:t>7</w:t>
      </w:r>
      <w:r w:rsidRPr="00111FBC">
        <w:rPr>
          <w:sz w:val="24"/>
          <w:szCs w:val="24"/>
        </w:rPr>
        <w:t xml:space="preserve"> Dec. 2022).</w:t>
      </w:r>
    </w:p>
    <w:p w14:paraId="4B0374F4" w14:textId="77777777" w:rsidR="00450BCD" w:rsidRDefault="00450BCD" w:rsidP="00450BCD">
      <w:pPr>
        <w:spacing w:after="0"/>
        <w:rPr>
          <w:sz w:val="24"/>
          <w:szCs w:val="24"/>
        </w:rPr>
      </w:pPr>
    </w:p>
    <w:p w14:paraId="4261DD39" w14:textId="6D4AC9B3" w:rsidR="00105E4C" w:rsidRDefault="009E7415" w:rsidP="00450BCD">
      <w:pPr>
        <w:spacing w:after="0"/>
        <w:rPr>
          <w:bCs/>
          <w:sz w:val="24"/>
          <w:szCs w:val="24"/>
        </w:rPr>
      </w:pPr>
      <w:r w:rsidRPr="00652066">
        <w:rPr>
          <w:bCs/>
          <w:sz w:val="24"/>
          <w:szCs w:val="24"/>
        </w:rPr>
        <w:t xml:space="preserve">Warren, D. (2017) </w:t>
      </w:r>
      <w:r w:rsidRPr="00652066">
        <w:rPr>
          <w:bCs/>
          <w:i/>
          <w:iCs/>
          <w:sz w:val="24"/>
          <w:szCs w:val="24"/>
        </w:rPr>
        <w:t>Ausonius.</w:t>
      </w:r>
      <w:r w:rsidRPr="00652066">
        <w:rPr>
          <w:bCs/>
          <w:sz w:val="24"/>
          <w:szCs w:val="24"/>
        </w:rPr>
        <w:t xml:space="preserve"> </w:t>
      </w:r>
      <w:r>
        <w:rPr>
          <w:bCs/>
          <w:sz w:val="24"/>
          <w:szCs w:val="24"/>
        </w:rPr>
        <w:t>(</w:t>
      </w:r>
      <w:r w:rsidRPr="00652066">
        <w:rPr>
          <w:bCs/>
          <w:sz w:val="24"/>
          <w:szCs w:val="24"/>
        </w:rPr>
        <w:t>1st e</w:t>
      </w:r>
      <w:r>
        <w:rPr>
          <w:bCs/>
          <w:sz w:val="24"/>
          <w:szCs w:val="24"/>
        </w:rPr>
        <w:t>d)</w:t>
      </w:r>
      <w:r w:rsidRPr="00652066">
        <w:rPr>
          <w:bCs/>
          <w:sz w:val="24"/>
          <w:szCs w:val="24"/>
        </w:rPr>
        <w:t>. Taylor and Francis. Available at: https://www.perlego.com/book/1485903/ausonius-moselle-epigrams-and-other-</w:t>
      </w:r>
      <w:r w:rsidRPr="00652066">
        <w:rPr>
          <w:bCs/>
          <w:sz w:val="24"/>
          <w:szCs w:val="24"/>
        </w:rPr>
        <w:t>poems-pdf (Accessed: 8 Dec</w:t>
      </w:r>
      <w:r>
        <w:rPr>
          <w:bCs/>
          <w:sz w:val="24"/>
          <w:szCs w:val="24"/>
        </w:rPr>
        <w:t>.</w:t>
      </w:r>
      <w:r w:rsidRPr="00652066">
        <w:rPr>
          <w:bCs/>
          <w:sz w:val="24"/>
          <w:szCs w:val="24"/>
        </w:rPr>
        <w:t xml:space="preserve"> 2022).</w:t>
      </w:r>
    </w:p>
    <w:p w14:paraId="0AEAD06E" w14:textId="77777777" w:rsidR="00652066" w:rsidRPr="00652066" w:rsidRDefault="00652066" w:rsidP="00105E4C">
      <w:pPr>
        <w:rPr>
          <w:bCs/>
          <w:sz w:val="24"/>
          <w:szCs w:val="24"/>
        </w:rPr>
      </w:pPr>
    </w:p>
    <w:sectPr w:rsidR="00652066" w:rsidRPr="00652066" w:rsidSect="006E06C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2672CF" w14:textId="77777777" w:rsidR="00000000" w:rsidRDefault="009E7415">
      <w:pPr>
        <w:spacing w:after="0" w:line="240" w:lineRule="auto"/>
      </w:pPr>
      <w:r>
        <w:separator/>
      </w:r>
    </w:p>
  </w:endnote>
  <w:endnote w:type="continuationSeparator" w:id="0">
    <w:p w14:paraId="64806BBE" w14:textId="77777777" w:rsidR="00000000" w:rsidRDefault="009E74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DA7FF9" w14:textId="77777777" w:rsidR="002C728C" w:rsidRDefault="009E7415" w:rsidP="002C728C">
      <w:pPr>
        <w:spacing w:after="0" w:line="240" w:lineRule="auto"/>
      </w:pPr>
      <w:r>
        <w:separator/>
      </w:r>
    </w:p>
  </w:footnote>
  <w:footnote w:type="continuationSeparator" w:id="0">
    <w:p w14:paraId="69C9D99B" w14:textId="77777777" w:rsidR="002C728C" w:rsidRDefault="009E7415" w:rsidP="002C728C">
      <w:pPr>
        <w:spacing w:after="0" w:line="240" w:lineRule="auto"/>
      </w:pPr>
      <w:r>
        <w:continuationSeparator/>
      </w:r>
    </w:p>
  </w:footnote>
  <w:footnote w:id="1">
    <w:p w14:paraId="39B9419B" w14:textId="410910DC" w:rsidR="002C728C" w:rsidRPr="003F6546" w:rsidRDefault="009E7415">
      <w:pPr>
        <w:pStyle w:val="FootnoteText"/>
      </w:pPr>
      <w:r>
        <w:rPr>
          <w:rStyle w:val="FootnoteReference"/>
        </w:rPr>
        <w:footnoteRef/>
      </w:r>
      <w:r w:rsidRPr="003F6546">
        <w:t xml:space="preserve"> Sivan</w:t>
      </w:r>
      <w:r w:rsidR="00121C84" w:rsidRPr="003F6546">
        <w:t>,</w:t>
      </w:r>
      <w:r w:rsidRPr="003F6546">
        <w:t xml:space="preserve"> 2003</w:t>
      </w:r>
      <w:r w:rsidR="00121C84" w:rsidRPr="003F6546">
        <w:t>,</w:t>
      </w:r>
      <w:r w:rsidRPr="003F6546">
        <w:t xml:space="preserve"> p. 16.</w:t>
      </w:r>
    </w:p>
  </w:footnote>
  <w:footnote w:id="2">
    <w:p w14:paraId="16CE3710" w14:textId="09EDE442" w:rsidR="002C728C" w:rsidRPr="003F6546" w:rsidRDefault="009E7415">
      <w:pPr>
        <w:pStyle w:val="FootnoteText"/>
      </w:pPr>
      <w:r w:rsidRPr="003F6546">
        <w:rPr>
          <w:rStyle w:val="FootnoteReference"/>
        </w:rPr>
        <w:footnoteRef/>
      </w:r>
      <w:r w:rsidRPr="003F6546">
        <w:t xml:space="preserve"> </w:t>
      </w:r>
      <w:r w:rsidR="003F6546" w:rsidRPr="003F6546">
        <w:t>Evelyn-White, 19</w:t>
      </w:r>
      <w:r w:rsidR="00C66D67">
        <w:t>24</w:t>
      </w:r>
      <w:r w:rsidR="003F6546" w:rsidRPr="003F6546">
        <w:t>,</w:t>
      </w:r>
      <w:r w:rsidRPr="003F6546">
        <w:t xml:space="preserve"> x</w:t>
      </w:r>
    </w:p>
  </w:footnote>
  <w:footnote w:id="3">
    <w:p w14:paraId="4F25E723" w14:textId="6037885E" w:rsidR="002C728C" w:rsidRPr="003F6546" w:rsidRDefault="009E7415">
      <w:pPr>
        <w:pStyle w:val="FootnoteText"/>
      </w:pPr>
      <w:r w:rsidRPr="003F6546">
        <w:rPr>
          <w:rStyle w:val="FootnoteReference"/>
        </w:rPr>
        <w:footnoteRef/>
      </w:r>
      <w:r w:rsidRPr="003F6546">
        <w:t xml:space="preserve"> </w:t>
      </w:r>
      <w:r w:rsidR="003F6546" w:rsidRPr="003F6546">
        <w:t>Evelyn-White, 19</w:t>
      </w:r>
      <w:r w:rsidR="00C66D67">
        <w:t>24</w:t>
      </w:r>
      <w:r w:rsidR="003F6546" w:rsidRPr="003F6546">
        <w:t>,</w:t>
      </w:r>
      <w:r w:rsidRPr="003F6546">
        <w:t xml:space="preserve"> xvii</w:t>
      </w:r>
    </w:p>
  </w:footnote>
  <w:footnote w:id="4">
    <w:p w14:paraId="1DCF5A51" w14:textId="13D8AF7A" w:rsidR="002C728C" w:rsidRPr="00003189" w:rsidRDefault="009E7415">
      <w:pPr>
        <w:pStyle w:val="FootnoteText"/>
      </w:pPr>
      <w:r>
        <w:rPr>
          <w:rStyle w:val="FootnoteReference"/>
        </w:rPr>
        <w:footnoteRef/>
      </w:r>
      <w:r w:rsidRPr="00003189">
        <w:t xml:space="preserve"> Sivan, 2003, p. 16.</w:t>
      </w:r>
    </w:p>
  </w:footnote>
  <w:footnote w:id="5">
    <w:p w14:paraId="5D05D160" w14:textId="7F173531" w:rsidR="002C728C" w:rsidRDefault="009E7415">
      <w:pPr>
        <w:pStyle w:val="FootnoteText"/>
      </w:pPr>
      <w:r>
        <w:rPr>
          <w:rStyle w:val="FootnoteReference"/>
        </w:rPr>
        <w:footnoteRef/>
      </w:r>
      <w:r>
        <w:t xml:space="preserve"> Roberts, </w:t>
      </w:r>
      <w:r w:rsidR="002332FC">
        <w:t xml:space="preserve">1984, </w:t>
      </w:r>
      <w:r>
        <w:t>p. 345</w:t>
      </w:r>
    </w:p>
  </w:footnote>
  <w:footnote w:id="6">
    <w:p w14:paraId="07528239" w14:textId="338F3B98" w:rsidR="00297995" w:rsidRDefault="009E7415">
      <w:pPr>
        <w:pStyle w:val="FootnoteText"/>
      </w:pPr>
      <w:r>
        <w:rPr>
          <w:rStyle w:val="FootnoteReference"/>
        </w:rPr>
        <w:footnoteRef/>
      </w:r>
      <w:r>
        <w:t xml:space="preserve"> </w:t>
      </w:r>
      <w:r w:rsidR="002332FC">
        <w:t xml:space="preserve">Ibid, </w:t>
      </w:r>
      <w:r>
        <w:t>p. 345</w:t>
      </w:r>
    </w:p>
  </w:footnote>
  <w:footnote w:id="7">
    <w:p w14:paraId="537D1070" w14:textId="1CAC8266" w:rsidR="00297995" w:rsidRDefault="009E7415">
      <w:pPr>
        <w:pStyle w:val="FootnoteText"/>
      </w:pPr>
      <w:r>
        <w:rPr>
          <w:rStyle w:val="FootnoteReference"/>
        </w:rPr>
        <w:footnoteRef/>
      </w:r>
      <w:r>
        <w:t xml:space="preserve"> Ibid, p. 350.</w:t>
      </w:r>
    </w:p>
  </w:footnote>
  <w:footnote w:id="8">
    <w:p w14:paraId="220FAA47" w14:textId="58777863" w:rsidR="00297995" w:rsidRDefault="009E7415">
      <w:pPr>
        <w:pStyle w:val="FootnoteText"/>
      </w:pPr>
      <w:r>
        <w:rPr>
          <w:rStyle w:val="FootnoteReference"/>
        </w:rPr>
        <w:footnoteRef/>
      </w:r>
      <w:r>
        <w:t xml:space="preserve"> Ibid, p. 350.</w:t>
      </w:r>
    </w:p>
  </w:footnote>
  <w:footnote w:id="9">
    <w:p w14:paraId="7986C8B0" w14:textId="5837489D" w:rsidR="00297995" w:rsidRDefault="009E7415">
      <w:pPr>
        <w:pStyle w:val="FootnoteText"/>
      </w:pPr>
      <w:r>
        <w:rPr>
          <w:rStyle w:val="FootnoteReference"/>
        </w:rPr>
        <w:footnoteRef/>
      </w:r>
      <w:r>
        <w:t xml:space="preserve"> Ibid, p. 350.</w:t>
      </w:r>
    </w:p>
  </w:footnote>
  <w:footnote w:id="10">
    <w:p w14:paraId="50FEC3F5" w14:textId="609C82C7" w:rsidR="00297995" w:rsidRDefault="009E7415">
      <w:pPr>
        <w:pStyle w:val="FootnoteText"/>
      </w:pPr>
      <w:r>
        <w:rPr>
          <w:rStyle w:val="FootnoteReference"/>
        </w:rPr>
        <w:footnoteRef/>
      </w:r>
      <w:r>
        <w:t xml:space="preserve"> Aus. Mos. 439.</w:t>
      </w:r>
    </w:p>
  </w:footnote>
  <w:footnote w:id="11">
    <w:p w14:paraId="45EF0997" w14:textId="4DC19F42" w:rsidR="00297995" w:rsidRDefault="009E7415">
      <w:pPr>
        <w:pStyle w:val="FootnoteText"/>
      </w:pPr>
      <w:r>
        <w:rPr>
          <w:rStyle w:val="FootnoteReference"/>
        </w:rPr>
        <w:footnoteRef/>
      </w:r>
      <w:r>
        <w:t xml:space="preserve"> Roberts, </w:t>
      </w:r>
      <w:r w:rsidR="002332FC">
        <w:t xml:space="preserve">1984, </w:t>
      </w:r>
      <w:r>
        <w:t>p. 353.</w:t>
      </w:r>
    </w:p>
  </w:footnote>
  <w:footnote w:id="12">
    <w:p w14:paraId="765BD522" w14:textId="2491EE26" w:rsidR="00297995" w:rsidRDefault="009E7415">
      <w:pPr>
        <w:pStyle w:val="FootnoteText"/>
      </w:pPr>
      <w:r>
        <w:rPr>
          <w:rStyle w:val="FootnoteReference"/>
        </w:rPr>
        <w:footnoteRef/>
      </w:r>
      <w:r>
        <w:t xml:space="preserve"> Ibid, p. 353.</w:t>
      </w:r>
    </w:p>
  </w:footnote>
  <w:footnote w:id="13">
    <w:p w14:paraId="348662DE" w14:textId="43FBB9A1" w:rsidR="00297995" w:rsidRPr="00003189" w:rsidRDefault="009E7415">
      <w:pPr>
        <w:pStyle w:val="FootnoteText"/>
        <w:rPr>
          <w:lang w:val="de-DE"/>
        </w:rPr>
      </w:pPr>
      <w:r>
        <w:rPr>
          <w:rStyle w:val="FootnoteReference"/>
        </w:rPr>
        <w:footnoteRef/>
      </w:r>
      <w:r w:rsidRPr="00003189">
        <w:rPr>
          <w:lang w:val="de-DE"/>
        </w:rPr>
        <w:t xml:space="preserve"> Ibid, p. 353.</w:t>
      </w:r>
    </w:p>
  </w:footnote>
  <w:footnote w:id="14">
    <w:p w14:paraId="665B96FF" w14:textId="1E2E3801" w:rsidR="00297995" w:rsidRPr="00003189" w:rsidRDefault="009E7415">
      <w:pPr>
        <w:pStyle w:val="FootnoteText"/>
        <w:rPr>
          <w:lang w:val="de-DE"/>
        </w:rPr>
      </w:pPr>
      <w:r>
        <w:rPr>
          <w:rStyle w:val="FootnoteReference"/>
        </w:rPr>
        <w:footnoteRef/>
      </w:r>
      <w:r w:rsidRPr="00003189">
        <w:rPr>
          <w:lang w:val="de-DE"/>
        </w:rPr>
        <w:t xml:space="preserve"> Aus. Mos. 438-41.</w:t>
      </w:r>
    </w:p>
  </w:footnote>
  <w:footnote w:id="15">
    <w:p w14:paraId="1CD25E07" w14:textId="38AB8775" w:rsidR="00297995" w:rsidRPr="00003189" w:rsidRDefault="009E7415">
      <w:pPr>
        <w:pStyle w:val="FootnoteText"/>
        <w:rPr>
          <w:lang w:val="de-DE"/>
        </w:rPr>
      </w:pPr>
      <w:r>
        <w:rPr>
          <w:rStyle w:val="FootnoteReference"/>
        </w:rPr>
        <w:footnoteRef/>
      </w:r>
      <w:r w:rsidRPr="00003189">
        <w:rPr>
          <w:lang w:val="de-DE"/>
        </w:rPr>
        <w:t xml:space="preserve"> Aus. Mos. 443.</w:t>
      </w:r>
    </w:p>
  </w:footnote>
  <w:footnote w:id="16">
    <w:p w14:paraId="7E64AD2C" w14:textId="5892ADE7" w:rsidR="00297995" w:rsidRDefault="009E7415">
      <w:pPr>
        <w:pStyle w:val="FootnoteText"/>
      </w:pPr>
      <w:r>
        <w:rPr>
          <w:rStyle w:val="FootnoteReference"/>
        </w:rPr>
        <w:footnoteRef/>
      </w:r>
      <w:r>
        <w:t xml:space="preserve"> </w:t>
      </w:r>
      <w:r w:rsidR="002332FC">
        <w:t>Ibid,</w:t>
      </w:r>
      <w:r>
        <w:t xml:space="preserve"> 448-460.</w:t>
      </w:r>
    </w:p>
  </w:footnote>
  <w:footnote w:id="17">
    <w:p w14:paraId="48B41C2C" w14:textId="41777F71" w:rsidR="00121C84" w:rsidRDefault="009E7415">
      <w:pPr>
        <w:pStyle w:val="FootnoteText"/>
      </w:pPr>
      <w:r>
        <w:rPr>
          <w:rStyle w:val="FootnoteReference"/>
        </w:rPr>
        <w:footnoteRef/>
      </w:r>
      <w:r>
        <w:t xml:space="preserve"> Ibid, 460-482.</w:t>
      </w:r>
    </w:p>
  </w:footnote>
  <w:footnote w:id="18">
    <w:p w14:paraId="01B9E2F2" w14:textId="5E68E1AA" w:rsidR="00121C84" w:rsidRDefault="009E7415" w:rsidP="00121C84">
      <w:pPr>
        <w:pStyle w:val="FootnoteText"/>
      </w:pPr>
      <w:r>
        <w:rPr>
          <w:rStyle w:val="FootnoteReference"/>
        </w:rPr>
        <w:footnoteRef/>
      </w:r>
      <w:r>
        <w:t xml:space="preserve"> Ibid, 467.</w:t>
      </w:r>
    </w:p>
  </w:footnote>
  <w:footnote w:id="19">
    <w:p w14:paraId="02722362" w14:textId="6FBFC4A1" w:rsidR="00121C84" w:rsidRDefault="009E7415">
      <w:pPr>
        <w:pStyle w:val="FootnoteText"/>
      </w:pPr>
      <w:r>
        <w:rPr>
          <w:rStyle w:val="FootnoteReference"/>
        </w:rPr>
        <w:footnoteRef/>
      </w:r>
      <w:r>
        <w:t xml:space="preserve"> Ibid, 483.</w:t>
      </w:r>
    </w:p>
  </w:footnote>
  <w:footnote w:id="20">
    <w:p w14:paraId="56C27C0A" w14:textId="0A3B71F1" w:rsidR="00121C84" w:rsidRDefault="009E7415">
      <w:pPr>
        <w:pStyle w:val="FootnoteText"/>
      </w:pPr>
      <w:r>
        <w:rPr>
          <w:rStyle w:val="FootnoteReference"/>
        </w:rPr>
        <w:footnoteRef/>
      </w:r>
      <w:r>
        <w:t xml:space="preserve"> Ibid, 450.</w:t>
      </w:r>
    </w:p>
  </w:footnote>
  <w:footnote w:id="21">
    <w:p w14:paraId="51158E12" w14:textId="58355108" w:rsidR="00121C84" w:rsidRPr="00003189" w:rsidRDefault="009E7415">
      <w:pPr>
        <w:pStyle w:val="FootnoteText"/>
        <w:rPr>
          <w:lang w:val="sv-SE"/>
        </w:rPr>
      </w:pPr>
      <w:r>
        <w:rPr>
          <w:rStyle w:val="FootnoteReference"/>
        </w:rPr>
        <w:footnoteRef/>
      </w:r>
      <w:r w:rsidRPr="00003189">
        <w:rPr>
          <w:lang w:val="sv-SE"/>
        </w:rPr>
        <w:t xml:space="preserve"> Ibid, 449-50.</w:t>
      </w:r>
    </w:p>
  </w:footnote>
  <w:footnote w:id="22">
    <w:p w14:paraId="5574A654" w14:textId="7AD08FD7" w:rsidR="00121C84" w:rsidRPr="00003189" w:rsidRDefault="009E7415">
      <w:pPr>
        <w:pStyle w:val="FootnoteText"/>
        <w:rPr>
          <w:lang w:val="sv-SE"/>
        </w:rPr>
      </w:pPr>
      <w:r>
        <w:rPr>
          <w:rStyle w:val="FootnoteReference"/>
        </w:rPr>
        <w:footnoteRef/>
      </w:r>
      <w:r w:rsidRPr="00003189">
        <w:rPr>
          <w:lang w:val="sv-SE"/>
        </w:rPr>
        <w:t xml:space="preserve"> Sivan, 1990, p. 385.</w:t>
      </w:r>
    </w:p>
  </w:footnote>
  <w:footnote w:id="23">
    <w:p w14:paraId="0E861029" w14:textId="29CC3C4C" w:rsidR="00121C84" w:rsidRPr="00003189" w:rsidRDefault="009E7415">
      <w:pPr>
        <w:pStyle w:val="FootnoteText"/>
        <w:rPr>
          <w:lang w:val="sv-SE"/>
        </w:rPr>
      </w:pPr>
      <w:r>
        <w:rPr>
          <w:rStyle w:val="FootnoteReference"/>
        </w:rPr>
        <w:footnoteRef/>
      </w:r>
      <w:r w:rsidRPr="00003189">
        <w:rPr>
          <w:lang w:val="sv-SE"/>
        </w:rPr>
        <w:t xml:space="preserve"> Ibid, p. 385.</w:t>
      </w:r>
    </w:p>
  </w:footnote>
  <w:footnote w:id="24">
    <w:p w14:paraId="43443469" w14:textId="29780946" w:rsidR="00121C84" w:rsidRPr="00935451" w:rsidRDefault="009E7415">
      <w:pPr>
        <w:pStyle w:val="FootnoteText"/>
        <w:rPr>
          <w:lang w:val="es-ES"/>
        </w:rPr>
      </w:pPr>
      <w:r>
        <w:rPr>
          <w:rStyle w:val="FootnoteReference"/>
        </w:rPr>
        <w:footnoteRef/>
      </w:r>
      <w:r w:rsidRPr="00935451">
        <w:rPr>
          <w:lang w:val="es-ES"/>
        </w:rPr>
        <w:t xml:space="preserve"> Ibid, p. </w:t>
      </w:r>
      <w:r w:rsidRPr="00935451">
        <w:rPr>
          <w:lang w:val="es-ES"/>
        </w:rPr>
        <w:t>385.</w:t>
      </w:r>
    </w:p>
  </w:footnote>
  <w:footnote w:id="25">
    <w:p w14:paraId="6CB74391" w14:textId="70C335E1" w:rsidR="00121C84" w:rsidRPr="00935451" w:rsidRDefault="009E7415">
      <w:pPr>
        <w:pStyle w:val="FootnoteText"/>
        <w:rPr>
          <w:lang w:val="es-ES"/>
        </w:rPr>
      </w:pPr>
      <w:r>
        <w:rPr>
          <w:rStyle w:val="FootnoteReference"/>
        </w:rPr>
        <w:footnoteRef/>
      </w:r>
      <w:r w:rsidRPr="00935451">
        <w:rPr>
          <w:lang w:val="es-ES"/>
        </w:rPr>
        <w:t xml:space="preserve"> Aus. Mos. 451-2.</w:t>
      </w:r>
    </w:p>
  </w:footnote>
  <w:footnote w:id="26">
    <w:p w14:paraId="36D9EF8E" w14:textId="2E2B37F9" w:rsidR="00121C84" w:rsidRPr="00935451" w:rsidRDefault="009E7415">
      <w:pPr>
        <w:pStyle w:val="FootnoteText"/>
        <w:rPr>
          <w:lang w:val="es-ES"/>
        </w:rPr>
      </w:pPr>
      <w:r>
        <w:rPr>
          <w:rStyle w:val="FootnoteReference"/>
        </w:rPr>
        <w:footnoteRef/>
      </w:r>
      <w:r w:rsidRPr="00935451">
        <w:rPr>
          <w:lang w:val="es-ES"/>
        </w:rPr>
        <w:t xml:space="preserve"> Sivan, 1990. </w:t>
      </w:r>
      <w:r w:rsidR="00231E70" w:rsidRPr="00935451">
        <w:rPr>
          <w:lang w:val="es-ES"/>
        </w:rPr>
        <w:t>p</w:t>
      </w:r>
      <w:r w:rsidRPr="00935451">
        <w:rPr>
          <w:lang w:val="es-ES"/>
        </w:rPr>
        <w:t>. 386.</w:t>
      </w:r>
    </w:p>
  </w:footnote>
  <w:footnote w:id="27">
    <w:p w14:paraId="7C58A32A" w14:textId="1BE1A387" w:rsidR="00121C84" w:rsidRPr="00003189" w:rsidRDefault="009E7415">
      <w:pPr>
        <w:pStyle w:val="FootnoteText"/>
        <w:rPr>
          <w:lang w:val="de-DE"/>
        </w:rPr>
      </w:pPr>
      <w:r>
        <w:rPr>
          <w:rStyle w:val="FootnoteReference"/>
        </w:rPr>
        <w:footnoteRef/>
      </w:r>
      <w:r w:rsidRPr="00003189">
        <w:rPr>
          <w:lang w:val="de-DE"/>
        </w:rPr>
        <w:t xml:space="preserve"> Aus. Mos. 439.</w:t>
      </w:r>
    </w:p>
  </w:footnote>
  <w:footnote w:id="28">
    <w:p w14:paraId="47BADA7A" w14:textId="4B0F1184" w:rsidR="00121C84" w:rsidRPr="00003189" w:rsidRDefault="009E7415">
      <w:pPr>
        <w:pStyle w:val="FootnoteText"/>
        <w:rPr>
          <w:lang w:val="de-DE"/>
        </w:rPr>
      </w:pPr>
      <w:r>
        <w:rPr>
          <w:rStyle w:val="FootnoteReference"/>
        </w:rPr>
        <w:footnoteRef/>
      </w:r>
      <w:r w:rsidRPr="00003189">
        <w:rPr>
          <w:lang w:val="de-DE"/>
        </w:rPr>
        <w:t xml:space="preserve"> </w:t>
      </w:r>
      <w:r w:rsidR="00231E70" w:rsidRPr="00003189">
        <w:rPr>
          <w:lang w:val="de-DE"/>
        </w:rPr>
        <w:t>Sivan 1990, p. 386.</w:t>
      </w:r>
    </w:p>
  </w:footnote>
  <w:footnote w:id="29">
    <w:p w14:paraId="21199A7D" w14:textId="70938AE2" w:rsidR="00231E70" w:rsidRPr="00003189" w:rsidRDefault="009E7415">
      <w:pPr>
        <w:pStyle w:val="FootnoteText"/>
        <w:rPr>
          <w:lang w:val="de-DE"/>
        </w:rPr>
      </w:pPr>
      <w:r>
        <w:rPr>
          <w:rStyle w:val="FootnoteReference"/>
        </w:rPr>
        <w:footnoteRef/>
      </w:r>
      <w:r w:rsidRPr="00003189">
        <w:rPr>
          <w:lang w:val="de-DE"/>
        </w:rPr>
        <w:t xml:space="preserve"> Aus. Mos. 456-7.</w:t>
      </w:r>
    </w:p>
  </w:footnote>
  <w:footnote w:id="30">
    <w:p w14:paraId="22E92962" w14:textId="1C1FC86D" w:rsidR="00231E70" w:rsidRPr="00003189" w:rsidRDefault="009E7415">
      <w:pPr>
        <w:pStyle w:val="FootnoteText"/>
        <w:rPr>
          <w:lang w:val="fi-FI"/>
        </w:rPr>
      </w:pPr>
      <w:r>
        <w:rPr>
          <w:rStyle w:val="FootnoteReference"/>
        </w:rPr>
        <w:footnoteRef/>
      </w:r>
      <w:r w:rsidRPr="00003189">
        <w:rPr>
          <w:lang w:val="fi-FI"/>
        </w:rPr>
        <w:t xml:space="preserve"> Sivan, 1990, p. 387.</w:t>
      </w:r>
    </w:p>
  </w:footnote>
  <w:footnote w:id="31">
    <w:p w14:paraId="3BCFB06F" w14:textId="0A58BE6A" w:rsidR="00231E70" w:rsidRPr="00003189" w:rsidRDefault="009E7415">
      <w:pPr>
        <w:pStyle w:val="FootnoteText"/>
        <w:rPr>
          <w:lang w:val="fi-FI"/>
        </w:rPr>
      </w:pPr>
      <w:r w:rsidRPr="00935451">
        <w:rPr>
          <w:rStyle w:val="FootnoteReference"/>
        </w:rPr>
        <w:footnoteRef/>
      </w:r>
      <w:r w:rsidRPr="00003189">
        <w:rPr>
          <w:lang w:val="fi-FI"/>
        </w:rPr>
        <w:t xml:space="preserve"> Sivan, 1990, p. 38</w:t>
      </w:r>
      <w:r w:rsidR="00935451" w:rsidRPr="00003189">
        <w:rPr>
          <w:lang w:val="fi-FI"/>
        </w:rPr>
        <w:t>4.</w:t>
      </w:r>
      <w:r w:rsidRPr="00003189">
        <w:rPr>
          <w:lang w:val="fi-FI"/>
        </w:rPr>
        <w:t xml:space="preserve"> </w:t>
      </w:r>
    </w:p>
  </w:footnote>
  <w:footnote w:id="32">
    <w:p w14:paraId="2A98C27B" w14:textId="0E7480CF" w:rsidR="00935451" w:rsidRPr="00003189" w:rsidRDefault="009E7415">
      <w:pPr>
        <w:pStyle w:val="FootnoteText"/>
        <w:rPr>
          <w:lang w:val="fi-FI"/>
        </w:rPr>
      </w:pPr>
      <w:r>
        <w:rPr>
          <w:rStyle w:val="FootnoteReference"/>
        </w:rPr>
        <w:footnoteRef/>
      </w:r>
      <w:r w:rsidRPr="00003189">
        <w:rPr>
          <w:lang w:val="fi-FI"/>
        </w:rPr>
        <w:t xml:space="preserve"> Aus. Mos. 439.</w:t>
      </w:r>
    </w:p>
  </w:footnote>
  <w:footnote w:id="33">
    <w:p w14:paraId="3F6CD1C6" w14:textId="126ADBC7" w:rsidR="00935451" w:rsidRPr="00003189" w:rsidRDefault="009E7415">
      <w:pPr>
        <w:pStyle w:val="FootnoteText"/>
        <w:rPr>
          <w:lang w:val="de-DE"/>
        </w:rPr>
      </w:pPr>
      <w:r>
        <w:rPr>
          <w:rStyle w:val="FootnoteReference"/>
        </w:rPr>
        <w:footnoteRef/>
      </w:r>
      <w:r w:rsidRPr="00003189">
        <w:rPr>
          <w:lang w:val="de-DE"/>
        </w:rPr>
        <w:t xml:space="preserve"> Green, 1997, p. 222.</w:t>
      </w:r>
    </w:p>
  </w:footnote>
  <w:footnote w:id="34">
    <w:p w14:paraId="72C82503" w14:textId="0E266212" w:rsidR="00935451" w:rsidRPr="00003189" w:rsidRDefault="009E7415">
      <w:pPr>
        <w:pStyle w:val="FootnoteText"/>
        <w:rPr>
          <w:lang w:val="de-DE"/>
        </w:rPr>
      </w:pPr>
      <w:r>
        <w:rPr>
          <w:rStyle w:val="FootnoteReference"/>
        </w:rPr>
        <w:footnoteRef/>
      </w:r>
      <w:r w:rsidRPr="00003189">
        <w:rPr>
          <w:lang w:val="de-DE"/>
        </w:rPr>
        <w:t xml:space="preserve"> Aus. Mos. 439.</w:t>
      </w:r>
    </w:p>
  </w:footnote>
  <w:footnote w:id="35">
    <w:p w14:paraId="5938191E" w14:textId="1A2F7488" w:rsidR="00935451" w:rsidRPr="00003189" w:rsidRDefault="009E7415">
      <w:pPr>
        <w:pStyle w:val="FootnoteText"/>
        <w:rPr>
          <w:lang w:val="de-DE"/>
        </w:rPr>
      </w:pPr>
      <w:r>
        <w:rPr>
          <w:rStyle w:val="FootnoteReference"/>
        </w:rPr>
        <w:footnoteRef/>
      </w:r>
      <w:r w:rsidRPr="00003189">
        <w:rPr>
          <w:lang w:val="de-DE"/>
        </w:rPr>
        <w:t xml:space="preserve"> Ibid, 456.</w:t>
      </w:r>
    </w:p>
  </w:footnote>
  <w:footnote w:id="36">
    <w:p w14:paraId="6B607B90" w14:textId="384450B1" w:rsidR="00935451" w:rsidRDefault="009E7415">
      <w:pPr>
        <w:pStyle w:val="FootnoteText"/>
      </w:pPr>
      <w:r>
        <w:rPr>
          <w:rStyle w:val="FootnoteReference"/>
        </w:rPr>
        <w:footnoteRef/>
      </w:r>
      <w:r>
        <w:t xml:space="preserve"> Ibid, 456.</w:t>
      </w:r>
    </w:p>
  </w:footnote>
  <w:footnote w:id="37">
    <w:p w14:paraId="33190644" w14:textId="46BF5901" w:rsidR="00935451" w:rsidRDefault="009E7415">
      <w:pPr>
        <w:pStyle w:val="FootnoteText"/>
      </w:pPr>
      <w:r>
        <w:rPr>
          <w:rStyle w:val="FootnoteReference"/>
        </w:rPr>
        <w:footnoteRef/>
      </w:r>
      <w:r>
        <w:t xml:space="preserve"> Green, 1997, p. 222</w:t>
      </w:r>
      <w:r>
        <w:t>.</w:t>
      </w:r>
    </w:p>
  </w:footnote>
  <w:footnote w:id="38">
    <w:p w14:paraId="58B83F92" w14:textId="0DD03AEA" w:rsidR="00935451" w:rsidRDefault="009E7415">
      <w:pPr>
        <w:pStyle w:val="FootnoteText"/>
      </w:pPr>
      <w:r>
        <w:rPr>
          <w:rStyle w:val="FootnoteReference"/>
        </w:rPr>
        <w:footnoteRef/>
      </w:r>
      <w:r>
        <w:t xml:space="preserve"> Ibid, p. 223.</w:t>
      </w:r>
    </w:p>
  </w:footnote>
  <w:footnote w:id="39">
    <w:p w14:paraId="3D70B1AE" w14:textId="4100DCF3" w:rsidR="00935451" w:rsidRPr="00003189" w:rsidRDefault="009E7415">
      <w:pPr>
        <w:pStyle w:val="FootnoteText"/>
        <w:rPr>
          <w:lang w:val="de-DE"/>
        </w:rPr>
      </w:pPr>
      <w:r>
        <w:rPr>
          <w:rStyle w:val="FootnoteReference"/>
        </w:rPr>
        <w:footnoteRef/>
      </w:r>
      <w:r w:rsidRPr="00003189">
        <w:rPr>
          <w:lang w:val="de-DE"/>
        </w:rPr>
        <w:t xml:space="preserve"> Aus. Mos. 451.</w:t>
      </w:r>
    </w:p>
  </w:footnote>
  <w:footnote w:id="40">
    <w:p w14:paraId="33EDC9BD" w14:textId="7E518D36" w:rsidR="00935451" w:rsidRPr="00003189" w:rsidRDefault="009E7415">
      <w:pPr>
        <w:pStyle w:val="FootnoteText"/>
        <w:rPr>
          <w:lang w:val="de-DE"/>
        </w:rPr>
      </w:pPr>
      <w:r>
        <w:rPr>
          <w:rStyle w:val="FootnoteReference"/>
        </w:rPr>
        <w:footnoteRef/>
      </w:r>
      <w:r w:rsidRPr="00003189">
        <w:rPr>
          <w:lang w:val="de-DE"/>
        </w:rPr>
        <w:t xml:space="preserve"> Green, 1997, p. 225-6.</w:t>
      </w:r>
    </w:p>
  </w:footnote>
  <w:footnote w:id="41">
    <w:p w14:paraId="77121F31" w14:textId="6FDDCADA" w:rsidR="00935451" w:rsidRPr="00E9215D" w:rsidRDefault="009E7415">
      <w:pPr>
        <w:pStyle w:val="FootnoteText"/>
        <w:rPr>
          <w:lang w:val="de-DE"/>
        </w:rPr>
      </w:pPr>
      <w:r>
        <w:rPr>
          <w:rStyle w:val="FootnoteReference"/>
        </w:rPr>
        <w:footnoteRef/>
      </w:r>
      <w:r w:rsidRPr="00E9215D">
        <w:rPr>
          <w:lang w:val="de-DE"/>
        </w:rPr>
        <w:t xml:space="preserve"> Ibid</w:t>
      </w:r>
      <w:r w:rsidR="00E9215D" w:rsidRPr="00E9215D">
        <w:rPr>
          <w:lang w:val="de-DE"/>
        </w:rPr>
        <w:t>, p.</w:t>
      </w:r>
      <w:r w:rsidR="00E9215D">
        <w:rPr>
          <w:lang w:val="de-DE"/>
        </w:rPr>
        <w:t xml:space="preserve"> 225-6.</w:t>
      </w:r>
    </w:p>
  </w:footnote>
  <w:footnote w:id="42">
    <w:p w14:paraId="5C3901D2" w14:textId="7A67E2E3" w:rsidR="00E9215D" w:rsidRPr="00E9215D" w:rsidRDefault="009E7415">
      <w:pPr>
        <w:pStyle w:val="FootnoteText"/>
        <w:rPr>
          <w:lang w:val="de-DE"/>
        </w:rPr>
      </w:pPr>
      <w:r>
        <w:rPr>
          <w:rStyle w:val="FootnoteReference"/>
        </w:rPr>
        <w:footnoteRef/>
      </w:r>
      <w:r w:rsidRPr="00E9215D">
        <w:rPr>
          <w:lang w:val="de-DE"/>
        </w:rPr>
        <w:t xml:space="preserve"> Aus. Mos. 422.</w:t>
      </w:r>
    </w:p>
  </w:footnote>
  <w:footnote w:id="43">
    <w:p w14:paraId="104DAEA5" w14:textId="6C3FB3A4" w:rsidR="00E9215D" w:rsidRPr="00003189" w:rsidRDefault="009E7415">
      <w:pPr>
        <w:pStyle w:val="FootnoteText"/>
        <w:rPr>
          <w:lang w:val="fi-FI"/>
        </w:rPr>
      </w:pPr>
      <w:r>
        <w:rPr>
          <w:rStyle w:val="FootnoteReference"/>
        </w:rPr>
        <w:footnoteRef/>
      </w:r>
      <w:r w:rsidRPr="00003189">
        <w:rPr>
          <w:lang w:val="fi-FI"/>
        </w:rPr>
        <w:t xml:space="preserve"> Green, 1997, 225-6.</w:t>
      </w:r>
    </w:p>
  </w:footnote>
  <w:footnote w:id="44">
    <w:p w14:paraId="3629FEBB" w14:textId="7CD2E335" w:rsidR="00E9215D" w:rsidRPr="00003189" w:rsidRDefault="009E7415">
      <w:pPr>
        <w:pStyle w:val="FootnoteText"/>
        <w:rPr>
          <w:lang w:val="fi-FI"/>
        </w:rPr>
      </w:pPr>
      <w:r w:rsidRPr="00BB0FAD">
        <w:rPr>
          <w:rStyle w:val="FootnoteReference"/>
        </w:rPr>
        <w:footnoteRef/>
      </w:r>
      <w:r w:rsidRPr="00003189">
        <w:rPr>
          <w:lang w:val="fi-FI"/>
        </w:rPr>
        <w:t xml:space="preserve"> Kenney, </w:t>
      </w:r>
      <w:r w:rsidR="00BB0FAD" w:rsidRPr="00003189">
        <w:rPr>
          <w:lang w:val="fi-FI"/>
        </w:rPr>
        <w:t xml:space="preserve">1984, </w:t>
      </w:r>
      <w:r w:rsidRPr="00003189">
        <w:rPr>
          <w:lang w:val="fi-FI"/>
        </w:rPr>
        <w:t>p. 190.</w:t>
      </w:r>
    </w:p>
  </w:footnote>
  <w:footnote w:id="45">
    <w:p w14:paraId="113E6CCA" w14:textId="43F82DD9" w:rsidR="00E9215D" w:rsidRPr="00003189" w:rsidRDefault="009E7415">
      <w:pPr>
        <w:pStyle w:val="FootnoteText"/>
        <w:rPr>
          <w:lang w:val="fi-FI"/>
        </w:rPr>
      </w:pPr>
      <w:r>
        <w:rPr>
          <w:rStyle w:val="FootnoteReference"/>
        </w:rPr>
        <w:footnoteRef/>
      </w:r>
      <w:r w:rsidRPr="00003189">
        <w:rPr>
          <w:lang w:val="fi-FI"/>
        </w:rPr>
        <w:t xml:space="preserve"> Kenney, </w:t>
      </w:r>
      <w:r w:rsidR="00BB0FAD" w:rsidRPr="00003189">
        <w:rPr>
          <w:lang w:val="fi-FI"/>
        </w:rPr>
        <w:t xml:space="preserve">1984, </w:t>
      </w:r>
      <w:r w:rsidRPr="00003189">
        <w:rPr>
          <w:lang w:val="fi-FI"/>
        </w:rPr>
        <w:t>p. 190.</w:t>
      </w:r>
    </w:p>
  </w:footnote>
  <w:footnote w:id="46">
    <w:p w14:paraId="4DCC9E28" w14:textId="53A32199" w:rsidR="00E9215D" w:rsidRPr="007F0270" w:rsidRDefault="009E7415">
      <w:pPr>
        <w:pStyle w:val="FootnoteText"/>
        <w:rPr>
          <w:lang w:val="de-DE"/>
        </w:rPr>
      </w:pPr>
      <w:r w:rsidRPr="007F0270">
        <w:rPr>
          <w:rStyle w:val="FootnoteReference"/>
        </w:rPr>
        <w:footnoteRef/>
      </w:r>
      <w:r w:rsidRPr="007F0270">
        <w:rPr>
          <w:lang w:val="de-DE"/>
        </w:rPr>
        <w:t xml:space="preserve"> Chadwick, </w:t>
      </w:r>
      <w:r w:rsidR="007F0270" w:rsidRPr="007F0270">
        <w:rPr>
          <w:lang w:val="de-DE"/>
        </w:rPr>
        <w:t xml:space="preserve">1955, </w:t>
      </w:r>
      <w:r w:rsidRPr="007F0270">
        <w:rPr>
          <w:lang w:val="de-DE"/>
        </w:rPr>
        <w:t>p. 61-2.</w:t>
      </w:r>
    </w:p>
  </w:footnote>
  <w:footnote w:id="47">
    <w:p w14:paraId="4DB2E607" w14:textId="3AC7DECB" w:rsidR="00962077" w:rsidRPr="00003189" w:rsidRDefault="009E7415">
      <w:pPr>
        <w:pStyle w:val="FootnoteText"/>
        <w:rPr>
          <w:lang w:val="de-DE"/>
        </w:rPr>
      </w:pPr>
      <w:r>
        <w:rPr>
          <w:rStyle w:val="FootnoteReference"/>
        </w:rPr>
        <w:footnoteRef/>
      </w:r>
      <w:r w:rsidRPr="00003189">
        <w:rPr>
          <w:lang w:val="de-DE"/>
        </w:rPr>
        <w:t xml:space="preserve"> Shanzer, </w:t>
      </w:r>
      <w:r w:rsidR="00BB0FAD" w:rsidRPr="00003189">
        <w:rPr>
          <w:lang w:val="de-DE"/>
        </w:rPr>
        <w:t xml:space="preserve">1998, </w:t>
      </w:r>
      <w:r w:rsidRPr="00003189">
        <w:rPr>
          <w:lang w:val="de-DE"/>
        </w:rPr>
        <w:t>p. 204.</w:t>
      </w:r>
    </w:p>
  </w:footnote>
  <w:footnote w:id="48">
    <w:p w14:paraId="4CD2D9E4" w14:textId="72B565EC" w:rsidR="00962077" w:rsidRPr="00003189" w:rsidRDefault="009E7415">
      <w:pPr>
        <w:pStyle w:val="FootnoteText"/>
        <w:rPr>
          <w:lang w:val="de-DE"/>
        </w:rPr>
      </w:pPr>
      <w:r w:rsidRPr="00BB0FAD">
        <w:rPr>
          <w:rStyle w:val="FootnoteReference"/>
        </w:rPr>
        <w:footnoteRef/>
      </w:r>
      <w:r w:rsidRPr="00003189">
        <w:rPr>
          <w:lang w:val="de-DE"/>
        </w:rPr>
        <w:t xml:space="preserve"> Kenney, </w:t>
      </w:r>
      <w:r w:rsidR="00BB0FAD" w:rsidRPr="00003189">
        <w:rPr>
          <w:lang w:val="de-DE"/>
        </w:rPr>
        <w:t xml:space="preserve">1984, </w:t>
      </w:r>
      <w:r w:rsidRPr="00003189">
        <w:rPr>
          <w:lang w:val="de-DE"/>
        </w:rPr>
        <w:t>p. 191.</w:t>
      </w:r>
    </w:p>
  </w:footnote>
  <w:footnote w:id="49">
    <w:p w14:paraId="6666DE7B" w14:textId="7CECDC7A" w:rsidR="00962077" w:rsidRPr="00003189" w:rsidRDefault="009E7415">
      <w:pPr>
        <w:pStyle w:val="FootnoteText"/>
        <w:rPr>
          <w:lang w:val="de-DE"/>
        </w:rPr>
      </w:pPr>
      <w:r>
        <w:rPr>
          <w:rStyle w:val="FootnoteReference"/>
        </w:rPr>
        <w:footnoteRef/>
      </w:r>
      <w:r w:rsidRPr="00003189">
        <w:rPr>
          <w:lang w:val="de-DE"/>
        </w:rPr>
        <w:t xml:space="preserve"> </w:t>
      </w:r>
      <w:r w:rsidRPr="00003189">
        <w:rPr>
          <w:lang w:val="de-DE"/>
        </w:rPr>
        <w:t xml:space="preserve">Shanzer, </w:t>
      </w:r>
      <w:r w:rsidR="00BB0FAD" w:rsidRPr="00003189">
        <w:rPr>
          <w:lang w:val="de-DE"/>
        </w:rPr>
        <w:t xml:space="preserve">1998, </w:t>
      </w:r>
      <w:r w:rsidRPr="00003189">
        <w:rPr>
          <w:lang w:val="de-DE"/>
        </w:rPr>
        <w:t>p. 205.</w:t>
      </w:r>
    </w:p>
  </w:footnote>
  <w:footnote w:id="50">
    <w:p w14:paraId="64E82168" w14:textId="6287A70E" w:rsidR="00962077" w:rsidRPr="00003189" w:rsidRDefault="009E7415">
      <w:pPr>
        <w:pStyle w:val="FootnoteText"/>
        <w:rPr>
          <w:lang w:val="de-DE"/>
        </w:rPr>
      </w:pPr>
      <w:r>
        <w:rPr>
          <w:rStyle w:val="FootnoteReference"/>
        </w:rPr>
        <w:footnoteRef/>
      </w:r>
      <w:r w:rsidRPr="00003189">
        <w:rPr>
          <w:lang w:val="de-DE"/>
        </w:rPr>
        <w:t xml:space="preserve"> Aus. Mos. 435-8.</w:t>
      </w:r>
    </w:p>
  </w:footnote>
  <w:footnote w:id="51">
    <w:p w14:paraId="36BEC637" w14:textId="568D1CC7" w:rsidR="00962077" w:rsidRPr="00003189" w:rsidRDefault="009E7415">
      <w:pPr>
        <w:pStyle w:val="FootnoteText"/>
        <w:rPr>
          <w:lang w:val="de-DE"/>
        </w:rPr>
      </w:pPr>
      <w:r>
        <w:rPr>
          <w:rStyle w:val="FootnoteReference"/>
        </w:rPr>
        <w:footnoteRef/>
      </w:r>
      <w:r w:rsidRPr="00003189">
        <w:rPr>
          <w:lang w:val="de-DE"/>
        </w:rPr>
        <w:t xml:space="preserve"> Ibid, 469.</w:t>
      </w:r>
    </w:p>
  </w:footnote>
  <w:footnote w:id="52">
    <w:p w14:paraId="33ED301E" w14:textId="481EC1C3" w:rsidR="00962077" w:rsidRDefault="009E7415">
      <w:pPr>
        <w:pStyle w:val="FootnoteText"/>
      </w:pPr>
      <w:r>
        <w:rPr>
          <w:rStyle w:val="FootnoteReference"/>
        </w:rPr>
        <w:footnoteRef/>
      </w:r>
      <w:r>
        <w:t xml:space="preserve"> Fisher, </w:t>
      </w:r>
      <w:r w:rsidR="00105E4C">
        <w:t xml:space="preserve">1981, </w:t>
      </w:r>
      <w:r>
        <w:t>p. 78.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99E"/>
    <w:rsid w:val="00003189"/>
    <w:rsid w:val="00105E4C"/>
    <w:rsid w:val="00111FBC"/>
    <w:rsid w:val="00121C84"/>
    <w:rsid w:val="001C29CB"/>
    <w:rsid w:val="00231E70"/>
    <w:rsid w:val="002332FC"/>
    <w:rsid w:val="00271FD6"/>
    <w:rsid w:val="00297995"/>
    <w:rsid w:val="002C728C"/>
    <w:rsid w:val="00373163"/>
    <w:rsid w:val="003F6546"/>
    <w:rsid w:val="00444FB4"/>
    <w:rsid w:val="00450BCD"/>
    <w:rsid w:val="005C00F5"/>
    <w:rsid w:val="00652066"/>
    <w:rsid w:val="006E06C4"/>
    <w:rsid w:val="007F0270"/>
    <w:rsid w:val="00935451"/>
    <w:rsid w:val="00962077"/>
    <w:rsid w:val="009D5F06"/>
    <w:rsid w:val="009E7415"/>
    <w:rsid w:val="00AE2BB3"/>
    <w:rsid w:val="00BB0FAD"/>
    <w:rsid w:val="00BB3DDE"/>
    <w:rsid w:val="00C66D67"/>
    <w:rsid w:val="00C82571"/>
    <w:rsid w:val="00CF199E"/>
    <w:rsid w:val="00DD46B2"/>
    <w:rsid w:val="00E9215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618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9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C728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C728C"/>
    <w:rPr>
      <w:sz w:val="20"/>
      <w:szCs w:val="20"/>
    </w:rPr>
  </w:style>
  <w:style w:type="character" w:styleId="FootnoteReference">
    <w:name w:val="footnote reference"/>
    <w:basedOn w:val="DefaultParagraphFont"/>
    <w:uiPriority w:val="99"/>
    <w:semiHidden/>
    <w:unhideWhenUsed/>
    <w:rsid w:val="002C728C"/>
    <w:rPr>
      <w:vertAlign w:val="superscript"/>
    </w:rPr>
  </w:style>
  <w:style w:type="character" w:styleId="Hyperlink">
    <w:name w:val="Hyperlink"/>
    <w:basedOn w:val="DefaultParagraphFont"/>
    <w:uiPriority w:val="99"/>
    <w:unhideWhenUsed/>
    <w:rsid w:val="00105E4C"/>
    <w:rPr>
      <w:color w:val="0000FF"/>
      <w:u w:val="single"/>
    </w:rPr>
  </w:style>
  <w:style w:type="character" w:styleId="UnresolvedMention">
    <w:name w:val="Unresolved Mention"/>
    <w:basedOn w:val="DefaultParagraphFont"/>
    <w:uiPriority w:val="99"/>
    <w:semiHidden/>
    <w:unhideWhenUsed/>
    <w:rsid w:val="00BB0FAD"/>
    <w:rPr>
      <w:color w:val="605E5C"/>
      <w:shd w:val="clear" w:color="auto" w:fill="E1DFDD"/>
    </w:rPr>
  </w:style>
  <w:style w:type="paragraph" w:styleId="Header">
    <w:name w:val="header"/>
    <w:basedOn w:val="Normal"/>
    <w:link w:val="HeaderChar"/>
    <w:uiPriority w:val="99"/>
    <w:unhideWhenUsed/>
    <w:rsid w:val="005C00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00F5"/>
  </w:style>
  <w:style w:type="paragraph" w:styleId="Footer">
    <w:name w:val="footer"/>
    <w:basedOn w:val="Normal"/>
    <w:link w:val="FooterChar"/>
    <w:uiPriority w:val="99"/>
    <w:unhideWhenUsed/>
    <w:rsid w:val="005C00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00F5"/>
  </w:style>
  <w:style w:type="character" w:styleId="FollowedHyperlink">
    <w:name w:val="FollowedHyperlink"/>
    <w:basedOn w:val="DefaultParagraphFont"/>
    <w:uiPriority w:val="99"/>
    <w:semiHidden/>
    <w:unhideWhenUsed/>
    <w:rsid w:val="003F654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rchive.org/details/dli.bengal.10689.2414/page/n9/mode/2up" TargetMode="External"/><Relationship Id="rId13" Type="http://schemas.openxmlformats.org/officeDocument/2006/relationships/hyperlink" Target="https://doii.org/10.1017/S0017383500028576" TargetMode="External"/><Relationship Id="rId3" Type="http://schemas.openxmlformats.org/officeDocument/2006/relationships/webSettings" Target="webSettings.xml"/><Relationship Id="rId7" Type="http://schemas.openxmlformats.org/officeDocument/2006/relationships/hyperlink" Target="https://archive.org/details/in.ernet.dli.2015.39504/page/n7/mode/2up" TargetMode="External"/><Relationship Id="rId12" Type="http://schemas.openxmlformats.org/officeDocument/2006/relationships/hyperlink" Target="http://www.jstor.org/stable/443646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rchive.org/details/deciausonius01ausouoft/page/x/mode/2up" TargetMode="External"/><Relationship Id="rId11" Type="http://schemas.openxmlformats.org/officeDocument/2006/relationships/hyperlink" Target="https://eprints.soton.ac.uk/192481/"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doi.org/10.1093/acprof:oso/9780199355631.003.0007" TargetMode="External"/><Relationship Id="rId4" Type="http://schemas.openxmlformats.org/officeDocument/2006/relationships/footnotes" Target="footnotes.xml"/><Relationship Id="rId9" Type="http://schemas.openxmlformats.org/officeDocument/2006/relationships/hyperlink" Target="https://archive.org/details/poetrylettersine0000cha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1933</Words>
  <Characters>11407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2022-12-08T15:33:00Z</dcterms:created>
  <dcterms:modified xsi:type="dcterms:W3CDTF">2022-12-08T15:33:00Z</dcterms:modified>
</cp:coreProperties>
</file>