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A04E7" w14:textId="34DDF5B1" w:rsidR="00EE1978" w:rsidRDefault="00EE1978" w:rsidP="00EE1978">
      <w:pPr>
        <w:jc w:val="center"/>
      </w:pPr>
      <w:bookmarkStart w:id="0" w:name="_Hlk152252491"/>
      <w:bookmarkEnd w:id="0"/>
      <w:r>
        <w:rPr>
          <w:noProof/>
        </w:rPr>
        <w:drawing>
          <wp:inline distT="0" distB="0" distL="0" distR="0" wp14:anchorId="45D56648" wp14:editId="26C1B2E5">
            <wp:extent cx="2311400" cy="925857"/>
            <wp:effectExtent l="0" t="0" r="0" b="0"/>
            <wp:docPr id="1392438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38772" name="Picture 2"/>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313717" cy="926785"/>
                    </a:xfrm>
                    <a:prstGeom prst="rect">
                      <a:avLst/>
                    </a:prstGeom>
                    <a:noFill/>
                  </pic:spPr>
                </pic:pic>
              </a:graphicData>
            </a:graphic>
          </wp:inline>
        </w:drawing>
      </w:r>
    </w:p>
    <w:p w14:paraId="4227517B" w14:textId="77777777" w:rsidR="00EE1978" w:rsidRDefault="00EE1978" w:rsidP="00EE1978">
      <w:pPr>
        <w:jc w:val="center"/>
      </w:pPr>
    </w:p>
    <w:p w14:paraId="5D2ADBCC" w14:textId="77777777" w:rsidR="00EE1978" w:rsidRDefault="00EE1978" w:rsidP="00EE1978">
      <w:pPr>
        <w:jc w:val="center"/>
      </w:pPr>
    </w:p>
    <w:p w14:paraId="503EFEB2" w14:textId="77777777" w:rsidR="00EE1978" w:rsidRPr="008772B4" w:rsidRDefault="00EE1978" w:rsidP="00EE1978">
      <w:pPr>
        <w:jc w:val="center"/>
        <w:rPr>
          <w:b/>
          <w:bCs/>
          <w:sz w:val="52"/>
          <w:szCs w:val="52"/>
        </w:rPr>
      </w:pPr>
      <w:r w:rsidRPr="008772B4">
        <w:rPr>
          <w:b/>
          <w:bCs/>
          <w:sz w:val="52"/>
          <w:szCs w:val="52"/>
        </w:rPr>
        <w:t>COMMUNITY ENGAGEMENT</w:t>
      </w:r>
    </w:p>
    <w:p w14:paraId="1BBDC77C" w14:textId="77777777" w:rsidR="00EE1978" w:rsidRDefault="00EE1978" w:rsidP="00EE1978">
      <w:pPr>
        <w:jc w:val="center"/>
        <w:rPr>
          <w:b/>
          <w:bCs/>
          <w:sz w:val="36"/>
          <w:szCs w:val="36"/>
        </w:rPr>
      </w:pPr>
    </w:p>
    <w:p w14:paraId="5A9AAB33" w14:textId="6DADBA3B" w:rsidR="00EE1978" w:rsidRDefault="00EE1978" w:rsidP="00EE1978">
      <w:pPr>
        <w:jc w:val="center"/>
        <w:rPr>
          <w:b/>
          <w:bCs/>
          <w:sz w:val="36"/>
          <w:szCs w:val="36"/>
        </w:rPr>
      </w:pPr>
      <w:r w:rsidRPr="005D0A0C">
        <w:rPr>
          <w:b/>
          <w:bCs/>
          <w:sz w:val="36"/>
          <w:szCs w:val="36"/>
        </w:rPr>
        <w:t xml:space="preserve">Part </w:t>
      </w:r>
      <w:r w:rsidR="000712B0">
        <w:rPr>
          <w:b/>
          <w:bCs/>
          <w:sz w:val="36"/>
          <w:szCs w:val="36"/>
        </w:rPr>
        <w:t>2</w:t>
      </w:r>
    </w:p>
    <w:p w14:paraId="7AA6A47B" w14:textId="77777777" w:rsidR="00EE1978" w:rsidRDefault="00EE1978" w:rsidP="00EE1978">
      <w:pPr>
        <w:jc w:val="center"/>
        <w:rPr>
          <w:b/>
          <w:bCs/>
          <w:sz w:val="36"/>
          <w:szCs w:val="36"/>
        </w:rPr>
      </w:pPr>
    </w:p>
    <w:p w14:paraId="66010488" w14:textId="77777777" w:rsidR="00EE1978" w:rsidRPr="005D0A0C" w:rsidRDefault="00EE1978" w:rsidP="00EE1978">
      <w:pPr>
        <w:jc w:val="center"/>
        <w:rPr>
          <w:b/>
          <w:bCs/>
          <w:sz w:val="36"/>
          <w:szCs w:val="36"/>
        </w:rPr>
      </w:pPr>
    </w:p>
    <w:p w14:paraId="5017CD5E" w14:textId="77777777" w:rsidR="00EE1978" w:rsidRPr="005D0A0C" w:rsidRDefault="00EE1978" w:rsidP="00EE1978">
      <w:pPr>
        <w:jc w:val="center"/>
        <w:rPr>
          <w:sz w:val="36"/>
          <w:szCs w:val="36"/>
        </w:rPr>
      </w:pPr>
      <w:r w:rsidRPr="005D0A0C">
        <w:rPr>
          <w:sz w:val="36"/>
          <w:szCs w:val="36"/>
        </w:rPr>
        <w:t>Student Name</w:t>
      </w:r>
      <w:r>
        <w:rPr>
          <w:sz w:val="36"/>
          <w:szCs w:val="36"/>
        </w:rPr>
        <w:t xml:space="preserve">: Claudiu Maran </w:t>
      </w:r>
    </w:p>
    <w:p w14:paraId="3C2E6192" w14:textId="77777777" w:rsidR="00EE1978" w:rsidRPr="005D0A0C" w:rsidRDefault="00EE1978" w:rsidP="00EE1978">
      <w:pPr>
        <w:jc w:val="center"/>
        <w:rPr>
          <w:sz w:val="36"/>
          <w:szCs w:val="36"/>
        </w:rPr>
      </w:pPr>
      <w:r w:rsidRPr="005D0A0C">
        <w:rPr>
          <w:sz w:val="36"/>
          <w:szCs w:val="36"/>
        </w:rPr>
        <w:t>Student ID</w:t>
      </w:r>
      <w:r>
        <w:rPr>
          <w:sz w:val="36"/>
          <w:szCs w:val="36"/>
        </w:rPr>
        <w:t>:2215043</w:t>
      </w:r>
    </w:p>
    <w:p w14:paraId="5A61F062" w14:textId="77777777" w:rsidR="00EE1978" w:rsidRPr="005D0A0C" w:rsidRDefault="00EE1978" w:rsidP="00EE1978">
      <w:pPr>
        <w:jc w:val="center"/>
        <w:rPr>
          <w:sz w:val="36"/>
          <w:szCs w:val="36"/>
        </w:rPr>
      </w:pPr>
      <w:r w:rsidRPr="005D0A0C">
        <w:rPr>
          <w:sz w:val="36"/>
          <w:szCs w:val="36"/>
        </w:rPr>
        <w:t>Module Lecturer’s Name</w:t>
      </w:r>
      <w:r>
        <w:rPr>
          <w:sz w:val="36"/>
          <w:szCs w:val="36"/>
        </w:rPr>
        <w:t>:Akash Puranik</w:t>
      </w:r>
    </w:p>
    <w:p w14:paraId="7A4FD157" w14:textId="77777777" w:rsidR="00EE1978" w:rsidRDefault="00EE1978" w:rsidP="00EE1978">
      <w:pPr>
        <w:jc w:val="center"/>
      </w:pPr>
    </w:p>
    <w:p w14:paraId="631EEC77" w14:textId="77777777" w:rsidR="00EE1978" w:rsidRDefault="00EE1978" w:rsidP="00EE1978">
      <w:pPr>
        <w:jc w:val="center"/>
      </w:pPr>
    </w:p>
    <w:p w14:paraId="346286CB" w14:textId="77777777" w:rsidR="00EE1978" w:rsidRDefault="00EE1978" w:rsidP="00EE1978">
      <w:pPr>
        <w:jc w:val="center"/>
      </w:pPr>
    </w:p>
    <w:p w14:paraId="42D9F35C" w14:textId="77777777" w:rsidR="00EE1978" w:rsidRDefault="00EE1978" w:rsidP="00EE1978">
      <w:pPr>
        <w:jc w:val="center"/>
      </w:pPr>
    </w:p>
    <w:p w14:paraId="3E59F38D" w14:textId="77777777" w:rsidR="00EE1978" w:rsidRDefault="00EE1978" w:rsidP="00EE1978">
      <w:pPr>
        <w:jc w:val="center"/>
      </w:pPr>
    </w:p>
    <w:p w14:paraId="1BE14DFA" w14:textId="77777777" w:rsidR="00EE1978" w:rsidRDefault="00EE1978" w:rsidP="00EE1978">
      <w:pPr>
        <w:jc w:val="center"/>
      </w:pPr>
    </w:p>
    <w:p w14:paraId="2D793CEC" w14:textId="77777777" w:rsidR="00EE1978" w:rsidRDefault="00EE1978" w:rsidP="00EE1978">
      <w:pPr>
        <w:jc w:val="center"/>
      </w:pPr>
    </w:p>
    <w:p w14:paraId="1F23000E" w14:textId="77777777" w:rsidR="00EE1978" w:rsidRDefault="00EE1978" w:rsidP="00EE1978">
      <w:pPr>
        <w:jc w:val="center"/>
      </w:pPr>
    </w:p>
    <w:p w14:paraId="1CC5D628" w14:textId="77777777" w:rsidR="00EE1978" w:rsidRDefault="00EE1978" w:rsidP="00EE1978">
      <w:pPr>
        <w:jc w:val="center"/>
      </w:pPr>
    </w:p>
    <w:p w14:paraId="6CB5716E" w14:textId="77777777" w:rsidR="00EE1978" w:rsidRDefault="00EE1978" w:rsidP="00EE1978">
      <w:pPr>
        <w:jc w:val="center"/>
      </w:pPr>
    </w:p>
    <w:p w14:paraId="07CD6BF2" w14:textId="77777777" w:rsidR="00EE1978" w:rsidRDefault="00EE1978" w:rsidP="00EE1978">
      <w:pPr>
        <w:jc w:val="center"/>
      </w:pPr>
    </w:p>
    <w:p w14:paraId="6EB2D470" w14:textId="77777777" w:rsidR="00EE1978" w:rsidRDefault="00EE1978" w:rsidP="00EE1978">
      <w:pPr>
        <w:jc w:val="center"/>
      </w:pPr>
    </w:p>
    <w:p w14:paraId="5D8CCF5C" w14:textId="77777777" w:rsidR="00EE1978" w:rsidRDefault="00EE1978" w:rsidP="00EE1978">
      <w:pPr>
        <w:jc w:val="center"/>
      </w:pPr>
    </w:p>
    <w:p w14:paraId="7DFBF43B" w14:textId="77777777" w:rsidR="00EE1978" w:rsidRDefault="00EE1978" w:rsidP="00EE1978">
      <w:pPr>
        <w:jc w:val="center"/>
      </w:pPr>
    </w:p>
    <w:sdt>
      <w:sdtPr>
        <w:rPr>
          <w:rFonts w:ascii="Times New Roman" w:eastAsiaTheme="minorHAnsi" w:hAnsi="Times New Roman" w:cstheme="minorBidi"/>
          <w:color w:val="auto"/>
          <w:kern w:val="2"/>
          <w:sz w:val="24"/>
          <w:szCs w:val="22"/>
          <w:lang w:val="en-GB"/>
          <w14:ligatures w14:val="standardContextual"/>
        </w:rPr>
        <w:id w:val="-809862682"/>
        <w:docPartObj>
          <w:docPartGallery w:val="Table of Contents"/>
          <w:docPartUnique/>
        </w:docPartObj>
      </w:sdtPr>
      <w:sdtEndPr>
        <w:rPr>
          <w:rFonts w:asciiTheme="minorHAnsi" w:hAnsiTheme="minorHAnsi"/>
          <w:b/>
          <w:bCs/>
          <w:noProof/>
          <w:kern w:val="0"/>
          <w:sz w:val="22"/>
          <w14:ligatures w14:val="none"/>
        </w:rPr>
      </w:sdtEndPr>
      <w:sdtContent>
        <w:p w14:paraId="2C83DFF2" w14:textId="2A282885" w:rsidR="00EE1978" w:rsidRPr="00EE1978" w:rsidRDefault="00EE1978" w:rsidP="00EE1978">
          <w:pPr>
            <w:pStyle w:val="TOCHeading"/>
            <w:rPr>
              <w:rFonts w:ascii="Times New Roman" w:hAnsi="Times New Roman" w:cs="Times New Roman"/>
              <w:b/>
              <w:bCs/>
              <w:color w:val="000000" w:themeColor="text1"/>
            </w:rPr>
          </w:pPr>
          <w:r w:rsidRPr="005367CA">
            <w:rPr>
              <w:rFonts w:ascii="Times New Roman" w:hAnsi="Times New Roman" w:cs="Times New Roman"/>
              <w:b/>
              <w:bCs/>
              <w:color w:val="000000" w:themeColor="text1"/>
            </w:rPr>
            <w:t>Table of Contents</w:t>
          </w:r>
        </w:p>
        <w:p w14:paraId="0EECD5BE" w14:textId="77777777" w:rsidR="00EE1978" w:rsidRPr="00EE1978" w:rsidRDefault="00EE1978" w:rsidP="00EE1978">
          <w:pPr>
            <w:rPr>
              <w:lang w:val="en-US"/>
            </w:rPr>
          </w:pPr>
        </w:p>
        <w:p w14:paraId="3E544294" w14:textId="77777777" w:rsidR="00EE1978" w:rsidRDefault="00EE1978" w:rsidP="00EE1978">
          <w:pPr>
            <w:pStyle w:val="TOC1"/>
            <w:tabs>
              <w:tab w:val="right" w:leader="dot" w:pos="9350"/>
            </w:tabs>
            <w:rPr>
              <w:rFonts w:asciiTheme="minorHAnsi" w:eastAsiaTheme="minorEastAsia" w:hAnsiTheme="minorHAnsi"/>
              <w:noProof/>
              <w:kern w:val="0"/>
              <w:sz w:val="22"/>
              <w14:ligatures w14:val="none"/>
            </w:rPr>
          </w:pPr>
          <w:r>
            <w:fldChar w:fldCharType="begin"/>
          </w:r>
          <w:r>
            <w:instrText xml:space="preserve"> TOC \o "1-3" \h \z \u </w:instrText>
          </w:r>
          <w:r>
            <w:fldChar w:fldCharType="separate"/>
          </w:r>
          <w:hyperlink w:anchor="_Toc152158038" w:history="1">
            <w:r w:rsidRPr="008B02CE">
              <w:rPr>
                <w:rStyle w:val="Hyperlink"/>
                <w:noProof/>
              </w:rPr>
              <w:t>Introduction</w:t>
            </w:r>
            <w:r>
              <w:rPr>
                <w:noProof/>
                <w:webHidden/>
              </w:rPr>
              <w:tab/>
            </w:r>
            <w:r>
              <w:rPr>
                <w:noProof/>
                <w:webHidden/>
              </w:rPr>
              <w:fldChar w:fldCharType="begin"/>
            </w:r>
            <w:r>
              <w:rPr>
                <w:noProof/>
                <w:webHidden/>
              </w:rPr>
              <w:instrText xml:space="preserve"> PAGEREF _Toc152158038 \h </w:instrText>
            </w:r>
            <w:r>
              <w:rPr>
                <w:noProof/>
                <w:webHidden/>
              </w:rPr>
            </w:r>
            <w:r>
              <w:rPr>
                <w:noProof/>
                <w:webHidden/>
              </w:rPr>
              <w:fldChar w:fldCharType="separate"/>
            </w:r>
            <w:r>
              <w:rPr>
                <w:noProof/>
                <w:webHidden/>
              </w:rPr>
              <w:t>3</w:t>
            </w:r>
            <w:r>
              <w:rPr>
                <w:noProof/>
                <w:webHidden/>
              </w:rPr>
              <w:fldChar w:fldCharType="end"/>
            </w:r>
          </w:hyperlink>
        </w:p>
        <w:p w14:paraId="418B0401" w14:textId="77777777" w:rsidR="00EE1978" w:rsidRDefault="00D73714" w:rsidP="00EE1978">
          <w:pPr>
            <w:pStyle w:val="TOC1"/>
            <w:tabs>
              <w:tab w:val="right" w:leader="dot" w:pos="9350"/>
            </w:tabs>
            <w:rPr>
              <w:rFonts w:asciiTheme="minorHAnsi" w:eastAsiaTheme="minorEastAsia" w:hAnsiTheme="minorHAnsi"/>
              <w:noProof/>
              <w:kern w:val="0"/>
              <w:sz w:val="22"/>
              <w14:ligatures w14:val="none"/>
            </w:rPr>
          </w:pPr>
          <w:hyperlink w:anchor="_Toc152158039" w:history="1">
            <w:r w:rsidR="00EE1978" w:rsidRPr="008B02CE">
              <w:rPr>
                <w:rStyle w:val="Hyperlink"/>
                <w:noProof/>
              </w:rPr>
              <w:t>The Body</w:t>
            </w:r>
            <w:r w:rsidR="00EE1978">
              <w:rPr>
                <w:noProof/>
                <w:webHidden/>
              </w:rPr>
              <w:tab/>
            </w:r>
            <w:r w:rsidR="00EE1978">
              <w:rPr>
                <w:noProof/>
                <w:webHidden/>
              </w:rPr>
              <w:fldChar w:fldCharType="begin"/>
            </w:r>
            <w:r w:rsidR="00EE1978">
              <w:rPr>
                <w:noProof/>
                <w:webHidden/>
              </w:rPr>
              <w:instrText xml:space="preserve"> PAGEREF _Toc152158039 \h </w:instrText>
            </w:r>
            <w:r w:rsidR="00EE1978">
              <w:rPr>
                <w:noProof/>
                <w:webHidden/>
              </w:rPr>
            </w:r>
            <w:r w:rsidR="00EE1978">
              <w:rPr>
                <w:noProof/>
                <w:webHidden/>
              </w:rPr>
              <w:fldChar w:fldCharType="separate"/>
            </w:r>
            <w:r w:rsidR="00EE1978">
              <w:rPr>
                <w:noProof/>
                <w:webHidden/>
              </w:rPr>
              <w:t>3</w:t>
            </w:r>
            <w:r w:rsidR="00EE1978">
              <w:rPr>
                <w:noProof/>
                <w:webHidden/>
              </w:rPr>
              <w:fldChar w:fldCharType="end"/>
            </w:r>
          </w:hyperlink>
        </w:p>
        <w:p w14:paraId="0D2564D8" w14:textId="77777777" w:rsidR="00EE1978" w:rsidRDefault="00D73714" w:rsidP="00EE1978">
          <w:pPr>
            <w:pStyle w:val="TOC2"/>
            <w:tabs>
              <w:tab w:val="right" w:leader="dot" w:pos="9350"/>
            </w:tabs>
            <w:rPr>
              <w:rFonts w:asciiTheme="minorHAnsi" w:eastAsiaTheme="minorEastAsia" w:hAnsiTheme="minorHAnsi"/>
              <w:noProof/>
              <w:kern w:val="0"/>
              <w:sz w:val="22"/>
              <w14:ligatures w14:val="none"/>
            </w:rPr>
          </w:pPr>
          <w:hyperlink w:anchor="_Toc152158040" w:history="1">
            <w:r w:rsidR="00EE1978" w:rsidRPr="008B02CE">
              <w:rPr>
                <w:rStyle w:val="Hyperlink"/>
                <w:noProof/>
              </w:rPr>
              <w:t>Suggestions for Upcoming Community Involvement in Golden Hill</w:t>
            </w:r>
            <w:r w:rsidR="00EE1978">
              <w:rPr>
                <w:noProof/>
                <w:webHidden/>
              </w:rPr>
              <w:tab/>
            </w:r>
            <w:r w:rsidR="00EE1978">
              <w:rPr>
                <w:noProof/>
                <w:webHidden/>
              </w:rPr>
              <w:fldChar w:fldCharType="begin"/>
            </w:r>
            <w:r w:rsidR="00EE1978">
              <w:rPr>
                <w:noProof/>
                <w:webHidden/>
              </w:rPr>
              <w:instrText xml:space="preserve"> PAGEREF _Toc152158040 \h </w:instrText>
            </w:r>
            <w:r w:rsidR="00EE1978">
              <w:rPr>
                <w:noProof/>
                <w:webHidden/>
              </w:rPr>
            </w:r>
            <w:r w:rsidR="00EE1978">
              <w:rPr>
                <w:noProof/>
                <w:webHidden/>
              </w:rPr>
              <w:fldChar w:fldCharType="separate"/>
            </w:r>
            <w:r w:rsidR="00EE1978">
              <w:rPr>
                <w:noProof/>
                <w:webHidden/>
              </w:rPr>
              <w:t>6</w:t>
            </w:r>
            <w:r w:rsidR="00EE1978">
              <w:rPr>
                <w:noProof/>
                <w:webHidden/>
              </w:rPr>
              <w:fldChar w:fldCharType="end"/>
            </w:r>
          </w:hyperlink>
        </w:p>
        <w:p w14:paraId="6E9A7B12" w14:textId="77777777" w:rsidR="00EE1978" w:rsidRDefault="00D73714" w:rsidP="00EE1978">
          <w:pPr>
            <w:pStyle w:val="TOC1"/>
            <w:tabs>
              <w:tab w:val="right" w:leader="dot" w:pos="9350"/>
            </w:tabs>
            <w:rPr>
              <w:rFonts w:asciiTheme="minorHAnsi" w:eastAsiaTheme="minorEastAsia" w:hAnsiTheme="minorHAnsi"/>
              <w:noProof/>
              <w:kern w:val="0"/>
              <w:sz w:val="22"/>
              <w14:ligatures w14:val="none"/>
            </w:rPr>
          </w:pPr>
          <w:hyperlink w:anchor="_Toc152158041" w:history="1">
            <w:r w:rsidR="00EE1978" w:rsidRPr="008B02CE">
              <w:rPr>
                <w:rStyle w:val="Hyperlink"/>
                <w:noProof/>
              </w:rPr>
              <w:t>Conclusion</w:t>
            </w:r>
            <w:r w:rsidR="00EE1978">
              <w:rPr>
                <w:noProof/>
                <w:webHidden/>
              </w:rPr>
              <w:tab/>
            </w:r>
            <w:r w:rsidR="00EE1978">
              <w:rPr>
                <w:noProof/>
                <w:webHidden/>
              </w:rPr>
              <w:fldChar w:fldCharType="begin"/>
            </w:r>
            <w:r w:rsidR="00EE1978">
              <w:rPr>
                <w:noProof/>
                <w:webHidden/>
              </w:rPr>
              <w:instrText xml:space="preserve"> PAGEREF _Toc152158041 \h </w:instrText>
            </w:r>
            <w:r w:rsidR="00EE1978">
              <w:rPr>
                <w:noProof/>
                <w:webHidden/>
              </w:rPr>
            </w:r>
            <w:r w:rsidR="00EE1978">
              <w:rPr>
                <w:noProof/>
                <w:webHidden/>
              </w:rPr>
              <w:fldChar w:fldCharType="separate"/>
            </w:r>
            <w:r w:rsidR="00EE1978">
              <w:rPr>
                <w:noProof/>
                <w:webHidden/>
              </w:rPr>
              <w:t>10</w:t>
            </w:r>
            <w:r w:rsidR="00EE1978">
              <w:rPr>
                <w:noProof/>
                <w:webHidden/>
              </w:rPr>
              <w:fldChar w:fldCharType="end"/>
            </w:r>
          </w:hyperlink>
        </w:p>
        <w:p w14:paraId="3770621E" w14:textId="77777777" w:rsidR="00EE1978" w:rsidRDefault="00D73714" w:rsidP="00EE1978">
          <w:pPr>
            <w:pStyle w:val="TOC1"/>
            <w:tabs>
              <w:tab w:val="right" w:leader="dot" w:pos="9350"/>
            </w:tabs>
            <w:rPr>
              <w:rFonts w:asciiTheme="minorHAnsi" w:eastAsiaTheme="minorEastAsia" w:hAnsiTheme="minorHAnsi"/>
              <w:noProof/>
              <w:kern w:val="0"/>
              <w:sz w:val="22"/>
              <w14:ligatures w14:val="none"/>
            </w:rPr>
          </w:pPr>
          <w:hyperlink w:anchor="_Toc152158042" w:history="1">
            <w:r w:rsidR="00EE1978" w:rsidRPr="008B02CE">
              <w:rPr>
                <w:rStyle w:val="Hyperlink"/>
                <w:noProof/>
              </w:rPr>
              <w:t>References</w:t>
            </w:r>
            <w:r w:rsidR="00EE1978">
              <w:rPr>
                <w:noProof/>
                <w:webHidden/>
              </w:rPr>
              <w:tab/>
            </w:r>
            <w:r w:rsidR="00EE1978">
              <w:rPr>
                <w:noProof/>
                <w:webHidden/>
              </w:rPr>
              <w:fldChar w:fldCharType="begin"/>
            </w:r>
            <w:r w:rsidR="00EE1978">
              <w:rPr>
                <w:noProof/>
                <w:webHidden/>
              </w:rPr>
              <w:instrText xml:space="preserve"> PAGEREF _Toc152158042 \h </w:instrText>
            </w:r>
            <w:r w:rsidR="00EE1978">
              <w:rPr>
                <w:noProof/>
                <w:webHidden/>
              </w:rPr>
            </w:r>
            <w:r w:rsidR="00EE1978">
              <w:rPr>
                <w:noProof/>
                <w:webHidden/>
              </w:rPr>
              <w:fldChar w:fldCharType="separate"/>
            </w:r>
            <w:r w:rsidR="00EE1978">
              <w:rPr>
                <w:noProof/>
                <w:webHidden/>
              </w:rPr>
              <w:t>11</w:t>
            </w:r>
            <w:r w:rsidR="00EE1978">
              <w:rPr>
                <w:noProof/>
                <w:webHidden/>
              </w:rPr>
              <w:fldChar w:fldCharType="end"/>
            </w:r>
          </w:hyperlink>
        </w:p>
        <w:p w14:paraId="6D70E70C" w14:textId="77777777" w:rsidR="00EE1978" w:rsidRDefault="00EE1978" w:rsidP="00EE1978">
          <w:r>
            <w:rPr>
              <w:b/>
              <w:bCs/>
              <w:noProof/>
            </w:rPr>
            <w:fldChar w:fldCharType="end"/>
          </w:r>
        </w:p>
      </w:sdtContent>
    </w:sdt>
    <w:p w14:paraId="23434AD7" w14:textId="7B1EB2D8" w:rsidR="006868C5" w:rsidRDefault="006868C5" w:rsidP="00EE1978">
      <w:pPr>
        <w:rPr>
          <w:sz w:val="24"/>
          <w:szCs w:val="24"/>
        </w:rPr>
      </w:pPr>
    </w:p>
    <w:p w14:paraId="63C001C7" w14:textId="19C723E2" w:rsidR="00EE1978" w:rsidRDefault="00EE1978" w:rsidP="00EE1978">
      <w:pPr>
        <w:rPr>
          <w:sz w:val="24"/>
          <w:szCs w:val="24"/>
        </w:rPr>
      </w:pPr>
    </w:p>
    <w:p w14:paraId="07B852D9" w14:textId="7B4D3244" w:rsidR="00EE1978" w:rsidRDefault="00EE1978" w:rsidP="00EE1978">
      <w:pPr>
        <w:rPr>
          <w:sz w:val="24"/>
          <w:szCs w:val="24"/>
        </w:rPr>
      </w:pPr>
    </w:p>
    <w:p w14:paraId="5B8E5D14" w14:textId="77777777" w:rsidR="00EE1978" w:rsidRDefault="00EE1978" w:rsidP="00EE1978">
      <w:pPr>
        <w:rPr>
          <w:sz w:val="24"/>
          <w:szCs w:val="24"/>
        </w:rPr>
      </w:pPr>
    </w:p>
    <w:p w14:paraId="210B29DA" w14:textId="44515E32" w:rsidR="00EE1978" w:rsidRDefault="00EE1978" w:rsidP="00EE1978">
      <w:pPr>
        <w:rPr>
          <w:sz w:val="24"/>
          <w:szCs w:val="24"/>
        </w:rPr>
      </w:pPr>
    </w:p>
    <w:p w14:paraId="00978161" w14:textId="61A72EE3" w:rsidR="00EE1978" w:rsidRDefault="00EE1978" w:rsidP="00EE1978">
      <w:pPr>
        <w:rPr>
          <w:sz w:val="24"/>
          <w:szCs w:val="24"/>
        </w:rPr>
      </w:pPr>
    </w:p>
    <w:p w14:paraId="65BE999F" w14:textId="5C185CD3" w:rsidR="00EE1978" w:rsidRDefault="00EE1978" w:rsidP="00EE1978">
      <w:pPr>
        <w:rPr>
          <w:sz w:val="24"/>
          <w:szCs w:val="24"/>
        </w:rPr>
      </w:pPr>
    </w:p>
    <w:p w14:paraId="2DADF25B" w14:textId="05374F86" w:rsidR="00EE1978" w:rsidRDefault="00EE1978" w:rsidP="00EE1978">
      <w:pPr>
        <w:rPr>
          <w:sz w:val="24"/>
          <w:szCs w:val="24"/>
        </w:rPr>
      </w:pPr>
    </w:p>
    <w:p w14:paraId="35F27F94" w14:textId="33151793" w:rsidR="00EE1978" w:rsidRDefault="00EE1978" w:rsidP="00EE1978">
      <w:pPr>
        <w:rPr>
          <w:sz w:val="24"/>
          <w:szCs w:val="24"/>
        </w:rPr>
      </w:pPr>
    </w:p>
    <w:p w14:paraId="4B362ED4" w14:textId="78AF5F57" w:rsidR="00EE1978" w:rsidRDefault="00EE1978" w:rsidP="00EE1978">
      <w:pPr>
        <w:rPr>
          <w:sz w:val="24"/>
          <w:szCs w:val="24"/>
        </w:rPr>
      </w:pPr>
    </w:p>
    <w:p w14:paraId="7AE9951F" w14:textId="6E0AC4AA" w:rsidR="00EE1978" w:rsidRDefault="00EE1978" w:rsidP="00EE1978">
      <w:pPr>
        <w:rPr>
          <w:sz w:val="24"/>
          <w:szCs w:val="24"/>
        </w:rPr>
      </w:pPr>
    </w:p>
    <w:p w14:paraId="2E279815" w14:textId="40022DE1" w:rsidR="00EE1978" w:rsidRDefault="00EE1978" w:rsidP="00EE1978">
      <w:pPr>
        <w:rPr>
          <w:sz w:val="24"/>
          <w:szCs w:val="24"/>
        </w:rPr>
      </w:pPr>
    </w:p>
    <w:p w14:paraId="2EA6D8D2" w14:textId="51D8C016" w:rsidR="00EE1978" w:rsidRDefault="00EE1978" w:rsidP="00EE1978">
      <w:pPr>
        <w:rPr>
          <w:sz w:val="24"/>
          <w:szCs w:val="24"/>
        </w:rPr>
      </w:pPr>
    </w:p>
    <w:p w14:paraId="034DF6FE" w14:textId="6109306F" w:rsidR="00EE1978" w:rsidRDefault="00EE1978" w:rsidP="00EE1978">
      <w:pPr>
        <w:rPr>
          <w:sz w:val="24"/>
          <w:szCs w:val="24"/>
        </w:rPr>
      </w:pPr>
    </w:p>
    <w:p w14:paraId="3893FB14" w14:textId="2013F633" w:rsidR="00EE1978" w:rsidRDefault="00EE1978" w:rsidP="00EE1978">
      <w:pPr>
        <w:rPr>
          <w:sz w:val="24"/>
          <w:szCs w:val="24"/>
        </w:rPr>
      </w:pPr>
    </w:p>
    <w:p w14:paraId="38D8C464" w14:textId="6EF2FD34" w:rsidR="00EE1978" w:rsidRDefault="00EE1978" w:rsidP="00EE1978">
      <w:pPr>
        <w:rPr>
          <w:sz w:val="24"/>
          <w:szCs w:val="24"/>
        </w:rPr>
      </w:pPr>
    </w:p>
    <w:p w14:paraId="7AE89BAA" w14:textId="48A8B8A0" w:rsidR="00EE1978" w:rsidRDefault="00EE1978" w:rsidP="00EE1978">
      <w:pPr>
        <w:rPr>
          <w:sz w:val="24"/>
          <w:szCs w:val="24"/>
        </w:rPr>
      </w:pPr>
    </w:p>
    <w:p w14:paraId="0BBFB34F" w14:textId="544EA7BA" w:rsidR="00EE1978" w:rsidRDefault="00EE1978" w:rsidP="00EE1978">
      <w:pPr>
        <w:rPr>
          <w:sz w:val="24"/>
          <w:szCs w:val="24"/>
        </w:rPr>
      </w:pPr>
    </w:p>
    <w:p w14:paraId="68857617" w14:textId="6310434B" w:rsidR="00EE1978" w:rsidRDefault="00EE1978" w:rsidP="00EE1978">
      <w:pPr>
        <w:rPr>
          <w:sz w:val="24"/>
          <w:szCs w:val="24"/>
        </w:rPr>
      </w:pPr>
    </w:p>
    <w:p w14:paraId="01F28684" w14:textId="501F2981" w:rsidR="00EE1978" w:rsidRDefault="00EE1978" w:rsidP="00EE1978">
      <w:pPr>
        <w:rPr>
          <w:sz w:val="24"/>
          <w:szCs w:val="24"/>
        </w:rPr>
      </w:pPr>
    </w:p>
    <w:p w14:paraId="56881281" w14:textId="3D3ACB23" w:rsidR="00EE1978" w:rsidRDefault="00EE1978" w:rsidP="00EE1978">
      <w:pPr>
        <w:rPr>
          <w:sz w:val="24"/>
          <w:szCs w:val="24"/>
        </w:rPr>
      </w:pPr>
    </w:p>
    <w:p w14:paraId="4CE13394" w14:textId="77777777" w:rsidR="00EE1978" w:rsidRDefault="00EE1978" w:rsidP="00EE1978">
      <w:pPr>
        <w:pStyle w:val="Heading1"/>
        <w:rPr>
          <w:sz w:val="24"/>
          <w:szCs w:val="24"/>
        </w:rPr>
      </w:pPr>
      <w:bookmarkStart w:id="1" w:name="_Toc152158038"/>
    </w:p>
    <w:p w14:paraId="6CA47A6C" w14:textId="05A2AD5B" w:rsidR="00EE1978" w:rsidRPr="00EE1978" w:rsidRDefault="00EE1978" w:rsidP="00EE1978">
      <w:pPr>
        <w:pStyle w:val="Heading1"/>
        <w:rPr>
          <w:b/>
          <w:bCs/>
          <w:sz w:val="24"/>
          <w:szCs w:val="24"/>
        </w:rPr>
      </w:pPr>
      <w:r w:rsidRPr="00EE1978">
        <w:rPr>
          <w:b/>
          <w:bCs/>
          <w:sz w:val="24"/>
          <w:szCs w:val="24"/>
        </w:rPr>
        <w:t>Introduction</w:t>
      </w:r>
      <w:bookmarkEnd w:id="1"/>
      <w:r w:rsidRPr="00EE1978">
        <w:rPr>
          <w:b/>
          <w:bCs/>
          <w:sz w:val="24"/>
          <w:szCs w:val="24"/>
        </w:rPr>
        <w:t xml:space="preserve"> </w:t>
      </w:r>
    </w:p>
    <w:p w14:paraId="58FE2CC4" w14:textId="77777777" w:rsidR="00EE1978" w:rsidRPr="00EE1978" w:rsidRDefault="00EE1978" w:rsidP="00EE1978">
      <w:pPr>
        <w:rPr>
          <w:sz w:val="24"/>
          <w:szCs w:val="24"/>
        </w:rPr>
      </w:pPr>
    </w:p>
    <w:p w14:paraId="7CF96EA0" w14:textId="77777777" w:rsidR="00EE1978" w:rsidRPr="00EE1978" w:rsidRDefault="00EE1978" w:rsidP="00EE1978">
      <w:pPr>
        <w:rPr>
          <w:sz w:val="24"/>
          <w:szCs w:val="24"/>
        </w:rPr>
      </w:pPr>
      <w:r w:rsidRPr="00EE1978">
        <w:rPr>
          <w:sz w:val="24"/>
          <w:szCs w:val="24"/>
        </w:rPr>
        <w:t xml:space="preserve">Thinking ahead to future community engagement projects inspires a deliberate investigation of coordination strategies and the slight reflection of the community engagement programme in Golden Hill. This self-reflection explores lessons acquired as the creator of meaningful community interactions and outlines a plan for better coordination. The story is told through the prism of prior experiences, recognising both achievements and difficulties. The contemplation functions as a catalyst for formulating inventive tactics, underpinned by a dedication to diversity, receptive dialogue, and flexible methodologies. This reflection attempts to create a deliberate framework for coordinating community involvement initiatives that connect, empower, and create long-lasting relationships by utilising interesting insights. </w:t>
      </w:r>
    </w:p>
    <w:p w14:paraId="405088FF" w14:textId="7684A574" w:rsidR="00EE1978" w:rsidRDefault="00EE1978" w:rsidP="00EE1978">
      <w:pPr>
        <w:rPr>
          <w:sz w:val="24"/>
          <w:szCs w:val="24"/>
        </w:rPr>
      </w:pPr>
    </w:p>
    <w:p w14:paraId="59CC5A89" w14:textId="0FBA1C4E" w:rsidR="00EE1978" w:rsidRDefault="00EE1978" w:rsidP="00EE1978">
      <w:pPr>
        <w:rPr>
          <w:sz w:val="24"/>
          <w:szCs w:val="24"/>
        </w:rPr>
      </w:pPr>
    </w:p>
    <w:p w14:paraId="71DC8A57" w14:textId="34B419AD" w:rsidR="00EE1978" w:rsidRDefault="00EE1978" w:rsidP="00EE1978">
      <w:pPr>
        <w:rPr>
          <w:sz w:val="24"/>
          <w:szCs w:val="24"/>
        </w:rPr>
      </w:pPr>
    </w:p>
    <w:p w14:paraId="7C49D53D" w14:textId="37868BBB" w:rsidR="00EE1978" w:rsidRDefault="00EE1978" w:rsidP="00EE1978">
      <w:pPr>
        <w:rPr>
          <w:sz w:val="24"/>
          <w:szCs w:val="24"/>
        </w:rPr>
      </w:pPr>
    </w:p>
    <w:p w14:paraId="3FAB6777" w14:textId="2DAD149A" w:rsidR="00EE1978" w:rsidRDefault="00EE1978" w:rsidP="00EE1978">
      <w:pPr>
        <w:rPr>
          <w:sz w:val="24"/>
          <w:szCs w:val="24"/>
        </w:rPr>
      </w:pPr>
    </w:p>
    <w:p w14:paraId="63FC1FA6" w14:textId="5A571CFD" w:rsidR="00EE1978" w:rsidRDefault="00EE1978" w:rsidP="00EE1978">
      <w:pPr>
        <w:rPr>
          <w:sz w:val="24"/>
          <w:szCs w:val="24"/>
        </w:rPr>
      </w:pPr>
    </w:p>
    <w:p w14:paraId="5AFFEF26" w14:textId="27866B75" w:rsidR="00EE1978" w:rsidRDefault="00EE1978" w:rsidP="00EE1978">
      <w:pPr>
        <w:rPr>
          <w:sz w:val="24"/>
          <w:szCs w:val="24"/>
        </w:rPr>
      </w:pPr>
    </w:p>
    <w:p w14:paraId="6AD53B7F" w14:textId="115868BB" w:rsidR="00EE1978" w:rsidRDefault="00EE1978" w:rsidP="00EE1978">
      <w:pPr>
        <w:rPr>
          <w:sz w:val="24"/>
          <w:szCs w:val="24"/>
        </w:rPr>
      </w:pPr>
    </w:p>
    <w:p w14:paraId="07B68F80" w14:textId="01ABD282" w:rsidR="00EE1978" w:rsidRDefault="00EE1978" w:rsidP="00EE1978">
      <w:pPr>
        <w:rPr>
          <w:sz w:val="24"/>
          <w:szCs w:val="24"/>
        </w:rPr>
      </w:pPr>
    </w:p>
    <w:p w14:paraId="37B770C3" w14:textId="136DB0C7" w:rsidR="00EE1978" w:rsidRDefault="00EE1978" w:rsidP="00EE1978">
      <w:pPr>
        <w:rPr>
          <w:sz w:val="24"/>
          <w:szCs w:val="24"/>
        </w:rPr>
      </w:pPr>
    </w:p>
    <w:p w14:paraId="722374CB" w14:textId="554479EB" w:rsidR="00EE1978" w:rsidRDefault="00EE1978" w:rsidP="00EE1978">
      <w:pPr>
        <w:rPr>
          <w:sz w:val="24"/>
          <w:szCs w:val="24"/>
        </w:rPr>
      </w:pPr>
    </w:p>
    <w:p w14:paraId="3F06150C" w14:textId="67623DAE" w:rsidR="00EE1978" w:rsidRDefault="00EE1978" w:rsidP="00EE1978">
      <w:pPr>
        <w:rPr>
          <w:sz w:val="24"/>
          <w:szCs w:val="24"/>
        </w:rPr>
      </w:pPr>
    </w:p>
    <w:p w14:paraId="3EE531A0" w14:textId="79AD92CD" w:rsidR="00EE1978" w:rsidRDefault="00EE1978" w:rsidP="00EE1978">
      <w:pPr>
        <w:rPr>
          <w:sz w:val="24"/>
          <w:szCs w:val="24"/>
        </w:rPr>
      </w:pPr>
    </w:p>
    <w:p w14:paraId="12E5ADD9" w14:textId="104B1C8D" w:rsidR="00EE1978" w:rsidRDefault="00EE1978" w:rsidP="00EE1978">
      <w:pPr>
        <w:rPr>
          <w:sz w:val="24"/>
          <w:szCs w:val="24"/>
        </w:rPr>
      </w:pPr>
    </w:p>
    <w:p w14:paraId="2C9301F9" w14:textId="1EBF8281" w:rsidR="00EE1978" w:rsidRDefault="00EE1978" w:rsidP="00EE1978">
      <w:pPr>
        <w:rPr>
          <w:sz w:val="24"/>
          <w:szCs w:val="24"/>
        </w:rPr>
      </w:pPr>
    </w:p>
    <w:p w14:paraId="33FE488F" w14:textId="3D326A8B" w:rsidR="00EE1978" w:rsidRDefault="00EE1978" w:rsidP="00EE1978">
      <w:pPr>
        <w:rPr>
          <w:sz w:val="24"/>
          <w:szCs w:val="24"/>
        </w:rPr>
      </w:pPr>
    </w:p>
    <w:p w14:paraId="522E331B" w14:textId="516B8021" w:rsidR="00EE1978" w:rsidRDefault="00EE1978" w:rsidP="00EE1978">
      <w:pPr>
        <w:rPr>
          <w:sz w:val="24"/>
          <w:szCs w:val="24"/>
        </w:rPr>
      </w:pPr>
    </w:p>
    <w:p w14:paraId="241F4C5B" w14:textId="5FC0F4C8" w:rsidR="00EE1978" w:rsidRDefault="00EE1978" w:rsidP="00EE1978">
      <w:pPr>
        <w:rPr>
          <w:sz w:val="24"/>
          <w:szCs w:val="24"/>
        </w:rPr>
      </w:pPr>
    </w:p>
    <w:p w14:paraId="087B7F91" w14:textId="04D9882A" w:rsidR="00EE1978" w:rsidRDefault="00EE1978" w:rsidP="00EE1978">
      <w:pPr>
        <w:rPr>
          <w:sz w:val="24"/>
          <w:szCs w:val="24"/>
        </w:rPr>
      </w:pPr>
    </w:p>
    <w:p w14:paraId="0EBE2019" w14:textId="2F6DE425" w:rsidR="00EE1978" w:rsidRPr="00EE1978" w:rsidRDefault="00EE1978" w:rsidP="00EE1978">
      <w:pPr>
        <w:pStyle w:val="Heading1"/>
        <w:rPr>
          <w:b/>
          <w:bCs/>
          <w:sz w:val="24"/>
          <w:szCs w:val="24"/>
        </w:rPr>
      </w:pPr>
      <w:bookmarkStart w:id="2" w:name="_Toc152158039"/>
      <w:r w:rsidRPr="00EE1978">
        <w:rPr>
          <w:b/>
          <w:bCs/>
          <w:sz w:val="24"/>
          <w:szCs w:val="24"/>
        </w:rPr>
        <w:lastRenderedPageBreak/>
        <w:t>The Body</w:t>
      </w:r>
      <w:bookmarkEnd w:id="2"/>
    </w:p>
    <w:p w14:paraId="25D63E01" w14:textId="77777777" w:rsidR="00EE1978" w:rsidRPr="00EE1978" w:rsidRDefault="00EE1978" w:rsidP="00EE1978"/>
    <w:p w14:paraId="2EE224EB" w14:textId="77777777" w:rsidR="00EE1978" w:rsidRPr="00EE1978" w:rsidRDefault="00EE1978" w:rsidP="00EE1978">
      <w:pPr>
        <w:rPr>
          <w:sz w:val="24"/>
          <w:szCs w:val="24"/>
        </w:rPr>
      </w:pPr>
      <w:r w:rsidRPr="00EE1978">
        <w:rPr>
          <w:sz w:val="24"/>
          <w:szCs w:val="24"/>
        </w:rPr>
        <w:t xml:space="preserve">My experience interacting with communities has been deep, and it has given me priceless insights into teamwork, communication, and the transformational potential of inclusive involvement. Looking back on our community engagement initiatives, I believe it is critical to condense the most important aspects of our experiences into a thorough synopsis. This self-reflection is not merely a narrative exercise; rather, it is a methodical analysis of what succeeded, what failed, and how we may improve the quality of our upcoming community activities an analysis of Golden Hill community garden. </w:t>
      </w:r>
    </w:p>
    <w:p w14:paraId="34AF09F0" w14:textId="77777777" w:rsidR="00EE1978" w:rsidRPr="00EE1978" w:rsidRDefault="00EE1978" w:rsidP="00EE1978">
      <w:pPr>
        <w:rPr>
          <w:sz w:val="24"/>
          <w:szCs w:val="24"/>
          <w:shd w:val="clear" w:color="auto" w:fill="FFFFFF"/>
        </w:rPr>
      </w:pPr>
      <w:r w:rsidRPr="00EE1978">
        <w:rPr>
          <w:sz w:val="24"/>
          <w:szCs w:val="24"/>
        </w:rPr>
        <w:t xml:space="preserve">In my opinion, community participation is a dynamic, like in Golden Hill community garden it mutually beneficial connection that goes beyond conventional bounds rather than just a procedure. It represents a dedication to comprehending, working with, and co-creating with the community. I am becoming more aware of the complex and diverse nature of community participation as I work through its complexities, tying together effect evaluation, conversation, and research </w:t>
      </w:r>
      <w:r w:rsidRPr="00EE1978">
        <w:rPr>
          <w:sz w:val="24"/>
          <w:szCs w:val="24"/>
          <w:shd w:val="clear" w:color="auto" w:fill="FFFFFF"/>
        </w:rPr>
        <w:t xml:space="preserve">(Agnihotri, 2020). </w:t>
      </w:r>
    </w:p>
    <w:p w14:paraId="3A1D095D" w14:textId="77777777" w:rsidR="00EE1978" w:rsidRPr="00EE1978" w:rsidRDefault="00EE1978" w:rsidP="00EE1978">
      <w:pPr>
        <w:rPr>
          <w:sz w:val="24"/>
          <w:szCs w:val="24"/>
        </w:rPr>
      </w:pPr>
      <w:r w:rsidRPr="00EE1978">
        <w:rPr>
          <w:sz w:val="24"/>
          <w:szCs w:val="24"/>
        </w:rPr>
        <w:t xml:space="preserve">Often, the process starts with a thorough research design, which serves as a road map for effective analysis of Golden Hill community garden. It involves paying attention to the pulse of the community and getting to know its subtleties, wants, and goals. A visual component is added by community mapping, which creates a vivid picture of the social and physical environment of the community. </w:t>
      </w:r>
    </w:p>
    <w:p w14:paraId="06FD1213" w14:textId="77777777" w:rsidR="00EE1978" w:rsidRPr="00EE1978" w:rsidRDefault="00EE1978" w:rsidP="00EE1978">
      <w:pPr>
        <w:rPr>
          <w:sz w:val="24"/>
          <w:szCs w:val="24"/>
          <w:shd w:val="clear" w:color="auto" w:fill="FFFFFF"/>
        </w:rPr>
      </w:pPr>
      <w:r w:rsidRPr="00EE1978">
        <w:rPr>
          <w:sz w:val="24"/>
          <w:szCs w:val="24"/>
        </w:rPr>
        <w:t xml:space="preserve">In the social media sphere, community involvement assumes a new form. Social media sites like Facebook and Twitter act as bridges, bringing together various viewpoints and promoting in-the-moment dialogue. It's about building a digital environment for conversation, engagement, and understanding the shared storytelling, of Golden Hill community garden. Recognising that Instagram's visual appeal may convey a different narrative than Twitter's concise messaging, the material must be tailored to each channel to achieve resonance </w:t>
      </w:r>
      <w:r w:rsidRPr="00EE1978">
        <w:rPr>
          <w:sz w:val="24"/>
          <w:szCs w:val="24"/>
          <w:shd w:val="clear" w:color="auto" w:fill="FFFFFF"/>
        </w:rPr>
        <w:t xml:space="preserve">(Kapoor et al., 2018). </w:t>
      </w:r>
    </w:p>
    <w:p w14:paraId="015370CA" w14:textId="77777777" w:rsidR="00EE1978" w:rsidRPr="00EE1978" w:rsidRDefault="00EE1978" w:rsidP="00EE1978">
      <w:pPr>
        <w:rPr>
          <w:sz w:val="24"/>
          <w:szCs w:val="24"/>
        </w:rPr>
      </w:pPr>
      <w:r w:rsidRPr="00EE1978">
        <w:rPr>
          <w:sz w:val="24"/>
          <w:szCs w:val="24"/>
        </w:rPr>
        <w:t>As an initiative that transforms community interaction, the community garden is extremely important. It brings us together via the cultivation of bonds as well as plants, encouraging a sense of shared responsibility. This grassy area turns into a centre for information sharing that addresses food insecurity and encourages sustainable living. The communal garden not only benefits the environment but also fosters social cohesion by uniting people from different backgrounds. It stands for our shared dedication to a more robust, sustainable, and vibrant neighbourhood, where every plant that is nourished represents our joint efforts to create a stronger, more cohesive community in Golden Hill. Participating in the community is a commitment to establishing lasting relationships as it is in Golden Hill community garden. It's about fostering ongoing relationships through follow-up meetings, consistent updates, and ongoing communication rather than just one-time activities. It's an empowering trip, where the community actively shapes its future rather than only receiving knowledge.</w:t>
      </w:r>
    </w:p>
    <w:p w14:paraId="35AB1BD9" w14:textId="0556A381" w:rsidR="00EE1978" w:rsidRDefault="00EE1978" w:rsidP="00EE1978">
      <w:pPr>
        <w:rPr>
          <w:sz w:val="24"/>
          <w:szCs w:val="24"/>
        </w:rPr>
      </w:pPr>
      <w:r w:rsidRPr="00EE1978">
        <w:rPr>
          <w:sz w:val="24"/>
          <w:szCs w:val="24"/>
        </w:rPr>
        <w:lastRenderedPageBreak/>
        <w:t>As far as I can tell, community participation is essentially a mosaic of listening, responding, and changing. It's a mosaic made of strands of comprehension, cooperation, and common goal-setting. It's a journey, not a destination, and when tackled with humility and authenticity, it can change communities and create long-lasting relationships as for the people of Golden Hill community</w:t>
      </w:r>
    </w:p>
    <w:p w14:paraId="7E185DF1" w14:textId="77777777" w:rsidR="00EE1978" w:rsidRPr="00EE1978" w:rsidRDefault="00EE1978" w:rsidP="00EE1978">
      <w:pPr>
        <w:rPr>
          <w:b/>
          <w:bCs/>
          <w:sz w:val="24"/>
          <w:szCs w:val="24"/>
        </w:rPr>
      </w:pPr>
      <w:r w:rsidRPr="00EE1978">
        <w:rPr>
          <w:b/>
          <w:bCs/>
          <w:sz w:val="24"/>
          <w:szCs w:val="24"/>
        </w:rPr>
        <w:t>Recognising the Fundamentals of Community Engagement:</w:t>
      </w:r>
    </w:p>
    <w:p w14:paraId="07D8EBDA" w14:textId="0497EEB1" w:rsidR="00EE1978" w:rsidRDefault="00EE1978" w:rsidP="00EE1978">
      <w:pPr>
        <w:rPr>
          <w:sz w:val="24"/>
          <w:szCs w:val="24"/>
        </w:rPr>
      </w:pPr>
      <w:r w:rsidRPr="00EE1978">
        <w:rPr>
          <w:sz w:val="24"/>
          <w:szCs w:val="24"/>
        </w:rPr>
        <w:t xml:space="preserve">Community involvement is a dynamic process that entails active participation, inclusivity, and a sincere regard for other perspectives. It goes beyond simple information exchange. Our experience has shown us how important it is to look past the obvious, explore the distinctive qualities of each community, and provide environments where all voices are heard and respected in Golden Hill community engagement programme. </w:t>
      </w:r>
    </w:p>
    <w:p w14:paraId="5ED3CF0A" w14:textId="77777777" w:rsidR="00EE1978" w:rsidRPr="00EE1978" w:rsidRDefault="00EE1978" w:rsidP="00EE1978">
      <w:pPr>
        <w:rPr>
          <w:b/>
          <w:bCs/>
          <w:sz w:val="24"/>
          <w:szCs w:val="24"/>
        </w:rPr>
      </w:pPr>
      <w:r w:rsidRPr="00EE1978">
        <w:rPr>
          <w:b/>
          <w:bCs/>
          <w:sz w:val="24"/>
          <w:szCs w:val="24"/>
        </w:rPr>
        <w:t>An Overview of Our Community Involvement Activities:</w:t>
      </w:r>
    </w:p>
    <w:p w14:paraId="7EBA93E3" w14:textId="2B4F9B8A" w:rsidR="00EE1978" w:rsidRDefault="00EE1978" w:rsidP="00EE1978">
      <w:pPr>
        <w:rPr>
          <w:sz w:val="24"/>
          <w:szCs w:val="24"/>
          <w:shd w:val="clear" w:color="auto" w:fill="FFFFFF"/>
        </w:rPr>
      </w:pPr>
      <w:r w:rsidRPr="00EE1978">
        <w:rPr>
          <w:sz w:val="24"/>
          <w:szCs w:val="24"/>
        </w:rPr>
        <w:t xml:space="preserve">I have taken a multipronged strategy, fusing old-fashioned techniques like town hall meetings with newer digital tactics like surveys and partnerships with neighbourhood organisations. In addition to sharing knowledge, the goal was to collaboratively develop solutions and promote a feeling of collective ownership </w:t>
      </w:r>
      <w:r w:rsidRPr="00EE1978">
        <w:rPr>
          <w:sz w:val="24"/>
          <w:szCs w:val="24"/>
          <w:shd w:val="clear" w:color="auto" w:fill="FFFFFF"/>
        </w:rPr>
        <w:t xml:space="preserve">(Auxier and Anderson, 2021). </w:t>
      </w:r>
    </w:p>
    <w:p w14:paraId="578017FF" w14:textId="77777777" w:rsidR="00EE1978" w:rsidRPr="00EE1978" w:rsidRDefault="00EE1978" w:rsidP="00EE1978">
      <w:pPr>
        <w:rPr>
          <w:b/>
          <w:bCs/>
          <w:sz w:val="24"/>
          <w:szCs w:val="24"/>
        </w:rPr>
      </w:pPr>
      <w:r w:rsidRPr="00EE1978">
        <w:rPr>
          <w:b/>
          <w:bCs/>
          <w:sz w:val="24"/>
          <w:szCs w:val="24"/>
        </w:rPr>
        <w:t xml:space="preserve">Social Media for Community Engagement: </w:t>
      </w:r>
    </w:p>
    <w:p w14:paraId="68257A9C" w14:textId="77777777" w:rsidR="00EE1978" w:rsidRPr="00EE1978" w:rsidRDefault="00EE1978" w:rsidP="00EE1978">
      <w:pPr>
        <w:rPr>
          <w:sz w:val="24"/>
          <w:szCs w:val="24"/>
        </w:rPr>
      </w:pPr>
      <w:r w:rsidRPr="00EE1978">
        <w:rPr>
          <w:sz w:val="24"/>
          <w:szCs w:val="24"/>
        </w:rPr>
        <w:t>Social media has become a dynamic platform for communication, cooperation, and information sharing, and it has become a transformative force in community engagement. Communities can interact with organisations and with each other using platforms like LinkedIn, Instagram, Twitter, Facebook, and Twitter, which helps to create a feeling of community and shared identity.</w:t>
      </w:r>
    </w:p>
    <w:p w14:paraId="00DD9EDF" w14:textId="77777777" w:rsidR="00EE1978" w:rsidRPr="00EE1978" w:rsidRDefault="00EE1978" w:rsidP="00EE1978">
      <w:pPr>
        <w:rPr>
          <w:sz w:val="24"/>
          <w:szCs w:val="24"/>
        </w:rPr>
      </w:pPr>
      <w:r w:rsidRPr="00EE1978">
        <w:rPr>
          <w:sz w:val="24"/>
          <w:szCs w:val="24"/>
        </w:rPr>
        <w:t>These platforms facilitate instantaneous communication, removing geographical obstacles and enabling groups to hold discussions wherever they may be. Leaders in the community, groups, and individuals may rapidly communicate events, updates, and pertinent information, ensuring that everyone in the community is informed and participating.</w:t>
      </w:r>
    </w:p>
    <w:p w14:paraId="51248F93" w14:textId="77777777" w:rsidR="00EE1978" w:rsidRPr="00EE1978" w:rsidRDefault="00EE1978" w:rsidP="00EE1978">
      <w:pPr>
        <w:rPr>
          <w:sz w:val="24"/>
          <w:szCs w:val="24"/>
        </w:rPr>
      </w:pPr>
      <w:r w:rsidRPr="00EE1978">
        <w:rPr>
          <w:sz w:val="24"/>
          <w:szCs w:val="24"/>
        </w:rPr>
        <w:t>Social media also encourages participatory involvement, enabling members of the community to voice their thoughts, offer criticism, and actively participate in decision-making processes in Golden Hill community garden engagement programme Trending topics and hashtags have the power to magnify significant community conversations, generating support and visibility for a range of activities.</w:t>
      </w:r>
    </w:p>
    <w:p w14:paraId="02A4EDF2" w14:textId="77777777" w:rsidR="00EE1978" w:rsidRPr="00EE1978" w:rsidRDefault="00EE1978" w:rsidP="00EE1978">
      <w:pPr>
        <w:rPr>
          <w:sz w:val="24"/>
          <w:szCs w:val="24"/>
        </w:rPr>
      </w:pPr>
      <w:r w:rsidRPr="00EE1978">
        <w:rPr>
          <w:sz w:val="24"/>
          <w:szCs w:val="24"/>
        </w:rPr>
        <w:t>Information may be shared and accessed more easily because of the visual format of sites like Instagram and Twitter. Because of its scope and instantaneity, social media has become an essential instrument for fostering diversity, creating and maintaining community ties, and enabling people to actively contribute to the story of their community.</w:t>
      </w:r>
    </w:p>
    <w:p w14:paraId="280EB69B" w14:textId="77777777" w:rsidR="00EE1978" w:rsidRPr="00EE1978" w:rsidRDefault="00EE1978" w:rsidP="00EE1978">
      <w:pPr>
        <w:rPr>
          <w:sz w:val="24"/>
          <w:szCs w:val="24"/>
        </w:rPr>
      </w:pPr>
    </w:p>
    <w:p w14:paraId="53ACAE80" w14:textId="77777777" w:rsidR="00EE1978" w:rsidRPr="00EE1978" w:rsidRDefault="00EE1978" w:rsidP="00EE1978">
      <w:pPr>
        <w:rPr>
          <w:sz w:val="24"/>
          <w:szCs w:val="24"/>
        </w:rPr>
      </w:pPr>
    </w:p>
    <w:p w14:paraId="67CB5212" w14:textId="77777777" w:rsidR="00EE1978" w:rsidRPr="00EE1978" w:rsidRDefault="00EE1978" w:rsidP="00EE1978">
      <w:pPr>
        <w:rPr>
          <w:sz w:val="24"/>
          <w:szCs w:val="24"/>
        </w:rPr>
      </w:pPr>
    </w:p>
    <w:p w14:paraId="7834E928" w14:textId="77777777" w:rsidR="00EE1978" w:rsidRPr="00EE1978" w:rsidRDefault="00EE1978" w:rsidP="00EE1978">
      <w:pPr>
        <w:rPr>
          <w:b/>
          <w:bCs/>
          <w:sz w:val="24"/>
          <w:szCs w:val="24"/>
        </w:rPr>
      </w:pPr>
      <w:r w:rsidRPr="00EE1978">
        <w:rPr>
          <w:b/>
          <w:bCs/>
          <w:sz w:val="24"/>
          <w:szCs w:val="24"/>
        </w:rPr>
        <w:lastRenderedPageBreak/>
        <w:t>Before the event, consult:</w:t>
      </w:r>
    </w:p>
    <w:p w14:paraId="20E1A6A8" w14:textId="77777777" w:rsidR="00EE1978" w:rsidRDefault="00EE1978" w:rsidP="00EE1978">
      <w:r w:rsidRPr="00EE1978">
        <w:rPr>
          <w:sz w:val="24"/>
          <w:szCs w:val="24"/>
        </w:rPr>
        <w:t>Pre-event surveys yielded insightful information, but a more thorough investigation of community needs and preferences is still necessary. To obtain a deeper understanding, future projects should incorporate more complex pre-event consultation techniques, such as focus groups or workshops</w:t>
      </w:r>
      <w:r>
        <w:t>.</w:t>
      </w:r>
    </w:p>
    <w:p w14:paraId="19E566C8" w14:textId="77777777" w:rsidR="00EE1978" w:rsidRPr="00EE1978" w:rsidRDefault="00EE1978" w:rsidP="00EE1978">
      <w:pPr>
        <w:rPr>
          <w:b/>
          <w:bCs/>
          <w:sz w:val="24"/>
          <w:szCs w:val="24"/>
        </w:rPr>
      </w:pPr>
      <w:r w:rsidRPr="00EE1978">
        <w:rPr>
          <w:b/>
          <w:bCs/>
          <w:sz w:val="24"/>
          <w:szCs w:val="24"/>
        </w:rPr>
        <w:t>Engaging Components:</w:t>
      </w:r>
    </w:p>
    <w:p w14:paraId="10A4CA2B" w14:textId="1EA079A9" w:rsidR="00EE1978" w:rsidRDefault="00EE1978" w:rsidP="00EE1978">
      <w:pPr>
        <w:rPr>
          <w:sz w:val="24"/>
          <w:szCs w:val="24"/>
          <w:shd w:val="clear" w:color="auto" w:fill="FFFFFF"/>
        </w:rPr>
      </w:pPr>
      <w:r w:rsidRPr="00EE1978">
        <w:rPr>
          <w:sz w:val="24"/>
          <w:szCs w:val="24"/>
        </w:rPr>
        <w:t xml:space="preserve">It has been shown that interactive elements particularly Q&amp;A sessions are effective at promoting conversation and community involvement </w:t>
      </w:r>
      <w:r w:rsidRPr="00EE1978">
        <w:rPr>
          <w:sz w:val="24"/>
          <w:szCs w:val="24"/>
          <w:shd w:val="clear" w:color="auto" w:fill="FFFFFF"/>
        </w:rPr>
        <w:t xml:space="preserve">(Bucknell, Kangas, and Crane, 2022). </w:t>
      </w:r>
    </w:p>
    <w:p w14:paraId="41C45504" w14:textId="77777777" w:rsidR="00EE1978" w:rsidRPr="00EE1978" w:rsidRDefault="00EE1978" w:rsidP="00EE1978">
      <w:pPr>
        <w:pStyle w:val="Heading2"/>
        <w:rPr>
          <w:b/>
          <w:bCs/>
          <w:sz w:val="24"/>
          <w:szCs w:val="24"/>
        </w:rPr>
      </w:pPr>
      <w:bookmarkStart w:id="3" w:name="_Toc152158040"/>
      <w:r w:rsidRPr="00EE1978">
        <w:rPr>
          <w:b/>
          <w:bCs/>
          <w:sz w:val="24"/>
          <w:szCs w:val="24"/>
        </w:rPr>
        <w:t>Suggestions for Upcoming Community Involvement in Golden Hill</w:t>
      </w:r>
      <w:bookmarkEnd w:id="3"/>
      <w:r w:rsidRPr="00EE1978">
        <w:rPr>
          <w:b/>
          <w:bCs/>
          <w:sz w:val="24"/>
          <w:szCs w:val="24"/>
        </w:rPr>
        <w:t xml:space="preserve"> </w:t>
      </w:r>
    </w:p>
    <w:p w14:paraId="23FE5019" w14:textId="77777777" w:rsidR="00EE1978" w:rsidRPr="00EE1978" w:rsidRDefault="00EE1978" w:rsidP="00EE1978">
      <w:pPr>
        <w:rPr>
          <w:sz w:val="24"/>
          <w:szCs w:val="24"/>
        </w:rPr>
      </w:pPr>
      <w:r w:rsidRPr="00EE1978">
        <w:rPr>
          <w:sz w:val="24"/>
          <w:szCs w:val="24"/>
        </w:rPr>
        <w:t>Make a thorough examination of the socioeconomic, cultural, and demographic conditions of the neighbourhood. We will be able to more precisely customise events to meet particular demands thanks to this greater information.</w:t>
      </w:r>
    </w:p>
    <w:p w14:paraId="6E539A28" w14:textId="77777777" w:rsidR="00EE1978" w:rsidRPr="00EE1978" w:rsidRDefault="00EE1978" w:rsidP="00EE1978">
      <w:pPr>
        <w:rPr>
          <w:b/>
          <w:bCs/>
          <w:sz w:val="24"/>
          <w:szCs w:val="24"/>
        </w:rPr>
      </w:pPr>
      <w:r w:rsidRPr="00EE1978">
        <w:rPr>
          <w:b/>
          <w:bCs/>
          <w:sz w:val="24"/>
          <w:szCs w:val="24"/>
        </w:rPr>
        <w:t>Inclusive digital Strategy:</w:t>
      </w:r>
    </w:p>
    <w:p w14:paraId="184DF0E3" w14:textId="77777777" w:rsidR="00EE1978" w:rsidRDefault="00EE1978" w:rsidP="00EE1978">
      <w:r w:rsidRPr="00EE1978">
        <w:rPr>
          <w:sz w:val="24"/>
          <w:szCs w:val="24"/>
        </w:rPr>
        <w:t>Increase the diversity of our digital approach by aggressively pursuing collaborations with local influencers from a range of backgrounds. A more representative digital space will result from this</w:t>
      </w:r>
      <w:r>
        <w:t>.</w:t>
      </w:r>
    </w:p>
    <w:p w14:paraId="0AD987AD" w14:textId="77777777" w:rsidR="00EE1978" w:rsidRPr="00EE1978" w:rsidRDefault="00EE1978" w:rsidP="00EE1978">
      <w:pPr>
        <w:rPr>
          <w:b/>
          <w:bCs/>
          <w:sz w:val="24"/>
          <w:szCs w:val="24"/>
        </w:rPr>
      </w:pPr>
      <w:r w:rsidRPr="00EE1978">
        <w:rPr>
          <w:b/>
          <w:bCs/>
          <w:sz w:val="24"/>
          <w:szCs w:val="24"/>
        </w:rPr>
        <w:t>Pre-event consultation in advance:</w:t>
      </w:r>
    </w:p>
    <w:p w14:paraId="5636B6A3" w14:textId="77777777" w:rsidR="00EE1978" w:rsidRPr="00EE1978" w:rsidRDefault="00EE1978" w:rsidP="00EE1978">
      <w:pPr>
        <w:rPr>
          <w:sz w:val="24"/>
          <w:szCs w:val="24"/>
        </w:rPr>
      </w:pPr>
      <w:r w:rsidRPr="00EE1978">
        <w:rPr>
          <w:sz w:val="24"/>
          <w:szCs w:val="24"/>
        </w:rPr>
        <w:t>Use more sophisticated pre-event consulting techniques, such as community workshops or focus groups. This will yield complex information that will better align our events with community expectations.</w:t>
      </w:r>
    </w:p>
    <w:p w14:paraId="0609D79B" w14:textId="77777777" w:rsidR="00EE1978" w:rsidRPr="00EE1978" w:rsidRDefault="00EE1978" w:rsidP="00EE1978">
      <w:pPr>
        <w:rPr>
          <w:b/>
          <w:bCs/>
          <w:sz w:val="24"/>
          <w:szCs w:val="24"/>
        </w:rPr>
      </w:pPr>
      <w:r w:rsidRPr="00EE1978">
        <w:rPr>
          <w:b/>
          <w:bCs/>
          <w:sz w:val="24"/>
          <w:szCs w:val="24"/>
        </w:rPr>
        <w:t>Enhance Interactive Elements:</w:t>
      </w:r>
    </w:p>
    <w:p w14:paraId="42A11719" w14:textId="77777777" w:rsidR="00EE1978" w:rsidRPr="00EE1978" w:rsidRDefault="00EE1978" w:rsidP="00EE1978">
      <w:pPr>
        <w:rPr>
          <w:sz w:val="24"/>
          <w:szCs w:val="24"/>
        </w:rPr>
      </w:pPr>
      <w:r w:rsidRPr="00EE1978">
        <w:rPr>
          <w:sz w:val="24"/>
          <w:szCs w:val="24"/>
        </w:rPr>
        <w:t>Boost the interactive components of our events to offer additional chances for direct community involvement, input, and cooperation. Interactive workshops, breakout sessions, or group projects could be a part of this.</w:t>
      </w:r>
    </w:p>
    <w:p w14:paraId="40419AB6" w14:textId="77777777" w:rsidR="00EE1978" w:rsidRPr="00EE1978" w:rsidRDefault="00EE1978" w:rsidP="00EE1978">
      <w:pPr>
        <w:rPr>
          <w:b/>
          <w:bCs/>
          <w:sz w:val="24"/>
          <w:szCs w:val="24"/>
        </w:rPr>
      </w:pPr>
      <w:r w:rsidRPr="00EE1978">
        <w:rPr>
          <w:b/>
          <w:bCs/>
          <w:sz w:val="24"/>
          <w:szCs w:val="24"/>
        </w:rPr>
        <w:t>Establishing Durable Relationships:</w:t>
      </w:r>
    </w:p>
    <w:p w14:paraId="2FD91E78" w14:textId="77777777" w:rsidR="00EE1978" w:rsidRPr="00EE1978" w:rsidRDefault="00EE1978" w:rsidP="00EE1978">
      <w:pPr>
        <w:rPr>
          <w:sz w:val="24"/>
          <w:szCs w:val="24"/>
        </w:rPr>
      </w:pPr>
      <w:r w:rsidRPr="00EE1978">
        <w:rPr>
          <w:sz w:val="24"/>
          <w:szCs w:val="24"/>
        </w:rPr>
        <w:t>Turn our attention from one-time events to building enduring community relationships. This entails ongoing interaction via follow-up meetings, frequent updates, and ongoing discussion forums.</w:t>
      </w:r>
    </w:p>
    <w:p w14:paraId="3772C014" w14:textId="77777777" w:rsidR="00EE1978" w:rsidRPr="00EE1978" w:rsidRDefault="00EE1978" w:rsidP="00EE1978">
      <w:pPr>
        <w:rPr>
          <w:sz w:val="24"/>
          <w:szCs w:val="24"/>
        </w:rPr>
      </w:pPr>
      <w:r w:rsidRPr="00EE1978">
        <w:rPr>
          <w:sz w:val="24"/>
          <w:szCs w:val="24"/>
        </w:rPr>
        <w:t xml:space="preserve">When I think about what we need to do in the future, it's obvious that we need to be thinking beyond just the practical aspects of event planning. The essence of community involvement is creating enduring relationships that go beyond one-time events. The suggestions made provide a calculated manner to not only strengthen our strategy but also turn our upcoming events into significant occasions of civic engagement and empowerment. It's a pledge to a day when being involved in the community is a continuous, inclusive, and powerful process rather than a one-time event </w:t>
      </w:r>
      <w:r w:rsidRPr="00EE1978">
        <w:rPr>
          <w:sz w:val="24"/>
          <w:szCs w:val="24"/>
          <w:shd w:val="clear" w:color="auto" w:fill="FFFFFF"/>
        </w:rPr>
        <w:t xml:space="preserve">(Shahbaznezhad, Dolan, and Rashidirad, 2021). </w:t>
      </w:r>
    </w:p>
    <w:p w14:paraId="483F9AFA" w14:textId="1C6EF4DA" w:rsidR="00EE1978" w:rsidRDefault="00EE1978" w:rsidP="00EE1978">
      <w:pPr>
        <w:rPr>
          <w:sz w:val="24"/>
          <w:szCs w:val="24"/>
        </w:rPr>
      </w:pPr>
      <w:r w:rsidRPr="00EE1978">
        <w:rPr>
          <w:sz w:val="24"/>
          <w:szCs w:val="24"/>
        </w:rPr>
        <w:lastRenderedPageBreak/>
        <w:t>When doing research for community engagement, careful planning and thoroughness are crucial. There are several steps in the process, such as effect analysis, assessment, community mapping, social interaction on different platforms, and study design. Understanding the dynamics, requirements, and preferences of the community requires completing each phase. Let's examine these factors' navigation and the reasons they make up excellent practices.</w:t>
      </w:r>
    </w:p>
    <w:p w14:paraId="0083CA67" w14:textId="77777777" w:rsidR="00EE1978" w:rsidRPr="00EE1978" w:rsidRDefault="00EE1978" w:rsidP="00EE1978">
      <w:pPr>
        <w:rPr>
          <w:b/>
          <w:bCs/>
          <w:sz w:val="24"/>
          <w:szCs w:val="24"/>
        </w:rPr>
      </w:pPr>
      <w:r w:rsidRPr="00EE1978">
        <w:rPr>
          <w:b/>
          <w:bCs/>
          <w:sz w:val="24"/>
          <w:szCs w:val="24"/>
        </w:rPr>
        <w:t>Design of Research:</w:t>
      </w:r>
    </w:p>
    <w:p w14:paraId="5F54D73C" w14:textId="77777777" w:rsidR="00EE1978" w:rsidRPr="00EE1978" w:rsidRDefault="00EE1978" w:rsidP="00EE1978">
      <w:pPr>
        <w:rPr>
          <w:sz w:val="24"/>
          <w:szCs w:val="24"/>
        </w:rPr>
      </w:pPr>
      <w:r w:rsidRPr="00EE1978">
        <w:rPr>
          <w:sz w:val="24"/>
          <w:szCs w:val="24"/>
        </w:rPr>
        <w:t>A carefully thought-out research design is the foundation of any effective community involvement programme. This includes deciding on suitable approaches, establishing the study's scope, and formulating research questions. To make sure their opinions and concerns are taken into account, it is imperative to include important stakeholders in this stage. The basis for significant community engagement is established by the study design, regardless of whether qualitative or quantitative methodologies are used.</w:t>
      </w:r>
    </w:p>
    <w:p w14:paraId="30ECEC3E" w14:textId="77777777" w:rsidR="00EE1978" w:rsidRPr="00EE1978" w:rsidRDefault="00EE1978" w:rsidP="00EE1978">
      <w:pPr>
        <w:rPr>
          <w:b/>
          <w:bCs/>
          <w:sz w:val="24"/>
          <w:szCs w:val="24"/>
        </w:rPr>
      </w:pPr>
      <w:r w:rsidRPr="00EE1978">
        <w:rPr>
          <w:b/>
          <w:bCs/>
          <w:sz w:val="24"/>
          <w:szCs w:val="24"/>
        </w:rPr>
        <w:t>Mapping Communities:</w:t>
      </w:r>
    </w:p>
    <w:p w14:paraId="0C2FDF3E" w14:textId="77777777" w:rsidR="00EE1978" w:rsidRPr="00EE1978" w:rsidRDefault="00EE1978" w:rsidP="00EE1978">
      <w:pPr>
        <w:rPr>
          <w:sz w:val="24"/>
          <w:szCs w:val="24"/>
        </w:rPr>
      </w:pPr>
      <w:r w:rsidRPr="00EE1978">
        <w:rPr>
          <w:sz w:val="24"/>
          <w:szCs w:val="24"/>
        </w:rPr>
        <w:t>A dynamic tool for visualising a community's social, economic, and physical characteristics is community mapping. This includes determining the main players, available community resources, and problem areas. Through the process of mapping, the community's geography may be thoroughly understood, allowing for targeted and strategic interaction. It also aids in the identification of current networks, powerful people, and possible areas for cooperation.</w:t>
      </w:r>
    </w:p>
    <w:p w14:paraId="2559F87F" w14:textId="77777777" w:rsidR="00EE1978" w:rsidRPr="00EE1978" w:rsidRDefault="00EE1978" w:rsidP="00EE1978">
      <w:pPr>
        <w:rPr>
          <w:b/>
          <w:bCs/>
          <w:sz w:val="24"/>
          <w:szCs w:val="24"/>
        </w:rPr>
      </w:pPr>
      <w:r w:rsidRPr="00EE1978">
        <w:rPr>
          <w:b/>
          <w:bCs/>
          <w:sz w:val="24"/>
          <w:szCs w:val="24"/>
        </w:rPr>
        <w:t>Social Media Platforms for Social Engagement:</w:t>
      </w:r>
    </w:p>
    <w:p w14:paraId="079ED736" w14:textId="77777777" w:rsidR="00EE1978" w:rsidRPr="00EE1978" w:rsidRDefault="00EE1978" w:rsidP="00EE1978">
      <w:pPr>
        <w:rPr>
          <w:sz w:val="24"/>
          <w:szCs w:val="24"/>
          <w:shd w:val="clear" w:color="auto" w:fill="FFFFFF"/>
        </w:rPr>
      </w:pPr>
      <w:r w:rsidRPr="00EE1978">
        <w:rPr>
          <w:sz w:val="24"/>
          <w:szCs w:val="24"/>
        </w:rPr>
        <w:t xml:space="preserve">Social media platforms, with their wide audience and real-time interaction capabilities, are effective instruments for community engagement. Choosing platforms according to the preferences and demographics of the community is one of the best practices in social interaction. Approaches such as visual storytelling on Instagram, professional networking on LinkedIn, meaningful conversations on Facebook, and active listening on Twitter and Twitter are all beneficial. To ensure that the engagement is genuine and pertinent, it is important to customise content for the particular platform and audience </w:t>
      </w:r>
      <w:r w:rsidRPr="00EE1978">
        <w:rPr>
          <w:sz w:val="24"/>
          <w:szCs w:val="24"/>
          <w:shd w:val="clear" w:color="auto" w:fill="FFFFFF"/>
        </w:rPr>
        <w:t xml:space="preserve">(Lim and Rasul, 2022). </w:t>
      </w:r>
    </w:p>
    <w:p w14:paraId="73B2F97F" w14:textId="77777777" w:rsidR="00EE1978" w:rsidRPr="00EE1978" w:rsidRDefault="00EE1978" w:rsidP="00EE1978">
      <w:pPr>
        <w:rPr>
          <w:sz w:val="24"/>
          <w:szCs w:val="24"/>
        </w:rPr>
      </w:pPr>
      <w:r w:rsidRPr="00EE1978">
        <w:rPr>
          <w:sz w:val="24"/>
          <w:szCs w:val="24"/>
        </w:rPr>
        <w:t>Using social media to engage others is about starting a conversation as much as disseminating information. Initiatives that are successful address concerns, reply to remarks and actively involve the community in decision-making. Infographics and movies are examples of multimedia content that may be used to increase engagement and accessibility of information.</w:t>
      </w:r>
    </w:p>
    <w:p w14:paraId="67192AA4" w14:textId="77777777" w:rsidR="00EE1978" w:rsidRPr="00EE1978" w:rsidRDefault="00EE1978" w:rsidP="00EE1978">
      <w:pPr>
        <w:rPr>
          <w:b/>
          <w:bCs/>
          <w:sz w:val="24"/>
          <w:szCs w:val="24"/>
        </w:rPr>
      </w:pPr>
      <w:r w:rsidRPr="00EE1978">
        <w:rPr>
          <w:b/>
          <w:bCs/>
          <w:sz w:val="24"/>
          <w:szCs w:val="24"/>
        </w:rPr>
        <w:t>Effect Evaluation:</w:t>
      </w:r>
    </w:p>
    <w:p w14:paraId="4B85D089" w14:textId="77777777" w:rsidR="00EE1978" w:rsidRPr="00EE1978" w:rsidRDefault="00EE1978" w:rsidP="00EE1978">
      <w:pPr>
        <w:rPr>
          <w:sz w:val="24"/>
          <w:szCs w:val="24"/>
        </w:rPr>
      </w:pPr>
      <w:r w:rsidRPr="00EE1978">
        <w:rPr>
          <w:sz w:val="24"/>
          <w:szCs w:val="24"/>
        </w:rPr>
        <w:t>An essential stage of community participation is impact analysis. It analyses if the initiative's aims and objectives have been reached as well as how the effort has affected the community. Surveys, interviews, and the analysis of social media analytics are some of the quantitative and qualitative methods used in this. Comprehending the influence aids in enhancing forthcoming tactics and guarantees that the endeavours towards involvement are significant and productive.</w:t>
      </w:r>
    </w:p>
    <w:p w14:paraId="679DF461" w14:textId="77777777" w:rsidR="00EE1978" w:rsidRPr="00EE1978" w:rsidRDefault="00EE1978" w:rsidP="00EE1978">
      <w:pPr>
        <w:rPr>
          <w:sz w:val="24"/>
          <w:szCs w:val="24"/>
        </w:rPr>
      </w:pPr>
      <w:r w:rsidRPr="00EE1978">
        <w:rPr>
          <w:sz w:val="24"/>
          <w:szCs w:val="24"/>
        </w:rPr>
        <w:lastRenderedPageBreak/>
        <w:t>One of the best practices in impact analysis is to start the project with well-defined, quantifiable goals. Throughout the initiative, tracking and recording progress regularly yields useful information for the effect study. A more flexible and adaptable strategy is also ensured by interacting with the community throughout this phase, getting feedback, and making changes in response to the comments.</w:t>
      </w:r>
    </w:p>
    <w:p w14:paraId="02A9ABCF" w14:textId="77777777" w:rsidR="00EE1978" w:rsidRPr="00EE1978" w:rsidRDefault="00EE1978" w:rsidP="00EE1978">
      <w:pPr>
        <w:rPr>
          <w:b/>
          <w:bCs/>
          <w:sz w:val="24"/>
          <w:szCs w:val="24"/>
        </w:rPr>
      </w:pPr>
      <w:r w:rsidRPr="00EE1978">
        <w:rPr>
          <w:b/>
          <w:bCs/>
          <w:sz w:val="24"/>
          <w:szCs w:val="24"/>
        </w:rPr>
        <w:t>Assessment:</w:t>
      </w:r>
    </w:p>
    <w:p w14:paraId="4230E4A3" w14:textId="77777777" w:rsidR="00EE1978" w:rsidRPr="00EE1978" w:rsidRDefault="00EE1978" w:rsidP="00EE1978">
      <w:pPr>
        <w:rPr>
          <w:sz w:val="24"/>
          <w:szCs w:val="24"/>
        </w:rPr>
      </w:pPr>
      <w:r w:rsidRPr="00EE1978">
        <w:rPr>
          <w:sz w:val="24"/>
          <w:szCs w:val="24"/>
        </w:rPr>
        <w:t>Beyond effect study, evaluation entails a more thorough appraisal of the project as a whole. This entails evaluating the degree of interaction quality, the sustainability of the results, and the engagement process itself. To provide a thorough understanding, evaluations should be inclusive of a range of viewpoints and involve community members.</w:t>
      </w:r>
    </w:p>
    <w:p w14:paraId="68C02325" w14:textId="77777777" w:rsidR="00EE1978" w:rsidRPr="00EE1978" w:rsidRDefault="00EE1978" w:rsidP="00EE1978">
      <w:pPr>
        <w:rPr>
          <w:sz w:val="24"/>
          <w:szCs w:val="24"/>
        </w:rPr>
      </w:pPr>
      <w:r w:rsidRPr="00EE1978">
        <w:rPr>
          <w:sz w:val="24"/>
          <w:szCs w:val="24"/>
        </w:rPr>
        <w:t>Combining formative and summative assessment techniques is one of the best evaluation practices. Summative evaluation offers a retrospective analysis of the total impact, whereas formative evaluation takes place throughout the initiative and permits modifications in real-time. An evaluation process that is more truthful and responsible benefits from transparency in presenting findings and the acknowledgement of both achievements and challenges.</w:t>
      </w:r>
    </w:p>
    <w:p w14:paraId="4A8AE9DD" w14:textId="77777777" w:rsidR="00EE1978" w:rsidRPr="00EE1978" w:rsidRDefault="00EE1978" w:rsidP="00EE1978">
      <w:pPr>
        <w:rPr>
          <w:sz w:val="24"/>
          <w:szCs w:val="24"/>
          <w:shd w:val="clear" w:color="auto" w:fill="FFFFFF"/>
        </w:rPr>
      </w:pPr>
      <w:r w:rsidRPr="00EE1978">
        <w:rPr>
          <w:b/>
          <w:bCs/>
          <w:sz w:val="24"/>
          <w:szCs w:val="24"/>
        </w:rPr>
        <w:t xml:space="preserve">Best Practises' justification: </w:t>
      </w:r>
      <w:r w:rsidRPr="00EE1978">
        <w:rPr>
          <w:sz w:val="24"/>
          <w:szCs w:val="24"/>
        </w:rPr>
        <w:t xml:space="preserve">Incorporating community people into the research design promotes inclusivity and guarantees that the study is pertinent to and meets real community needs. This interactive method encourages teamwork and a sense of ownership </w:t>
      </w:r>
      <w:r w:rsidRPr="00EE1978">
        <w:rPr>
          <w:sz w:val="24"/>
          <w:szCs w:val="24"/>
          <w:shd w:val="clear" w:color="auto" w:fill="FFFFFF"/>
        </w:rPr>
        <w:t>(Evans, Bratton, and McKee, 2021). </w:t>
      </w:r>
    </w:p>
    <w:p w14:paraId="2EBA653B" w14:textId="77777777" w:rsidR="00EE1978" w:rsidRPr="00EE1978" w:rsidRDefault="00EE1978" w:rsidP="00EE1978">
      <w:pPr>
        <w:rPr>
          <w:sz w:val="24"/>
          <w:szCs w:val="24"/>
        </w:rPr>
      </w:pPr>
      <w:r w:rsidRPr="00EE1978">
        <w:rPr>
          <w:b/>
          <w:bCs/>
          <w:sz w:val="24"/>
          <w:szCs w:val="24"/>
        </w:rPr>
        <w:t>Comprehensive Community Mapping:</w:t>
      </w:r>
      <w:r w:rsidRPr="00EE1978">
        <w:rPr>
          <w:sz w:val="24"/>
          <w:szCs w:val="24"/>
        </w:rPr>
        <w:t xml:space="preserve"> When it comes to comprehending the context, community mapping is a very useful tool. It facilitates the identification of social processes in addition to physical structures, enabling focused and calculated interaction.</w:t>
      </w:r>
    </w:p>
    <w:p w14:paraId="7F517F05" w14:textId="77777777" w:rsidR="00EE1978" w:rsidRPr="00EE1978" w:rsidRDefault="00EE1978" w:rsidP="00EE1978">
      <w:pPr>
        <w:rPr>
          <w:sz w:val="24"/>
          <w:szCs w:val="24"/>
        </w:rPr>
      </w:pPr>
      <w:r w:rsidRPr="00EE1978">
        <w:rPr>
          <w:b/>
          <w:bCs/>
          <w:sz w:val="24"/>
          <w:szCs w:val="24"/>
        </w:rPr>
        <w:t>Customised Social Media Interaction:</w:t>
      </w:r>
      <w:r w:rsidRPr="00EE1978">
        <w:rPr>
          <w:sz w:val="24"/>
          <w:szCs w:val="24"/>
        </w:rPr>
        <w:t xml:space="preserve"> Diverse social media networks serve various user bases. Content that is specifically designed for each platform guarantees that the community will find and value the engagement. Two-way communication and attentive listening promote community involvement and trust.</w:t>
      </w:r>
    </w:p>
    <w:p w14:paraId="6F67C327" w14:textId="77777777" w:rsidR="00EE1978" w:rsidRPr="00EE1978" w:rsidRDefault="00EE1978" w:rsidP="00EE1978">
      <w:pPr>
        <w:rPr>
          <w:sz w:val="24"/>
          <w:szCs w:val="24"/>
        </w:rPr>
      </w:pPr>
      <w:r w:rsidRPr="00EE1978">
        <w:rPr>
          <w:b/>
          <w:bCs/>
          <w:sz w:val="24"/>
          <w:szCs w:val="24"/>
        </w:rPr>
        <w:t>Comprehensive Impact Analysis:</w:t>
      </w:r>
      <w:r w:rsidRPr="00EE1978">
        <w:rPr>
          <w:sz w:val="24"/>
          <w:szCs w:val="24"/>
        </w:rPr>
        <w:t xml:space="preserve"> Two essential elements of impact analysis are establishing specific objectives and routinely tracking advancement. By ensuring that participation initiatives are flexible and well-intentioned, this strategy helps to foster long-term community growth.</w:t>
      </w:r>
    </w:p>
    <w:p w14:paraId="1FBEB878" w14:textId="77777777" w:rsidR="00EE1978" w:rsidRPr="00EE1978" w:rsidRDefault="00EE1978" w:rsidP="00EE1978">
      <w:pPr>
        <w:rPr>
          <w:sz w:val="24"/>
          <w:szCs w:val="24"/>
        </w:rPr>
      </w:pPr>
      <w:r w:rsidRPr="00EE1978">
        <w:rPr>
          <w:b/>
          <w:bCs/>
          <w:sz w:val="24"/>
          <w:szCs w:val="24"/>
        </w:rPr>
        <w:t>Participatory evaluation:</w:t>
      </w:r>
      <w:r w:rsidRPr="00EE1978">
        <w:rPr>
          <w:sz w:val="24"/>
          <w:szCs w:val="24"/>
        </w:rPr>
        <w:t xml:space="preserve"> Including people of the community in the assessment process guarantees a more complete and genuine evaluation. Recognising accomplishments as well as obstacles encourages openness and increases trustworthiness.</w:t>
      </w:r>
    </w:p>
    <w:p w14:paraId="72B79A79" w14:textId="77777777" w:rsidR="00EE1978" w:rsidRPr="00EE1978" w:rsidRDefault="00EE1978" w:rsidP="00EE1978">
      <w:pPr>
        <w:rPr>
          <w:sz w:val="24"/>
          <w:szCs w:val="24"/>
          <w:shd w:val="clear" w:color="auto" w:fill="FFFFFF"/>
        </w:rPr>
      </w:pPr>
      <w:r w:rsidRPr="00EE1978">
        <w:rPr>
          <w:sz w:val="24"/>
          <w:szCs w:val="24"/>
        </w:rPr>
        <w:t xml:space="preserve">Iterative and interconnected are the best practices in impact analysis, mapping, social media involvement, research, and evaluation related to community engagement. They constitute a dynamic cycle that starts with an awareness of the community's background and concludes with a contemplative assessment. Adopting these procedures guarantees that community </w:t>
      </w:r>
      <w:r w:rsidRPr="00EE1978">
        <w:rPr>
          <w:sz w:val="24"/>
          <w:szCs w:val="24"/>
        </w:rPr>
        <w:lastRenderedPageBreak/>
        <w:t xml:space="preserve">involvement programmes are impactful, inclusive, responsive, and well-informed </w:t>
      </w:r>
      <w:r w:rsidRPr="00EE1978">
        <w:rPr>
          <w:sz w:val="24"/>
          <w:szCs w:val="24"/>
          <w:shd w:val="clear" w:color="auto" w:fill="FFFFFF"/>
        </w:rPr>
        <w:t xml:space="preserve">(Bryła, Chatterjee, and Ciabiada-Bryła, 2022). </w:t>
      </w:r>
    </w:p>
    <w:p w14:paraId="67B4072A" w14:textId="219F2813" w:rsidR="00EE1978" w:rsidRDefault="00EE1978" w:rsidP="00EE1978">
      <w:pPr>
        <w:rPr>
          <w:sz w:val="24"/>
          <w:szCs w:val="24"/>
        </w:rPr>
      </w:pPr>
    </w:p>
    <w:p w14:paraId="71D130C7" w14:textId="77777777" w:rsidR="00EE1978" w:rsidRPr="00EE1978" w:rsidRDefault="00EE1978" w:rsidP="00EE1978">
      <w:pPr>
        <w:rPr>
          <w:sz w:val="24"/>
          <w:szCs w:val="24"/>
        </w:rPr>
      </w:pPr>
    </w:p>
    <w:p w14:paraId="78356FE9" w14:textId="77689654" w:rsidR="00EE1978" w:rsidRDefault="00EE1978" w:rsidP="00EE1978">
      <w:pPr>
        <w:pStyle w:val="Heading1"/>
        <w:rPr>
          <w:sz w:val="24"/>
          <w:szCs w:val="24"/>
        </w:rPr>
      </w:pPr>
      <w:bookmarkStart w:id="4" w:name="_Toc152158041"/>
      <w:r w:rsidRPr="00EE1978">
        <w:rPr>
          <w:sz w:val="24"/>
          <w:szCs w:val="24"/>
        </w:rPr>
        <w:t>Conclusion</w:t>
      </w:r>
      <w:bookmarkEnd w:id="4"/>
    </w:p>
    <w:p w14:paraId="025C1506" w14:textId="77777777" w:rsidR="00EE1978" w:rsidRPr="00EE1978" w:rsidRDefault="00EE1978" w:rsidP="00EE1978"/>
    <w:p w14:paraId="3513347B" w14:textId="77777777" w:rsidR="00EE1978" w:rsidRPr="00EE1978" w:rsidRDefault="00EE1978" w:rsidP="00EE1978">
      <w:pPr>
        <w:rPr>
          <w:sz w:val="24"/>
          <w:szCs w:val="24"/>
        </w:rPr>
      </w:pPr>
      <w:r w:rsidRPr="00EE1978">
        <w:rPr>
          <w:sz w:val="24"/>
          <w:szCs w:val="24"/>
        </w:rPr>
        <w:t>In Conclusion, community engagement is a complex process characterised by diversity, teamwork, and ongoing learning. Every stage is crucial, from the preliminary investigation and community mapping to the social media-enabled dynamic interactions and the thorough impact and assessment analysis. It all comes down to appreciating and respecting the various voices in the community and encouraging a feeling of collective responsibility and ownership. Community involvement becomes a transformative force when best practices, such as inclusive research design, rigorous effect analysis, participatory evaluation, customised social media interaction, and complete community mapping, are applied. In addition to meeting urgent needs, it establishes the framework for long-term growth, cooperation, and empowerment. The essential components of the community engagement process are distilled into this thoughtful synopsis, which highlights the method's dynamic nature and long-lasting effects on the development of resilient and cohesive communities.</w:t>
      </w:r>
    </w:p>
    <w:p w14:paraId="568B9148" w14:textId="77777777" w:rsidR="00EE1978" w:rsidRPr="00EE1978" w:rsidRDefault="00EE1978" w:rsidP="00EE1978">
      <w:pPr>
        <w:rPr>
          <w:sz w:val="24"/>
          <w:szCs w:val="24"/>
        </w:rPr>
      </w:pPr>
    </w:p>
    <w:p w14:paraId="0D67FB6D" w14:textId="77777777" w:rsidR="00EE1978" w:rsidRPr="00EE1978" w:rsidRDefault="00EE1978" w:rsidP="00EE1978">
      <w:pPr>
        <w:rPr>
          <w:sz w:val="24"/>
          <w:szCs w:val="24"/>
          <w:shd w:val="clear" w:color="auto" w:fill="FFFFFF"/>
        </w:rPr>
      </w:pPr>
    </w:p>
    <w:p w14:paraId="5332F107" w14:textId="563C56C8" w:rsidR="00EE1978" w:rsidRDefault="00EE1978" w:rsidP="00EE1978">
      <w:pPr>
        <w:rPr>
          <w:sz w:val="24"/>
          <w:szCs w:val="24"/>
        </w:rPr>
      </w:pPr>
    </w:p>
    <w:p w14:paraId="63DA0ACD" w14:textId="3EDD33A3" w:rsidR="00EE1978" w:rsidRDefault="00EE1978" w:rsidP="00EE1978">
      <w:pPr>
        <w:rPr>
          <w:sz w:val="24"/>
          <w:szCs w:val="24"/>
        </w:rPr>
      </w:pPr>
    </w:p>
    <w:p w14:paraId="4712D3E6" w14:textId="3857F6AC" w:rsidR="00EE1978" w:rsidRDefault="00EE1978" w:rsidP="00EE1978">
      <w:pPr>
        <w:rPr>
          <w:sz w:val="24"/>
          <w:szCs w:val="24"/>
        </w:rPr>
      </w:pPr>
    </w:p>
    <w:p w14:paraId="219EEF57" w14:textId="6950A1B0" w:rsidR="00EE1978" w:rsidRDefault="00EE1978" w:rsidP="00EE1978">
      <w:pPr>
        <w:rPr>
          <w:sz w:val="24"/>
          <w:szCs w:val="24"/>
        </w:rPr>
      </w:pPr>
    </w:p>
    <w:p w14:paraId="5557C8E8" w14:textId="23C362AC" w:rsidR="00EE1978" w:rsidRDefault="00EE1978" w:rsidP="00EE1978">
      <w:pPr>
        <w:rPr>
          <w:sz w:val="24"/>
          <w:szCs w:val="24"/>
        </w:rPr>
      </w:pPr>
    </w:p>
    <w:p w14:paraId="19AD13AA" w14:textId="1FD8168F" w:rsidR="00EE1978" w:rsidRDefault="00EE1978" w:rsidP="00EE1978">
      <w:pPr>
        <w:rPr>
          <w:sz w:val="24"/>
          <w:szCs w:val="24"/>
        </w:rPr>
      </w:pPr>
    </w:p>
    <w:p w14:paraId="3FE62F76" w14:textId="7CB78E97" w:rsidR="00EE1978" w:rsidRDefault="00EE1978" w:rsidP="00EE1978">
      <w:pPr>
        <w:rPr>
          <w:sz w:val="24"/>
          <w:szCs w:val="24"/>
        </w:rPr>
      </w:pPr>
    </w:p>
    <w:p w14:paraId="28E6370F" w14:textId="014924E7" w:rsidR="00EE1978" w:rsidRDefault="00EE1978" w:rsidP="00EE1978">
      <w:pPr>
        <w:rPr>
          <w:sz w:val="24"/>
          <w:szCs w:val="24"/>
        </w:rPr>
      </w:pPr>
    </w:p>
    <w:p w14:paraId="6E1966E4" w14:textId="65D30EB6" w:rsidR="00EE1978" w:rsidRDefault="00EE1978" w:rsidP="00EE1978">
      <w:pPr>
        <w:rPr>
          <w:sz w:val="24"/>
          <w:szCs w:val="24"/>
        </w:rPr>
      </w:pPr>
    </w:p>
    <w:p w14:paraId="6CE83FB2" w14:textId="24E078DE" w:rsidR="00EE1978" w:rsidRDefault="00EE1978" w:rsidP="00EE1978">
      <w:pPr>
        <w:rPr>
          <w:sz w:val="24"/>
          <w:szCs w:val="24"/>
        </w:rPr>
      </w:pPr>
    </w:p>
    <w:p w14:paraId="52899106" w14:textId="028D6BC0" w:rsidR="00EE1978" w:rsidRDefault="00EE1978" w:rsidP="00EE1978">
      <w:pPr>
        <w:rPr>
          <w:sz w:val="24"/>
          <w:szCs w:val="24"/>
        </w:rPr>
      </w:pPr>
    </w:p>
    <w:p w14:paraId="066B4CB1" w14:textId="5D69CEA9" w:rsidR="00EE1978" w:rsidRDefault="00EE1978" w:rsidP="00EE1978">
      <w:pPr>
        <w:rPr>
          <w:sz w:val="24"/>
          <w:szCs w:val="24"/>
        </w:rPr>
      </w:pPr>
    </w:p>
    <w:p w14:paraId="3F2A083F" w14:textId="4A8B21CB" w:rsidR="00EE1978" w:rsidRDefault="00EE1978" w:rsidP="00EE1978">
      <w:pPr>
        <w:rPr>
          <w:sz w:val="24"/>
          <w:szCs w:val="24"/>
        </w:rPr>
      </w:pPr>
    </w:p>
    <w:p w14:paraId="55846A5B" w14:textId="3BC790B3" w:rsidR="00EE1978" w:rsidRPr="00EE1978" w:rsidRDefault="00EE1978" w:rsidP="00EE1978">
      <w:pPr>
        <w:pStyle w:val="Heading1"/>
        <w:rPr>
          <w:sz w:val="24"/>
          <w:szCs w:val="24"/>
        </w:rPr>
      </w:pPr>
      <w:bookmarkStart w:id="5" w:name="_Toc152158042"/>
      <w:r w:rsidRPr="00EE1978">
        <w:rPr>
          <w:sz w:val="24"/>
          <w:szCs w:val="24"/>
        </w:rPr>
        <w:lastRenderedPageBreak/>
        <w:t>References</w:t>
      </w:r>
      <w:bookmarkEnd w:id="5"/>
      <w:r w:rsidRPr="00EE1978">
        <w:rPr>
          <w:sz w:val="24"/>
          <w:szCs w:val="24"/>
        </w:rPr>
        <w:t xml:space="preserve"> </w:t>
      </w:r>
    </w:p>
    <w:p w14:paraId="7206FCB7" w14:textId="1119E295" w:rsidR="00EE1978" w:rsidRPr="00EE1978" w:rsidRDefault="00EE1978" w:rsidP="00EE1978">
      <w:pPr>
        <w:rPr>
          <w:sz w:val="24"/>
          <w:szCs w:val="24"/>
        </w:rPr>
      </w:pPr>
    </w:p>
    <w:p w14:paraId="29162966" w14:textId="77777777" w:rsidR="00EE1978" w:rsidRPr="00EE1978" w:rsidRDefault="00EE1978" w:rsidP="00EE1978">
      <w:pPr>
        <w:rPr>
          <w:sz w:val="24"/>
          <w:szCs w:val="24"/>
        </w:rPr>
      </w:pPr>
    </w:p>
    <w:p w14:paraId="53F0FAB3" w14:textId="77777777" w:rsidR="00EE1978" w:rsidRPr="00EE1978" w:rsidRDefault="00EE1978" w:rsidP="00EE1978">
      <w:pPr>
        <w:rPr>
          <w:sz w:val="24"/>
          <w:szCs w:val="24"/>
          <w:shd w:val="clear" w:color="auto" w:fill="FFFFFF"/>
        </w:rPr>
      </w:pPr>
      <w:r w:rsidRPr="00EE1978">
        <w:rPr>
          <w:sz w:val="24"/>
          <w:szCs w:val="24"/>
          <w:shd w:val="clear" w:color="auto" w:fill="FFFFFF"/>
        </w:rPr>
        <w:t>Agnihotri, R., (2020). Social media, customer engagement, and sales organizations: A research agenda. </w:t>
      </w:r>
      <w:r w:rsidRPr="00EE1978">
        <w:rPr>
          <w:i/>
          <w:iCs/>
          <w:sz w:val="24"/>
          <w:szCs w:val="24"/>
          <w:shd w:val="clear" w:color="auto" w:fill="FFFFFF"/>
        </w:rPr>
        <w:t>Industrial Marketing Management</w:t>
      </w:r>
      <w:r w:rsidRPr="00EE1978">
        <w:rPr>
          <w:sz w:val="24"/>
          <w:szCs w:val="24"/>
          <w:shd w:val="clear" w:color="auto" w:fill="FFFFFF"/>
        </w:rPr>
        <w:t>, </w:t>
      </w:r>
      <w:r w:rsidRPr="00EE1978">
        <w:rPr>
          <w:i/>
          <w:iCs/>
          <w:sz w:val="24"/>
          <w:szCs w:val="24"/>
          <w:shd w:val="clear" w:color="auto" w:fill="FFFFFF"/>
        </w:rPr>
        <w:t>90</w:t>
      </w:r>
      <w:r w:rsidRPr="00EE1978">
        <w:rPr>
          <w:sz w:val="24"/>
          <w:szCs w:val="24"/>
          <w:shd w:val="clear" w:color="auto" w:fill="FFFFFF"/>
        </w:rPr>
        <w:t>, pp.291-299.</w:t>
      </w:r>
    </w:p>
    <w:p w14:paraId="5ECE9678" w14:textId="77777777" w:rsidR="00EE1978" w:rsidRPr="00EE1978" w:rsidRDefault="00EE1978" w:rsidP="00EE1978">
      <w:pPr>
        <w:rPr>
          <w:sz w:val="24"/>
          <w:szCs w:val="24"/>
        </w:rPr>
      </w:pPr>
      <w:r w:rsidRPr="00EE1978">
        <w:rPr>
          <w:sz w:val="24"/>
          <w:szCs w:val="24"/>
          <w:shd w:val="clear" w:color="auto" w:fill="FFFFFF"/>
        </w:rPr>
        <w:t>Auxier, B. and Anderson, M., (2021). Social media use in 2021. </w:t>
      </w:r>
      <w:r w:rsidRPr="00EE1978">
        <w:rPr>
          <w:i/>
          <w:iCs/>
          <w:sz w:val="24"/>
          <w:szCs w:val="24"/>
          <w:shd w:val="clear" w:color="auto" w:fill="FFFFFF"/>
        </w:rPr>
        <w:t>Pew Research Center</w:t>
      </w:r>
      <w:r w:rsidRPr="00EE1978">
        <w:rPr>
          <w:sz w:val="24"/>
          <w:szCs w:val="24"/>
          <w:shd w:val="clear" w:color="auto" w:fill="FFFFFF"/>
        </w:rPr>
        <w:t>, </w:t>
      </w:r>
      <w:r w:rsidRPr="00EE1978">
        <w:rPr>
          <w:i/>
          <w:iCs/>
          <w:sz w:val="24"/>
          <w:szCs w:val="24"/>
          <w:shd w:val="clear" w:color="auto" w:fill="FFFFFF"/>
        </w:rPr>
        <w:t>1</w:t>
      </w:r>
      <w:r w:rsidRPr="00EE1978">
        <w:rPr>
          <w:sz w:val="24"/>
          <w:szCs w:val="24"/>
          <w:shd w:val="clear" w:color="auto" w:fill="FFFFFF"/>
        </w:rPr>
        <w:t>, pp.1-4.</w:t>
      </w:r>
    </w:p>
    <w:p w14:paraId="366F5395" w14:textId="77777777" w:rsidR="00EE1978" w:rsidRPr="00EE1978" w:rsidRDefault="00EE1978" w:rsidP="00EE1978">
      <w:pPr>
        <w:rPr>
          <w:sz w:val="24"/>
          <w:szCs w:val="24"/>
          <w:shd w:val="clear" w:color="auto" w:fill="FFFFFF"/>
        </w:rPr>
      </w:pPr>
      <w:r w:rsidRPr="00EE1978">
        <w:rPr>
          <w:sz w:val="24"/>
          <w:szCs w:val="24"/>
          <w:shd w:val="clear" w:color="auto" w:fill="FFFFFF"/>
        </w:rPr>
        <w:t>Bryła, P., Chatterjee, S. and Ciabiada-Bryła, B., (2022). The impact of social media marketing on consumer engagement in sustainable consumption: A systematic literature review. </w:t>
      </w:r>
      <w:r w:rsidRPr="00EE1978">
        <w:rPr>
          <w:i/>
          <w:iCs/>
          <w:sz w:val="24"/>
          <w:szCs w:val="24"/>
          <w:shd w:val="clear" w:color="auto" w:fill="FFFFFF"/>
        </w:rPr>
        <w:t>International Journal of Environmental Research and Public Health</w:t>
      </w:r>
      <w:r w:rsidRPr="00EE1978">
        <w:rPr>
          <w:sz w:val="24"/>
          <w:szCs w:val="24"/>
          <w:shd w:val="clear" w:color="auto" w:fill="FFFFFF"/>
        </w:rPr>
        <w:t>, </w:t>
      </w:r>
      <w:r w:rsidRPr="00EE1978">
        <w:rPr>
          <w:i/>
          <w:iCs/>
          <w:sz w:val="24"/>
          <w:szCs w:val="24"/>
          <w:shd w:val="clear" w:color="auto" w:fill="FFFFFF"/>
        </w:rPr>
        <w:t>19</w:t>
      </w:r>
      <w:r w:rsidRPr="00EE1978">
        <w:rPr>
          <w:sz w:val="24"/>
          <w:szCs w:val="24"/>
          <w:shd w:val="clear" w:color="auto" w:fill="FFFFFF"/>
        </w:rPr>
        <w:t>(24), p.16637.</w:t>
      </w:r>
    </w:p>
    <w:p w14:paraId="67E65ABC" w14:textId="77777777" w:rsidR="00EE1978" w:rsidRPr="00EE1978" w:rsidRDefault="00EE1978" w:rsidP="00EE1978">
      <w:pPr>
        <w:rPr>
          <w:sz w:val="24"/>
          <w:szCs w:val="24"/>
          <w:shd w:val="clear" w:color="auto" w:fill="FFFFFF"/>
        </w:rPr>
      </w:pPr>
      <w:r w:rsidRPr="00EE1978">
        <w:rPr>
          <w:sz w:val="24"/>
          <w:szCs w:val="24"/>
          <w:shd w:val="clear" w:color="auto" w:fill="FFFFFF"/>
        </w:rPr>
        <w:t>Bucknell, K.J., Kangas, M. and Crane, M.F., (2022). Adaptive self-reflection and resilience: The moderating effects of rumination on insight as a mediator. </w:t>
      </w:r>
      <w:r w:rsidRPr="00EE1978">
        <w:rPr>
          <w:i/>
          <w:iCs/>
          <w:sz w:val="24"/>
          <w:szCs w:val="24"/>
          <w:shd w:val="clear" w:color="auto" w:fill="FFFFFF"/>
        </w:rPr>
        <w:t>Personality and Individual Differences</w:t>
      </w:r>
      <w:r w:rsidRPr="00EE1978">
        <w:rPr>
          <w:sz w:val="24"/>
          <w:szCs w:val="24"/>
          <w:shd w:val="clear" w:color="auto" w:fill="FFFFFF"/>
        </w:rPr>
        <w:t>, </w:t>
      </w:r>
      <w:r w:rsidRPr="00EE1978">
        <w:rPr>
          <w:i/>
          <w:iCs/>
          <w:sz w:val="24"/>
          <w:szCs w:val="24"/>
          <w:shd w:val="clear" w:color="auto" w:fill="FFFFFF"/>
        </w:rPr>
        <w:t>185</w:t>
      </w:r>
      <w:r w:rsidRPr="00EE1978">
        <w:rPr>
          <w:sz w:val="24"/>
          <w:szCs w:val="24"/>
          <w:shd w:val="clear" w:color="auto" w:fill="FFFFFF"/>
        </w:rPr>
        <w:t>, p.111234.</w:t>
      </w:r>
    </w:p>
    <w:p w14:paraId="0B33D5D0" w14:textId="77777777" w:rsidR="00EE1978" w:rsidRPr="00EE1978" w:rsidRDefault="00EE1978" w:rsidP="00EE1978">
      <w:pPr>
        <w:rPr>
          <w:sz w:val="24"/>
          <w:szCs w:val="24"/>
          <w:shd w:val="clear" w:color="auto" w:fill="FFFFFF"/>
        </w:rPr>
      </w:pPr>
      <w:r w:rsidRPr="00EE1978">
        <w:rPr>
          <w:sz w:val="24"/>
          <w:szCs w:val="24"/>
          <w:shd w:val="clear" w:color="auto" w:fill="FFFFFF"/>
        </w:rPr>
        <w:t>Evans, D., Bratton, S. and McKee, J., (2021). </w:t>
      </w:r>
      <w:r w:rsidRPr="00EE1978">
        <w:rPr>
          <w:i/>
          <w:iCs/>
          <w:sz w:val="24"/>
          <w:szCs w:val="24"/>
          <w:shd w:val="clear" w:color="auto" w:fill="FFFFFF"/>
        </w:rPr>
        <w:t>Social media marketing</w:t>
      </w:r>
      <w:r w:rsidRPr="00EE1978">
        <w:rPr>
          <w:sz w:val="24"/>
          <w:szCs w:val="24"/>
          <w:shd w:val="clear" w:color="auto" w:fill="FFFFFF"/>
        </w:rPr>
        <w:t>. AG Printing &amp; Publishing.</w:t>
      </w:r>
    </w:p>
    <w:p w14:paraId="5E9E352C" w14:textId="77777777" w:rsidR="00EE1978" w:rsidRPr="00EE1978" w:rsidRDefault="00EE1978" w:rsidP="00EE1978">
      <w:pPr>
        <w:rPr>
          <w:sz w:val="24"/>
          <w:szCs w:val="24"/>
        </w:rPr>
      </w:pPr>
      <w:r w:rsidRPr="00EE1978">
        <w:rPr>
          <w:sz w:val="24"/>
          <w:szCs w:val="24"/>
          <w:shd w:val="clear" w:color="auto" w:fill="FFFFFF"/>
        </w:rPr>
        <w:t>Kapoor, K.K., Tamilmani, K., Rana, N.P., Patil, P., Dwivedi, Y.K. and Nerur, S., (2018). Advances in social media research: Past, present and future. </w:t>
      </w:r>
      <w:r w:rsidRPr="00EE1978">
        <w:rPr>
          <w:i/>
          <w:iCs/>
          <w:sz w:val="24"/>
          <w:szCs w:val="24"/>
          <w:shd w:val="clear" w:color="auto" w:fill="FFFFFF"/>
        </w:rPr>
        <w:t>Information Systems Frontiers</w:t>
      </w:r>
      <w:r w:rsidRPr="00EE1978">
        <w:rPr>
          <w:sz w:val="24"/>
          <w:szCs w:val="24"/>
          <w:shd w:val="clear" w:color="auto" w:fill="FFFFFF"/>
        </w:rPr>
        <w:t>, </w:t>
      </w:r>
      <w:r w:rsidRPr="00EE1978">
        <w:rPr>
          <w:i/>
          <w:iCs/>
          <w:sz w:val="24"/>
          <w:szCs w:val="24"/>
          <w:shd w:val="clear" w:color="auto" w:fill="FFFFFF"/>
        </w:rPr>
        <w:t>20</w:t>
      </w:r>
      <w:r w:rsidRPr="00EE1978">
        <w:rPr>
          <w:sz w:val="24"/>
          <w:szCs w:val="24"/>
          <w:shd w:val="clear" w:color="auto" w:fill="FFFFFF"/>
        </w:rPr>
        <w:t>, pp.531-558.</w:t>
      </w:r>
    </w:p>
    <w:p w14:paraId="766AC40E" w14:textId="77777777" w:rsidR="00EE1978" w:rsidRPr="00EE1978" w:rsidRDefault="00EE1978" w:rsidP="00EE1978">
      <w:pPr>
        <w:rPr>
          <w:sz w:val="24"/>
          <w:szCs w:val="24"/>
          <w:shd w:val="clear" w:color="auto" w:fill="FFFFFF"/>
        </w:rPr>
      </w:pPr>
      <w:r w:rsidRPr="00EE1978">
        <w:rPr>
          <w:sz w:val="24"/>
          <w:szCs w:val="24"/>
          <w:shd w:val="clear" w:color="auto" w:fill="FFFFFF"/>
        </w:rPr>
        <w:t>Lim, W.M. and Rasul, T., (2022). Customer engagement and social media: Revisiting the past to inform the future. </w:t>
      </w:r>
      <w:r w:rsidRPr="00EE1978">
        <w:rPr>
          <w:i/>
          <w:iCs/>
          <w:sz w:val="24"/>
          <w:szCs w:val="24"/>
          <w:shd w:val="clear" w:color="auto" w:fill="FFFFFF"/>
        </w:rPr>
        <w:t>Journal of Business Research</w:t>
      </w:r>
      <w:r w:rsidRPr="00EE1978">
        <w:rPr>
          <w:sz w:val="24"/>
          <w:szCs w:val="24"/>
          <w:shd w:val="clear" w:color="auto" w:fill="FFFFFF"/>
        </w:rPr>
        <w:t>, </w:t>
      </w:r>
      <w:r w:rsidRPr="00EE1978">
        <w:rPr>
          <w:i/>
          <w:iCs/>
          <w:sz w:val="24"/>
          <w:szCs w:val="24"/>
          <w:shd w:val="clear" w:color="auto" w:fill="FFFFFF"/>
        </w:rPr>
        <w:t>148</w:t>
      </w:r>
      <w:r w:rsidRPr="00EE1978">
        <w:rPr>
          <w:sz w:val="24"/>
          <w:szCs w:val="24"/>
          <w:shd w:val="clear" w:color="auto" w:fill="FFFFFF"/>
        </w:rPr>
        <w:t>, pp.325-342.</w:t>
      </w:r>
    </w:p>
    <w:p w14:paraId="78F03C93" w14:textId="77777777" w:rsidR="00EE1978" w:rsidRPr="00EE1978" w:rsidRDefault="00EE1978" w:rsidP="00EE1978">
      <w:pPr>
        <w:rPr>
          <w:sz w:val="24"/>
          <w:szCs w:val="24"/>
          <w:shd w:val="clear" w:color="auto" w:fill="FFFFFF"/>
        </w:rPr>
      </w:pPr>
      <w:r w:rsidRPr="00EE1978">
        <w:rPr>
          <w:sz w:val="24"/>
          <w:szCs w:val="24"/>
          <w:shd w:val="clear" w:color="auto" w:fill="FFFFFF"/>
        </w:rPr>
        <w:t>Shahbaznezhad, H., Dolan, R. and Rashidirad, M., (2021). The role of social media content format and platform in users’ engagement behavior. </w:t>
      </w:r>
      <w:r w:rsidRPr="00EE1978">
        <w:rPr>
          <w:i/>
          <w:iCs/>
          <w:sz w:val="24"/>
          <w:szCs w:val="24"/>
          <w:shd w:val="clear" w:color="auto" w:fill="FFFFFF"/>
        </w:rPr>
        <w:t>Journal of Interactive Marketing</w:t>
      </w:r>
      <w:r w:rsidRPr="00EE1978">
        <w:rPr>
          <w:sz w:val="24"/>
          <w:szCs w:val="24"/>
          <w:shd w:val="clear" w:color="auto" w:fill="FFFFFF"/>
        </w:rPr>
        <w:t>, </w:t>
      </w:r>
      <w:r w:rsidRPr="00EE1978">
        <w:rPr>
          <w:i/>
          <w:iCs/>
          <w:sz w:val="24"/>
          <w:szCs w:val="24"/>
          <w:shd w:val="clear" w:color="auto" w:fill="FFFFFF"/>
        </w:rPr>
        <w:t>53</w:t>
      </w:r>
      <w:r w:rsidRPr="00EE1978">
        <w:rPr>
          <w:sz w:val="24"/>
          <w:szCs w:val="24"/>
          <w:shd w:val="clear" w:color="auto" w:fill="FFFFFF"/>
        </w:rPr>
        <w:t>(1), pp.47-65.</w:t>
      </w:r>
    </w:p>
    <w:p w14:paraId="2875BB69" w14:textId="77777777" w:rsidR="00EE1978" w:rsidRPr="00EE1978" w:rsidRDefault="00EE1978" w:rsidP="00EE1978">
      <w:pPr>
        <w:rPr>
          <w:sz w:val="24"/>
          <w:szCs w:val="24"/>
        </w:rPr>
      </w:pPr>
    </w:p>
    <w:sectPr w:rsidR="00EE1978" w:rsidRPr="00EE19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93F81" w14:textId="77777777" w:rsidR="00D73714" w:rsidRDefault="00D73714" w:rsidP="00EE1978">
      <w:pPr>
        <w:spacing w:after="0" w:line="240" w:lineRule="auto"/>
      </w:pPr>
      <w:r>
        <w:separator/>
      </w:r>
    </w:p>
  </w:endnote>
  <w:endnote w:type="continuationSeparator" w:id="0">
    <w:p w14:paraId="36A699B0" w14:textId="77777777" w:rsidR="00D73714" w:rsidRDefault="00D73714" w:rsidP="00EE19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74909" w14:textId="77777777" w:rsidR="00D73714" w:rsidRDefault="00D73714" w:rsidP="00EE1978">
      <w:pPr>
        <w:spacing w:after="0" w:line="240" w:lineRule="auto"/>
      </w:pPr>
      <w:r>
        <w:separator/>
      </w:r>
    </w:p>
  </w:footnote>
  <w:footnote w:type="continuationSeparator" w:id="0">
    <w:p w14:paraId="4939D49A" w14:textId="77777777" w:rsidR="00D73714" w:rsidRDefault="00D73714" w:rsidP="00EE19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ADE"/>
    <w:rsid w:val="000712B0"/>
    <w:rsid w:val="006868C5"/>
    <w:rsid w:val="00991C07"/>
    <w:rsid w:val="009A3ADE"/>
    <w:rsid w:val="00B44786"/>
    <w:rsid w:val="00D73714"/>
    <w:rsid w:val="00EE1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CEDD8"/>
  <w15:chartTrackingRefBased/>
  <w15:docId w15:val="{51FDB76D-271A-4B7B-B286-AAD7B0019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978"/>
  </w:style>
  <w:style w:type="paragraph" w:styleId="Heading1">
    <w:name w:val="heading 1"/>
    <w:basedOn w:val="Normal"/>
    <w:next w:val="Normal"/>
    <w:link w:val="Heading1Char"/>
    <w:uiPriority w:val="9"/>
    <w:qFormat/>
    <w:rsid w:val="00EE19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E19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9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1978"/>
    <w:pPr>
      <w:outlineLvl w:val="9"/>
    </w:pPr>
    <w:rPr>
      <w:lang w:val="en-US"/>
    </w:rPr>
  </w:style>
  <w:style w:type="paragraph" w:styleId="TOC1">
    <w:name w:val="toc 1"/>
    <w:basedOn w:val="Normal"/>
    <w:next w:val="Normal"/>
    <w:autoRedefine/>
    <w:uiPriority w:val="39"/>
    <w:unhideWhenUsed/>
    <w:rsid w:val="00EE1978"/>
    <w:pPr>
      <w:spacing w:after="100" w:line="360" w:lineRule="auto"/>
      <w:jc w:val="both"/>
    </w:pPr>
    <w:rPr>
      <w:rFonts w:ascii="Times New Roman" w:hAnsi="Times New Roman"/>
      <w:kern w:val="2"/>
      <w:sz w:val="24"/>
      <w:lang w:val="en-US"/>
      <w14:ligatures w14:val="standardContextual"/>
    </w:rPr>
  </w:style>
  <w:style w:type="paragraph" w:styleId="TOC2">
    <w:name w:val="toc 2"/>
    <w:basedOn w:val="Normal"/>
    <w:next w:val="Normal"/>
    <w:autoRedefine/>
    <w:uiPriority w:val="39"/>
    <w:unhideWhenUsed/>
    <w:rsid w:val="00EE1978"/>
    <w:pPr>
      <w:spacing w:after="100" w:line="360" w:lineRule="auto"/>
      <w:ind w:left="240"/>
      <w:jc w:val="both"/>
    </w:pPr>
    <w:rPr>
      <w:rFonts w:ascii="Times New Roman" w:hAnsi="Times New Roman"/>
      <w:kern w:val="2"/>
      <w:sz w:val="24"/>
      <w:lang w:val="en-US"/>
      <w14:ligatures w14:val="standardContextual"/>
    </w:rPr>
  </w:style>
  <w:style w:type="character" w:styleId="Hyperlink">
    <w:name w:val="Hyperlink"/>
    <w:basedOn w:val="DefaultParagraphFont"/>
    <w:uiPriority w:val="99"/>
    <w:unhideWhenUsed/>
    <w:rsid w:val="00EE1978"/>
    <w:rPr>
      <w:color w:val="0563C1" w:themeColor="hyperlink"/>
      <w:u w:val="single"/>
    </w:rPr>
  </w:style>
  <w:style w:type="paragraph" w:styleId="Header">
    <w:name w:val="header"/>
    <w:basedOn w:val="Normal"/>
    <w:link w:val="HeaderChar"/>
    <w:uiPriority w:val="99"/>
    <w:unhideWhenUsed/>
    <w:rsid w:val="00EE19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978"/>
  </w:style>
  <w:style w:type="paragraph" w:styleId="Footer">
    <w:name w:val="footer"/>
    <w:basedOn w:val="Normal"/>
    <w:link w:val="FooterChar"/>
    <w:uiPriority w:val="99"/>
    <w:unhideWhenUsed/>
    <w:rsid w:val="00EE19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978"/>
  </w:style>
  <w:style w:type="character" w:customStyle="1" w:styleId="Heading2Char">
    <w:name w:val="Heading 2 Char"/>
    <w:basedOn w:val="DefaultParagraphFont"/>
    <w:link w:val="Heading2"/>
    <w:uiPriority w:val="9"/>
    <w:semiHidden/>
    <w:rsid w:val="00EE197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10</Pages>
  <Words>2719</Words>
  <Characters>15502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Ionut</dc:creator>
  <cp:keywords/>
  <dc:description/>
  <cp:lastModifiedBy>Claudiu Ionut</cp:lastModifiedBy>
  <cp:revision>3</cp:revision>
  <dcterms:created xsi:type="dcterms:W3CDTF">2023-11-30T16:04:00Z</dcterms:created>
  <dcterms:modified xsi:type="dcterms:W3CDTF">2023-11-30T20:24:00Z</dcterms:modified>
</cp:coreProperties>
</file>