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AE642" w14:textId="7597D3DE" w:rsidR="00CE25A2" w:rsidRDefault="00CE25A2"/>
    <w:p w14:paraId="5CA7E99A" w14:textId="30B99FD3" w:rsidR="009739A5" w:rsidRDefault="009739A5"/>
    <w:p w14:paraId="5C352430" w14:textId="7DBA2AAA" w:rsidR="009739A5" w:rsidRDefault="009739A5"/>
    <w:p w14:paraId="6A03A4CE" w14:textId="28D66627" w:rsidR="009739A5" w:rsidRDefault="009739A5"/>
    <w:p w14:paraId="4419AE8C" w14:textId="284A1C88" w:rsidR="009739A5" w:rsidRDefault="009739A5"/>
    <w:p w14:paraId="3E3567EC" w14:textId="21E08C66" w:rsidR="009739A5" w:rsidRDefault="009739A5"/>
    <w:p w14:paraId="3E76D95B" w14:textId="707D49A7" w:rsidR="009739A5" w:rsidRDefault="009739A5"/>
    <w:p w14:paraId="117F8475" w14:textId="6409287C" w:rsidR="009739A5" w:rsidRDefault="009739A5"/>
    <w:p w14:paraId="4E630ECA" w14:textId="493B2AE2" w:rsidR="009739A5" w:rsidRDefault="009739A5"/>
    <w:p w14:paraId="7DE8EF39" w14:textId="6C2E56B7" w:rsidR="009739A5" w:rsidRDefault="009739A5"/>
    <w:p w14:paraId="48C191CE" w14:textId="1348681A" w:rsidR="009739A5" w:rsidRDefault="009739A5" w:rsidP="009739A5">
      <w:pPr>
        <w:jc w:val="center"/>
        <w:rPr>
          <w:b/>
          <w:bCs/>
          <w:sz w:val="44"/>
          <w:szCs w:val="44"/>
        </w:rPr>
      </w:pPr>
      <w:r w:rsidRPr="009739A5">
        <w:rPr>
          <w:b/>
          <w:bCs/>
          <w:sz w:val="44"/>
          <w:szCs w:val="44"/>
        </w:rPr>
        <w:t>Legal Process</w:t>
      </w:r>
    </w:p>
    <w:p w14:paraId="5BCE5AA0" w14:textId="16779A46" w:rsidR="004157E7" w:rsidRPr="004157E7" w:rsidRDefault="004157E7" w:rsidP="004157E7">
      <w:pPr>
        <w:rPr>
          <w:sz w:val="44"/>
          <w:szCs w:val="44"/>
        </w:rPr>
      </w:pPr>
    </w:p>
    <w:p w14:paraId="0566235C" w14:textId="3A672F2E" w:rsidR="004157E7" w:rsidRPr="004157E7" w:rsidRDefault="004157E7" w:rsidP="004157E7">
      <w:pPr>
        <w:rPr>
          <w:sz w:val="44"/>
          <w:szCs w:val="44"/>
        </w:rPr>
      </w:pPr>
    </w:p>
    <w:p w14:paraId="2389B860" w14:textId="75730B58" w:rsidR="004157E7" w:rsidRDefault="004157E7" w:rsidP="004157E7">
      <w:pPr>
        <w:rPr>
          <w:b/>
          <w:bCs/>
          <w:sz w:val="44"/>
          <w:szCs w:val="44"/>
        </w:rPr>
      </w:pPr>
    </w:p>
    <w:p w14:paraId="798536A6" w14:textId="77777777" w:rsidR="004157E7" w:rsidRDefault="004157E7" w:rsidP="004157E7">
      <w:pPr>
        <w:ind w:firstLine="720"/>
        <w:rPr>
          <w:sz w:val="44"/>
          <w:szCs w:val="44"/>
        </w:rPr>
      </w:pPr>
    </w:p>
    <w:p w14:paraId="59873251" w14:textId="208B7887" w:rsidR="004157E7" w:rsidRDefault="004157E7" w:rsidP="004157E7">
      <w:pPr>
        <w:ind w:firstLine="720"/>
        <w:rPr>
          <w:sz w:val="44"/>
          <w:szCs w:val="44"/>
        </w:rPr>
      </w:pPr>
      <w:r>
        <w:rPr>
          <w:sz w:val="44"/>
          <w:szCs w:val="44"/>
        </w:rPr>
        <w:t>Student number: 2105050</w:t>
      </w:r>
    </w:p>
    <w:p w14:paraId="241F2CF9" w14:textId="5B0D0B8C" w:rsidR="004157E7" w:rsidRDefault="004157E7" w:rsidP="004157E7">
      <w:pPr>
        <w:ind w:firstLine="720"/>
        <w:rPr>
          <w:sz w:val="44"/>
          <w:szCs w:val="44"/>
        </w:rPr>
      </w:pPr>
    </w:p>
    <w:p w14:paraId="1E80D174" w14:textId="4EF00F94" w:rsidR="004157E7" w:rsidRDefault="004157E7" w:rsidP="004157E7">
      <w:pPr>
        <w:ind w:firstLine="720"/>
        <w:rPr>
          <w:sz w:val="44"/>
          <w:szCs w:val="44"/>
        </w:rPr>
      </w:pPr>
    </w:p>
    <w:p w14:paraId="6A9282B2" w14:textId="11ACD004" w:rsidR="004157E7" w:rsidRDefault="004157E7" w:rsidP="004157E7">
      <w:pPr>
        <w:ind w:firstLine="720"/>
        <w:rPr>
          <w:sz w:val="44"/>
          <w:szCs w:val="44"/>
        </w:rPr>
      </w:pPr>
    </w:p>
    <w:p w14:paraId="2DB4EBC4" w14:textId="10C58E88" w:rsidR="004157E7" w:rsidRDefault="004157E7" w:rsidP="004157E7">
      <w:pPr>
        <w:ind w:firstLine="720"/>
        <w:rPr>
          <w:sz w:val="44"/>
          <w:szCs w:val="44"/>
        </w:rPr>
      </w:pPr>
    </w:p>
    <w:p w14:paraId="05F9A019" w14:textId="547F8465" w:rsidR="004157E7" w:rsidRDefault="004157E7" w:rsidP="004157E7">
      <w:pPr>
        <w:ind w:firstLine="720"/>
        <w:rPr>
          <w:sz w:val="44"/>
          <w:szCs w:val="44"/>
        </w:rPr>
      </w:pPr>
    </w:p>
    <w:p w14:paraId="3B070210" w14:textId="16E704D2" w:rsidR="004157E7" w:rsidRDefault="004157E7" w:rsidP="004157E7">
      <w:pPr>
        <w:ind w:firstLine="720"/>
        <w:rPr>
          <w:sz w:val="44"/>
          <w:szCs w:val="44"/>
        </w:rPr>
      </w:pPr>
    </w:p>
    <w:p w14:paraId="37B09A12" w14:textId="0D137DB5" w:rsidR="004157E7" w:rsidRDefault="004157E7" w:rsidP="004157E7">
      <w:pPr>
        <w:ind w:firstLine="720"/>
        <w:rPr>
          <w:sz w:val="44"/>
          <w:szCs w:val="44"/>
        </w:rPr>
      </w:pPr>
    </w:p>
    <w:p w14:paraId="3FCA4213" w14:textId="4D55AB04" w:rsidR="004157E7" w:rsidRDefault="004157E7" w:rsidP="004157E7">
      <w:pPr>
        <w:ind w:firstLine="720"/>
        <w:rPr>
          <w:sz w:val="44"/>
          <w:szCs w:val="44"/>
        </w:rPr>
      </w:pPr>
    </w:p>
    <w:p w14:paraId="23C9EC10" w14:textId="1CFF934D" w:rsidR="004157E7" w:rsidRPr="001D564D" w:rsidRDefault="004157E7" w:rsidP="004157E7">
      <w:pPr>
        <w:rPr>
          <w:rFonts w:cstheme="minorHAnsi"/>
          <w:b/>
          <w:bCs/>
          <w:sz w:val="28"/>
          <w:szCs w:val="28"/>
        </w:rPr>
      </w:pPr>
      <w:r w:rsidRPr="001D564D">
        <w:rPr>
          <w:rFonts w:cstheme="minorHAnsi"/>
          <w:b/>
          <w:bCs/>
          <w:sz w:val="28"/>
          <w:szCs w:val="28"/>
        </w:rPr>
        <w:t>It may be argued that the principle of statutory interpretation diminishes the status of legislation as the primary source of law in the UK. Discuss</w:t>
      </w:r>
    </w:p>
    <w:p w14:paraId="13C2A799" w14:textId="2DA45C05" w:rsidR="004157E7" w:rsidRPr="001D564D" w:rsidRDefault="004157E7" w:rsidP="004157E7">
      <w:pPr>
        <w:rPr>
          <w:rFonts w:cstheme="minorHAnsi"/>
          <w:b/>
          <w:bCs/>
          <w:sz w:val="28"/>
          <w:szCs w:val="28"/>
        </w:rPr>
      </w:pPr>
    </w:p>
    <w:p w14:paraId="69F965F1" w14:textId="58CD1BEA" w:rsidR="00882FC3" w:rsidRPr="001D564D" w:rsidRDefault="004157E7" w:rsidP="004157E7">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Legislation is the primary source of law in the United Kingdom</w:t>
      </w:r>
      <w:r w:rsidR="005C7A6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5C7A63" w:rsidRPr="001D564D">
        <w:rPr>
          <w:rStyle w:val="qowt-font6-arial"/>
          <w:rFonts w:asciiTheme="minorHAnsi" w:hAnsiTheme="minorHAnsi" w:cstheme="minorHAnsi"/>
        </w:rPr>
        <w:t>m</w:t>
      </w:r>
      <w:r w:rsidRPr="001D564D">
        <w:rPr>
          <w:rStyle w:val="qowt-font6-arial"/>
          <w:rFonts w:asciiTheme="minorHAnsi" w:hAnsiTheme="minorHAnsi" w:cstheme="minorHAnsi"/>
        </w:rPr>
        <w:t>uch of the law for which the courts rely on and judges are called on to apply is statutory</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E35F33" w:rsidRPr="001D564D">
        <w:rPr>
          <w:rStyle w:val="qowt-font6-arial"/>
          <w:rFonts w:asciiTheme="minorHAnsi" w:hAnsiTheme="minorHAnsi" w:cstheme="minorHAnsi"/>
        </w:rPr>
        <w:t>l</w:t>
      </w:r>
      <w:r w:rsidRPr="001D564D">
        <w:rPr>
          <w:rStyle w:val="qowt-font6-arial"/>
          <w:rFonts w:asciiTheme="minorHAnsi" w:hAnsiTheme="minorHAnsi" w:cstheme="minorHAnsi"/>
        </w:rPr>
        <w:t xml:space="preserve">egislation is passed in </w:t>
      </w:r>
      <w:r w:rsidRPr="001D564D">
        <w:rPr>
          <w:rStyle w:val="qowt-font6-arial"/>
          <w:rFonts w:asciiTheme="minorHAnsi" w:hAnsiTheme="minorHAnsi" w:cstheme="minorHAnsi"/>
        </w:rPr>
        <w:t>parliament</w:t>
      </w:r>
      <w:r w:rsidRPr="001D564D">
        <w:rPr>
          <w:rStyle w:val="qowt-font6-arial"/>
          <w:rFonts w:asciiTheme="minorHAnsi" w:hAnsiTheme="minorHAnsi" w:cstheme="minorHAnsi"/>
        </w:rPr>
        <w:t xml:space="preserve"> however, it is the primary role of the judge</w:t>
      </w:r>
      <w:r w:rsidR="00882FC3" w:rsidRPr="001D564D">
        <w:rPr>
          <w:rStyle w:val="qowt-font6-arial"/>
          <w:rFonts w:asciiTheme="minorHAnsi" w:hAnsiTheme="minorHAnsi" w:cstheme="minorHAnsi"/>
        </w:rPr>
        <w:t>s</w:t>
      </w:r>
      <w:r w:rsidRPr="001D564D">
        <w:rPr>
          <w:rStyle w:val="qowt-font6-arial"/>
          <w:rFonts w:asciiTheme="minorHAnsi" w:hAnsiTheme="minorHAnsi" w:cstheme="minorHAnsi"/>
        </w:rPr>
        <w:t xml:space="preserve"> to apply and </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interpret</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the law. </w:t>
      </w:r>
    </w:p>
    <w:p w14:paraId="1771E793" w14:textId="2BC2165F" w:rsidR="004157E7" w:rsidRPr="001D564D" w:rsidRDefault="004157E7" w:rsidP="004157E7">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Th</w:t>
      </w:r>
      <w:r w:rsidR="00D35EE7">
        <w:rPr>
          <w:rStyle w:val="qowt-font6-arial"/>
          <w:rFonts w:asciiTheme="minorHAnsi" w:hAnsiTheme="minorHAnsi" w:cstheme="minorHAnsi"/>
        </w:rPr>
        <w:t>e</w:t>
      </w:r>
      <w:r w:rsidRPr="001D564D">
        <w:rPr>
          <w:rStyle w:val="qowt-font6-arial"/>
          <w:rFonts w:asciiTheme="minorHAnsi" w:hAnsiTheme="minorHAnsi" w:cstheme="minorHAnsi"/>
        </w:rPr>
        <w:t xml:space="preserve"> essay will discuss the principle of </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statutory interpretation</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how one may argue that it could </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diminish</w:t>
      </w:r>
      <w:r w:rsidR="00882FC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the status of legislation as the primary source of law in the UK</w:t>
      </w:r>
      <w:r w:rsidR="00E35F33" w:rsidRPr="001D564D">
        <w:rPr>
          <w:rStyle w:val="qowt-font6-arial"/>
          <w:rFonts w:asciiTheme="minorHAnsi" w:hAnsiTheme="minorHAnsi" w:cstheme="minorHAnsi"/>
        </w:rPr>
        <w:t>, s</w:t>
      </w:r>
      <w:r w:rsidRPr="001D564D">
        <w:rPr>
          <w:rStyle w:val="qowt-font6-arial"/>
          <w:rFonts w:asciiTheme="minorHAnsi" w:hAnsiTheme="minorHAnsi" w:cstheme="minorHAnsi"/>
        </w:rPr>
        <w:t xml:space="preserve">tatutory interpretation will be discussed and further, the different rules that the judges use in interpreting legislation: the </w:t>
      </w:r>
      <w:r w:rsidR="00C97EC2">
        <w:rPr>
          <w:rStyle w:val="qowt-font6-arial"/>
          <w:rFonts w:asciiTheme="minorHAnsi" w:hAnsiTheme="minorHAnsi" w:cstheme="minorHAnsi"/>
        </w:rPr>
        <w:t>“</w:t>
      </w:r>
      <w:r w:rsidRPr="001D564D">
        <w:rPr>
          <w:rStyle w:val="qowt-font6-arial"/>
          <w:rFonts w:asciiTheme="minorHAnsi" w:hAnsiTheme="minorHAnsi" w:cstheme="minorHAnsi"/>
        </w:rPr>
        <w:t>literal rule</w:t>
      </w:r>
      <w:r w:rsidR="00C97EC2">
        <w:rPr>
          <w:rStyle w:val="qowt-font6-arial"/>
          <w:rFonts w:asciiTheme="minorHAnsi" w:hAnsiTheme="minorHAnsi" w:cstheme="minorHAnsi"/>
        </w:rPr>
        <w:t>”</w:t>
      </w:r>
      <w:r w:rsidRPr="001D564D">
        <w:rPr>
          <w:rStyle w:val="qowt-font6-arial"/>
          <w:rFonts w:asciiTheme="minorHAnsi" w:hAnsiTheme="minorHAnsi" w:cstheme="minorHAnsi"/>
        </w:rPr>
        <w:t xml:space="preserve">; the </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golden rule</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the </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mischief rule</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w:t>
      </w:r>
      <w:r w:rsidR="00E35F33" w:rsidRPr="001D564D">
        <w:rPr>
          <w:rStyle w:val="qowt-font6-arial"/>
          <w:rFonts w:asciiTheme="minorHAnsi" w:hAnsiTheme="minorHAnsi" w:cstheme="minorHAnsi"/>
        </w:rPr>
        <w:t xml:space="preserve"> it </w:t>
      </w:r>
      <w:r w:rsidRPr="001D564D">
        <w:rPr>
          <w:rStyle w:val="qowt-font6-arial"/>
          <w:rFonts w:asciiTheme="minorHAnsi" w:hAnsiTheme="minorHAnsi" w:cstheme="minorHAnsi"/>
        </w:rPr>
        <w:t>will be outlined</w:t>
      </w:r>
      <w:r w:rsidR="00E35F33" w:rsidRPr="001D564D">
        <w:rPr>
          <w:rStyle w:val="qowt-font6-arial"/>
          <w:rFonts w:asciiTheme="minorHAnsi" w:hAnsiTheme="minorHAnsi" w:cstheme="minorHAnsi"/>
        </w:rPr>
        <w:t>, t</w:t>
      </w:r>
      <w:r w:rsidRPr="001D564D">
        <w:rPr>
          <w:rStyle w:val="qowt-font6-arial"/>
          <w:rFonts w:asciiTheme="minorHAnsi" w:hAnsiTheme="minorHAnsi" w:cstheme="minorHAnsi"/>
        </w:rPr>
        <w:t xml:space="preserve">he reason why statutory interpretation is necessary for judges will be discussed when they make rulings at trials. It shall also be discussed as to whether or not the makers of the law should be clearer or not whilst creating legislation as to their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intentions</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for Acts and words us</w:t>
      </w:r>
      <w:r w:rsidR="001757C8" w:rsidRPr="001D564D">
        <w:rPr>
          <w:rStyle w:val="qowt-font6-arial"/>
          <w:rFonts w:asciiTheme="minorHAnsi" w:hAnsiTheme="minorHAnsi" w:cstheme="minorHAnsi"/>
        </w:rPr>
        <w:t>ed</w:t>
      </w:r>
      <w:r w:rsidRPr="001D564D">
        <w:rPr>
          <w:rStyle w:val="qowt-font6-arial"/>
          <w:rFonts w:asciiTheme="minorHAnsi" w:hAnsiTheme="minorHAnsi" w:cstheme="minorHAnsi"/>
        </w:rPr>
        <w:t>. Potential problems</w:t>
      </w:r>
      <w:r w:rsidR="001757C8" w:rsidRPr="001D564D">
        <w:rPr>
          <w:rStyle w:val="qowt-font6-arial"/>
          <w:rFonts w:asciiTheme="minorHAnsi" w:hAnsiTheme="minorHAnsi" w:cstheme="minorHAnsi"/>
        </w:rPr>
        <w:t>, and</w:t>
      </w:r>
      <w:r w:rsidRPr="001D564D">
        <w:rPr>
          <w:rStyle w:val="qowt-font6-arial"/>
          <w:rFonts w:asciiTheme="minorHAnsi" w:hAnsiTheme="minorHAnsi" w:cstheme="minorHAnsi"/>
        </w:rPr>
        <w:t xml:space="preserve"> statutory interpretation</w:t>
      </w:r>
      <w:r w:rsidR="001757C8" w:rsidRPr="001D564D">
        <w:rPr>
          <w:rStyle w:val="qowt-font6-arial"/>
          <w:rFonts w:asciiTheme="minorHAnsi" w:hAnsiTheme="minorHAnsi" w:cstheme="minorHAnsi"/>
        </w:rPr>
        <w:t xml:space="preserve"> that</w:t>
      </w:r>
      <w:r w:rsidRPr="001D564D">
        <w:rPr>
          <w:rStyle w:val="qowt-font6-arial"/>
          <w:rFonts w:asciiTheme="minorHAnsi" w:hAnsiTheme="minorHAnsi" w:cstheme="minorHAnsi"/>
        </w:rPr>
        <w:t xml:space="preserve"> can cause will also be explored.</w:t>
      </w:r>
    </w:p>
    <w:p w14:paraId="466E1096" w14:textId="77777777" w:rsidR="001757C8"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Applying the law and statutes for judges is not as easy as it seems. It is not a simple case of searching through the legislation, finding an Act that is relevant to a trial, and then applying it accordingly. Statutes </w:t>
      </w:r>
      <w:r w:rsidRPr="001D564D">
        <w:rPr>
          <w:rStyle w:val="qowt-font6-arial"/>
          <w:rFonts w:asciiTheme="minorHAnsi" w:hAnsiTheme="minorHAnsi" w:cstheme="minorHAnsi"/>
          <w:b/>
          <w:bCs/>
        </w:rPr>
        <w:t>(Acts or legislation)</w:t>
      </w:r>
      <w:r w:rsidRPr="001D564D">
        <w:rPr>
          <w:rStyle w:val="qowt-font6-arial"/>
          <w:rFonts w:asciiTheme="minorHAnsi" w:hAnsiTheme="minorHAnsi" w:cstheme="minorHAnsi"/>
        </w:rPr>
        <w:t xml:space="preserve"> are written by professional draftsmen, however, it is often the case that the courts view these statutes with ambiguity </w:t>
      </w:r>
      <w:r w:rsidRPr="001D564D">
        <w:rPr>
          <w:rStyle w:val="qowt-font6-arial"/>
          <w:rFonts w:asciiTheme="minorHAnsi" w:hAnsiTheme="minorHAnsi" w:cstheme="minorHAnsi"/>
          <w:b/>
          <w:bCs/>
        </w:rPr>
        <w:t>(</w:t>
      </w:r>
      <w:proofErr w:type="spellStart"/>
      <w:r w:rsidRPr="001D564D">
        <w:rPr>
          <w:rStyle w:val="qowt-font6-arial"/>
          <w:rFonts w:asciiTheme="minorHAnsi" w:hAnsiTheme="minorHAnsi" w:cstheme="minorHAnsi"/>
          <w:b/>
          <w:bCs/>
        </w:rPr>
        <w:t>Albon</w:t>
      </w:r>
      <w:proofErr w:type="spellEnd"/>
      <w:r w:rsidRPr="001D564D">
        <w:rPr>
          <w:rStyle w:val="qowt-font6-arial"/>
          <w:rFonts w:asciiTheme="minorHAnsi" w:hAnsiTheme="minorHAnsi" w:cstheme="minorHAnsi"/>
          <w:b/>
          <w:bCs/>
        </w:rPr>
        <w:t xml:space="preserve"> &amp; </w:t>
      </w:r>
      <w:proofErr w:type="spellStart"/>
      <w:r w:rsidRPr="001D564D">
        <w:rPr>
          <w:rStyle w:val="qowt-font6-arial"/>
          <w:rFonts w:asciiTheme="minorHAnsi" w:hAnsiTheme="minorHAnsi" w:cstheme="minorHAnsi"/>
          <w:b/>
          <w:bCs/>
        </w:rPr>
        <w:t>Dua</w:t>
      </w:r>
      <w:proofErr w:type="spellEnd"/>
      <w:r w:rsidRPr="001D564D">
        <w:rPr>
          <w:rStyle w:val="qowt-font6-arial"/>
          <w:rFonts w:asciiTheme="minorHAnsi" w:hAnsiTheme="minorHAnsi" w:cstheme="minorHAnsi"/>
          <w:b/>
          <w:bCs/>
        </w:rPr>
        <w:t>, 2021)</w:t>
      </w:r>
      <w:r w:rsidRPr="001D564D">
        <w:rPr>
          <w:rStyle w:val="qowt-font6-arial"/>
          <w:rFonts w:asciiTheme="minorHAnsi" w:hAnsiTheme="minorHAnsi" w:cstheme="minorHAnsi"/>
        </w:rPr>
        <w:t xml:space="preserve">.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Statutory interpretation</w:t>
      </w:r>
      <w:r w:rsidR="001757C8" w:rsidRPr="001D564D">
        <w:rPr>
          <w:rStyle w:val="qowt-font6-arial"/>
          <w:rFonts w:asciiTheme="minorHAnsi" w:hAnsiTheme="minorHAnsi" w:cstheme="minorHAnsi"/>
        </w:rPr>
        <w:t xml:space="preserve">” </w:t>
      </w:r>
      <w:r w:rsidRPr="001D564D">
        <w:rPr>
          <w:rStyle w:val="qowt-font6-arial"/>
          <w:rFonts w:asciiTheme="minorHAnsi" w:hAnsiTheme="minorHAnsi" w:cstheme="minorHAnsi"/>
        </w:rPr>
        <w:t xml:space="preserve">is sometimes a hard task. Particularly with new legislation, the meaning of it is often unclear so it is left for the judges to interpret it. </w:t>
      </w:r>
    </w:p>
    <w:p w14:paraId="5E8E1549" w14:textId="41537802"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When judges try to decipher an Act of parliament, they will try to interpret what the intention was of parliament when it passed that particular act </w:t>
      </w:r>
      <w:r w:rsidRPr="001D564D">
        <w:rPr>
          <w:rStyle w:val="qowt-font6-arial"/>
          <w:rFonts w:asciiTheme="minorHAnsi" w:hAnsiTheme="minorHAnsi" w:cstheme="minorHAnsi"/>
          <w:b/>
          <w:bCs/>
        </w:rPr>
        <w:t>(Wilson, 2019)</w:t>
      </w:r>
      <w:r w:rsidRPr="001D564D">
        <w:rPr>
          <w:rStyle w:val="qowt-font6-arial"/>
          <w:rFonts w:asciiTheme="minorHAnsi" w:hAnsiTheme="minorHAnsi" w:cstheme="minorHAnsi"/>
        </w:rPr>
        <w:t xml:space="preserve">. There can be many things that cause uncertainty with a Statute that leave the judges with the task of interpreting parliament’s intention. According to Bennion </w:t>
      </w:r>
      <w:r w:rsidRPr="001D564D">
        <w:rPr>
          <w:rStyle w:val="qowt-font6-arial"/>
          <w:rFonts w:asciiTheme="minorHAnsi" w:hAnsiTheme="minorHAnsi" w:cstheme="minorHAnsi"/>
          <w:b/>
          <w:bCs/>
        </w:rPr>
        <w:t>(2005, cited in Wilson, 2019)</w:t>
      </w:r>
      <w:r w:rsidRPr="001D564D">
        <w:rPr>
          <w:rStyle w:val="qowt-font6-arial"/>
          <w:rFonts w:asciiTheme="minorHAnsi" w:hAnsiTheme="minorHAnsi" w:cstheme="minorHAnsi"/>
        </w:rPr>
        <w:t xml:space="preserve">, this could include a missing word in the Statute, for example, the expert draftsman may assume that a word would be automatically applied, such as using the word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or</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instead of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and/or</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Another confusion could be when a statue includes too broad of a term, to exemplify, a Statute could use the word </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vehicle</w:t>
      </w:r>
      <w:r w:rsidR="001757C8"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when prohibiting them being used down a lane, it would then be left to the judge</w:t>
      </w:r>
      <w:r w:rsidR="001757C8" w:rsidRPr="001D564D">
        <w:rPr>
          <w:rStyle w:val="qowt-font6-arial"/>
          <w:rFonts w:asciiTheme="minorHAnsi" w:hAnsiTheme="minorHAnsi" w:cstheme="minorHAnsi"/>
        </w:rPr>
        <w:t>s</w:t>
      </w:r>
      <w:r w:rsidRPr="001D564D">
        <w:rPr>
          <w:rStyle w:val="qowt-font6-arial"/>
          <w:rFonts w:asciiTheme="minorHAnsi" w:hAnsiTheme="minorHAnsi" w:cstheme="minorHAnsi"/>
        </w:rPr>
        <w:t xml:space="preserve"> to interpret whether the word vehicles would just include motor vehicles such as cars and buses, or be broadened to include bicycles or skateboards as well. </w:t>
      </w:r>
      <w:r w:rsidRPr="001D564D">
        <w:rPr>
          <w:rStyle w:val="qowt-font6-arial"/>
          <w:rFonts w:asciiTheme="minorHAnsi" w:hAnsiTheme="minorHAnsi" w:cstheme="minorHAnsi"/>
          <w:b/>
          <w:bCs/>
        </w:rPr>
        <w:t>Bennion (2005)</w:t>
      </w:r>
      <w:r w:rsidRPr="001D564D">
        <w:rPr>
          <w:rStyle w:val="qowt-font6-arial"/>
          <w:rFonts w:asciiTheme="minorHAnsi" w:hAnsiTheme="minorHAnsi" w:cstheme="minorHAnsi"/>
        </w:rPr>
        <w:t xml:space="preserve"> also points out that an ambiguous word may be used intentionally for political reasons, or there may have been an error in the printing or drafting process</w:t>
      </w:r>
      <w:r w:rsidR="00E35F33" w:rsidRPr="001D564D">
        <w:rPr>
          <w:rStyle w:val="qowt-font6-arial"/>
          <w:rFonts w:asciiTheme="minorHAnsi" w:hAnsiTheme="minorHAnsi" w:cstheme="minorHAnsi"/>
        </w:rPr>
        <w:t>, n</w:t>
      </w:r>
      <w:r w:rsidRPr="001D564D">
        <w:rPr>
          <w:rStyle w:val="qowt-font6-arial"/>
          <w:rFonts w:asciiTheme="minorHAnsi" w:hAnsiTheme="minorHAnsi" w:cstheme="minorHAnsi"/>
        </w:rPr>
        <w:t>onetheless it is important for judges to find out the parliamentary intention as parliament is supreme and is the supreme source of UK law (Wilson, 2019).</w:t>
      </w:r>
    </w:p>
    <w:p w14:paraId="34981F98" w14:textId="5EB6A4A0" w:rsid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The way in which Statues are interpreted are guided, parliament has provided a Statute for that. </w:t>
      </w:r>
      <w:r w:rsidRPr="001D564D">
        <w:rPr>
          <w:rStyle w:val="qowt-font6-arial"/>
          <w:rFonts w:asciiTheme="minorHAnsi" w:hAnsiTheme="minorHAnsi" w:cstheme="minorHAnsi"/>
          <w:b/>
          <w:bCs/>
        </w:rPr>
        <w:t>The Interpretation Act 1978</w:t>
      </w:r>
      <w:r w:rsidRPr="001D564D">
        <w:rPr>
          <w:rStyle w:val="qowt-font6-arial"/>
          <w:rFonts w:asciiTheme="minorHAnsi" w:hAnsiTheme="minorHAnsi" w:cstheme="minorHAnsi"/>
        </w:rPr>
        <w:t xml:space="preserve"> includes guidance and definitions of common provisions courts will encounter. Things like singular or plural words are meant to be interpreted in the same way, if an Act only states </w:t>
      </w:r>
      <w:r w:rsidR="003A0CAA">
        <w:rPr>
          <w:rStyle w:val="qowt-font6-arial"/>
          <w:rFonts w:asciiTheme="minorHAnsi" w:hAnsiTheme="minorHAnsi" w:cstheme="minorHAnsi"/>
        </w:rPr>
        <w:t>“</w:t>
      </w:r>
      <w:r w:rsidRPr="001D564D">
        <w:rPr>
          <w:rStyle w:val="qowt-font6-arial"/>
          <w:rFonts w:asciiTheme="minorHAnsi" w:hAnsiTheme="minorHAnsi" w:cstheme="minorHAnsi"/>
        </w:rPr>
        <w:t>he</w:t>
      </w:r>
      <w:r w:rsidR="003A0CAA">
        <w:rPr>
          <w:rStyle w:val="qowt-font6-arial"/>
          <w:rFonts w:asciiTheme="minorHAnsi" w:hAnsiTheme="minorHAnsi" w:cstheme="minorHAnsi"/>
        </w:rPr>
        <w:t>”</w:t>
      </w:r>
      <w:r w:rsidRPr="001D564D">
        <w:rPr>
          <w:rStyle w:val="qowt-font6-arial"/>
          <w:rFonts w:asciiTheme="minorHAnsi" w:hAnsiTheme="minorHAnsi" w:cstheme="minorHAnsi"/>
        </w:rPr>
        <w:t xml:space="preserve"> and not </w:t>
      </w:r>
      <w:r w:rsidR="003A0CAA">
        <w:rPr>
          <w:rStyle w:val="qowt-font6-arial"/>
          <w:rFonts w:asciiTheme="minorHAnsi" w:hAnsiTheme="minorHAnsi" w:cstheme="minorHAnsi"/>
        </w:rPr>
        <w:t>“s</w:t>
      </w:r>
      <w:r w:rsidRPr="001D564D">
        <w:rPr>
          <w:rStyle w:val="qowt-font6-arial"/>
          <w:rFonts w:asciiTheme="minorHAnsi" w:hAnsiTheme="minorHAnsi" w:cstheme="minorHAnsi"/>
        </w:rPr>
        <w:t>he</w:t>
      </w:r>
      <w:r w:rsidR="003A0CAA">
        <w:rPr>
          <w:rStyle w:val="qowt-font6-arial"/>
          <w:rFonts w:asciiTheme="minorHAnsi" w:hAnsiTheme="minorHAnsi" w:cstheme="minorHAnsi"/>
        </w:rPr>
        <w:t>”</w:t>
      </w:r>
      <w:r w:rsidRPr="001D564D">
        <w:rPr>
          <w:rStyle w:val="qowt-font6-arial"/>
          <w:rFonts w:asciiTheme="minorHAnsi" w:hAnsiTheme="minorHAnsi" w:cstheme="minorHAnsi"/>
        </w:rPr>
        <w:t xml:space="preserve">, then both will apply </w:t>
      </w:r>
      <w:r w:rsidRPr="001D564D">
        <w:rPr>
          <w:rStyle w:val="qowt-font6-arial"/>
          <w:rFonts w:asciiTheme="minorHAnsi" w:hAnsiTheme="minorHAnsi" w:cstheme="minorHAnsi"/>
          <w:b/>
          <w:bCs/>
        </w:rPr>
        <w:t>(Lexis Nexis, 2022)</w:t>
      </w:r>
      <w:r w:rsidRPr="001D564D">
        <w:rPr>
          <w:rStyle w:val="qowt-font6-arial"/>
          <w:rFonts w:asciiTheme="minorHAnsi" w:hAnsiTheme="minorHAnsi" w:cstheme="minorHAnsi"/>
        </w:rPr>
        <w:t xml:space="preserve">. </w:t>
      </w:r>
    </w:p>
    <w:p w14:paraId="678628CC" w14:textId="14EBC959" w:rsidR="001757C8"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lastRenderedPageBreak/>
        <w:t xml:space="preserve">In addition to the way in which statutes are interpreted, the Police and </w:t>
      </w:r>
      <w:r w:rsidRPr="001D564D">
        <w:rPr>
          <w:rStyle w:val="qowt-font6-arial"/>
          <w:rFonts w:asciiTheme="minorHAnsi" w:hAnsiTheme="minorHAnsi" w:cstheme="minorHAnsi"/>
          <w:b/>
          <w:bCs/>
        </w:rPr>
        <w:t>Criminal Evidence Act 1984</w:t>
      </w:r>
      <w:r w:rsidRPr="001D564D">
        <w:rPr>
          <w:rStyle w:val="qowt-font6-arial"/>
          <w:rFonts w:asciiTheme="minorHAnsi" w:hAnsiTheme="minorHAnsi" w:cstheme="minorHAnsi"/>
        </w:rPr>
        <w:t xml:space="preserve"> provides a section on which judges can refer to for some definitions. </w:t>
      </w:r>
    </w:p>
    <w:p w14:paraId="5F6C7319" w14:textId="2E1A3166"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According to </w:t>
      </w:r>
      <w:proofErr w:type="spellStart"/>
      <w:r w:rsidRPr="001D564D">
        <w:rPr>
          <w:rStyle w:val="qowt-font6-arial"/>
          <w:rFonts w:asciiTheme="minorHAnsi" w:hAnsiTheme="minorHAnsi" w:cstheme="minorHAnsi"/>
        </w:rPr>
        <w:t>Albon</w:t>
      </w:r>
      <w:proofErr w:type="spellEnd"/>
      <w:r w:rsidRPr="001D564D">
        <w:rPr>
          <w:rStyle w:val="qowt-font6-arial"/>
          <w:rFonts w:asciiTheme="minorHAnsi" w:hAnsiTheme="minorHAnsi" w:cstheme="minorHAnsi"/>
        </w:rPr>
        <w:t xml:space="preserve"> and </w:t>
      </w:r>
      <w:proofErr w:type="spellStart"/>
      <w:r w:rsidRPr="001D564D">
        <w:rPr>
          <w:rStyle w:val="qowt-font6-arial"/>
          <w:rFonts w:asciiTheme="minorHAnsi" w:hAnsiTheme="minorHAnsi" w:cstheme="minorHAnsi"/>
        </w:rPr>
        <w:t>Dua</w:t>
      </w:r>
      <w:proofErr w:type="spellEnd"/>
      <w:r w:rsidRPr="001D564D">
        <w:rPr>
          <w:rStyle w:val="qowt-font6-arial"/>
          <w:rFonts w:asciiTheme="minorHAnsi" w:hAnsiTheme="minorHAnsi" w:cstheme="minorHAnsi"/>
        </w:rPr>
        <w:t xml:space="preserve"> (2021), all bills passed since 1999 include additional information on the Acts such as background to the laws and with commentators making notes that explain areas of potential confusion or provisions that a certain Act is intended to have. However, these are the only aids to interpretation</w:t>
      </w:r>
      <w:r w:rsidR="00E35F33" w:rsidRPr="001D564D">
        <w:rPr>
          <w:rStyle w:val="qowt-font6-arial"/>
          <w:rFonts w:asciiTheme="minorHAnsi" w:hAnsiTheme="minorHAnsi" w:cstheme="minorHAnsi"/>
        </w:rPr>
        <w:t>, b</w:t>
      </w:r>
      <w:r w:rsidRPr="001D564D">
        <w:rPr>
          <w:rStyle w:val="qowt-font6-arial"/>
          <w:rFonts w:asciiTheme="minorHAnsi" w:hAnsiTheme="minorHAnsi" w:cstheme="minorHAnsi"/>
        </w:rPr>
        <w:t>ut there are three rules of interpretation (</w:t>
      </w:r>
      <w:proofErr w:type="spellStart"/>
      <w:r w:rsidRPr="001D564D">
        <w:rPr>
          <w:rStyle w:val="qowt-font6-arial"/>
          <w:rFonts w:asciiTheme="minorHAnsi" w:hAnsiTheme="minorHAnsi" w:cstheme="minorHAnsi"/>
        </w:rPr>
        <w:t>Albon</w:t>
      </w:r>
      <w:proofErr w:type="spellEnd"/>
      <w:r w:rsidRPr="001D564D">
        <w:rPr>
          <w:rStyle w:val="qowt-font6-arial"/>
          <w:rFonts w:asciiTheme="minorHAnsi" w:hAnsiTheme="minorHAnsi" w:cstheme="minorHAnsi"/>
        </w:rPr>
        <w:t xml:space="preserve"> and </w:t>
      </w:r>
      <w:proofErr w:type="spellStart"/>
      <w:r w:rsidRPr="001D564D">
        <w:rPr>
          <w:rStyle w:val="qowt-font6-arial"/>
          <w:rFonts w:asciiTheme="minorHAnsi" w:hAnsiTheme="minorHAnsi" w:cstheme="minorHAnsi"/>
        </w:rPr>
        <w:t>Dua</w:t>
      </w:r>
      <w:proofErr w:type="spellEnd"/>
      <w:r w:rsidRPr="001D564D">
        <w:rPr>
          <w:rStyle w:val="qowt-font6-arial"/>
          <w:rFonts w:asciiTheme="minorHAnsi" w:hAnsiTheme="minorHAnsi" w:cstheme="minorHAnsi"/>
        </w:rPr>
        <w:t>, 2021).</w:t>
      </w:r>
    </w:p>
    <w:p w14:paraId="6C2B4B4F" w14:textId="326AACEE" w:rsidR="007D0BDD"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The three rules of statutory interpretation are: the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Literal Rule</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the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Golden Rule</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the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Mischief Rule</w:t>
      </w:r>
      <w:r w:rsidR="007D0BDD" w:rsidRPr="001D564D">
        <w:rPr>
          <w:rStyle w:val="qowt-font6-arial"/>
          <w:rFonts w:asciiTheme="minorHAnsi" w:hAnsiTheme="minorHAnsi" w:cstheme="minorHAnsi"/>
        </w:rPr>
        <w:t>”</w:t>
      </w:r>
      <w:r w:rsidR="001D564D">
        <w:rPr>
          <w:rStyle w:val="qowt-font6-arial"/>
          <w:rFonts w:asciiTheme="minorHAnsi" w:hAnsiTheme="minorHAnsi" w:cstheme="minorHAnsi"/>
        </w:rPr>
        <w:t>, t</w:t>
      </w:r>
      <w:r w:rsidRPr="001D564D">
        <w:rPr>
          <w:rStyle w:val="qowt-font6-arial"/>
          <w:rFonts w:asciiTheme="minorHAnsi" w:hAnsiTheme="minorHAnsi" w:cstheme="minorHAnsi"/>
        </w:rPr>
        <w:t xml:space="preserve">he Literal rule is that if there is no discrepancy or ambiguity of the words in a statute, then it should give its literal meaning. If a judge prefers this approach, they will often use dictionaries to decipher words for their ordinary meaning </w:t>
      </w:r>
      <w:r w:rsidRPr="001D564D">
        <w:rPr>
          <w:rStyle w:val="qowt-font6-arial"/>
          <w:rFonts w:asciiTheme="minorHAnsi" w:hAnsiTheme="minorHAnsi" w:cstheme="minorHAnsi"/>
          <w:b/>
          <w:bCs/>
        </w:rPr>
        <w:t>(Wilson et al., 2016)</w:t>
      </w:r>
      <w:r w:rsidRPr="001D564D">
        <w:rPr>
          <w:rStyle w:val="qowt-font6-arial"/>
          <w:rFonts w:asciiTheme="minorHAnsi" w:hAnsiTheme="minorHAnsi" w:cstheme="minorHAnsi"/>
        </w:rPr>
        <w:t xml:space="preserve">. </w:t>
      </w:r>
    </w:p>
    <w:p w14:paraId="20A32723" w14:textId="77777777" w:rsidR="007D0BDD"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They are given the literal meaning in order to respect the will of parliament</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7D0BDD" w:rsidRPr="001D564D">
        <w:rPr>
          <w:rStyle w:val="qowt-font6-arial"/>
          <w:rFonts w:asciiTheme="minorHAnsi" w:hAnsiTheme="minorHAnsi" w:cstheme="minorHAnsi"/>
        </w:rPr>
        <w:t>i</w:t>
      </w:r>
      <w:r w:rsidRPr="001D564D">
        <w:rPr>
          <w:rStyle w:val="qowt-font6-arial"/>
          <w:rFonts w:asciiTheme="minorHAnsi" w:hAnsiTheme="minorHAnsi" w:cstheme="minorHAnsi"/>
        </w:rPr>
        <w:t xml:space="preserve">n some cases though, applying a literal approach to certain statutes can result in an absurd way that Parliament did not intend it to. An example of this can be seen in </w:t>
      </w:r>
      <w:r w:rsidRPr="001D564D">
        <w:rPr>
          <w:rStyle w:val="qowt-font6-arial"/>
          <w:rFonts w:asciiTheme="minorHAnsi" w:hAnsiTheme="minorHAnsi" w:cstheme="minorHAnsi"/>
          <w:b/>
          <w:bCs/>
          <w:i/>
          <w:iCs/>
        </w:rPr>
        <w:t xml:space="preserve">Fisher v Bell </w:t>
      </w:r>
      <w:r w:rsidRPr="001D564D">
        <w:rPr>
          <w:rStyle w:val="qowt-font6-arial"/>
          <w:rFonts w:asciiTheme="minorHAnsi" w:hAnsiTheme="minorHAnsi" w:cstheme="minorHAnsi"/>
          <w:b/>
          <w:bCs/>
        </w:rPr>
        <w:t>[1960]</w:t>
      </w:r>
      <w:r w:rsidRPr="001D564D">
        <w:rPr>
          <w:rStyle w:val="qowt-font6-arial"/>
          <w:rFonts w:asciiTheme="minorHAnsi" w:hAnsiTheme="minorHAnsi" w:cstheme="minorHAnsi"/>
        </w:rPr>
        <w:t xml:space="preserve"> </w:t>
      </w:r>
      <w:r w:rsidRPr="001D564D">
        <w:rPr>
          <w:rStyle w:val="qowt-font6-arial"/>
          <w:rFonts w:asciiTheme="minorHAnsi" w:hAnsiTheme="minorHAnsi" w:cstheme="minorHAnsi"/>
          <w:b/>
          <w:bCs/>
        </w:rPr>
        <w:t>3 All ER 731</w:t>
      </w:r>
      <w:r w:rsidRPr="001D564D">
        <w:rPr>
          <w:rStyle w:val="qowt-font6-arial"/>
          <w:rFonts w:asciiTheme="minorHAnsi" w:hAnsiTheme="minorHAnsi" w:cstheme="minorHAnsi"/>
        </w:rPr>
        <w:t xml:space="preserve"> when flick knives that were being displayed in a shop window was ruled to not amount to the offence of putting these weapons up for sale, which contradicts the Restriction of </w:t>
      </w:r>
      <w:r w:rsidRPr="001D564D">
        <w:rPr>
          <w:rStyle w:val="qowt-font6-arial"/>
          <w:rFonts w:asciiTheme="minorHAnsi" w:hAnsiTheme="minorHAnsi" w:cstheme="minorHAnsi"/>
          <w:b/>
          <w:bCs/>
        </w:rPr>
        <w:t>Offensive Weapons Act 1959</w:t>
      </w:r>
      <w:r w:rsidRPr="001D564D">
        <w:rPr>
          <w:rStyle w:val="qowt-font6-arial"/>
          <w:rFonts w:asciiTheme="minorHAnsi" w:hAnsiTheme="minorHAnsi" w:cstheme="minorHAnsi"/>
        </w:rPr>
        <w:t xml:space="preserve">, but under principles of contract law, displaying such weapons was regarded as an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invitation to treat</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p>
    <w:p w14:paraId="5E886637" w14:textId="0B6FE90E"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Centuries ago, when making the English law, there was no difficulty in interpreting statutes. Reason being is that the King’s Council, of whom were judges, took part in drafting the statute </w:t>
      </w:r>
      <w:r w:rsidRPr="001D564D">
        <w:rPr>
          <w:rStyle w:val="qowt-font6-arial"/>
          <w:rFonts w:asciiTheme="minorHAnsi" w:hAnsiTheme="minorHAnsi" w:cstheme="minorHAnsi"/>
          <w:b/>
          <w:bCs/>
        </w:rPr>
        <w:t>(Munday, 2013)</w:t>
      </w:r>
      <w:r w:rsidR="007D0BDD" w:rsidRPr="001D564D">
        <w:rPr>
          <w:rStyle w:val="qowt-font6-arial"/>
          <w:rFonts w:asciiTheme="minorHAnsi" w:hAnsiTheme="minorHAnsi" w:cstheme="minorHAnsi"/>
          <w:b/>
          <w:bCs/>
        </w:rPr>
        <w:t xml:space="preserve">, </w:t>
      </w:r>
      <w:r w:rsidR="007D0BDD" w:rsidRPr="001D564D">
        <w:rPr>
          <w:rStyle w:val="qowt-font6-arial"/>
          <w:rFonts w:asciiTheme="minorHAnsi" w:hAnsiTheme="minorHAnsi" w:cstheme="minorHAnsi"/>
        </w:rPr>
        <w:t>t</w:t>
      </w:r>
      <w:r w:rsidRPr="001D564D">
        <w:rPr>
          <w:rStyle w:val="qowt-font6-arial"/>
          <w:rFonts w:asciiTheme="minorHAnsi" w:hAnsiTheme="minorHAnsi" w:cstheme="minorHAnsi"/>
        </w:rPr>
        <w:t>o the counsel</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who attempted to distort the clear words of the King’s Council, they were able to say to them in those times: </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do not gloss the statute for we know better than you</w:t>
      </w:r>
      <w:r w:rsidR="007D0BDD" w:rsidRPr="001D564D">
        <w:rPr>
          <w:rStyle w:val="qowt-font6-arial"/>
          <w:rFonts w:asciiTheme="minorHAnsi" w:hAnsiTheme="minorHAnsi" w:cstheme="minorHAnsi"/>
        </w:rPr>
        <w:t xml:space="preserve">, </w:t>
      </w:r>
      <w:r w:rsidRPr="001D564D">
        <w:rPr>
          <w:rStyle w:val="qowt-font6-arial"/>
          <w:rFonts w:asciiTheme="minorHAnsi" w:hAnsiTheme="minorHAnsi" w:cstheme="minorHAnsi"/>
        </w:rPr>
        <w:t>we made it.</w:t>
      </w:r>
      <w:r w:rsidR="007D0BDD"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Pr="001D564D">
        <w:rPr>
          <w:rStyle w:val="qowt-font6-arial"/>
          <w:rFonts w:asciiTheme="minorHAnsi" w:hAnsiTheme="minorHAnsi" w:cstheme="minorHAnsi"/>
          <w:b/>
          <w:bCs/>
        </w:rPr>
        <w:t>(</w:t>
      </w:r>
      <w:proofErr w:type="spellStart"/>
      <w:r w:rsidRPr="001D564D">
        <w:rPr>
          <w:rStyle w:val="qowt-font6-arial"/>
          <w:rFonts w:asciiTheme="minorHAnsi" w:hAnsiTheme="minorHAnsi" w:cstheme="minorHAnsi"/>
          <w:b/>
          <w:bCs/>
          <w:i/>
          <w:iCs/>
        </w:rPr>
        <w:t>Aumeye</w:t>
      </w:r>
      <w:proofErr w:type="spellEnd"/>
      <w:r w:rsidRPr="001D564D">
        <w:rPr>
          <w:rStyle w:val="qowt-font6-arial"/>
          <w:rFonts w:asciiTheme="minorHAnsi" w:hAnsiTheme="minorHAnsi" w:cstheme="minorHAnsi"/>
          <w:b/>
          <w:bCs/>
          <w:i/>
          <w:iCs/>
        </w:rPr>
        <w:t xml:space="preserve"> v Anon, </w:t>
      </w:r>
      <w:r w:rsidRPr="001D564D">
        <w:rPr>
          <w:rStyle w:val="qowt-font6-arial"/>
          <w:rFonts w:asciiTheme="minorHAnsi" w:hAnsiTheme="minorHAnsi" w:cstheme="minorHAnsi"/>
          <w:b/>
          <w:bCs/>
        </w:rPr>
        <w:t xml:space="preserve">Y.B 33 &amp; 35 </w:t>
      </w:r>
      <w:proofErr w:type="spellStart"/>
      <w:r w:rsidRPr="001D564D">
        <w:rPr>
          <w:rStyle w:val="qowt-font6-arial"/>
          <w:rFonts w:asciiTheme="minorHAnsi" w:hAnsiTheme="minorHAnsi" w:cstheme="minorHAnsi"/>
          <w:b/>
          <w:bCs/>
        </w:rPr>
        <w:t>Edw</w:t>
      </w:r>
      <w:proofErr w:type="spellEnd"/>
      <w:r w:rsidRPr="001D564D">
        <w:rPr>
          <w:rStyle w:val="qowt-font6-arial"/>
          <w:rFonts w:asciiTheme="minorHAnsi" w:hAnsiTheme="minorHAnsi" w:cstheme="minorHAnsi"/>
          <w:b/>
          <w:bCs/>
        </w:rPr>
        <w:t>, no date)</w:t>
      </w:r>
      <w:r w:rsidRPr="001D564D">
        <w:rPr>
          <w:rStyle w:val="qowt-font6-arial"/>
          <w:rFonts w:asciiTheme="minorHAnsi" w:hAnsiTheme="minorHAnsi" w:cstheme="minorHAnsi"/>
        </w:rPr>
        <w:t xml:space="preserve">. Another example of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silly results</w:t>
      </w:r>
      <w:r w:rsidR="003E076B" w:rsidRPr="001D564D">
        <w:rPr>
          <w:rStyle w:val="qowt-font6-arial"/>
          <w:rFonts w:asciiTheme="minorHAnsi" w:hAnsiTheme="minorHAnsi" w:cstheme="minorHAnsi"/>
        </w:rPr>
        <w:t xml:space="preserve">” </w:t>
      </w:r>
      <w:r w:rsidRPr="001D564D">
        <w:rPr>
          <w:rStyle w:val="qowt-font6-arial"/>
          <w:rFonts w:asciiTheme="minorHAnsi" w:hAnsiTheme="minorHAnsi" w:cstheme="minorHAnsi"/>
        </w:rPr>
        <w:t xml:space="preserve">from taking the literal rule of statutory interpretation is in </w:t>
      </w:r>
      <w:proofErr w:type="spellStart"/>
      <w:r w:rsidRPr="001D564D">
        <w:rPr>
          <w:rStyle w:val="qowt-font6-arial"/>
          <w:rFonts w:asciiTheme="minorHAnsi" w:hAnsiTheme="minorHAnsi" w:cstheme="minorHAnsi"/>
          <w:b/>
          <w:bCs/>
          <w:i/>
          <w:iCs/>
        </w:rPr>
        <w:t>Whiteley</w:t>
      </w:r>
      <w:proofErr w:type="spellEnd"/>
      <w:r w:rsidRPr="001D564D">
        <w:rPr>
          <w:rStyle w:val="qowt-font6-arial"/>
          <w:rFonts w:asciiTheme="minorHAnsi" w:hAnsiTheme="minorHAnsi" w:cstheme="minorHAnsi"/>
          <w:b/>
          <w:bCs/>
          <w:i/>
          <w:iCs/>
        </w:rPr>
        <w:t xml:space="preserve"> v Chappell </w:t>
      </w:r>
      <w:r w:rsidRPr="001D564D">
        <w:rPr>
          <w:rStyle w:val="qowt-font6-arial"/>
          <w:rFonts w:asciiTheme="minorHAnsi" w:hAnsiTheme="minorHAnsi" w:cstheme="minorHAnsi"/>
          <w:b/>
          <w:bCs/>
        </w:rPr>
        <w:t>[1868]</w:t>
      </w:r>
      <w:r w:rsidRPr="001D564D">
        <w:rPr>
          <w:rStyle w:val="qowt-font6-arial"/>
          <w:rFonts w:asciiTheme="minorHAnsi" w:hAnsiTheme="minorHAnsi" w:cstheme="minorHAnsi"/>
        </w:rPr>
        <w:t xml:space="preserve"> when a statute made it an offence to impersonate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any person to vote</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in elections and the defendant was let off due to the fact he had impersonated a dead person, and a dead person, of course, is not entitled to vote (</w:t>
      </w:r>
      <w:proofErr w:type="spellStart"/>
      <w:r w:rsidRPr="001D564D">
        <w:rPr>
          <w:rStyle w:val="qowt-font6-arial"/>
          <w:rFonts w:asciiTheme="minorHAnsi" w:hAnsiTheme="minorHAnsi" w:cstheme="minorHAnsi"/>
        </w:rPr>
        <w:t>Albon</w:t>
      </w:r>
      <w:proofErr w:type="spellEnd"/>
      <w:r w:rsidRPr="001D564D">
        <w:rPr>
          <w:rStyle w:val="qowt-font6-arial"/>
          <w:rFonts w:asciiTheme="minorHAnsi" w:hAnsiTheme="minorHAnsi" w:cstheme="minorHAnsi"/>
        </w:rPr>
        <w:t xml:space="preserve"> and </w:t>
      </w:r>
      <w:proofErr w:type="spellStart"/>
      <w:r w:rsidRPr="001D564D">
        <w:rPr>
          <w:rStyle w:val="qowt-font6-arial"/>
          <w:rFonts w:asciiTheme="minorHAnsi" w:hAnsiTheme="minorHAnsi" w:cstheme="minorHAnsi"/>
        </w:rPr>
        <w:t>Dua</w:t>
      </w:r>
      <w:proofErr w:type="spellEnd"/>
      <w:r w:rsidRPr="001D564D">
        <w:rPr>
          <w:rStyle w:val="qowt-font6-arial"/>
          <w:rFonts w:asciiTheme="minorHAnsi" w:hAnsiTheme="minorHAnsi" w:cstheme="minorHAnsi"/>
        </w:rPr>
        <w:t xml:space="preserve">, 2021). </w:t>
      </w:r>
    </w:p>
    <w:p w14:paraId="1D7BB469" w14:textId="29ABCBD9" w:rsidR="003E076B"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The next rule of statutory interpretation is the </w:t>
      </w:r>
      <w:r w:rsidR="00E35F33" w:rsidRPr="001D564D">
        <w:rPr>
          <w:rStyle w:val="qowt-font6-arial"/>
          <w:rFonts w:asciiTheme="minorHAnsi" w:hAnsiTheme="minorHAnsi" w:cstheme="minorHAnsi"/>
        </w:rPr>
        <w:t>“</w:t>
      </w:r>
      <w:r w:rsidRPr="001D564D">
        <w:rPr>
          <w:rStyle w:val="qowt-font6-arial"/>
          <w:rFonts w:asciiTheme="minorHAnsi" w:hAnsiTheme="minorHAnsi" w:cstheme="minorHAnsi"/>
        </w:rPr>
        <w:t>golden rule</w:t>
      </w:r>
      <w:r w:rsidR="00E35F33" w:rsidRPr="001D564D">
        <w:rPr>
          <w:rStyle w:val="qowt-font6-arial"/>
          <w:rFonts w:asciiTheme="minorHAnsi" w:hAnsiTheme="minorHAnsi" w:cstheme="minorHAnsi"/>
        </w:rPr>
        <w:t>”</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3E076B" w:rsidRPr="001D564D">
        <w:rPr>
          <w:rStyle w:val="qowt-font6-arial"/>
          <w:rFonts w:asciiTheme="minorHAnsi" w:hAnsiTheme="minorHAnsi" w:cstheme="minorHAnsi"/>
        </w:rPr>
        <w:t>u</w:t>
      </w:r>
      <w:r w:rsidRPr="001D564D">
        <w:rPr>
          <w:rStyle w:val="qowt-font6-arial"/>
          <w:rFonts w:asciiTheme="minorHAnsi" w:hAnsiTheme="minorHAnsi" w:cstheme="minorHAnsi"/>
        </w:rPr>
        <w:t>sing the golden rule approach, judges can modify the ordinary or natural meaning of a word if the result would lead to an absurd result</w:t>
      </w:r>
      <w:r w:rsidR="003E076B" w:rsidRPr="001D564D">
        <w:rPr>
          <w:rStyle w:val="qowt-font6-arial"/>
          <w:rFonts w:asciiTheme="minorHAnsi" w:hAnsiTheme="minorHAnsi" w:cstheme="minorHAnsi"/>
        </w:rPr>
        <w:t>, t</w:t>
      </w:r>
      <w:r w:rsidRPr="001D564D">
        <w:rPr>
          <w:rStyle w:val="qowt-font6-arial"/>
          <w:rFonts w:asciiTheme="minorHAnsi" w:hAnsiTheme="minorHAnsi" w:cstheme="minorHAnsi"/>
        </w:rPr>
        <w:t xml:space="preserve">his is often seen as the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common-sense approach</w:t>
      </w:r>
      <w:r w:rsidR="003E076B" w:rsidRPr="001D564D">
        <w:rPr>
          <w:rStyle w:val="qowt-font6-arial"/>
          <w:rFonts w:asciiTheme="minorHAnsi" w:hAnsiTheme="minorHAnsi" w:cstheme="minorHAnsi"/>
        </w:rPr>
        <w:t>” the a</w:t>
      </w:r>
      <w:r w:rsidRPr="001D564D">
        <w:rPr>
          <w:rStyle w:val="qowt-font6-arial"/>
          <w:rFonts w:asciiTheme="minorHAnsi" w:hAnsiTheme="minorHAnsi" w:cstheme="minorHAnsi"/>
        </w:rPr>
        <w:t>dvantages of the golden rule are</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that</w:t>
      </w:r>
      <w:r w:rsidR="003E076B" w:rsidRPr="001D564D">
        <w:rPr>
          <w:rStyle w:val="qowt-font6-arial"/>
          <w:rFonts w:asciiTheme="minorHAnsi" w:hAnsiTheme="minorHAnsi" w:cstheme="minorHAnsi"/>
        </w:rPr>
        <w:t xml:space="preserve"> the</w:t>
      </w:r>
      <w:r w:rsidRPr="001D564D">
        <w:rPr>
          <w:rStyle w:val="qowt-font6-arial"/>
          <w:rFonts w:asciiTheme="minorHAnsi" w:hAnsiTheme="minorHAnsi" w:cstheme="minorHAnsi"/>
        </w:rPr>
        <w:t xml:space="preserve"> errors in drafting of the statute can, in theory, be immediately corrected</w:t>
      </w:r>
      <w:r w:rsidR="003E076B" w:rsidRPr="001D564D">
        <w:rPr>
          <w:rStyle w:val="qowt-font6-arial"/>
          <w:rFonts w:asciiTheme="minorHAnsi" w:hAnsiTheme="minorHAnsi" w:cstheme="minorHAnsi"/>
        </w:rPr>
        <w:t xml:space="preserve"> a</w:t>
      </w:r>
      <w:r w:rsidRPr="001D564D">
        <w:rPr>
          <w:rStyle w:val="qowt-font6-arial"/>
          <w:rFonts w:asciiTheme="minorHAnsi" w:hAnsiTheme="minorHAnsi" w:cstheme="minorHAnsi"/>
        </w:rPr>
        <w:t xml:space="preserve">lso, some would argue that rulings lean more towards </w:t>
      </w:r>
      <w:r w:rsidRPr="001D564D">
        <w:rPr>
          <w:rStyle w:val="qowt-font6-arial"/>
          <w:rFonts w:asciiTheme="minorHAnsi" w:hAnsiTheme="minorHAnsi" w:cstheme="minorHAnsi"/>
        </w:rPr>
        <w:t>Parliament’s</w:t>
      </w:r>
      <w:r w:rsidRPr="001D564D">
        <w:rPr>
          <w:rStyle w:val="qowt-font6-arial"/>
          <w:rFonts w:asciiTheme="minorHAnsi" w:hAnsiTheme="minorHAnsi" w:cstheme="minorHAnsi"/>
        </w:rPr>
        <w:t xml:space="preserve"> intention when making the Statute. </w:t>
      </w:r>
    </w:p>
    <w:p w14:paraId="2264EBBD" w14:textId="77777777" w:rsidR="00EA09E9"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It can also close loopholes, gives a more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just</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result and is said to bring common sense into the law. The disadvantages of the golden rule however, is that it infringes on the rule of law and the doctrine of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separation of powers</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in that they are not really </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separated</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if the judges are allowed to add, adjust and amend the meaning of statutes</w:t>
      </w:r>
      <w:r w:rsidR="003E076B" w:rsidRPr="001D564D">
        <w:rPr>
          <w:rStyle w:val="qowt-font6-arial"/>
          <w:rFonts w:asciiTheme="minorHAnsi" w:hAnsiTheme="minorHAnsi" w:cstheme="minorHAnsi"/>
        </w:rPr>
        <w:t>, a</w:t>
      </w:r>
      <w:r w:rsidRPr="001D564D">
        <w:rPr>
          <w:rStyle w:val="qowt-font6-arial"/>
          <w:rFonts w:asciiTheme="minorHAnsi" w:hAnsiTheme="minorHAnsi" w:cstheme="minorHAnsi"/>
        </w:rPr>
        <w:t>lso, judges have little power to intervene for injustice</w:t>
      </w:r>
      <w:r w:rsidR="003E076B"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if there is no apparent absurdity </w:t>
      </w:r>
      <w:r w:rsidRPr="001D564D">
        <w:rPr>
          <w:rStyle w:val="qowt-font6-arial"/>
          <w:rFonts w:asciiTheme="minorHAnsi" w:hAnsiTheme="minorHAnsi" w:cstheme="minorHAnsi"/>
          <w:b/>
          <w:bCs/>
        </w:rPr>
        <w:t>(Duxbury, 2013)</w:t>
      </w:r>
      <w:r w:rsidRPr="001D564D">
        <w:rPr>
          <w:rStyle w:val="qowt-font6-arial"/>
          <w:rFonts w:asciiTheme="minorHAnsi" w:hAnsiTheme="minorHAnsi" w:cstheme="minorHAnsi"/>
        </w:rPr>
        <w:t xml:space="preserve">. An example of when the golden rule has been applied can be seen in </w:t>
      </w:r>
      <w:r w:rsidRPr="001D564D">
        <w:rPr>
          <w:rStyle w:val="qowt-font6-arial"/>
          <w:rFonts w:asciiTheme="minorHAnsi" w:hAnsiTheme="minorHAnsi" w:cstheme="minorHAnsi"/>
          <w:b/>
          <w:bCs/>
          <w:i/>
          <w:iCs/>
        </w:rPr>
        <w:t xml:space="preserve">Allen </w:t>
      </w:r>
      <w:r w:rsidRPr="001D564D">
        <w:rPr>
          <w:rStyle w:val="qowt-font6-arial"/>
          <w:rFonts w:asciiTheme="minorHAnsi" w:hAnsiTheme="minorHAnsi" w:cstheme="minorHAnsi"/>
          <w:b/>
          <w:bCs/>
        </w:rPr>
        <w:t>[1872]</w:t>
      </w:r>
      <w:r w:rsidR="003E076B" w:rsidRPr="001D564D">
        <w:rPr>
          <w:rStyle w:val="qowt-font6-arial"/>
          <w:rFonts w:asciiTheme="minorHAnsi" w:hAnsiTheme="minorHAnsi" w:cstheme="minorHAnsi"/>
          <w:b/>
          <w:bCs/>
        </w:rPr>
        <w:t>,</w:t>
      </w:r>
      <w:r w:rsidRPr="001D564D">
        <w:rPr>
          <w:rStyle w:val="qowt-font6-arial"/>
          <w:rFonts w:asciiTheme="minorHAnsi" w:hAnsiTheme="minorHAnsi" w:cstheme="minorHAnsi"/>
        </w:rPr>
        <w:t xml:space="preserve"> where an accused was charged with bigamy under Offences Against the Person Act 1861. </w:t>
      </w:r>
    </w:p>
    <w:p w14:paraId="733AB51F" w14:textId="6764D70E"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lastRenderedPageBreak/>
        <w:t xml:space="preserve">The offence in the Act was that it said ‘a defendant being married shall marry any other person during the lifetime of his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spouse</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of course a valid marriage could only occur between a man and woman of whom are not married to one another</w:t>
      </w:r>
      <w:r w:rsidR="00EA09E9" w:rsidRPr="001D564D">
        <w:rPr>
          <w:rStyle w:val="qowt-font6-arial"/>
          <w:rFonts w:asciiTheme="minorHAnsi" w:hAnsiTheme="minorHAnsi" w:cstheme="minorHAnsi"/>
        </w:rPr>
        <w:t>, a</w:t>
      </w:r>
      <w:r w:rsidRPr="001D564D">
        <w:rPr>
          <w:rStyle w:val="qowt-font6-arial"/>
          <w:rFonts w:asciiTheme="minorHAnsi" w:hAnsiTheme="minorHAnsi" w:cstheme="minorHAnsi"/>
        </w:rPr>
        <w:t xml:space="preserve"> second marriage would be void as the offence was drafted, thus the words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shall marry</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were interpreted instead as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shall go through a marriage ceremony with</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which resulted in the appellants conviction of bigamy </w:t>
      </w:r>
      <w:r w:rsidRPr="001D564D">
        <w:rPr>
          <w:rStyle w:val="qowt-font6-arial"/>
          <w:rFonts w:asciiTheme="minorHAnsi" w:hAnsiTheme="minorHAnsi" w:cstheme="minorHAnsi"/>
          <w:b/>
          <w:bCs/>
        </w:rPr>
        <w:t xml:space="preserve">(Twining &amp; </w:t>
      </w:r>
      <w:proofErr w:type="spellStart"/>
      <w:r w:rsidRPr="001D564D">
        <w:rPr>
          <w:rStyle w:val="qowt-font6-arial"/>
          <w:rFonts w:asciiTheme="minorHAnsi" w:hAnsiTheme="minorHAnsi" w:cstheme="minorHAnsi"/>
          <w:b/>
          <w:bCs/>
        </w:rPr>
        <w:t>Miers</w:t>
      </w:r>
      <w:proofErr w:type="spellEnd"/>
      <w:r w:rsidRPr="001D564D">
        <w:rPr>
          <w:rStyle w:val="qowt-font6-arial"/>
          <w:rFonts w:asciiTheme="minorHAnsi" w:hAnsiTheme="minorHAnsi" w:cstheme="minorHAnsi"/>
          <w:b/>
          <w:bCs/>
        </w:rPr>
        <w:t>, 1999)</w:t>
      </w:r>
      <w:r w:rsidRPr="001D564D">
        <w:rPr>
          <w:rStyle w:val="qowt-font6-arial"/>
          <w:rFonts w:asciiTheme="minorHAnsi" w:hAnsiTheme="minorHAnsi" w:cstheme="minorHAnsi"/>
        </w:rPr>
        <w:t xml:space="preserve">. </w:t>
      </w:r>
    </w:p>
    <w:p w14:paraId="5A0AC1C3" w14:textId="77777777" w:rsidR="00EA09E9"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 xml:space="preserve">The third and last rule, the mischief rule of statutory interpretation was established in </w:t>
      </w:r>
      <w:proofErr w:type="spellStart"/>
      <w:r w:rsidRPr="001D564D">
        <w:rPr>
          <w:rStyle w:val="qowt-font6-arial"/>
          <w:rFonts w:asciiTheme="minorHAnsi" w:hAnsiTheme="minorHAnsi" w:cstheme="minorHAnsi"/>
          <w:i/>
          <w:iCs/>
        </w:rPr>
        <w:t>Heydon’s</w:t>
      </w:r>
      <w:proofErr w:type="spellEnd"/>
      <w:r w:rsidRPr="001D564D">
        <w:rPr>
          <w:rStyle w:val="qowt-font6-arial"/>
          <w:rFonts w:asciiTheme="minorHAnsi" w:hAnsiTheme="minorHAnsi" w:cstheme="minorHAnsi"/>
          <w:i/>
          <w:iCs/>
        </w:rPr>
        <w:t xml:space="preserve"> Case </w:t>
      </w:r>
      <w:r w:rsidRPr="001D564D">
        <w:rPr>
          <w:rStyle w:val="qowt-font6-arial"/>
          <w:rFonts w:asciiTheme="minorHAnsi" w:hAnsiTheme="minorHAnsi" w:cstheme="minorHAnsi"/>
        </w:rPr>
        <w:t xml:space="preserve">[1584] EWHC </w:t>
      </w:r>
      <w:proofErr w:type="spellStart"/>
      <w:r w:rsidRPr="001D564D">
        <w:rPr>
          <w:rStyle w:val="qowt-font6-arial"/>
          <w:rFonts w:asciiTheme="minorHAnsi" w:hAnsiTheme="minorHAnsi" w:cstheme="minorHAnsi"/>
        </w:rPr>
        <w:t>Exch</w:t>
      </w:r>
      <w:proofErr w:type="spellEnd"/>
      <w:r w:rsidRPr="001D564D">
        <w:rPr>
          <w:rStyle w:val="qowt-font6-arial"/>
          <w:rFonts w:asciiTheme="minorHAnsi" w:hAnsiTheme="minorHAnsi" w:cstheme="minorHAnsi"/>
        </w:rPr>
        <w:t xml:space="preserve"> J36</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is the oldest of the rules</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EA09E9" w:rsidRPr="001D564D">
        <w:rPr>
          <w:rStyle w:val="qowt-font6-arial"/>
          <w:rFonts w:asciiTheme="minorHAnsi" w:hAnsiTheme="minorHAnsi" w:cstheme="minorHAnsi"/>
        </w:rPr>
        <w:t>i</w:t>
      </w:r>
      <w:r w:rsidRPr="001D564D">
        <w:rPr>
          <w:rStyle w:val="qowt-font6-arial"/>
          <w:rFonts w:asciiTheme="minorHAnsi" w:hAnsiTheme="minorHAnsi" w:cstheme="minorHAnsi"/>
        </w:rPr>
        <w:t xml:space="preserve">n </w:t>
      </w:r>
      <w:proofErr w:type="spellStart"/>
      <w:r w:rsidRPr="001D564D">
        <w:rPr>
          <w:rStyle w:val="qowt-font6-arial"/>
          <w:rFonts w:asciiTheme="minorHAnsi" w:hAnsiTheme="minorHAnsi" w:cstheme="minorHAnsi"/>
          <w:i/>
          <w:iCs/>
        </w:rPr>
        <w:t>Heydon</w:t>
      </w:r>
      <w:proofErr w:type="spellEnd"/>
      <w:r w:rsidRPr="001D564D">
        <w:rPr>
          <w:rStyle w:val="qowt-font6-arial"/>
          <w:rFonts w:asciiTheme="minorHAnsi" w:hAnsiTheme="minorHAnsi" w:cstheme="minorHAnsi"/>
        </w:rPr>
        <w:t xml:space="preserve">, an action that determined the validity of a lease, the mischief rule was formulated. This rule asks of judges to think about what Parliament was thinking about achieving when making that legislation. </w:t>
      </w:r>
    </w:p>
    <w:p w14:paraId="2E435D2D" w14:textId="32C419D4"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If there lays any confusion or ambiguity within an Act, it should be interpreted ensuring that Parliament’s intentions are satisfied</w:t>
      </w:r>
      <w:r w:rsidR="00EA09E9" w:rsidRPr="001D564D">
        <w:rPr>
          <w:rStyle w:val="qowt-font6-arial"/>
          <w:rFonts w:asciiTheme="minorHAnsi" w:hAnsiTheme="minorHAnsi" w:cstheme="minorHAnsi"/>
        </w:rPr>
        <w:t>, w</w:t>
      </w:r>
      <w:r w:rsidRPr="001D564D">
        <w:rPr>
          <w:rStyle w:val="qowt-font6-arial"/>
          <w:rFonts w:asciiTheme="minorHAnsi" w:hAnsiTheme="minorHAnsi" w:cstheme="minorHAnsi"/>
        </w:rPr>
        <w:t xml:space="preserve">hen applying the mischief rule, the court must ask themselves: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what was the common law before making the Act?</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what was the mischief and/or defect for which the common law did not provide?</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what was the remedy Parliament passed to cure the mischief?</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and </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what was the true reason for the remedy?</w:t>
      </w:r>
      <w:r w:rsidR="00EA09E9"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(Duxbury, 2013).  </w:t>
      </w:r>
    </w:p>
    <w:p w14:paraId="695A4503" w14:textId="280CFA51" w:rsidR="00882FC3"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It is not surprising that in a developed country such as the UK, the legislation is complex as the volume of statute law is immense so it could be said that it is reasonable that the ordinary person struggles to understand it</w:t>
      </w:r>
      <w:r w:rsidR="00EA09E9" w:rsidRPr="001D564D">
        <w:rPr>
          <w:rStyle w:val="qowt-font6-arial"/>
          <w:rFonts w:asciiTheme="minorHAnsi" w:hAnsiTheme="minorHAnsi" w:cstheme="minorHAnsi"/>
        </w:rPr>
        <w:t>, b</w:t>
      </w:r>
      <w:r w:rsidRPr="001D564D">
        <w:rPr>
          <w:rStyle w:val="qowt-font6-arial"/>
          <w:rFonts w:asciiTheme="minorHAnsi" w:hAnsiTheme="minorHAnsi" w:cstheme="minorHAnsi"/>
        </w:rPr>
        <w:t>ut some scholars say it is a cause for concern when not even a judge can understand what Parliament’s intentions are when they make the laws</w:t>
      </w:r>
      <w:r w:rsidR="00863D76" w:rsidRPr="001D564D">
        <w:rPr>
          <w:rStyle w:val="qowt-font6-arial"/>
          <w:rFonts w:asciiTheme="minorHAnsi" w:hAnsiTheme="minorHAnsi" w:cstheme="minorHAnsi"/>
        </w:rPr>
        <w:t>, i</w:t>
      </w:r>
      <w:r w:rsidRPr="001D564D">
        <w:rPr>
          <w:rStyle w:val="qowt-font6-arial"/>
          <w:rFonts w:asciiTheme="minorHAnsi" w:hAnsiTheme="minorHAnsi" w:cstheme="minorHAnsi"/>
        </w:rPr>
        <w:t>t has been said to create burdens for</w:t>
      </w:r>
      <w:r w:rsidR="001D564D">
        <w:rPr>
          <w:rStyle w:val="qowt-font6-arial"/>
          <w:rFonts w:asciiTheme="minorHAnsi" w:hAnsiTheme="minorHAnsi" w:cstheme="minorHAnsi"/>
        </w:rPr>
        <w:t xml:space="preserve"> </w:t>
      </w:r>
      <w:r w:rsidRPr="001D564D">
        <w:rPr>
          <w:rStyle w:val="qowt-font6-arial"/>
          <w:rFonts w:asciiTheme="minorHAnsi" w:hAnsiTheme="minorHAnsi" w:cstheme="minorHAnsi"/>
        </w:rPr>
        <w:t>people and businesses alike, along with whole communities and is definitely something that needs to be reformed (Holland and Webb, 2013).</w:t>
      </w:r>
    </w:p>
    <w:p w14:paraId="72428D04" w14:textId="77777777" w:rsidR="00863D76" w:rsidRPr="001D564D" w:rsidRDefault="00882FC3"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To conclude, legislation is the primary source of law in the UK</w:t>
      </w:r>
      <w:r w:rsidR="00863D76" w:rsidRPr="001D564D">
        <w:rPr>
          <w:rStyle w:val="qowt-font6-arial"/>
          <w:rFonts w:asciiTheme="minorHAnsi" w:hAnsiTheme="minorHAnsi" w:cstheme="minorHAnsi"/>
        </w:rPr>
        <w:t>,</w:t>
      </w:r>
      <w:r w:rsidRPr="001D564D">
        <w:rPr>
          <w:rStyle w:val="qowt-font6-arial"/>
          <w:rFonts w:asciiTheme="minorHAnsi" w:hAnsiTheme="minorHAnsi" w:cstheme="minorHAnsi"/>
        </w:rPr>
        <w:t xml:space="preserve"> </w:t>
      </w:r>
      <w:r w:rsidR="00863D76" w:rsidRPr="001D564D">
        <w:rPr>
          <w:rStyle w:val="qowt-font6-arial"/>
          <w:rFonts w:asciiTheme="minorHAnsi" w:hAnsiTheme="minorHAnsi" w:cstheme="minorHAnsi"/>
        </w:rPr>
        <w:t>a</w:t>
      </w:r>
      <w:r w:rsidRPr="001D564D">
        <w:rPr>
          <w:rStyle w:val="qowt-font6-arial"/>
          <w:rFonts w:asciiTheme="minorHAnsi" w:hAnsiTheme="minorHAnsi" w:cstheme="minorHAnsi"/>
        </w:rPr>
        <w:t>s mentioned</w:t>
      </w:r>
      <w:r w:rsidR="00863D76" w:rsidRPr="001D564D">
        <w:rPr>
          <w:rStyle w:val="qowt-font6-arial"/>
          <w:rFonts w:asciiTheme="minorHAnsi" w:hAnsiTheme="minorHAnsi" w:cstheme="minorHAnsi"/>
        </w:rPr>
        <w:t xml:space="preserve"> above</w:t>
      </w:r>
      <w:r w:rsidRPr="001D564D">
        <w:rPr>
          <w:rStyle w:val="qowt-font6-arial"/>
          <w:rFonts w:asciiTheme="minorHAnsi" w:hAnsiTheme="minorHAnsi" w:cstheme="minorHAnsi"/>
        </w:rPr>
        <w:t>, the law for which the courts rely on and judges are called on to apply is statutory</w:t>
      </w:r>
      <w:r w:rsidR="00863D76" w:rsidRPr="001D564D">
        <w:rPr>
          <w:rStyle w:val="qowt-font6-arial"/>
          <w:rFonts w:asciiTheme="minorHAnsi" w:hAnsiTheme="minorHAnsi" w:cstheme="minorHAnsi"/>
        </w:rPr>
        <w:t>, l</w:t>
      </w:r>
      <w:r w:rsidRPr="001D564D">
        <w:rPr>
          <w:rStyle w:val="qowt-font6-arial"/>
          <w:rFonts w:asciiTheme="minorHAnsi" w:hAnsiTheme="minorHAnsi" w:cstheme="minorHAnsi"/>
        </w:rPr>
        <w:t>egislation is passed in parliament, however, it is the primary role of the judge</w:t>
      </w:r>
      <w:r w:rsidR="00863D76" w:rsidRPr="001D564D">
        <w:rPr>
          <w:rStyle w:val="qowt-font6-arial"/>
          <w:rFonts w:asciiTheme="minorHAnsi" w:hAnsiTheme="minorHAnsi" w:cstheme="minorHAnsi"/>
        </w:rPr>
        <w:t>s</w:t>
      </w:r>
      <w:r w:rsidRPr="001D564D">
        <w:rPr>
          <w:rStyle w:val="qowt-font6-arial"/>
          <w:rFonts w:asciiTheme="minorHAnsi" w:hAnsiTheme="minorHAnsi" w:cstheme="minorHAnsi"/>
        </w:rPr>
        <w:t xml:space="preserve"> to apply the law. </w:t>
      </w:r>
    </w:p>
    <w:p w14:paraId="471670BC" w14:textId="35FF981F" w:rsidR="00882FC3" w:rsidRPr="001D564D" w:rsidRDefault="00863D76" w:rsidP="00882FC3">
      <w:pPr>
        <w:pStyle w:val="x-scope"/>
        <w:jc w:val="both"/>
        <w:rPr>
          <w:rStyle w:val="qowt-font6-arial"/>
          <w:rFonts w:asciiTheme="minorHAnsi" w:hAnsiTheme="minorHAnsi" w:cstheme="minorHAnsi"/>
        </w:rPr>
      </w:pPr>
      <w:r w:rsidRPr="001D564D">
        <w:rPr>
          <w:rStyle w:val="qowt-font6-arial"/>
          <w:rFonts w:asciiTheme="minorHAnsi" w:hAnsiTheme="minorHAnsi" w:cstheme="minorHAnsi"/>
        </w:rPr>
        <w:t>T</w:t>
      </w:r>
      <w:r w:rsidR="00882FC3" w:rsidRPr="001D564D">
        <w:rPr>
          <w:rStyle w:val="qowt-font6-arial"/>
          <w:rFonts w:asciiTheme="minorHAnsi" w:hAnsiTheme="minorHAnsi" w:cstheme="minorHAnsi"/>
        </w:rPr>
        <w:t xml:space="preserve">o </w:t>
      </w:r>
      <w:r w:rsidRPr="001D564D">
        <w:rPr>
          <w:rStyle w:val="qowt-font6-arial"/>
          <w:rFonts w:asciiTheme="minorHAnsi" w:hAnsiTheme="minorHAnsi" w:cstheme="minorHAnsi"/>
        </w:rPr>
        <w:t xml:space="preserve">summarize, it </w:t>
      </w:r>
      <w:r w:rsidR="00882FC3" w:rsidRPr="001D564D">
        <w:rPr>
          <w:rStyle w:val="qowt-font6-arial"/>
          <w:rFonts w:asciiTheme="minorHAnsi" w:hAnsiTheme="minorHAnsi" w:cstheme="minorHAnsi"/>
        </w:rPr>
        <w:t xml:space="preserve"> has discussed statutory interpretation and how it has been argued that it could </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diminish</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the status of legislation as the primary source of law in the UK</w:t>
      </w:r>
      <w:r w:rsidRPr="001D564D">
        <w:rPr>
          <w:rStyle w:val="qowt-font6-arial"/>
          <w:rFonts w:asciiTheme="minorHAnsi" w:hAnsiTheme="minorHAnsi" w:cstheme="minorHAnsi"/>
        </w:rPr>
        <w:t>, s</w:t>
      </w:r>
      <w:r w:rsidR="00882FC3" w:rsidRPr="001D564D">
        <w:rPr>
          <w:rStyle w:val="qowt-font6-arial"/>
          <w:rFonts w:asciiTheme="minorHAnsi" w:hAnsiTheme="minorHAnsi" w:cstheme="minorHAnsi"/>
        </w:rPr>
        <w:t>tatutory interpretation has been discussed in detail along with the different rules that the judges use in interpreting legislation</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the literal rule</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the golden rule</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and mischief rule</w:t>
      </w:r>
      <w:r w:rsidRPr="001D564D">
        <w:rPr>
          <w:rStyle w:val="qowt-font6-arial"/>
          <w:rFonts w:asciiTheme="minorHAnsi" w:hAnsiTheme="minorHAnsi" w:cstheme="minorHAnsi"/>
        </w:rPr>
        <w:t>,</w:t>
      </w:r>
      <w:r w:rsidR="00882FC3" w:rsidRPr="001D564D">
        <w:rPr>
          <w:rStyle w:val="qowt-font6-arial"/>
          <w:rFonts w:asciiTheme="minorHAnsi" w:hAnsiTheme="minorHAnsi" w:cstheme="minorHAnsi"/>
        </w:rPr>
        <w:t xml:space="preserve"> </w:t>
      </w:r>
      <w:r w:rsidRPr="001D564D">
        <w:rPr>
          <w:rStyle w:val="qowt-font6-arial"/>
          <w:rFonts w:asciiTheme="minorHAnsi" w:hAnsiTheme="minorHAnsi" w:cstheme="minorHAnsi"/>
        </w:rPr>
        <w:t>a</w:t>
      </w:r>
      <w:r w:rsidR="00882FC3" w:rsidRPr="001D564D">
        <w:rPr>
          <w:rStyle w:val="qowt-font6-arial"/>
          <w:rFonts w:asciiTheme="minorHAnsi" w:hAnsiTheme="minorHAnsi" w:cstheme="minorHAnsi"/>
        </w:rPr>
        <w:t>dditionally</w:t>
      </w:r>
      <w:r w:rsidRPr="001D564D">
        <w:rPr>
          <w:rStyle w:val="qowt-font6-arial"/>
          <w:rFonts w:asciiTheme="minorHAnsi" w:hAnsiTheme="minorHAnsi" w:cstheme="minorHAnsi"/>
        </w:rPr>
        <w:t xml:space="preserve"> hence why </w:t>
      </w:r>
      <w:r w:rsidR="00882FC3" w:rsidRPr="001D564D">
        <w:rPr>
          <w:rStyle w:val="qowt-font6-arial"/>
          <w:rFonts w:asciiTheme="minorHAnsi" w:hAnsiTheme="minorHAnsi" w:cstheme="minorHAnsi"/>
        </w:rPr>
        <w:t xml:space="preserve">the reason </w:t>
      </w:r>
      <w:r w:rsidRPr="001D564D">
        <w:rPr>
          <w:rStyle w:val="qowt-font6-arial"/>
          <w:rFonts w:asciiTheme="minorHAnsi" w:hAnsiTheme="minorHAnsi" w:cstheme="minorHAnsi"/>
        </w:rPr>
        <w:t xml:space="preserve">that </w:t>
      </w:r>
      <w:r w:rsidR="00882FC3" w:rsidRPr="001D564D">
        <w:rPr>
          <w:rStyle w:val="qowt-font6-arial"/>
          <w:rFonts w:asciiTheme="minorHAnsi" w:hAnsiTheme="minorHAnsi" w:cstheme="minorHAnsi"/>
        </w:rPr>
        <w:t xml:space="preserve">statutory interpretation is necessary for judges </w:t>
      </w:r>
      <w:r w:rsidRPr="001D564D">
        <w:rPr>
          <w:rStyle w:val="qowt-font6-arial"/>
          <w:rFonts w:asciiTheme="minorHAnsi" w:hAnsiTheme="minorHAnsi" w:cstheme="minorHAnsi"/>
        </w:rPr>
        <w:t xml:space="preserve">that </w:t>
      </w:r>
      <w:r w:rsidR="00882FC3" w:rsidRPr="001D564D">
        <w:rPr>
          <w:rStyle w:val="qowt-font6-arial"/>
          <w:rFonts w:asciiTheme="minorHAnsi" w:hAnsiTheme="minorHAnsi" w:cstheme="minorHAnsi"/>
        </w:rPr>
        <w:t>ha</w:t>
      </w:r>
      <w:r w:rsidRPr="001D564D">
        <w:rPr>
          <w:rStyle w:val="qowt-font6-arial"/>
          <w:rFonts w:asciiTheme="minorHAnsi" w:hAnsiTheme="minorHAnsi" w:cstheme="minorHAnsi"/>
        </w:rPr>
        <w:t>ve</w:t>
      </w:r>
      <w:r w:rsidR="00882FC3" w:rsidRPr="001D564D">
        <w:rPr>
          <w:rStyle w:val="qowt-font6-arial"/>
          <w:rFonts w:asciiTheme="minorHAnsi" w:hAnsiTheme="minorHAnsi" w:cstheme="minorHAnsi"/>
        </w:rPr>
        <w:t xml:space="preserve"> been discussed when ruling at trials</w:t>
      </w:r>
      <w:r w:rsidR="00C4029B" w:rsidRPr="001D564D">
        <w:rPr>
          <w:rStyle w:val="qowt-font6-arial"/>
          <w:rFonts w:asciiTheme="minorHAnsi" w:hAnsiTheme="minorHAnsi" w:cstheme="minorHAnsi"/>
        </w:rPr>
        <w:t>, i</w:t>
      </w:r>
      <w:r w:rsidR="00882FC3" w:rsidRPr="001D564D">
        <w:rPr>
          <w:rStyle w:val="qowt-font6-arial"/>
          <w:rFonts w:asciiTheme="minorHAnsi" w:hAnsiTheme="minorHAnsi" w:cstheme="minorHAnsi"/>
        </w:rPr>
        <w:t>t has also been discussed as to whether or not the makers of the law should be clearer or not whilst creating legislation as to their intentions for Acts and words used. Potential problems statutor</w:t>
      </w:r>
      <w:r w:rsidRPr="001D564D">
        <w:rPr>
          <w:rStyle w:val="qowt-font6-arial"/>
          <w:rFonts w:asciiTheme="minorHAnsi" w:hAnsiTheme="minorHAnsi" w:cstheme="minorHAnsi"/>
        </w:rPr>
        <w:t>it</w:t>
      </w:r>
      <w:r w:rsidR="00882FC3" w:rsidRPr="001D564D">
        <w:rPr>
          <w:rStyle w:val="qowt-font6-arial"/>
          <w:rFonts w:asciiTheme="minorHAnsi" w:hAnsiTheme="minorHAnsi" w:cstheme="minorHAnsi"/>
        </w:rPr>
        <w:t xml:space="preserve">y interpretation </w:t>
      </w:r>
      <w:r w:rsidR="00C4029B" w:rsidRPr="001D564D">
        <w:rPr>
          <w:rStyle w:val="qowt-font6-arial"/>
          <w:rFonts w:asciiTheme="minorHAnsi" w:hAnsiTheme="minorHAnsi" w:cstheme="minorHAnsi"/>
        </w:rPr>
        <w:t xml:space="preserve">that </w:t>
      </w:r>
      <w:r w:rsidR="00882FC3" w:rsidRPr="001D564D">
        <w:rPr>
          <w:rStyle w:val="qowt-font6-arial"/>
          <w:rFonts w:asciiTheme="minorHAnsi" w:hAnsiTheme="minorHAnsi" w:cstheme="minorHAnsi"/>
        </w:rPr>
        <w:t>can cause ha</w:t>
      </w:r>
      <w:r w:rsidR="00C4029B" w:rsidRPr="001D564D">
        <w:rPr>
          <w:rStyle w:val="qowt-font6-arial"/>
          <w:rFonts w:asciiTheme="minorHAnsi" w:hAnsiTheme="minorHAnsi" w:cstheme="minorHAnsi"/>
        </w:rPr>
        <w:t>ve</w:t>
      </w:r>
      <w:r w:rsidR="00882FC3" w:rsidRPr="001D564D">
        <w:rPr>
          <w:rStyle w:val="qowt-font6-arial"/>
          <w:rFonts w:asciiTheme="minorHAnsi" w:hAnsiTheme="minorHAnsi" w:cstheme="minorHAnsi"/>
        </w:rPr>
        <w:t xml:space="preserve"> also been explored.</w:t>
      </w:r>
    </w:p>
    <w:p w14:paraId="2EAC030D" w14:textId="17FDDFE5" w:rsidR="00882FC3" w:rsidRDefault="00882FC3" w:rsidP="00882FC3">
      <w:pPr>
        <w:pStyle w:val="x-scope"/>
        <w:jc w:val="both"/>
        <w:rPr>
          <w:rStyle w:val="qowt-font6-arial"/>
        </w:rPr>
      </w:pPr>
    </w:p>
    <w:p w14:paraId="01830353" w14:textId="1A23444C" w:rsidR="00882FC3" w:rsidRDefault="00882FC3" w:rsidP="00882FC3">
      <w:pPr>
        <w:pStyle w:val="x-scope"/>
        <w:jc w:val="both"/>
        <w:rPr>
          <w:rStyle w:val="qowt-font6-arial"/>
        </w:rPr>
      </w:pPr>
    </w:p>
    <w:p w14:paraId="2BF76904" w14:textId="4D84894E" w:rsidR="00882FC3" w:rsidRDefault="00882FC3" w:rsidP="00882FC3">
      <w:pPr>
        <w:pStyle w:val="x-scope"/>
        <w:jc w:val="both"/>
        <w:rPr>
          <w:rStyle w:val="qowt-font6-arial"/>
        </w:rPr>
      </w:pPr>
    </w:p>
    <w:p w14:paraId="6D502B0A" w14:textId="379008E2" w:rsidR="00882FC3" w:rsidRDefault="00882FC3" w:rsidP="00882FC3">
      <w:pPr>
        <w:pStyle w:val="x-scope"/>
        <w:jc w:val="both"/>
        <w:rPr>
          <w:rStyle w:val="qowt-font6-arial"/>
        </w:rPr>
      </w:pPr>
    </w:p>
    <w:p w14:paraId="2BB18F75" w14:textId="55D94EAC" w:rsidR="00882FC3" w:rsidRDefault="00882FC3" w:rsidP="00882FC3">
      <w:pPr>
        <w:pStyle w:val="x-scope"/>
        <w:jc w:val="both"/>
        <w:rPr>
          <w:rStyle w:val="qowt-font6-arial"/>
        </w:rPr>
      </w:pPr>
    </w:p>
    <w:p w14:paraId="74937A88" w14:textId="58D0B9C0" w:rsidR="00882FC3" w:rsidRDefault="00882FC3" w:rsidP="00882FC3">
      <w:pPr>
        <w:pStyle w:val="x-scope"/>
        <w:jc w:val="both"/>
        <w:rPr>
          <w:rStyle w:val="qowt-font6-arial"/>
        </w:rPr>
      </w:pPr>
    </w:p>
    <w:p w14:paraId="3BE39CFC" w14:textId="77777777" w:rsidR="00882FC3" w:rsidRPr="001D564D" w:rsidRDefault="00882FC3" w:rsidP="00882FC3">
      <w:pPr>
        <w:pStyle w:val="x-scope"/>
        <w:jc w:val="center"/>
        <w:rPr>
          <w:rFonts w:asciiTheme="minorHAnsi" w:hAnsiTheme="minorHAnsi" w:cstheme="minorHAnsi"/>
          <w:sz w:val="28"/>
          <w:szCs w:val="28"/>
          <w:u w:val="single"/>
        </w:rPr>
      </w:pPr>
      <w:r w:rsidRPr="001D564D">
        <w:rPr>
          <w:rFonts w:asciiTheme="minorHAnsi" w:hAnsiTheme="minorHAnsi" w:cstheme="minorHAnsi"/>
          <w:sz w:val="28"/>
          <w:szCs w:val="28"/>
          <w:u w:val="single"/>
        </w:rPr>
        <w:t>References</w:t>
      </w:r>
    </w:p>
    <w:p w14:paraId="260A450B" w14:textId="77777777" w:rsidR="00882FC3" w:rsidRPr="001D564D" w:rsidRDefault="00882FC3" w:rsidP="00882FC3">
      <w:pPr>
        <w:pStyle w:val="x-scope"/>
        <w:rPr>
          <w:rFonts w:asciiTheme="minorHAnsi" w:hAnsiTheme="minorHAnsi" w:cstheme="minorHAnsi"/>
        </w:rPr>
      </w:pPr>
      <w:proofErr w:type="spellStart"/>
      <w:r w:rsidRPr="001D564D">
        <w:rPr>
          <w:rFonts w:asciiTheme="minorHAnsi" w:hAnsiTheme="minorHAnsi" w:cstheme="minorHAnsi"/>
        </w:rPr>
        <w:t>Albon</w:t>
      </w:r>
      <w:proofErr w:type="spellEnd"/>
      <w:r w:rsidRPr="001D564D">
        <w:rPr>
          <w:rFonts w:asciiTheme="minorHAnsi" w:hAnsiTheme="minorHAnsi" w:cstheme="minorHAnsi"/>
        </w:rPr>
        <w:t xml:space="preserve">, E. and Kaur </w:t>
      </w:r>
      <w:proofErr w:type="spellStart"/>
      <w:r w:rsidRPr="001D564D">
        <w:rPr>
          <w:rFonts w:asciiTheme="minorHAnsi" w:hAnsiTheme="minorHAnsi" w:cstheme="minorHAnsi"/>
        </w:rPr>
        <w:t>Dua</w:t>
      </w:r>
      <w:proofErr w:type="spellEnd"/>
      <w:r w:rsidRPr="001D564D">
        <w:rPr>
          <w:rFonts w:asciiTheme="minorHAnsi" w:hAnsiTheme="minorHAnsi" w:cstheme="minorHAnsi"/>
        </w:rPr>
        <w:t xml:space="preserve">, S. (2021). </w:t>
      </w:r>
      <w:r w:rsidRPr="001D564D">
        <w:rPr>
          <w:rFonts w:asciiTheme="minorHAnsi" w:hAnsiTheme="minorHAnsi" w:cstheme="minorHAnsi"/>
          <w:i/>
          <w:iCs/>
        </w:rPr>
        <w:t xml:space="preserve">Elliott &amp; Quinn’s English Legal System. </w:t>
      </w:r>
      <w:r w:rsidRPr="001D564D">
        <w:rPr>
          <w:rFonts w:asciiTheme="minorHAnsi" w:hAnsiTheme="minorHAnsi" w:cstheme="minorHAnsi"/>
        </w:rPr>
        <w:t>London: Pearson.</w:t>
      </w:r>
    </w:p>
    <w:p w14:paraId="73077423" w14:textId="77777777" w:rsidR="00882FC3" w:rsidRPr="001D564D" w:rsidRDefault="00882FC3" w:rsidP="00882FC3">
      <w:pPr>
        <w:pStyle w:val="x-scope"/>
        <w:rPr>
          <w:rFonts w:asciiTheme="minorHAnsi" w:hAnsiTheme="minorHAnsi" w:cstheme="minorHAnsi"/>
        </w:rPr>
      </w:pPr>
      <w:proofErr w:type="spellStart"/>
      <w:r w:rsidRPr="001D564D">
        <w:rPr>
          <w:rFonts w:asciiTheme="minorHAnsi" w:hAnsiTheme="minorHAnsi" w:cstheme="minorHAnsi"/>
          <w:i/>
          <w:iCs/>
        </w:rPr>
        <w:t>Aumeye</w:t>
      </w:r>
      <w:proofErr w:type="spellEnd"/>
      <w:r w:rsidRPr="001D564D">
        <w:rPr>
          <w:rFonts w:asciiTheme="minorHAnsi" w:hAnsiTheme="minorHAnsi" w:cstheme="minorHAnsi"/>
          <w:i/>
          <w:iCs/>
        </w:rPr>
        <w:t xml:space="preserve"> v Anon., </w:t>
      </w:r>
      <w:r w:rsidRPr="001D564D">
        <w:rPr>
          <w:rFonts w:asciiTheme="minorHAnsi" w:hAnsiTheme="minorHAnsi" w:cstheme="minorHAnsi"/>
        </w:rPr>
        <w:t>Y.B. 33 &amp; 35 Edw. I., 82 (Rolls Series).</w:t>
      </w:r>
    </w:p>
    <w:p w14:paraId="7FFF44F1"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Duxbury, N. (2013). </w:t>
      </w:r>
      <w:r w:rsidRPr="001D564D">
        <w:rPr>
          <w:rFonts w:asciiTheme="minorHAnsi" w:hAnsiTheme="minorHAnsi" w:cstheme="minorHAnsi"/>
          <w:i/>
          <w:iCs/>
        </w:rPr>
        <w:t xml:space="preserve">Elements of Legislation. </w:t>
      </w:r>
      <w:r w:rsidRPr="001D564D">
        <w:rPr>
          <w:rFonts w:asciiTheme="minorHAnsi" w:hAnsiTheme="minorHAnsi" w:cstheme="minorHAnsi"/>
        </w:rPr>
        <w:t xml:space="preserve">Cambridge: Cambridge University Press. </w:t>
      </w:r>
    </w:p>
    <w:p w14:paraId="7F04D6D8" w14:textId="77777777" w:rsidR="00882FC3" w:rsidRPr="001D564D" w:rsidRDefault="00882FC3" w:rsidP="00882FC3">
      <w:pPr>
        <w:pStyle w:val="x-scope"/>
        <w:rPr>
          <w:rStyle w:val="qowt-font6-arial"/>
          <w:rFonts w:asciiTheme="minorHAnsi" w:hAnsiTheme="minorHAnsi" w:cstheme="minorHAnsi"/>
        </w:rPr>
      </w:pPr>
      <w:r w:rsidRPr="001D564D">
        <w:rPr>
          <w:rStyle w:val="qowt-font6-arial"/>
          <w:rFonts w:asciiTheme="minorHAnsi" w:hAnsiTheme="minorHAnsi" w:cstheme="minorHAnsi"/>
          <w:i/>
          <w:iCs/>
        </w:rPr>
        <w:t xml:space="preserve">Fisher v Bell </w:t>
      </w:r>
      <w:r w:rsidRPr="001D564D">
        <w:rPr>
          <w:rStyle w:val="qowt-font6-arial"/>
          <w:rFonts w:asciiTheme="minorHAnsi" w:hAnsiTheme="minorHAnsi" w:cstheme="minorHAnsi"/>
        </w:rPr>
        <w:t>[1960] 3 All ER 73.</w:t>
      </w:r>
    </w:p>
    <w:p w14:paraId="77B32210" w14:textId="77777777" w:rsidR="00882FC3" w:rsidRPr="001D564D" w:rsidRDefault="00882FC3" w:rsidP="00882FC3">
      <w:pPr>
        <w:pStyle w:val="x-scope"/>
        <w:rPr>
          <w:rFonts w:asciiTheme="minorHAnsi" w:hAnsiTheme="minorHAnsi" w:cstheme="minorHAnsi"/>
        </w:rPr>
      </w:pPr>
      <w:r w:rsidRPr="001D564D">
        <w:rPr>
          <w:rStyle w:val="qowt-font6-arial"/>
          <w:rFonts w:asciiTheme="minorHAnsi" w:hAnsiTheme="minorHAnsi" w:cstheme="minorHAnsi"/>
        </w:rPr>
        <w:t xml:space="preserve">Holland, J. and Webb, J. (2013). </w:t>
      </w:r>
      <w:r w:rsidRPr="001D564D">
        <w:rPr>
          <w:rStyle w:val="qowt-font6-arial"/>
          <w:rFonts w:asciiTheme="minorHAnsi" w:hAnsiTheme="minorHAnsi" w:cstheme="minorHAnsi"/>
          <w:i/>
          <w:iCs/>
        </w:rPr>
        <w:t xml:space="preserve">Learning Legal Rules: A Students’ Guide to Legal Method and Reasoning. </w:t>
      </w:r>
      <w:r w:rsidRPr="001D564D">
        <w:rPr>
          <w:rStyle w:val="qowt-font6-arial"/>
          <w:rFonts w:asciiTheme="minorHAnsi" w:hAnsiTheme="minorHAnsi" w:cstheme="minorHAnsi"/>
        </w:rPr>
        <w:t>(8</w:t>
      </w:r>
      <w:r w:rsidRPr="001D564D">
        <w:rPr>
          <w:rStyle w:val="qowt-font6-arial"/>
          <w:rFonts w:asciiTheme="minorHAnsi" w:hAnsiTheme="minorHAnsi" w:cstheme="minorHAnsi"/>
          <w:vertAlign w:val="superscript"/>
        </w:rPr>
        <w:t>th</w:t>
      </w:r>
      <w:r w:rsidRPr="001D564D">
        <w:rPr>
          <w:rStyle w:val="qowt-font6-arial"/>
          <w:rFonts w:asciiTheme="minorHAnsi" w:hAnsiTheme="minorHAnsi" w:cstheme="minorHAnsi"/>
        </w:rPr>
        <w:t xml:space="preserve"> </w:t>
      </w:r>
      <w:proofErr w:type="spellStart"/>
      <w:r w:rsidRPr="001D564D">
        <w:rPr>
          <w:rStyle w:val="qowt-font6-arial"/>
          <w:rFonts w:asciiTheme="minorHAnsi" w:hAnsiTheme="minorHAnsi" w:cstheme="minorHAnsi"/>
        </w:rPr>
        <w:t>edn</w:t>
      </w:r>
      <w:proofErr w:type="spellEnd"/>
      <w:r w:rsidRPr="001D564D">
        <w:rPr>
          <w:rStyle w:val="qowt-font6-arial"/>
          <w:rFonts w:asciiTheme="minorHAnsi" w:hAnsiTheme="minorHAnsi" w:cstheme="minorHAnsi"/>
        </w:rPr>
        <w:t xml:space="preserve">), Oxford: Oxford University Press. </w:t>
      </w:r>
    </w:p>
    <w:p w14:paraId="2E2EBAEC"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Lexis Nexis. (2022). ‘Methods of statutory interpretation used to resolve disputes about the meaning of legislation’. Available at: </w:t>
      </w:r>
      <w:hyperlink r:id="rId6" w:history="1">
        <w:r w:rsidRPr="001D564D">
          <w:rPr>
            <w:rStyle w:val="Hyperlink"/>
            <w:rFonts w:asciiTheme="minorHAnsi" w:hAnsiTheme="minorHAnsi" w:cstheme="minorHAnsi"/>
          </w:rPr>
          <w:t>https://www.lexisnexis.co.uk/legal/guidance/methods-of-statutory-interpretation-used-to-resolve-ambiguities-in-legislation</w:t>
        </w:r>
      </w:hyperlink>
      <w:r w:rsidRPr="001D564D">
        <w:rPr>
          <w:rFonts w:asciiTheme="minorHAnsi" w:hAnsiTheme="minorHAnsi" w:cstheme="minorHAnsi"/>
        </w:rPr>
        <w:t xml:space="preserve">. (Accessed: 29 April 2022). </w:t>
      </w:r>
    </w:p>
    <w:p w14:paraId="51C5B3FE"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Munday, R. (2013). ‘</w:t>
      </w:r>
      <w:r w:rsidRPr="001D564D">
        <w:rPr>
          <w:rFonts w:asciiTheme="minorHAnsi" w:hAnsiTheme="minorHAnsi" w:cstheme="minorHAnsi"/>
          <w:i/>
          <w:iCs/>
        </w:rPr>
        <w:t xml:space="preserve">FISHER v  BELL </w:t>
      </w:r>
      <w:r w:rsidRPr="001D564D">
        <w:rPr>
          <w:rFonts w:asciiTheme="minorHAnsi" w:hAnsiTheme="minorHAnsi" w:cstheme="minorHAnsi"/>
        </w:rPr>
        <w:t xml:space="preserve">REVISISTED: MISJUDGING THE LEGISLATIVE CRAFT’. </w:t>
      </w:r>
      <w:r w:rsidRPr="001D564D">
        <w:rPr>
          <w:rFonts w:asciiTheme="minorHAnsi" w:hAnsiTheme="minorHAnsi" w:cstheme="minorHAnsi"/>
          <w:i/>
          <w:iCs/>
        </w:rPr>
        <w:t xml:space="preserve">Cambridge Law Journal, </w:t>
      </w:r>
      <w:r w:rsidRPr="001D564D">
        <w:rPr>
          <w:rFonts w:asciiTheme="minorHAnsi" w:hAnsiTheme="minorHAnsi" w:cstheme="minorHAnsi"/>
        </w:rPr>
        <w:t xml:space="preserve">72(1) pp.50-64. </w:t>
      </w:r>
    </w:p>
    <w:p w14:paraId="28970352"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Police and Criminal Evidence Act 1984. [Online]. Available at: </w:t>
      </w:r>
      <w:hyperlink r:id="rId7" w:history="1">
        <w:r w:rsidRPr="001D564D">
          <w:rPr>
            <w:rStyle w:val="Hyperlink"/>
            <w:rFonts w:asciiTheme="minorHAnsi" w:hAnsiTheme="minorHAnsi" w:cstheme="minorHAnsi"/>
          </w:rPr>
          <w:t>https://www.legislation.gov.uk/ukpga/1984/60/contents</w:t>
        </w:r>
      </w:hyperlink>
      <w:r w:rsidRPr="001D564D">
        <w:rPr>
          <w:rFonts w:asciiTheme="minorHAnsi" w:hAnsiTheme="minorHAnsi" w:cstheme="minorHAnsi"/>
        </w:rPr>
        <w:t xml:space="preserve">. (Accessed 30 April 2022). </w:t>
      </w:r>
    </w:p>
    <w:p w14:paraId="446737C8" w14:textId="77777777" w:rsidR="00882FC3" w:rsidRPr="001D564D" w:rsidRDefault="00882FC3" w:rsidP="00882FC3">
      <w:pPr>
        <w:pStyle w:val="x-scope"/>
        <w:rPr>
          <w:rFonts w:asciiTheme="minorHAnsi" w:hAnsiTheme="minorHAnsi" w:cstheme="minorHAnsi"/>
        </w:rPr>
      </w:pPr>
      <w:r w:rsidRPr="001D564D">
        <w:rPr>
          <w:rStyle w:val="qowt-font6-arial"/>
          <w:rFonts w:asciiTheme="minorHAnsi" w:hAnsiTheme="minorHAnsi" w:cstheme="minorHAnsi"/>
        </w:rPr>
        <w:t xml:space="preserve">Restriction of Offensive Weapons Act 1959 [Online]. Available at: </w:t>
      </w:r>
      <w:hyperlink r:id="rId8" w:history="1">
        <w:r w:rsidRPr="001D564D">
          <w:rPr>
            <w:rStyle w:val="Hyperlink"/>
            <w:rFonts w:asciiTheme="minorHAnsi" w:hAnsiTheme="minorHAnsi" w:cstheme="minorHAnsi"/>
          </w:rPr>
          <w:t>https://www.legislation.gov.uk/ukpga/Eliz2/7-8/37/contents</w:t>
        </w:r>
      </w:hyperlink>
      <w:r w:rsidRPr="001D564D">
        <w:rPr>
          <w:rStyle w:val="qowt-font6-arial"/>
          <w:rFonts w:asciiTheme="minorHAnsi" w:hAnsiTheme="minorHAnsi" w:cstheme="minorHAnsi"/>
        </w:rPr>
        <w:t>. (Accessed 30 May 2022).</w:t>
      </w:r>
    </w:p>
    <w:p w14:paraId="46D3C913"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The Interpretation Act 1978. [Online]. Available at: </w:t>
      </w:r>
      <w:hyperlink r:id="rId9" w:history="1">
        <w:r w:rsidRPr="001D564D">
          <w:rPr>
            <w:rStyle w:val="Hyperlink"/>
            <w:rFonts w:asciiTheme="minorHAnsi" w:hAnsiTheme="minorHAnsi" w:cstheme="minorHAnsi"/>
          </w:rPr>
          <w:t>https://www.legislation.gov.uk/ukpga/1978/30/contents</w:t>
        </w:r>
      </w:hyperlink>
      <w:r w:rsidRPr="001D564D">
        <w:rPr>
          <w:rFonts w:asciiTheme="minorHAnsi" w:hAnsiTheme="minorHAnsi" w:cstheme="minorHAnsi"/>
        </w:rPr>
        <w:t>. (Accessed: 29 April 2022).</w:t>
      </w:r>
    </w:p>
    <w:p w14:paraId="45D5BA70"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Twining, W. and </w:t>
      </w:r>
      <w:proofErr w:type="spellStart"/>
      <w:r w:rsidRPr="001D564D">
        <w:rPr>
          <w:rFonts w:asciiTheme="minorHAnsi" w:hAnsiTheme="minorHAnsi" w:cstheme="minorHAnsi"/>
        </w:rPr>
        <w:t>Miers</w:t>
      </w:r>
      <w:proofErr w:type="spellEnd"/>
      <w:r w:rsidRPr="001D564D">
        <w:rPr>
          <w:rFonts w:asciiTheme="minorHAnsi" w:hAnsiTheme="minorHAnsi" w:cstheme="minorHAnsi"/>
        </w:rPr>
        <w:t xml:space="preserve">, D. (1999). </w:t>
      </w:r>
      <w:r w:rsidRPr="001D564D">
        <w:rPr>
          <w:rFonts w:asciiTheme="minorHAnsi" w:hAnsiTheme="minorHAnsi" w:cstheme="minorHAnsi"/>
          <w:i/>
          <w:iCs/>
        </w:rPr>
        <w:t xml:space="preserve">How to Do Things With Rules: A Primer of Interpretation. </w:t>
      </w:r>
      <w:r w:rsidRPr="001D564D">
        <w:rPr>
          <w:rFonts w:asciiTheme="minorHAnsi" w:hAnsiTheme="minorHAnsi" w:cstheme="minorHAnsi"/>
        </w:rPr>
        <w:t>Cambridge: Cambridge University Press.</w:t>
      </w:r>
    </w:p>
    <w:p w14:paraId="335E410A" w14:textId="77777777" w:rsidR="00882FC3" w:rsidRPr="001D564D" w:rsidRDefault="00882FC3" w:rsidP="00882FC3">
      <w:pPr>
        <w:pStyle w:val="x-scope"/>
        <w:rPr>
          <w:rFonts w:asciiTheme="minorHAnsi" w:hAnsiTheme="minorHAnsi" w:cstheme="minorHAnsi"/>
        </w:rPr>
      </w:pPr>
      <w:r w:rsidRPr="001D564D">
        <w:rPr>
          <w:rFonts w:asciiTheme="minorHAnsi" w:hAnsiTheme="minorHAnsi" w:cstheme="minorHAnsi"/>
        </w:rPr>
        <w:t xml:space="preserve">Wilson, G. (2019). </w:t>
      </w:r>
      <w:r w:rsidRPr="001D564D">
        <w:rPr>
          <w:rFonts w:asciiTheme="minorHAnsi" w:hAnsiTheme="minorHAnsi" w:cstheme="minorHAnsi"/>
          <w:i/>
          <w:iCs/>
        </w:rPr>
        <w:t xml:space="preserve">English Legal System. </w:t>
      </w:r>
      <w:r w:rsidRPr="001D564D">
        <w:rPr>
          <w:rFonts w:asciiTheme="minorHAnsi" w:hAnsiTheme="minorHAnsi" w:cstheme="minorHAnsi"/>
        </w:rPr>
        <w:t>London: Pearson.</w:t>
      </w:r>
    </w:p>
    <w:p w14:paraId="6A8EA9AB" w14:textId="31FF0C66" w:rsidR="004157E7" w:rsidRPr="001D564D" w:rsidRDefault="00882FC3" w:rsidP="00C4029B">
      <w:pPr>
        <w:pStyle w:val="x-scope"/>
        <w:rPr>
          <w:rFonts w:asciiTheme="minorHAnsi" w:hAnsiTheme="minorHAnsi" w:cstheme="minorHAnsi"/>
        </w:rPr>
      </w:pPr>
      <w:r w:rsidRPr="001D564D">
        <w:rPr>
          <w:rFonts w:asciiTheme="minorHAnsi" w:hAnsiTheme="minorHAnsi" w:cstheme="minorHAnsi"/>
        </w:rPr>
        <w:t xml:space="preserve">Wilson, S., Rutherford, H., Story, T. and Wortley, N. (2016). </w:t>
      </w:r>
      <w:r w:rsidRPr="001D564D">
        <w:rPr>
          <w:rFonts w:asciiTheme="minorHAnsi" w:hAnsiTheme="minorHAnsi" w:cstheme="minorHAnsi"/>
          <w:i/>
          <w:iCs/>
        </w:rPr>
        <w:t xml:space="preserve">English Legal System. </w:t>
      </w:r>
      <w:r w:rsidRPr="001D564D">
        <w:rPr>
          <w:rFonts w:asciiTheme="minorHAnsi" w:hAnsiTheme="minorHAnsi" w:cstheme="minorHAnsi"/>
        </w:rPr>
        <w:t>(2</w:t>
      </w:r>
      <w:r w:rsidRPr="001D564D">
        <w:rPr>
          <w:rFonts w:asciiTheme="minorHAnsi" w:hAnsiTheme="minorHAnsi" w:cstheme="minorHAnsi"/>
          <w:vertAlign w:val="superscript"/>
        </w:rPr>
        <w:t>nd</w:t>
      </w:r>
      <w:r w:rsidRPr="001D564D">
        <w:rPr>
          <w:rFonts w:asciiTheme="minorHAnsi" w:hAnsiTheme="minorHAnsi" w:cstheme="minorHAnsi"/>
        </w:rPr>
        <w:t xml:space="preserve"> </w:t>
      </w:r>
      <w:proofErr w:type="spellStart"/>
      <w:r w:rsidRPr="001D564D">
        <w:rPr>
          <w:rFonts w:asciiTheme="minorHAnsi" w:hAnsiTheme="minorHAnsi" w:cstheme="minorHAnsi"/>
        </w:rPr>
        <w:t>edn</w:t>
      </w:r>
      <w:proofErr w:type="spellEnd"/>
      <w:r w:rsidRPr="001D564D">
        <w:rPr>
          <w:rFonts w:asciiTheme="minorHAnsi" w:hAnsiTheme="minorHAnsi" w:cstheme="minorHAnsi"/>
        </w:rPr>
        <w:t xml:space="preserve">), Oxford: </w:t>
      </w:r>
      <w:proofErr w:type="spellStart"/>
      <w:r w:rsidRPr="001D564D">
        <w:rPr>
          <w:rFonts w:asciiTheme="minorHAnsi" w:hAnsiTheme="minorHAnsi" w:cstheme="minorHAnsi"/>
        </w:rPr>
        <w:t>Oxxford</w:t>
      </w:r>
      <w:proofErr w:type="spellEnd"/>
      <w:r w:rsidRPr="001D564D">
        <w:rPr>
          <w:rFonts w:asciiTheme="minorHAnsi" w:hAnsiTheme="minorHAnsi" w:cstheme="minorHAnsi"/>
        </w:rPr>
        <w:t xml:space="preserve"> University Press.</w:t>
      </w:r>
    </w:p>
    <w:sectPr w:rsidR="004157E7" w:rsidRPr="001D564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7A7A5" w14:textId="77777777" w:rsidR="004974A6" w:rsidRDefault="004974A6" w:rsidP="009739A5">
      <w:pPr>
        <w:spacing w:after="0" w:line="240" w:lineRule="auto"/>
      </w:pPr>
      <w:r>
        <w:separator/>
      </w:r>
    </w:p>
  </w:endnote>
  <w:endnote w:type="continuationSeparator" w:id="0">
    <w:p w14:paraId="7A5997D3" w14:textId="77777777" w:rsidR="004974A6" w:rsidRDefault="004974A6" w:rsidP="00973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EEAF5" w14:textId="77777777" w:rsidR="004974A6" w:rsidRDefault="004974A6" w:rsidP="009739A5">
      <w:pPr>
        <w:spacing w:after="0" w:line="240" w:lineRule="auto"/>
      </w:pPr>
      <w:r>
        <w:separator/>
      </w:r>
    </w:p>
  </w:footnote>
  <w:footnote w:type="continuationSeparator" w:id="0">
    <w:p w14:paraId="449FDCEA" w14:textId="77777777" w:rsidR="004974A6" w:rsidRDefault="004974A6" w:rsidP="00973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47DDD" w14:textId="53D38B67" w:rsidR="009739A5" w:rsidRDefault="009739A5" w:rsidP="009739A5">
    <w:pPr>
      <w:pStyle w:val="Header"/>
      <w:tabs>
        <w:tab w:val="clear" w:pos="4513"/>
        <w:tab w:val="clear" w:pos="9026"/>
        <w:tab w:val="left" w:pos="7830"/>
      </w:tabs>
    </w:pPr>
    <w:r>
      <w:t>2105050</w:t>
    </w:r>
    <w:r>
      <w:tab/>
      <w:t>3/05/2022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9A5"/>
    <w:rsid w:val="001757C8"/>
    <w:rsid w:val="001D564D"/>
    <w:rsid w:val="0021430A"/>
    <w:rsid w:val="003A0CAA"/>
    <w:rsid w:val="003E076B"/>
    <w:rsid w:val="004157E7"/>
    <w:rsid w:val="004411AF"/>
    <w:rsid w:val="004974A6"/>
    <w:rsid w:val="005C7A63"/>
    <w:rsid w:val="007D0BDD"/>
    <w:rsid w:val="00863D76"/>
    <w:rsid w:val="00882FC3"/>
    <w:rsid w:val="009739A5"/>
    <w:rsid w:val="00C4029B"/>
    <w:rsid w:val="00C97EC2"/>
    <w:rsid w:val="00CE25A2"/>
    <w:rsid w:val="00D35EE7"/>
    <w:rsid w:val="00E35F33"/>
    <w:rsid w:val="00EA0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B902D"/>
  <w15:chartTrackingRefBased/>
  <w15:docId w15:val="{B9D2485B-1A30-4E24-BC0A-F4FCB6AC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9A5"/>
  </w:style>
  <w:style w:type="paragraph" w:styleId="Footer">
    <w:name w:val="footer"/>
    <w:basedOn w:val="Normal"/>
    <w:link w:val="FooterChar"/>
    <w:uiPriority w:val="99"/>
    <w:unhideWhenUsed/>
    <w:rsid w:val="00973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9A5"/>
  </w:style>
  <w:style w:type="paragraph" w:customStyle="1" w:styleId="x-scope">
    <w:name w:val="x-scope"/>
    <w:basedOn w:val="Normal"/>
    <w:rsid w:val="004157E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owt-font6-arial">
    <w:name w:val="qowt-font6-arial"/>
    <w:basedOn w:val="DefaultParagraphFont"/>
    <w:rsid w:val="004157E7"/>
  </w:style>
  <w:style w:type="character" w:styleId="Hyperlink">
    <w:name w:val="Hyperlink"/>
    <w:basedOn w:val="DefaultParagraphFont"/>
    <w:uiPriority w:val="99"/>
    <w:semiHidden/>
    <w:unhideWhenUsed/>
    <w:rsid w:val="00882F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81302">
      <w:bodyDiv w:val="1"/>
      <w:marLeft w:val="0"/>
      <w:marRight w:val="0"/>
      <w:marTop w:val="0"/>
      <w:marBottom w:val="0"/>
      <w:divBdr>
        <w:top w:val="none" w:sz="0" w:space="0" w:color="auto"/>
        <w:left w:val="none" w:sz="0" w:space="0" w:color="auto"/>
        <w:bottom w:val="none" w:sz="0" w:space="0" w:color="auto"/>
        <w:right w:val="none" w:sz="0" w:space="0" w:color="auto"/>
      </w:divBdr>
    </w:div>
    <w:div w:id="551311472">
      <w:bodyDiv w:val="1"/>
      <w:marLeft w:val="0"/>
      <w:marRight w:val="0"/>
      <w:marTop w:val="0"/>
      <w:marBottom w:val="0"/>
      <w:divBdr>
        <w:top w:val="none" w:sz="0" w:space="0" w:color="auto"/>
        <w:left w:val="none" w:sz="0" w:space="0" w:color="auto"/>
        <w:bottom w:val="none" w:sz="0" w:space="0" w:color="auto"/>
        <w:right w:val="none" w:sz="0" w:space="0" w:color="auto"/>
      </w:divBdr>
    </w:div>
    <w:div w:id="805008491">
      <w:bodyDiv w:val="1"/>
      <w:marLeft w:val="0"/>
      <w:marRight w:val="0"/>
      <w:marTop w:val="0"/>
      <w:marBottom w:val="0"/>
      <w:divBdr>
        <w:top w:val="none" w:sz="0" w:space="0" w:color="auto"/>
        <w:left w:val="none" w:sz="0" w:space="0" w:color="auto"/>
        <w:bottom w:val="none" w:sz="0" w:space="0" w:color="auto"/>
        <w:right w:val="none" w:sz="0" w:space="0" w:color="auto"/>
      </w:divBdr>
    </w:div>
    <w:div w:id="1078133548">
      <w:bodyDiv w:val="1"/>
      <w:marLeft w:val="0"/>
      <w:marRight w:val="0"/>
      <w:marTop w:val="0"/>
      <w:marBottom w:val="0"/>
      <w:divBdr>
        <w:top w:val="none" w:sz="0" w:space="0" w:color="auto"/>
        <w:left w:val="none" w:sz="0" w:space="0" w:color="auto"/>
        <w:bottom w:val="none" w:sz="0" w:space="0" w:color="auto"/>
        <w:right w:val="none" w:sz="0" w:space="0" w:color="auto"/>
      </w:divBdr>
    </w:div>
    <w:div w:id="1812362468">
      <w:bodyDiv w:val="1"/>
      <w:marLeft w:val="0"/>
      <w:marRight w:val="0"/>
      <w:marTop w:val="0"/>
      <w:marBottom w:val="0"/>
      <w:divBdr>
        <w:top w:val="none" w:sz="0" w:space="0" w:color="auto"/>
        <w:left w:val="none" w:sz="0" w:space="0" w:color="auto"/>
        <w:bottom w:val="none" w:sz="0" w:space="0" w:color="auto"/>
        <w:right w:val="none" w:sz="0" w:space="0" w:color="auto"/>
      </w:divBdr>
    </w:div>
    <w:div w:id="210148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Eliz2/7-8/37/contents" TargetMode="External"/><Relationship Id="rId3" Type="http://schemas.openxmlformats.org/officeDocument/2006/relationships/webSettings" Target="webSettings.xml"/><Relationship Id="rId7" Type="http://schemas.openxmlformats.org/officeDocument/2006/relationships/hyperlink" Target="https://www.legislation.gov.uk/ukpga/1984/60/content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xisnexis.co.uk/legal/guidance/methods-of-statutory-interpretation-used-to-resolve-ambiguities-in-legislatio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legislation.gov.uk/ukpga/1978/3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5</Pages>
  <Words>1743</Words>
  <Characters>9937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dc:creator>
  <cp:keywords/>
  <dc:description/>
  <cp:lastModifiedBy>Pedro S</cp:lastModifiedBy>
  <cp:revision>10</cp:revision>
  <dcterms:created xsi:type="dcterms:W3CDTF">2022-05-03T21:11:00Z</dcterms:created>
  <dcterms:modified xsi:type="dcterms:W3CDTF">2022-05-03T22:16:00Z</dcterms:modified>
</cp:coreProperties>
</file>