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customXml/itemProps1.xml" ContentType="application/vnd.openxmlformats-officedocument.customXmlProperties+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before="240" w:after="240"/>
        <w:jc w:val="center"/>
        <w:rPr>
          <w:rFonts w:cs="Times New Roman"/>
          <w:b/>
          <w:bCs/>
          <w:szCs w:val="24"/>
        </w:rPr>
      </w:pPr>
    </w:p>
    <w:p>
      <w:pPr>
        <w:pStyle w:val="style0"/>
        <w:spacing w:before="240" w:after="240"/>
        <w:jc w:val="center"/>
        <w:rPr>
          <w:rFonts w:cs="Times New Roman"/>
          <w:b/>
          <w:bCs/>
          <w:szCs w:val="24"/>
        </w:rPr>
      </w:pPr>
    </w:p>
    <w:p>
      <w:pPr>
        <w:pStyle w:val="style0"/>
        <w:spacing w:before="240" w:after="240"/>
        <w:jc w:val="center"/>
        <w:rPr>
          <w:rFonts w:cs="Times New Roman"/>
          <w:b/>
          <w:bCs/>
          <w:szCs w:val="24"/>
        </w:rPr>
      </w:pPr>
    </w:p>
    <w:p>
      <w:pPr>
        <w:pStyle w:val="style0"/>
        <w:spacing w:before="240" w:after="240"/>
        <w:jc w:val="center"/>
        <w:rPr>
          <w:rFonts w:cs="Times New Roman"/>
          <w:b/>
          <w:bCs/>
          <w:szCs w:val="24"/>
        </w:rPr>
      </w:pPr>
    </w:p>
    <w:p>
      <w:pPr>
        <w:pStyle w:val="style0"/>
        <w:spacing w:before="240" w:after="240"/>
        <w:jc w:val="center"/>
        <w:rPr>
          <w:rFonts w:cs="Times New Roman"/>
          <w:b/>
          <w:bCs/>
          <w:szCs w:val="24"/>
        </w:rPr>
      </w:pPr>
    </w:p>
    <w:p>
      <w:pPr>
        <w:pStyle w:val="style0"/>
        <w:spacing w:before="240" w:after="240"/>
        <w:jc w:val="center"/>
        <w:rPr>
          <w:rFonts w:cs="Times New Roman"/>
          <w:b/>
          <w:bCs/>
          <w:szCs w:val="24"/>
        </w:rPr>
      </w:pPr>
    </w:p>
    <w:p>
      <w:pPr>
        <w:pStyle w:val="style0"/>
        <w:spacing w:before="240" w:after="240"/>
        <w:jc w:val="center"/>
        <w:rPr>
          <w:rFonts w:cs="Times New Roman"/>
          <w:b/>
          <w:bCs/>
          <w:szCs w:val="24"/>
        </w:rPr>
      </w:pPr>
    </w:p>
    <w:p>
      <w:pPr>
        <w:pStyle w:val="style0"/>
        <w:spacing w:before="240" w:after="240"/>
        <w:jc w:val="center"/>
        <w:rPr>
          <w:rFonts w:cs="Times New Roman"/>
          <w:b/>
          <w:bCs/>
          <w:szCs w:val="24"/>
        </w:rPr>
      </w:pPr>
    </w:p>
    <w:p>
      <w:pPr>
        <w:pStyle w:val="style0"/>
        <w:spacing w:before="240" w:after="240"/>
        <w:jc w:val="center"/>
        <w:rPr>
          <w:rFonts w:cs="Times New Roman"/>
          <w:b/>
          <w:bCs/>
          <w:sz w:val="44"/>
          <w:szCs w:val="44"/>
          <w:u w:val="single"/>
        </w:rPr>
      </w:pPr>
      <w:r>
        <w:rPr>
          <w:rFonts w:cs="Times New Roman"/>
          <w:b/>
          <w:bCs/>
          <w:sz w:val="44"/>
          <w:szCs w:val="44"/>
          <w:u w:val="single"/>
        </w:rPr>
        <w:t>Financial Management</w:t>
      </w:r>
    </w:p>
    <w:p>
      <w:pPr>
        <w:pStyle w:val="style0"/>
        <w:spacing w:before="240" w:after="240"/>
        <w:jc w:val="center"/>
        <w:rPr>
          <w:rFonts w:cs="Times New Roman"/>
          <w:b/>
          <w:bCs/>
          <w:szCs w:val="24"/>
        </w:rPr>
      </w:pPr>
      <w:r>
        <w:rPr>
          <w:rFonts w:cs="Times New Roman"/>
          <w:b/>
          <w:bCs/>
          <w:szCs w:val="24"/>
          <w:lang w:val="en-US"/>
        </w:rPr>
        <w:t>[LCMB7002]</w:t>
      </w:r>
    </w:p>
    <w:p>
      <w:pPr>
        <w:pStyle w:val="style0"/>
        <w:spacing w:before="240" w:after="240"/>
        <w:jc w:val="left"/>
        <w:rPr>
          <w:rFonts w:cs="Times New Roman"/>
          <w:b/>
          <w:bCs/>
          <w:szCs w:val="24"/>
        </w:rPr>
      </w:pPr>
      <w:r>
        <w:rPr>
          <w:rFonts w:cs="Times New Roman"/>
          <w:b/>
          <w:bCs/>
          <w:szCs w:val="24"/>
          <w:lang w:val="en-US"/>
        </w:rPr>
        <w:t>Student Name: Hardiksinh Gohil</w:t>
      </w:r>
    </w:p>
    <w:p>
      <w:pPr>
        <w:pStyle w:val="style0"/>
        <w:spacing w:before="240" w:after="240"/>
        <w:jc w:val="left"/>
        <w:rPr>
          <w:rFonts w:cs="Times New Roman"/>
          <w:b/>
          <w:bCs/>
          <w:szCs w:val="24"/>
        </w:rPr>
      </w:pPr>
      <w:r>
        <w:rPr>
          <w:rFonts w:cs="Times New Roman"/>
          <w:b/>
          <w:bCs/>
          <w:szCs w:val="24"/>
          <w:lang w:val="en-US"/>
        </w:rPr>
        <w:t>Student ID: 2327639</w:t>
      </w:r>
    </w:p>
    <w:p>
      <w:pPr>
        <w:pStyle w:val="style0"/>
        <w:spacing w:before="240" w:after="240"/>
        <w:jc w:val="left"/>
        <w:rPr>
          <w:rFonts w:cs="Times New Roman"/>
          <w:b/>
          <w:bCs/>
          <w:szCs w:val="24"/>
        </w:rPr>
      </w:pPr>
      <w:r>
        <w:rPr>
          <w:rFonts w:cs="Times New Roman"/>
          <w:b/>
          <w:bCs/>
          <w:szCs w:val="24"/>
          <w:lang w:val="en-US"/>
        </w:rPr>
        <w:t>Professor: Jia Miao</w:t>
      </w:r>
    </w:p>
    <w:p>
      <w:pPr>
        <w:pStyle w:val="style0"/>
        <w:spacing w:before="240" w:after="240"/>
        <w:jc w:val="left"/>
        <w:rPr>
          <w:rFonts w:cs="Times New Roman" w:eastAsia="等线 Light"/>
          <w:b/>
          <w:iCs/>
          <w:color w:val="000000"/>
          <w:szCs w:val="24"/>
        </w:rPr>
      </w:pPr>
      <w:r>
        <w:rPr>
          <w:rFonts w:cs="Times New Roman"/>
          <w:b/>
          <w:bCs/>
          <w:szCs w:val="24"/>
          <w:lang w:val="en-US"/>
        </w:rPr>
        <w:t>Submission Date: 21th August 2024</w:t>
      </w:r>
    </w:p>
    <w:p>
      <w:pPr>
        <w:pStyle w:val="style0"/>
        <w:spacing w:before="240" w:after="240"/>
        <w:jc w:val="center"/>
        <w:rPr>
          <w:rFonts w:cs="Times New Roman" w:eastAsia="等线 Light"/>
          <w:b/>
          <w:iCs/>
          <w:color w:val="000000"/>
          <w:szCs w:val="24"/>
        </w:rPr>
      </w:pPr>
    </w:p>
    <w:p>
      <w:pPr>
        <w:pStyle w:val="style0"/>
        <w:spacing w:before="240" w:after="240"/>
        <w:jc w:val="center"/>
        <w:rPr>
          <w:rFonts w:cs="Times New Roman" w:eastAsia="等线 Light"/>
          <w:b/>
          <w:iCs/>
          <w:color w:val="000000"/>
          <w:szCs w:val="24"/>
        </w:rPr>
      </w:pPr>
    </w:p>
    <w:p>
      <w:pPr>
        <w:pStyle w:val="style0"/>
        <w:spacing w:before="240" w:after="240"/>
        <w:jc w:val="center"/>
        <w:rPr>
          <w:rFonts w:cs="Times New Roman" w:eastAsia="等线 Light"/>
          <w:b/>
          <w:iCs/>
          <w:color w:val="000000"/>
          <w:szCs w:val="24"/>
        </w:rPr>
      </w:pPr>
    </w:p>
    <w:p>
      <w:pPr>
        <w:pStyle w:val="style0"/>
        <w:spacing w:before="240" w:after="240"/>
        <w:jc w:val="center"/>
        <w:rPr>
          <w:rFonts w:cs="Times New Roman" w:eastAsia="等线 Light"/>
          <w:b/>
          <w:iCs/>
          <w:color w:val="000000"/>
          <w:szCs w:val="24"/>
        </w:rPr>
      </w:pPr>
    </w:p>
    <w:p>
      <w:pPr>
        <w:pStyle w:val="style0"/>
        <w:spacing w:before="240" w:after="240"/>
        <w:jc w:val="center"/>
        <w:rPr>
          <w:rFonts w:cs="Times New Roman" w:eastAsia="等线 Light"/>
          <w:b/>
          <w:iCs/>
          <w:color w:val="000000"/>
          <w:szCs w:val="24"/>
        </w:rPr>
      </w:pPr>
    </w:p>
    <w:p>
      <w:pPr>
        <w:pStyle w:val="style0"/>
        <w:spacing w:before="240" w:after="240"/>
        <w:jc w:val="center"/>
        <w:rPr>
          <w:rFonts w:cs="Times New Roman" w:eastAsia="等线 Light"/>
          <w:b/>
          <w:iCs/>
          <w:color w:val="000000"/>
          <w:szCs w:val="24"/>
        </w:rPr>
      </w:pPr>
    </w:p>
    <w:p>
      <w:pPr>
        <w:pStyle w:val="style0"/>
        <w:spacing w:before="240" w:after="240"/>
        <w:jc w:val="center"/>
        <w:rPr>
          <w:rFonts w:cs="Times New Roman" w:eastAsia="等线 Light"/>
          <w:b/>
          <w:iCs/>
          <w:color w:val="000000"/>
          <w:szCs w:val="24"/>
        </w:rPr>
      </w:pPr>
    </w:p>
    <w:p>
      <w:pPr>
        <w:pStyle w:val="style0"/>
        <w:spacing w:before="240" w:after="240"/>
        <w:jc w:val="left"/>
        <w:rPr>
          <w:rFonts w:cs="Times New Roman" w:eastAsia="等线 Light"/>
          <w:b/>
          <w:iCs/>
          <w:color w:val="000000"/>
          <w:szCs w:val="24"/>
        </w:rPr>
      </w:pPr>
    </w:p>
    <w:p>
      <w:pPr>
        <w:pStyle w:val="style266"/>
        <w:spacing w:after="240" w:lineRule="auto" w:line="360"/>
        <w:rPr>
          <w:rFonts w:ascii="Times New Roman" w:cs="Times New Roman" w:hAnsi="Times New Roman"/>
          <w:b/>
          <w:bCs/>
          <w:color w:val="auto"/>
          <w:sz w:val="24"/>
          <w:szCs w:val="24"/>
        </w:rPr>
      </w:pPr>
      <w:r>
        <w:rPr>
          <w:rFonts w:ascii="Times New Roman" w:cs="Times New Roman" w:hAnsi="Times New Roman"/>
          <w:b/>
          <w:bCs/>
          <w:color w:val="auto"/>
          <w:sz w:val="24"/>
          <w:szCs w:val="24"/>
        </w:rPr>
        <w:t>Table of Contents</w:t>
      </w:r>
    </w:p>
    <w:p>
      <w:pPr>
        <w:pStyle w:val="style19"/>
        <w:tabs>
          <w:tab w:val="right" w:leader="dot" w:pos="9016"/>
        </w:tabs>
        <w:spacing w:before="240" w:after="240"/>
        <w:rPr>
          <w:rFonts w:cs="Times New Roman" w:eastAsia="等线"/>
          <w:noProof/>
          <w:szCs w:val="24"/>
          <w:lang w:bidi="ar-SA" w:eastAsia="en-IN"/>
        </w:rPr>
      </w:pPr>
      <w:r>
        <w:rPr>
          <w:rFonts w:cs="Times New Roman"/>
          <w:szCs w:val="24"/>
        </w:rPr>
        <w:fldChar w:fldCharType="begin"/>
      </w:r>
      <w:r>
        <w:rPr>
          <w:rFonts w:cs="Times New Roman"/>
          <w:szCs w:val="24"/>
        </w:rPr>
        <w:instrText xml:space="preserve"> TOC \o "1-3" \h \z \u </w:instrText>
      </w:r>
      <w:r>
        <w:rPr>
          <w:rFonts w:cs="Times New Roman"/>
          <w:szCs w:val="24"/>
        </w:rPr>
        <w:fldChar w:fldCharType="separate"/>
      </w:r>
      <w:r>
        <w:rPr/>
        <w:fldChar w:fldCharType="begin"/>
      </w:r>
      <w:r>
        <w:instrText xml:space="preserve"> HYPERLINK \l "_Toc173489792" </w:instrText>
      </w:r>
      <w:r>
        <w:rPr/>
        <w:fldChar w:fldCharType="separate"/>
      </w:r>
      <w:r>
        <w:rPr>
          <w:rStyle w:val="style85"/>
          <w:rFonts w:cs="Times New Roman"/>
          <w:noProof/>
          <w:szCs w:val="24"/>
        </w:rPr>
        <w:t>Introduction</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_Toc173489792 \h </w:instrText>
      </w:r>
      <w:r>
        <w:rPr>
          <w:rFonts w:cs="Times New Roman"/>
          <w:noProof/>
          <w:webHidden/>
          <w:szCs w:val="24"/>
        </w:rPr>
        <w:fldChar w:fldCharType="separate"/>
      </w:r>
      <w:r>
        <w:rPr>
          <w:rFonts w:cs="Times New Roman"/>
          <w:noProof/>
          <w:webHidden/>
          <w:szCs w:val="24"/>
        </w:rPr>
        <w:t>3</w:t>
      </w:r>
      <w:r>
        <w:rPr>
          <w:rFonts w:cs="Times New Roman"/>
          <w:noProof/>
          <w:webHidden/>
          <w:szCs w:val="24"/>
        </w:rPr>
        <w:fldChar w:fldCharType="end"/>
      </w:r>
      <w:r>
        <w:rPr/>
        <w:fldChar w:fldCharType="end"/>
      </w:r>
    </w:p>
    <w:p>
      <w:pPr>
        <w:pStyle w:val="style19"/>
        <w:tabs>
          <w:tab w:val="right" w:leader="dot" w:pos="9016"/>
        </w:tabs>
        <w:spacing w:before="240" w:after="240"/>
        <w:rPr>
          <w:rFonts w:cs="Times New Roman" w:eastAsia="等线"/>
          <w:noProof/>
          <w:szCs w:val="24"/>
          <w:lang w:bidi="ar-SA" w:eastAsia="en-IN"/>
        </w:rPr>
      </w:pPr>
      <w:r>
        <w:rPr/>
        <w:fldChar w:fldCharType="begin"/>
      </w:r>
      <w:r>
        <w:instrText xml:space="preserve"> HYPERLINK \l "_Toc173489793" </w:instrText>
      </w:r>
      <w:r>
        <w:rPr/>
        <w:fldChar w:fldCharType="separate"/>
      </w:r>
      <w:r>
        <w:rPr>
          <w:rStyle w:val="style85"/>
          <w:rFonts w:cs="Times New Roman"/>
          <w:noProof/>
          <w:szCs w:val="24"/>
        </w:rPr>
        <w:t>Burberry’s and Asos’s Financial Performance Review</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_Toc173489793 \h </w:instrText>
      </w:r>
      <w:r>
        <w:rPr>
          <w:rFonts w:cs="Times New Roman"/>
          <w:noProof/>
          <w:webHidden/>
          <w:szCs w:val="24"/>
        </w:rPr>
        <w:fldChar w:fldCharType="separate"/>
      </w:r>
      <w:r>
        <w:rPr>
          <w:rFonts w:cs="Times New Roman"/>
          <w:noProof/>
          <w:webHidden/>
          <w:szCs w:val="24"/>
        </w:rPr>
        <w:t>5</w:t>
      </w:r>
      <w:r>
        <w:rPr>
          <w:rFonts w:cs="Times New Roman"/>
          <w:noProof/>
          <w:webHidden/>
          <w:szCs w:val="24"/>
        </w:rPr>
        <w:fldChar w:fldCharType="end"/>
      </w:r>
      <w:r>
        <w:rPr/>
        <w:fldChar w:fldCharType="end"/>
      </w:r>
    </w:p>
    <w:p>
      <w:pPr>
        <w:pStyle w:val="style20"/>
        <w:tabs>
          <w:tab w:val="right" w:leader="dot" w:pos="9016"/>
        </w:tabs>
        <w:spacing w:before="240" w:after="240"/>
        <w:rPr>
          <w:rFonts w:cs="Times New Roman" w:eastAsia="等线"/>
          <w:noProof/>
          <w:szCs w:val="24"/>
          <w:lang w:bidi="ar-SA" w:eastAsia="en-IN"/>
        </w:rPr>
      </w:pPr>
      <w:r>
        <w:rPr/>
        <w:fldChar w:fldCharType="begin"/>
      </w:r>
      <w:r>
        <w:instrText xml:space="preserve"> HYPERLINK \l "_Toc173489794" </w:instrText>
      </w:r>
      <w:r>
        <w:rPr/>
        <w:fldChar w:fldCharType="separate"/>
      </w:r>
      <w:r>
        <w:rPr>
          <w:rStyle w:val="style85"/>
          <w:rFonts w:cs="Times New Roman"/>
          <w:noProof/>
          <w:szCs w:val="24"/>
        </w:rPr>
        <w:t>Financial Analysis and Its Significance</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_Toc173489794 \h </w:instrText>
      </w:r>
      <w:r>
        <w:rPr>
          <w:rFonts w:cs="Times New Roman"/>
          <w:noProof/>
          <w:webHidden/>
          <w:szCs w:val="24"/>
        </w:rPr>
        <w:fldChar w:fldCharType="separate"/>
      </w:r>
      <w:r>
        <w:rPr>
          <w:rFonts w:cs="Times New Roman"/>
          <w:noProof/>
          <w:webHidden/>
          <w:szCs w:val="24"/>
        </w:rPr>
        <w:t>5</w:t>
      </w:r>
      <w:r>
        <w:rPr>
          <w:rFonts w:cs="Times New Roman"/>
          <w:noProof/>
          <w:webHidden/>
          <w:szCs w:val="24"/>
        </w:rPr>
        <w:fldChar w:fldCharType="end"/>
      </w:r>
      <w:r>
        <w:rPr/>
        <w:fldChar w:fldCharType="end"/>
      </w:r>
    </w:p>
    <w:p>
      <w:pPr>
        <w:pStyle w:val="style20"/>
        <w:tabs>
          <w:tab w:val="right" w:leader="dot" w:pos="9016"/>
        </w:tabs>
        <w:spacing w:before="240" w:after="240"/>
        <w:rPr>
          <w:rFonts w:cs="Times New Roman" w:eastAsia="等线"/>
          <w:noProof/>
          <w:szCs w:val="24"/>
          <w:lang w:bidi="ar-SA" w:eastAsia="en-IN"/>
        </w:rPr>
      </w:pPr>
      <w:r>
        <w:rPr/>
        <w:fldChar w:fldCharType="begin"/>
      </w:r>
      <w:r>
        <w:instrText xml:space="preserve"> HYPERLINK \l "_Toc173489795" </w:instrText>
      </w:r>
      <w:r>
        <w:rPr/>
        <w:fldChar w:fldCharType="separate"/>
      </w:r>
      <w:r>
        <w:rPr>
          <w:rStyle w:val="style85"/>
          <w:rFonts w:cs="Times New Roman"/>
          <w:noProof/>
          <w:szCs w:val="24"/>
        </w:rPr>
        <w:t>Overview of the Asos Plc</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_Toc173489795 \h </w:instrText>
      </w:r>
      <w:r>
        <w:rPr>
          <w:rFonts w:cs="Times New Roman"/>
          <w:noProof/>
          <w:webHidden/>
          <w:szCs w:val="24"/>
        </w:rPr>
        <w:fldChar w:fldCharType="separate"/>
      </w:r>
      <w:r>
        <w:rPr>
          <w:rFonts w:cs="Times New Roman"/>
          <w:noProof/>
          <w:webHidden/>
          <w:szCs w:val="24"/>
        </w:rPr>
        <w:t>5</w:t>
      </w:r>
      <w:r>
        <w:rPr>
          <w:rFonts w:cs="Times New Roman"/>
          <w:noProof/>
          <w:webHidden/>
          <w:szCs w:val="24"/>
        </w:rPr>
        <w:fldChar w:fldCharType="end"/>
      </w:r>
      <w:r>
        <w:rPr/>
        <w:fldChar w:fldCharType="end"/>
      </w:r>
    </w:p>
    <w:p>
      <w:pPr>
        <w:pStyle w:val="style20"/>
        <w:tabs>
          <w:tab w:val="right" w:leader="dot" w:pos="9016"/>
        </w:tabs>
        <w:spacing w:before="240" w:after="240"/>
        <w:rPr>
          <w:rFonts w:cs="Times New Roman" w:eastAsia="等线"/>
          <w:noProof/>
          <w:szCs w:val="24"/>
          <w:lang w:bidi="ar-SA" w:eastAsia="en-IN"/>
        </w:rPr>
      </w:pPr>
      <w:r>
        <w:rPr/>
        <w:fldChar w:fldCharType="begin"/>
      </w:r>
      <w:r>
        <w:instrText xml:space="preserve"> HYPERLINK \l "_Toc173489796" </w:instrText>
      </w:r>
      <w:r>
        <w:rPr/>
        <w:fldChar w:fldCharType="separate"/>
      </w:r>
      <w:r>
        <w:rPr>
          <w:rStyle w:val="style85"/>
          <w:rFonts w:cs="Times New Roman"/>
          <w:noProof/>
          <w:szCs w:val="24"/>
        </w:rPr>
        <w:t>Financial Ratio Analysis</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_Toc173489796 \h </w:instrText>
      </w:r>
      <w:r>
        <w:rPr>
          <w:rFonts w:cs="Times New Roman"/>
          <w:noProof/>
          <w:webHidden/>
          <w:szCs w:val="24"/>
        </w:rPr>
        <w:fldChar w:fldCharType="separate"/>
      </w:r>
      <w:r>
        <w:rPr>
          <w:rFonts w:cs="Times New Roman"/>
          <w:noProof/>
          <w:webHidden/>
          <w:szCs w:val="24"/>
        </w:rPr>
        <w:t>6</w:t>
      </w:r>
      <w:r>
        <w:rPr>
          <w:rFonts w:cs="Times New Roman"/>
          <w:noProof/>
          <w:webHidden/>
          <w:szCs w:val="24"/>
        </w:rPr>
        <w:fldChar w:fldCharType="end"/>
      </w:r>
      <w:r>
        <w:rPr/>
        <w:fldChar w:fldCharType="end"/>
      </w:r>
    </w:p>
    <w:p>
      <w:pPr>
        <w:pStyle w:val="style21"/>
        <w:tabs>
          <w:tab w:val="right" w:leader="dot" w:pos="9016"/>
        </w:tabs>
        <w:spacing w:before="240" w:after="240"/>
        <w:rPr>
          <w:rFonts w:cs="Times New Roman" w:eastAsia="等线"/>
          <w:noProof/>
          <w:szCs w:val="24"/>
          <w:lang w:bidi="ar-SA" w:eastAsia="en-IN"/>
        </w:rPr>
      </w:pPr>
      <w:r>
        <w:rPr/>
        <w:fldChar w:fldCharType="begin"/>
      </w:r>
      <w:r>
        <w:instrText xml:space="preserve"> HYPERLINK \l "_Toc173489797" </w:instrText>
      </w:r>
      <w:r>
        <w:rPr/>
        <w:fldChar w:fldCharType="separate"/>
      </w:r>
      <w:r>
        <w:rPr>
          <w:rStyle w:val="style85"/>
          <w:rFonts w:cs="Times New Roman"/>
          <w:noProof/>
          <w:szCs w:val="24"/>
        </w:rPr>
        <w:t>Profitability Ratio</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_Toc173489797 \h </w:instrText>
      </w:r>
      <w:r>
        <w:rPr>
          <w:rFonts w:cs="Times New Roman"/>
          <w:noProof/>
          <w:webHidden/>
          <w:szCs w:val="24"/>
        </w:rPr>
        <w:fldChar w:fldCharType="separate"/>
      </w:r>
      <w:r>
        <w:rPr>
          <w:rFonts w:cs="Times New Roman"/>
          <w:noProof/>
          <w:webHidden/>
          <w:szCs w:val="24"/>
        </w:rPr>
        <w:t>6</w:t>
      </w:r>
      <w:r>
        <w:rPr>
          <w:rFonts w:cs="Times New Roman"/>
          <w:noProof/>
          <w:webHidden/>
          <w:szCs w:val="24"/>
        </w:rPr>
        <w:fldChar w:fldCharType="end"/>
      </w:r>
      <w:r>
        <w:rPr/>
        <w:fldChar w:fldCharType="end"/>
      </w:r>
    </w:p>
    <w:p>
      <w:pPr>
        <w:pStyle w:val="style21"/>
        <w:tabs>
          <w:tab w:val="right" w:leader="dot" w:pos="9016"/>
        </w:tabs>
        <w:spacing w:before="240" w:after="240"/>
        <w:rPr>
          <w:rFonts w:cs="Times New Roman" w:eastAsia="等线"/>
          <w:noProof/>
          <w:szCs w:val="24"/>
          <w:lang w:bidi="ar-SA" w:eastAsia="en-IN"/>
        </w:rPr>
      </w:pPr>
      <w:r>
        <w:rPr/>
        <w:fldChar w:fldCharType="begin"/>
      </w:r>
      <w:r>
        <w:instrText xml:space="preserve"> HYPERLINK \l "_Toc173489798" </w:instrText>
      </w:r>
      <w:r>
        <w:rPr/>
        <w:fldChar w:fldCharType="separate"/>
      </w:r>
      <w:r>
        <w:rPr>
          <w:rStyle w:val="style85"/>
          <w:rFonts w:cs="Times New Roman"/>
          <w:noProof/>
          <w:szCs w:val="24"/>
        </w:rPr>
        <w:t>Liquidity Ratio</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_Toc173489798 \h </w:instrText>
      </w:r>
      <w:r>
        <w:rPr>
          <w:rFonts w:cs="Times New Roman"/>
          <w:noProof/>
          <w:webHidden/>
          <w:szCs w:val="24"/>
        </w:rPr>
        <w:fldChar w:fldCharType="separate"/>
      </w:r>
      <w:r>
        <w:rPr>
          <w:rFonts w:cs="Times New Roman"/>
          <w:noProof/>
          <w:webHidden/>
          <w:szCs w:val="24"/>
        </w:rPr>
        <w:t>8</w:t>
      </w:r>
      <w:r>
        <w:rPr>
          <w:rFonts w:cs="Times New Roman"/>
          <w:noProof/>
          <w:webHidden/>
          <w:szCs w:val="24"/>
        </w:rPr>
        <w:fldChar w:fldCharType="end"/>
      </w:r>
      <w:r>
        <w:rPr/>
        <w:fldChar w:fldCharType="end"/>
      </w:r>
    </w:p>
    <w:p>
      <w:pPr>
        <w:pStyle w:val="style21"/>
        <w:tabs>
          <w:tab w:val="right" w:leader="dot" w:pos="9016"/>
        </w:tabs>
        <w:spacing w:before="240" w:after="240"/>
        <w:rPr>
          <w:rFonts w:cs="Times New Roman" w:eastAsia="等线"/>
          <w:noProof/>
          <w:szCs w:val="24"/>
          <w:lang w:bidi="ar-SA" w:eastAsia="en-IN"/>
        </w:rPr>
      </w:pPr>
      <w:r>
        <w:rPr/>
        <w:fldChar w:fldCharType="begin"/>
      </w:r>
      <w:r>
        <w:instrText xml:space="preserve"> HYPERLINK \l "_Toc173489799" </w:instrText>
      </w:r>
      <w:r>
        <w:rPr/>
        <w:fldChar w:fldCharType="separate"/>
      </w:r>
      <w:r>
        <w:rPr>
          <w:rStyle w:val="style85"/>
          <w:rFonts w:cs="Times New Roman"/>
          <w:noProof/>
          <w:szCs w:val="24"/>
        </w:rPr>
        <w:t>Efficiency Ratio</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_Toc173489799 \h </w:instrText>
      </w:r>
      <w:r>
        <w:rPr>
          <w:rFonts w:cs="Times New Roman"/>
          <w:noProof/>
          <w:webHidden/>
          <w:szCs w:val="24"/>
        </w:rPr>
        <w:fldChar w:fldCharType="separate"/>
      </w:r>
      <w:r>
        <w:rPr>
          <w:rFonts w:cs="Times New Roman"/>
          <w:noProof/>
          <w:webHidden/>
          <w:szCs w:val="24"/>
        </w:rPr>
        <w:t>10</w:t>
      </w:r>
      <w:r>
        <w:rPr>
          <w:rFonts w:cs="Times New Roman"/>
          <w:noProof/>
          <w:webHidden/>
          <w:szCs w:val="24"/>
        </w:rPr>
        <w:fldChar w:fldCharType="end"/>
      </w:r>
      <w:r>
        <w:rPr/>
        <w:fldChar w:fldCharType="end"/>
      </w:r>
    </w:p>
    <w:p>
      <w:pPr>
        <w:pStyle w:val="style21"/>
        <w:tabs>
          <w:tab w:val="right" w:leader="dot" w:pos="9016"/>
        </w:tabs>
        <w:spacing w:before="240" w:after="240"/>
        <w:rPr>
          <w:rFonts w:cs="Times New Roman" w:eastAsia="等线"/>
          <w:noProof/>
          <w:szCs w:val="24"/>
          <w:lang w:bidi="ar-SA" w:eastAsia="en-IN"/>
        </w:rPr>
      </w:pPr>
      <w:r>
        <w:rPr/>
        <w:fldChar w:fldCharType="begin"/>
      </w:r>
      <w:r>
        <w:instrText xml:space="preserve"> HYPERLINK \l "_Toc173489800" </w:instrText>
      </w:r>
      <w:r>
        <w:rPr/>
        <w:fldChar w:fldCharType="separate"/>
      </w:r>
      <w:r>
        <w:rPr>
          <w:rStyle w:val="style85"/>
          <w:rFonts w:cs="Times New Roman"/>
          <w:noProof/>
          <w:szCs w:val="24"/>
        </w:rPr>
        <w:t>Gearing Ratios</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_Toc173489800 \h </w:instrText>
      </w:r>
      <w:r>
        <w:rPr>
          <w:rFonts w:cs="Times New Roman"/>
          <w:noProof/>
          <w:webHidden/>
          <w:szCs w:val="24"/>
        </w:rPr>
        <w:fldChar w:fldCharType="separate"/>
      </w:r>
      <w:r>
        <w:rPr>
          <w:rFonts w:cs="Times New Roman"/>
          <w:noProof/>
          <w:webHidden/>
          <w:szCs w:val="24"/>
        </w:rPr>
        <w:t>12</w:t>
      </w:r>
      <w:r>
        <w:rPr>
          <w:rFonts w:cs="Times New Roman"/>
          <w:noProof/>
          <w:webHidden/>
          <w:szCs w:val="24"/>
        </w:rPr>
        <w:fldChar w:fldCharType="end"/>
      </w:r>
      <w:r>
        <w:rPr/>
        <w:fldChar w:fldCharType="end"/>
      </w:r>
    </w:p>
    <w:p>
      <w:pPr>
        <w:pStyle w:val="style21"/>
        <w:tabs>
          <w:tab w:val="right" w:leader="dot" w:pos="9016"/>
        </w:tabs>
        <w:spacing w:before="240" w:after="240"/>
        <w:rPr>
          <w:rFonts w:cs="Times New Roman" w:eastAsia="等线"/>
          <w:noProof/>
          <w:szCs w:val="24"/>
          <w:lang w:bidi="ar-SA" w:eastAsia="en-IN"/>
        </w:rPr>
      </w:pPr>
      <w:r>
        <w:rPr/>
        <w:fldChar w:fldCharType="begin"/>
      </w:r>
      <w:r>
        <w:instrText xml:space="preserve"> HYPERLINK \l "_Toc173489801" </w:instrText>
      </w:r>
      <w:r>
        <w:rPr/>
        <w:fldChar w:fldCharType="separate"/>
      </w:r>
      <w:r>
        <w:rPr>
          <w:rStyle w:val="style85"/>
          <w:rFonts w:cs="Times New Roman"/>
          <w:noProof/>
          <w:szCs w:val="24"/>
        </w:rPr>
        <w:t>Recommendations</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_Toc173489801 \h </w:instrText>
      </w:r>
      <w:r>
        <w:rPr>
          <w:rFonts w:cs="Times New Roman"/>
          <w:noProof/>
          <w:webHidden/>
          <w:szCs w:val="24"/>
        </w:rPr>
        <w:fldChar w:fldCharType="separate"/>
      </w:r>
      <w:r>
        <w:rPr>
          <w:rFonts w:cs="Times New Roman"/>
          <w:noProof/>
          <w:webHidden/>
          <w:szCs w:val="24"/>
        </w:rPr>
        <w:t>15</w:t>
      </w:r>
      <w:r>
        <w:rPr>
          <w:rFonts w:cs="Times New Roman"/>
          <w:noProof/>
          <w:webHidden/>
          <w:szCs w:val="24"/>
        </w:rPr>
        <w:fldChar w:fldCharType="end"/>
      </w:r>
      <w:r>
        <w:rPr/>
        <w:fldChar w:fldCharType="end"/>
      </w:r>
    </w:p>
    <w:p>
      <w:pPr>
        <w:pStyle w:val="style19"/>
        <w:tabs>
          <w:tab w:val="right" w:leader="dot" w:pos="9016"/>
        </w:tabs>
        <w:spacing w:before="240" w:after="240"/>
        <w:rPr>
          <w:rFonts w:cs="Times New Roman" w:eastAsia="等线"/>
          <w:noProof/>
          <w:szCs w:val="24"/>
          <w:lang w:bidi="ar-SA" w:eastAsia="en-IN"/>
        </w:rPr>
      </w:pPr>
      <w:r>
        <w:rPr/>
        <w:fldChar w:fldCharType="begin"/>
      </w:r>
      <w:r>
        <w:instrText xml:space="preserve"> HYPERLINK \l "_Toc173489802" </w:instrText>
      </w:r>
      <w:r>
        <w:rPr/>
        <w:fldChar w:fldCharType="separate"/>
      </w:r>
      <w:r>
        <w:rPr>
          <w:rStyle w:val="style85"/>
          <w:rFonts w:cs="Times New Roman"/>
          <w:noProof/>
          <w:szCs w:val="24"/>
        </w:rPr>
        <w:t>Investment Appraisal</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_Toc173489802 \h </w:instrText>
      </w:r>
      <w:r>
        <w:rPr>
          <w:rFonts w:cs="Times New Roman"/>
          <w:noProof/>
          <w:webHidden/>
          <w:szCs w:val="24"/>
        </w:rPr>
        <w:fldChar w:fldCharType="separate"/>
      </w:r>
      <w:r>
        <w:rPr>
          <w:rFonts w:cs="Times New Roman"/>
          <w:noProof/>
          <w:webHidden/>
          <w:szCs w:val="24"/>
        </w:rPr>
        <w:t>17</w:t>
      </w:r>
      <w:r>
        <w:rPr>
          <w:rFonts w:cs="Times New Roman"/>
          <w:noProof/>
          <w:webHidden/>
          <w:szCs w:val="24"/>
        </w:rPr>
        <w:fldChar w:fldCharType="end"/>
      </w:r>
      <w:r>
        <w:rPr/>
        <w:fldChar w:fldCharType="end"/>
      </w:r>
    </w:p>
    <w:p>
      <w:pPr>
        <w:pStyle w:val="style20"/>
        <w:tabs>
          <w:tab w:val="right" w:leader="dot" w:pos="9016"/>
        </w:tabs>
        <w:spacing w:before="240" w:after="240"/>
        <w:rPr>
          <w:rFonts w:cs="Times New Roman" w:eastAsia="等线"/>
          <w:noProof/>
          <w:szCs w:val="24"/>
          <w:lang w:bidi="ar-SA" w:eastAsia="en-IN"/>
        </w:rPr>
      </w:pPr>
      <w:r>
        <w:rPr/>
        <w:fldChar w:fldCharType="begin"/>
      </w:r>
      <w:r>
        <w:instrText xml:space="preserve"> HYPERLINK \l "_Toc173489803" </w:instrText>
      </w:r>
      <w:r>
        <w:rPr/>
        <w:fldChar w:fldCharType="separate"/>
      </w:r>
      <w:r>
        <w:rPr>
          <w:rStyle w:val="style85"/>
          <w:rFonts w:cs="Times New Roman"/>
          <w:noProof/>
          <w:szCs w:val="24"/>
        </w:rPr>
        <w:t>Evaluation of the projects using investment appraisal techniques</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_Toc173489803 \h </w:instrText>
      </w:r>
      <w:r>
        <w:rPr>
          <w:rFonts w:cs="Times New Roman"/>
          <w:noProof/>
          <w:webHidden/>
          <w:szCs w:val="24"/>
        </w:rPr>
        <w:fldChar w:fldCharType="separate"/>
      </w:r>
      <w:r>
        <w:rPr>
          <w:rFonts w:cs="Times New Roman"/>
          <w:noProof/>
          <w:webHidden/>
          <w:szCs w:val="24"/>
        </w:rPr>
        <w:t>17</w:t>
      </w:r>
      <w:r>
        <w:rPr>
          <w:rFonts w:cs="Times New Roman"/>
          <w:noProof/>
          <w:webHidden/>
          <w:szCs w:val="24"/>
        </w:rPr>
        <w:fldChar w:fldCharType="end"/>
      </w:r>
      <w:r>
        <w:rPr/>
        <w:fldChar w:fldCharType="end"/>
      </w:r>
    </w:p>
    <w:p>
      <w:pPr>
        <w:pStyle w:val="style21"/>
        <w:tabs>
          <w:tab w:val="right" w:leader="dot" w:pos="9016"/>
        </w:tabs>
        <w:spacing w:before="240" w:after="240"/>
        <w:rPr>
          <w:rFonts w:cs="Times New Roman" w:eastAsia="等线"/>
          <w:noProof/>
          <w:szCs w:val="24"/>
          <w:lang w:bidi="ar-SA" w:eastAsia="en-IN"/>
        </w:rPr>
      </w:pPr>
      <w:r>
        <w:rPr/>
        <w:fldChar w:fldCharType="begin"/>
      </w:r>
      <w:r>
        <w:instrText xml:space="preserve"> HYPERLINK \l "_Toc173489804" </w:instrText>
      </w:r>
      <w:r>
        <w:rPr/>
        <w:fldChar w:fldCharType="separate"/>
      </w:r>
      <w:r>
        <w:rPr>
          <w:rStyle w:val="style85"/>
          <w:rFonts w:cs="Times New Roman"/>
          <w:noProof/>
          <w:szCs w:val="24"/>
        </w:rPr>
        <w:t>Payback Period (PBP)</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_Toc173489804 \h </w:instrText>
      </w:r>
      <w:r>
        <w:rPr>
          <w:rFonts w:cs="Times New Roman"/>
          <w:noProof/>
          <w:webHidden/>
          <w:szCs w:val="24"/>
        </w:rPr>
        <w:fldChar w:fldCharType="separate"/>
      </w:r>
      <w:r>
        <w:rPr>
          <w:rFonts w:cs="Times New Roman"/>
          <w:noProof/>
          <w:webHidden/>
          <w:szCs w:val="24"/>
        </w:rPr>
        <w:t>17</w:t>
      </w:r>
      <w:r>
        <w:rPr>
          <w:rFonts w:cs="Times New Roman"/>
          <w:noProof/>
          <w:webHidden/>
          <w:szCs w:val="24"/>
        </w:rPr>
        <w:fldChar w:fldCharType="end"/>
      </w:r>
      <w:r>
        <w:rPr/>
        <w:fldChar w:fldCharType="end"/>
      </w:r>
    </w:p>
    <w:p>
      <w:pPr>
        <w:pStyle w:val="style21"/>
        <w:tabs>
          <w:tab w:val="right" w:leader="dot" w:pos="9016"/>
        </w:tabs>
        <w:spacing w:before="240" w:after="240"/>
        <w:rPr>
          <w:rFonts w:cs="Times New Roman" w:eastAsia="等线"/>
          <w:noProof/>
          <w:szCs w:val="24"/>
          <w:lang w:bidi="ar-SA" w:eastAsia="en-IN"/>
        </w:rPr>
      </w:pPr>
      <w:r>
        <w:rPr/>
        <w:fldChar w:fldCharType="begin"/>
      </w:r>
      <w:r>
        <w:instrText xml:space="preserve"> HYPERLINK \l "_Toc173489805" </w:instrText>
      </w:r>
      <w:r>
        <w:rPr/>
        <w:fldChar w:fldCharType="separate"/>
      </w:r>
      <w:r>
        <w:rPr>
          <w:rStyle w:val="style85"/>
          <w:rFonts w:cs="Times New Roman"/>
          <w:noProof/>
          <w:szCs w:val="24"/>
        </w:rPr>
        <w:t>Accounting Rate of Return</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_Toc173489805 \h </w:instrText>
      </w:r>
      <w:r>
        <w:rPr>
          <w:rFonts w:cs="Times New Roman"/>
          <w:noProof/>
          <w:webHidden/>
          <w:szCs w:val="24"/>
        </w:rPr>
        <w:fldChar w:fldCharType="separate"/>
      </w:r>
      <w:r>
        <w:rPr>
          <w:rFonts w:cs="Times New Roman"/>
          <w:noProof/>
          <w:webHidden/>
          <w:szCs w:val="24"/>
        </w:rPr>
        <w:t>18</w:t>
      </w:r>
      <w:r>
        <w:rPr>
          <w:rFonts w:cs="Times New Roman"/>
          <w:noProof/>
          <w:webHidden/>
          <w:szCs w:val="24"/>
        </w:rPr>
        <w:fldChar w:fldCharType="end"/>
      </w:r>
      <w:r>
        <w:rPr/>
        <w:fldChar w:fldCharType="end"/>
      </w:r>
    </w:p>
    <w:p>
      <w:pPr>
        <w:pStyle w:val="style21"/>
        <w:tabs>
          <w:tab w:val="right" w:leader="dot" w:pos="9016"/>
        </w:tabs>
        <w:spacing w:before="240" w:after="240"/>
        <w:rPr>
          <w:rFonts w:cs="Times New Roman" w:eastAsia="等线"/>
          <w:noProof/>
          <w:szCs w:val="24"/>
          <w:lang w:bidi="ar-SA" w:eastAsia="en-IN"/>
        </w:rPr>
      </w:pPr>
      <w:r>
        <w:rPr/>
        <w:fldChar w:fldCharType="begin"/>
      </w:r>
      <w:r>
        <w:instrText xml:space="preserve"> HYPERLINK \l "_Toc173489806" </w:instrText>
      </w:r>
      <w:r>
        <w:rPr/>
        <w:fldChar w:fldCharType="separate"/>
      </w:r>
      <w:r>
        <w:rPr>
          <w:rStyle w:val="style85"/>
          <w:rFonts w:cs="Times New Roman"/>
          <w:noProof/>
          <w:szCs w:val="24"/>
        </w:rPr>
        <w:t>Net Present Value</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_Toc173489806 \h </w:instrText>
      </w:r>
      <w:r>
        <w:rPr>
          <w:rFonts w:cs="Times New Roman"/>
          <w:noProof/>
          <w:webHidden/>
          <w:szCs w:val="24"/>
        </w:rPr>
        <w:fldChar w:fldCharType="separate"/>
      </w:r>
      <w:r>
        <w:rPr>
          <w:rFonts w:cs="Times New Roman"/>
          <w:noProof/>
          <w:webHidden/>
          <w:szCs w:val="24"/>
        </w:rPr>
        <w:t>19</w:t>
      </w:r>
      <w:r>
        <w:rPr>
          <w:rFonts w:cs="Times New Roman"/>
          <w:noProof/>
          <w:webHidden/>
          <w:szCs w:val="24"/>
        </w:rPr>
        <w:fldChar w:fldCharType="end"/>
      </w:r>
      <w:r>
        <w:rPr/>
        <w:fldChar w:fldCharType="end"/>
      </w:r>
    </w:p>
    <w:p>
      <w:pPr>
        <w:pStyle w:val="style21"/>
        <w:tabs>
          <w:tab w:val="right" w:leader="dot" w:pos="9016"/>
        </w:tabs>
        <w:spacing w:before="240" w:after="240"/>
        <w:rPr>
          <w:rFonts w:cs="Times New Roman" w:eastAsia="等线"/>
          <w:noProof/>
          <w:szCs w:val="24"/>
          <w:lang w:bidi="ar-SA" w:eastAsia="en-IN"/>
        </w:rPr>
      </w:pPr>
      <w:r>
        <w:rPr/>
        <w:fldChar w:fldCharType="begin"/>
      </w:r>
      <w:r>
        <w:instrText xml:space="preserve"> HYPERLINK \l "_Toc173489807" </w:instrText>
      </w:r>
      <w:r>
        <w:rPr/>
        <w:fldChar w:fldCharType="separate"/>
      </w:r>
      <w:r>
        <w:rPr>
          <w:rStyle w:val="style85"/>
          <w:rFonts w:cs="Times New Roman"/>
          <w:noProof/>
          <w:szCs w:val="24"/>
        </w:rPr>
        <w:t>Advantages and Shortcomings of the Investment Appraisal Techniques (ARR, PBP, NPV)</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_Toc173489807 \h </w:instrText>
      </w:r>
      <w:r>
        <w:rPr>
          <w:rFonts w:cs="Times New Roman"/>
          <w:noProof/>
          <w:webHidden/>
          <w:szCs w:val="24"/>
        </w:rPr>
        <w:fldChar w:fldCharType="separate"/>
      </w:r>
      <w:r>
        <w:rPr>
          <w:rFonts w:cs="Times New Roman"/>
          <w:noProof/>
          <w:webHidden/>
          <w:szCs w:val="24"/>
        </w:rPr>
        <w:t>20</w:t>
      </w:r>
      <w:r>
        <w:rPr>
          <w:rFonts w:cs="Times New Roman"/>
          <w:noProof/>
          <w:webHidden/>
          <w:szCs w:val="24"/>
        </w:rPr>
        <w:fldChar w:fldCharType="end"/>
      </w:r>
      <w:r>
        <w:rPr/>
        <w:fldChar w:fldCharType="end"/>
      </w:r>
    </w:p>
    <w:p>
      <w:pPr>
        <w:pStyle w:val="style19"/>
        <w:tabs>
          <w:tab w:val="right" w:leader="dot" w:pos="9016"/>
        </w:tabs>
        <w:spacing w:before="240" w:after="240"/>
        <w:rPr>
          <w:rFonts w:cs="Times New Roman" w:eastAsia="等线"/>
          <w:noProof/>
          <w:szCs w:val="24"/>
          <w:lang w:bidi="ar-SA" w:eastAsia="en-IN"/>
        </w:rPr>
      </w:pPr>
      <w:r>
        <w:rPr/>
        <w:fldChar w:fldCharType="begin"/>
      </w:r>
      <w:r>
        <w:instrText xml:space="preserve"> HYPERLINK \l "_Toc173489808" </w:instrText>
      </w:r>
      <w:r>
        <w:rPr/>
        <w:fldChar w:fldCharType="separate"/>
      </w:r>
      <w:r>
        <w:rPr>
          <w:rStyle w:val="style85"/>
          <w:rFonts w:cs="Times New Roman"/>
          <w:noProof/>
          <w:szCs w:val="24"/>
        </w:rPr>
        <w:t>Conclusion</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_Toc173489808 \h </w:instrText>
      </w:r>
      <w:r>
        <w:rPr>
          <w:rFonts w:cs="Times New Roman"/>
          <w:noProof/>
          <w:webHidden/>
          <w:szCs w:val="24"/>
        </w:rPr>
        <w:fldChar w:fldCharType="separate"/>
      </w:r>
      <w:r>
        <w:rPr>
          <w:rFonts w:cs="Times New Roman"/>
          <w:noProof/>
          <w:webHidden/>
          <w:szCs w:val="24"/>
        </w:rPr>
        <w:t>23</w:t>
      </w:r>
      <w:r>
        <w:rPr>
          <w:rFonts w:cs="Times New Roman"/>
          <w:noProof/>
          <w:webHidden/>
          <w:szCs w:val="24"/>
        </w:rPr>
        <w:fldChar w:fldCharType="end"/>
      </w:r>
      <w:r>
        <w:rPr/>
        <w:fldChar w:fldCharType="end"/>
      </w:r>
    </w:p>
    <w:p>
      <w:pPr>
        <w:pStyle w:val="style19"/>
        <w:tabs>
          <w:tab w:val="right" w:leader="dot" w:pos="9016"/>
        </w:tabs>
        <w:spacing w:before="240" w:after="240"/>
        <w:rPr>
          <w:rFonts w:cs="Times New Roman" w:eastAsia="等线"/>
          <w:noProof/>
          <w:szCs w:val="24"/>
          <w:lang w:bidi="ar-SA" w:eastAsia="en-IN"/>
        </w:rPr>
      </w:pPr>
      <w:r>
        <w:rPr/>
        <w:fldChar w:fldCharType="begin"/>
      </w:r>
      <w:r>
        <w:instrText xml:space="preserve"> HYPERLINK \l "_Toc173489809" </w:instrText>
      </w:r>
      <w:r>
        <w:rPr/>
        <w:fldChar w:fldCharType="separate"/>
      </w:r>
      <w:r>
        <w:rPr>
          <w:rStyle w:val="style85"/>
          <w:rFonts w:cs="Times New Roman"/>
          <w:noProof/>
          <w:szCs w:val="24"/>
        </w:rPr>
        <w:t>References</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_Toc173489809 \h </w:instrText>
      </w:r>
      <w:r>
        <w:rPr>
          <w:rFonts w:cs="Times New Roman"/>
          <w:noProof/>
          <w:webHidden/>
          <w:szCs w:val="24"/>
        </w:rPr>
        <w:fldChar w:fldCharType="separate"/>
      </w:r>
      <w:r>
        <w:rPr>
          <w:rFonts w:cs="Times New Roman"/>
          <w:noProof/>
          <w:webHidden/>
          <w:szCs w:val="24"/>
        </w:rPr>
        <w:t>24</w:t>
      </w:r>
      <w:r>
        <w:rPr>
          <w:rFonts w:cs="Times New Roman"/>
          <w:noProof/>
          <w:webHidden/>
          <w:szCs w:val="24"/>
        </w:rPr>
        <w:fldChar w:fldCharType="end"/>
      </w:r>
      <w:r>
        <w:rPr/>
        <w:fldChar w:fldCharType="end"/>
      </w:r>
    </w:p>
    <w:p>
      <w:pPr>
        <w:pStyle w:val="style0"/>
        <w:spacing w:before="240" w:after="240"/>
        <w:rPr>
          <w:rFonts w:cs="Times New Roman"/>
          <w:szCs w:val="24"/>
        </w:rPr>
      </w:pPr>
      <w:r>
        <w:rPr>
          <w:rFonts w:cs="Times New Roman"/>
          <w:b/>
          <w:bCs/>
          <w:noProof/>
          <w:szCs w:val="24"/>
        </w:rPr>
        <w:fldChar w:fldCharType="end"/>
      </w:r>
    </w:p>
    <w:p>
      <w:pPr>
        <w:pStyle w:val="style0"/>
        <w:spacing w:before="240" w:after="240"/>
        <w:jc w:val="left"/>
        <w:rPr>
          <w:rFonts w:cs="Times New Roman" w:eastAsia="等线 Light"/>
          <w:b/>
          <w:iCs/>
          <w:color w:val="000000"/>
          <w:szCs w:val="24"/>
        </w:rPr>
      </w:pPr>
      <w:r>
        <w:rPr>
          <w:rFonts w:cs="Times New Roman"/>
          <w:szCs w:val="24"/>
        </w:rPr>
        <w:br w:type="page"/>
      </w:r>
    </w:p>
    <w:bookmarkStart w:id="0" w:name="_Toc173489792"/>
    <w:p>
      <w:pPr>
        <w:pStyle w:val="style1"/>
        <w:spacing w:before="240" w:after="240"/>
        <w:rPr>
          <w:rFonts w:cs="Times New Roman"/>
          <w:szCs w:val="24"/>
        </w:rPr>
      </w:pPr>
      <w:r>
        <w:rPr>
          <w:rFonts w:cs="Times New Roman"/>
          <w:szCs w:val="24"/>
        </w:rPr>
        <w:t>Introduction</w:t>
      </w:r>
      <w:bookmarkEnd w:id="0"/>
    </w:p>
    <w:p>
      <w:pPr>
        <w:pStyle w:val="style0"/>
        <w:spacing w:before="240" w:after="240"/>
        <w:rPr>
          <w:rFonts w:cs="Times New Roman"/>
          <w:szCs w:val="24"/>
        </w:rPr>
      </w:pPr>
      <w:r>
        <w:rPr>
          <w:rFonts w:cs="Times New Roman"/>
          <w:noProof/>
          <w:szCs w:val="24"/>
        </w:rPr>
        <w:drawing>
          <wp:anchor distT="0" distB="0" distL="114300" distR="114300" simplePos="false" relativeHeight="3" behindDoc="false" locked="false" layoutInCell="true" allowOverlap="true">
            <wp:simplePos x="0" y="0"/>
            <wp:positionH relativeFrom="margin">
              <wp:align>center</wp:align>
            </wp:positionH>
            <wp:positionV relativeFrom="paragraph">
              <wp:posOffset>7076</wp:posOffset>
            </wp:positionV>
            <wp:extent cx="1648055" cy="1181265"/>
            <wp:effectExtent l="0" t="0" r="9525" b="0"/>
            <wp:wrapSquare wrapText="bothSides"/>
            <wp:docPr id="1026" name="Picture 3" descr="A blue and white graphic of a knight on a horse&#10;&#10;Description automatically generate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2" cstate="print"/>
                    <a:srcRect l="0" t="0" r="0" b="0"/>
                    <a:stretch/>
                  </pic:blipFill>
                  <pic:spPr>
                    <a:xfrm rot="0">
                      <a:off x="0" y="0"/>
                      <a:ext cx="1648055" cy="1181265"/>
                    </a:xfrm>
                    <a:prstGeom prst="rect"/>
                  </pic:spPr>
                </pic:pic>
              </a:graphicData>
            </a:graphic>
          </wp:anchor>
        </w:drawing>
      </w:r>
    </w:p>
    <w:p>
      <w:pPr>
        <w:pStyle w:val="style0"/>
        <w:spacing w:before="240" w:after="240"/>
        <w:rPr>
          <w:rFonts w:cs="Times New Roman"/>
          <w:szCs w:val="24"/>
        </w:rPr>
      </w:pPr>
    </w:p>
    <w:p>
      <w:pPr>
        <w:pStyle w:val="style0"/>
        <w:spacing w:before="240" w:after="240"/>
        <w:rPr>
          <w:rFonts w:cs="Times New Roman"/>
          <w:szCs w:val="24"/>
        </w:rPr>
      </w:pPr>
    </w:p>
    <w:p>
      <w:pPr>
        <w:pStyle w:val="style0"/>
        <w:spacing w:before="240" w:after="240"/>
        <w:rPr>
          <w:rFonts w:cs="Times New Roman"/>
          <w:szCs w:val="24"/>
        </w:rPr>
      </w:pPr>
      <w:r>
        <w:rPr>
          <w:rFonts w:cs="Times New Roman"/>
          <w:noProof/>
          <w:szCs w:val="24"/>
        </w:rPr>
        <w:drawing>
          <wp:anchor distT="0" distB="0" distL="114300" distR="114300" simplePos="false" relativeHeight="2" behindDoc="false" locked="false" layoutInCell="true" allowOverlap="true">
            <wp:simplePos x="0" y="0"/>
            <wp:positionH relativeFrom="margin">
              <wp:align>center</wp:align>
            </wp:positionH>
            <wp:positionV relativeFrom="paragraph">
              <wp:posOffset>154578</wp:posOffset>
            </wp:positionV>
            <wp:extent cx="3076575" cy="647700"/>
            <wp:effectExtent l="19050" t="19050" r="28575" b="19050"/>
            <wp:wrapSquare wrapText="bothSides"/>
            <wp:docPr id="1027" name="Picture 2" descr="A black letter on a white background&#10;&#10;Description automatically generate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3" cstate="print"/>
                    <a:srcRect l="0" t="0" r="0" b="0"/>
                    <a:stretch/>
                  </pic:blipFill>
                  <pic:spPr>
                    <a:xfrm rot="0">
                      <a:off x="0" y="0"/>
                      <a:ext cx="3076575" cy="647700"/>
                    </a:xfrm>
                    <a:prstGeom prst="rect"/>
                    <a:ln cmpd="sng" cap="flat" w="12700">
                      <a:solidFill>
                        <a:srgbClr val="000000"/>
                      </a:solidFill>
                      <a:prstDash val="solid"/>
                      <a:round/>
                      <a:headEnd/>
                      <a:tailEnd/>
                    </a:ln>
                  </pic:spPr>
                </pic:pic>
              </a:graphicData>
            </a:graphic>
          </wp:anchor>
        </w:drawing>
      </w:r>
    </w:p>
    <w:p>
      <w:pPr>
        <w:pStyle w:val="style0"/>
        <w:spacing w:before="240" w:after="240"/>
        <w:jc w:val="left"/>
        <w:rPr>
          <w:rFonts w:cs="Times New Roman"/>
          <w:szCs w:val="24"/>
        </w:rPr>
      </w:pPr>
    </w:p>
    <w:p>
      <w:pPr>
        <w:pStyle w:val="style0"/>
        <w:spacing w:before="240" w:after="240"/>
        <w:jc w:val="left"/>
        <w:rPr>
          <w:rFonts w:cs="Times New Roman"/>
          <w:szCs w:val="24"/>
        </w:rPr>
      </w:pPr>
      <w:r>
        <w:rPr>
          <w:rFonts w:cs="Times New Roman"/>
          <w:noProof/>
          <w:szCs w:val="24"/>
        </w:rPr>
        <mc:AlternateContent>
          <mc:Choice Requires="wps">
            <w:drawing>
              <wp:anchor distT="0" distB="0" distL="114300" distR="114300" simplePos="false" relativeHeight="4" behindDoc="false" locked="false" layoutInCell="true" allowOverlap="true">
                <wp:simplePos x="0" y="0"/>
                <wp:positionH relativeFrom="margin">
                  <wp:align>center</wp:align>
                </wp:positionH>
                <wp:positionV relativeFrom="paragraph">
                  <wp:posOffset>220980</wp:posOffset>
                </wp:positionV>
                <wp:extent cx="3076575" cy="483869"/>
                <wp:effectExtent l="0" t="0" r="9525" b="0"/>
                <wp:wrapSquare wrapText="bothSides"/>
                <wp:docPr id="1028" name="Text Box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3076575" cy="483869"/>
                        </a:xfrm>
                        <a:prstGeom prst="rect"/>
                        <a:solidFill>
                          <a:srgbClr val="ffffff"/>
                        </a:solidFill>
                        <a:ln>
                          <a:noFill/>
                        </a:ln>
                      </wps:spPr>
                      <wps:txbx id="1028">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w:t>
                            </w:r>
                            <w:r>
                              <w:rPr>
                                <w:b/>
                                <w:bCs/>
                                <w:color w:val="auto"/>
                                <w:sz w:val="24"/>
                                <w:szCs w:val="32"/>
                              </w:rPr>
                              <w:fldChar w:fldCharType="end"/>
                            </w:r>
                            <w:r>
                              <w:rPr>
                                <w:b/>
                                <w:bCs/>
                                <w:color w:val="auto"/>
                                <w:sz w:val="24"/>
                                <w:szCs w:val="32"/>
                              </w:rPr>
                              <w:t>: Burberry Group Plc Logo</w:t>
                            </w:r>
                            <w:r>
                              <w:rPr>
                                <w:b/>
                                <w:bCs/>
                                <w:color w:val="auto"/>
                                <w:sz w:val="24"/>
                                <w:szCs w:val="32"/>
                              </w:rPr>
                              <w:br/>
                            </w:r>
                            <w:r>
                              <w:rPr>
                                <w:b/>
                                <w:bCs/>
                                <w:color w:val="auto"/>
                                <w:sz w:val="24"/>
                                <w:szCs w:val="32"/>
                              </w:rPr>
                              <w:t>(Source: Burberry, 2024)</w:t>
                            </w:r>
                          </w:p>
                        </w:txbxContent>
                      </wps:txbx>
                      <wps:bodyPr lIns="0" rIns="0" tIns="0" bIns="0" vert="horz" anchor="t" wrap="square">
                        <a:prstTxWarp prst="textNoShape"/>
                        <a:noAutofit/>
                      </wps:bodyPr>
                    </wps:wsp>
                  </a:graphicData>
                </a:graphic>
                <wp14:sizeRelV relativeFrom="margin">
                  <wp14:pctHeight>0</wp14:pctHeight>
                </wp14:sizeRelV>
              </wp:anchor>
            </w:drawing>
          </mc:Choice>
          <mc:Fallback>
            <w:pict>
              <v:rect id="1028" fillcolor="white" stroked="f" style="position:absolute;margin-left:0.0pt;margin-top:17.4pt;width:242.25pt;height:38.1pt;z-index:4;mso-position-horizontal:center;mso-position-horizontal-relative:margin;mso-position-vertical-relative:text;mso-height-percent:0;mso-width-relative:page;mso-height-relative:margin;visibility:visible;">
                <v:stroke on="f"/>
                <w10:wrap type="square"/>
                <v:fill/>
                <v:textbox inset="0.0pt,0.0pt,0.0pt,0.0pt">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w:t>
                      </w:r>
                      <w:r>
                        <w:rPr>
                          <w:b/>
                          <w:bCs/>
                          <w:color w:val="auto"/>
                          <w:sz w:val="24"/>
                          <w:szCs w:val="32"/>
                        </w:rPr>
                        <w:fldChar w:fldCharType="end"/>
                      </w:r>
                      <w:r>
                        <w:rPr>
                          <w:b/>
                          <w:bCs/>
                          <w:color w:val="auto"/>
                          <w:sz w:val="24"/>
                          <w:szCs w:val="32"/>
                        </w:rPr>
                        <w:t>: Burberry Group Plc Logo</w:t>
                      </w:r>
                      <w:r>
                        <w:rPr>
                          <w:b/>
                          <w:bCs/>
                          <w:color w:val="auto"/>
                          <w:sz w:val="24"/>
                          <w:szCs w:val="32"/>
                        </w:rPr>
                        <w:br/>
                      </w:r>
                      <w:r>
                        <w:rPr>
                          <w:b/>
                          <w:bCs/>
                          <w:color w:val="auto"/>
                          <w:sz w:val="24"/>
                          <w:szCs w:val="32"/>
                        </w:rPr>
                        <w:t>(Source: Burberry, 2024)</w:t>
                      </w:r>
                    </w:p>
                  </w:txbxContent>
                </v:textbox>
              </v:rect>
            </w:pict>
          </mc:Fallback>
        </mc:AlternateContent>
      </w:r>
    </w:p>
    <w:p>
      <w:pPr>
        <w:pStyle w:val="style0"/>
        <w:spacing w:before="240" w:after="240"/>
        <w:jc w:val="left"/>
        <w:rPr>
          <w:rFonts w:cs="Times New Roman"/>
          <w:szCs w:val="24"/>
        </w:rPr>
      </w:pPr>
    </w:p>
    <w:p>
      <w:pPr>
        <w:pStyle w:val="style0"/>
        <w:spacing w:before="240" w:after="240"/>
        <w:jc w:val="left"/>
        <w:rPr>
          <w:rFonts w:cs="Times New Roman"/>
          <w:szCs w:val="24"/>
        </w:rPr>
      </w:pPr>
    </w:p>
    <w:p>
      <w:pPr>
        <w:pStyle w:val="style0"/>
        <w:spacing w:before="240" w:after="240"/>
        <w:rPr>
          <w:rFonts w:cs="Times New Roman"/>
          <w:szCs w:val="24"/>
        </w:rPr>
      </w:pPr>
      <w:r>
        <w:rPr>
          <w:rFonts w:cs="Times New Roman"/>
          <w:noProof/>
          <w:szCs w:val="24"/>
        </w:rPr>
        <w:drawing>
          <wp:anchor distT="0" distB="0" distL="114300" distR="114300" simplePos="false" relativeHeight="25" behindDoc="false" locked="false" layoutInCell="true" allowOverlap="true">
            <wp:simplePos x="0" y="0"/>
            <wp:positionH relativeFrom="margin">
              <wp:align>center</wp:align>
            </wp:positionH>
            <wp:positionV relativeFrom="paragraph">
              <wp:posOffset>2848463</wp:posOffset>
            </wp:positionV>
            <wp:extent cx="1740877" cy="1804294"/>
            <wp:effectExtent l="0" t="0" r="0" b="5715"/>
            <wp:wrapSquare wrapText="bothSides"/>
            <wp:docPr id="1029" name="Picture 12" descr="A diagram of a diagram&#10;&#10;Description automatically generate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12"/>
                    <pic:cNvPicPr/>
                  </pic:nvPicPr>
                  <pic:blipFill>
                    <a:blip r:embed="rId4" cstate="print"/>
                    <a:srcRect l="0" t="0" r="0" b="0"/>
                    <a:stretch/>
                  </pic:blipFill>
                  <pic:spPr>
                    <a:xfrm rot="0">
                      <a:off x="0" y="0"/>
                      <a:ext cx="1740877" cy="1804294"/>
                    </a:xfrm>
                    <a:prstGeom prst="rect"/>
                  </pic:spPr>
                </pic:pic>
              </a:graphicData>
            </a:graphic>
            <wp14:sizeRelH relativeFrom="margin">
              <wp14:pctWidth>0</wp14:pctWidth>
            </wp14:sizeRelH>
            <wp14:sizeRelV relativeFrom="margin">
              <wp14:pctHeight>0</wp14:pctHeight>
            </wp14:sizeRelV>
          </wp:anchor>
        </w:drawing>
      </w:r>
      <w:r>
        <w:rPr>
          <w:rFonts w:cs="Times New Roman"/>
          <w:szCs w:val="24"/>
        </w:rPr>
        <w:t>The purpose of the business report is to</w:t>
      </w:r>
      <w:r>
        <w:rPr>
          <w:rFonts w:cs="Times New Roman"/>
          <w:szCs w:val="24"/>
        </w:rPr>
        <w:t xml:space="preserve"> </w:t>
      </w:r>
      <w:r>
        <w:rPr>
          <w:rFonts w:cs="Times New Roman"/>
          <w:szCs w:val="24"/>
        </w:rPr>
        <w:t>comprehend</w:t>
      </w:r>
      <w:r>
        <w:rPr>
          <w:rFonts w:cs="Times New Roman"/>
          <w:szCs w:val="24"/>
        </w:rPr>
        <w:t xml:space="preserve"> the significance of </w:t>
      </w:r>
      <w:r>
        <w:rPr>
          <w:rFonts w:cs="Times New Roman"/>
          <w:szCs w:val="24"/>
        </w:rPr>
        <w:t xml:space="preserve">the </w:t>
      </w:r>
      <w:r>
        <w:rPr>
          <w:rFonts w:cs="Times New Roman"/>
          <w:b/>
          <w:bCs/>
          <w:i/>
          <w:iCs/>
          <w:szCs w:val="24"/>
        </w:rPr>
        <w:t>financial analysis</w:t>
      </w:r>
      <w:r>
        <w:rPr>
          <w:rFonts w:cs="Times New Roman"/>
          <w:szCs w:val="24"/>
        </w:rPr>
        <w:t xml:space="preserve"> of a company</w:t>
      </w:r>
      <w:r>
        <w:rPr>
          <w:rFonts w:cs="Times New Roman"/>
          <w:szCs w:val="24"/>
        </w:rPr>
        <w:t xml:space="preserve"> to </w:t>
      </w:r>
      <w:r>
        <w:rPr>
          <w:rFonts w:cs="Times New Roman"/>
          <w:szCs w:val="24"/>
        </w:rPr>
        <w:t>evaluate and analyse</w:t>
      </w:r>
      <w:r>
        <w:rPr>
          <w:rFonts w:cs="Times New Roman"/>
          <w:szCs w:val="24"/>
        </w:rPr>
        <w:t xml:space="preserve"> the financial resources used in management</w:t>
      </w:r>
      <w:r>
        <w:rPr>
          <w:rFonts w:cs="Times New Roman"/>
          <w:szCs w:val="24"/>
        </w:rPr>
        <w:t xml:space="preserve"> of the company</w:t>
      </w:r>
      <w:r>
        <w:rPr>
          <w:rFonts w:cs="Times New Roman"/>
          <w:szCs w:val="24"/>
        </w:rPr>
        <w:t xml:space="preserve">. </w:t>
      </w:r>
      <w:r>
        <w:rPr>
          <w:rFonts w:cs="Times New Roman"/>
          <w:szCs w:val="24"/>
        </w:rPr>
        <w:t>Considering</w:t>
      </w:r>
      <w:r>
        <w:rPr>
          <w:rFonts w:cs="Times New Roman"/>
          <w:szCs w:val="24"/>
        </w:rPr>
        <w:t xml:space="preserve"> Burberry Group Plc, the report aims </w:t>
      </w:r>
      <w:r>
        <w:rPr>
          <w:rFonts w:cs="Times New Roman"/>
          <w:szCs w:val="24"/>
        </w:rPr>
        <w:t>to provide</w:t>
      </w:r>
      <w:r>
        <w:rPr>
          <w:rFonts w:cs="Times New Roman"/>
          <w:szCs w:val="24"/>
        </w:rPr>
        <w:t xml:space="preserve"> valuable </w:t>
      </w:r>
      <w:r>
        <w:rPr>
          <w:rFonts w:cs="Times New Roman"/>
          <w:b/>
          <w:bCs/>
          <w:i/>
          <w:iCs/>
          <w:szCs w:val="24"/>
        </w:rPr>
        <w:t>financial insights</w:t>
      </w:r>
      <w:r>
        <w:rPr>
          <w:rFonts w:cs="Times New Roman"/>
          <w:szCs w:val="24"/>
        </w:rPr>
        <w:t xml:space="preserve"> using </w:t>
      </w:r>
      <w:r>
        <w:rPr>
          <w:rFonts w:cs="Times New Roman"/>
          <w:b/>
          <w:bCs/>
          <w:i/>
          <w:iCs/>
          <w:szCs w:val="24"/>
        </w:rPr>
        <w:t>ratio analysis</w:t>
      </w:r>
      <w:r>
        <w:rPr>
          <w:rFonts w:cs="Times New Roman"/>
          <w:b/>
          <w:bCs/>
          <w:i/>
          <w:iCs/>
          <w:szCs w:val="24"/>
        </w:rPr>
        <w:t>,</w:t>
      </w:r>
      <w:r>
        <w:rPr>
          <w:rFonts w:cs="Times New Roman"/>
          <w:szCs w:val="24"/>
        </w:rPr>
        <w:t xml:space="preserve"> </w:t>
      </w:r>
      <w:r>
        <w:rPr>
          <w:rFonts w:cs="Times New Roman"/>
          <w:szCs w:val="24"/>
        </w:rPr>
        <w:t xml:space="preserve">and </w:t>
      </w:r>
      <w:r>
        <w:rPr>
          <w:rFonts w:cs="Times New Roman"/>
          <w:b/>
          <w:bCs/>
          <w:i/>
          <w:iCs/>
          <w:szCs w:val="24"/>
        </w:rPr>
        <w:t>investment appraisal techniques</w:t>
      </w:r>
      <w:r>
        <w:rPr>
          <w:rFonts w:cs="Times New Roman"/>
          <w:szCs w:val="24"/>
        </w:rPr>
        <w:t xml:space="preserve"> for analysing the project investment.</w:t>
      </w:r>
      <w:r>
        <w:rPr>
          <w:rFonts w:cs="Times New Roman"/>
          <w:szCs w:val="24"/>
        </w:rPr>
        <w:t xml:space="preserve"> </w:t>
      </w:r>
      <w:r>
        <w:rPr>
          <w:rFonts w:cs="Times New Roman"/>
          <w:b/>
          <w:bCs/>
          <w:i/>
          <w:iCs/>
          <w:szCs w:val="24"/>
        </w:rPr>
        <w:t>Burberry Group Plc</w:t>
      </w:r>
      <w:r>
        <w:rPr>
          <w:rFonts w:cs="Times New Roman"/>
          <w:szCs w:val="24"/>
        </w:rPr>
        <w:t xml:space="preserve"> is a public limited company founded </w:t>
      </w:r>
      <w:r>
        <w:rPr>
          <w:rFonts w:cs="Times New Roman"/>
          <w:szCs w:val="24"/>
        </w:rPr>
        <w:t xml:space="preserve">by </w:t>
      </w:r>
      <w:r>
        <w:rPr>
          <w:rFonts w:cs="Times New Roman"/>
          <w:b/>
          <w:bCs/>
          <w:i/>
          <w:iCs/>
          <w:szCs w:val="24"/>
        </w:rPr>
        <w:t>Thomas Burberry</w:t>
      </w:r>
      <w:r>
        <w:rPr>
          <w:rFonts w:cs="Times New Roman"/>
          <w:szCs w:val="24"/>
        </w:rPr>
        <w:t xml:space="preserve"> in </w:t>
      </w:r>
      <w:r>
        <w:rPr>
          <w:rFonts w:cs="Times New Roman"/>
          <w:szCs w:val="24"/>
        </w:rPr>
        <w:t>1856 and is headquartered in London, United Kingdom</w:t>
      </w:r>
      <w:r>
        <w:rPr>
          <w:rFonts w:cs="Times New Roman"/>
          <w:szCs w:val="24"/>
        </w:rPr>
        <w:t xml:space="preserve"> (</w:t>
      </w:r>
      <w:r>
        <w:rPr>
          <w:rFonts w:cs="Times New Roman"/>
          <w:szCs w:val="24"/>
        </w:rPr>
        <w:t>Burberry, 2024)</w:t>
      </w:r>
      <w:r>
        <w:rPr>
          <w:rFonts w:cs="Times New Roman"/>
          <w:szCs w:val="24"/>
        </w:rPr>
        <w:t xml:space="preserve">. Being </w:t>
      </w:r>
      <w:r>
        <w:rPr>
          <w:rFonts w:cs="Times New Roman"/>
          <w:szCs w:val="24"/>
        </w:rPr>
        <w:t xml:space="preserve">a key player in the </w:t>
      </w:r>
      <w:r>
        <w:rPr>
          <w:rFonts w:cs="Times New Roman"/>
          <w:b/>
          <w:bCs/>
          <w:i/>
          <w:iCs/>
          <w:szCs w:val="24"/>
        </w:rPr>
        <w:t>Fashion industry</w:t>
      </w:r>
      <w:r>
        <w:rPr>
          <w:rFonts w:cs="Times New Roman"/>
          <w:szCs w:val="24"/>
        </w:rPr>
        <w:t xml:space="preserve"> for more than</w:t>
      </w:r>
      <w:r>
        <w:rPr>
          <w:rFonts w:cs="Times New Roman"/>
          <w:szCs w:val="24"/>
        </w:rPr>
        <w:t xml:space="preserve"> a century, the comp</w:t>
      </w:r>
      <w:r>
        <w:rPr>
          <w:rFonts w:cs="Times New Roman"/>
          <w:szCs w:val="24"/>
        </w:rPr>
        <w:t xml:space="preserve">any’s operations </w:t>
      </w:r>
      <w:r>
        <w:rPr>
          <w:rFonts w:cs="Times New Roman"/>
          <w:szCs w:val="24"/>
        </w:rPr>
        <w:t xml:space="preserve">have served worldwide offering </w:t>
      </w:r>
      <w:r>
        <w:rPr>
          <w:rFonts w:cs="Times New Roman"/>
          <w:b/>
          <w:bCs/>
          <w:i/>
          <w:iCs/>
          <w:szCs w:val="24"/>
        </w:rPr>
        <w:t xml:space="preserve">ready-to-wear, handbags, leather </w:t>
      </w:r>
      <w:r>
        <w:rPr>
          <w:rFonts w:cs="Times New Roman"/>
          <w:b/>
          <w:bCs/>
          <w:i/>
          <w:iCs/>
          <w:szCs w:val="24"/>
        </w:rPr>
        <w:t>products, and</w:t>
      </w:r>
      <w:r>
        <w:rPr>
          <w:rFonts w:cs="Times New Roman"/>
          <w:b/>
          <w:bCs/>
          <w:i/>
          <w:iCs/>
          <w:szCs w:val="24"/>
        </w:rPr>
        <w:t xml:space="preserve"> </w:t>
      </w:r>
      <w:r>
        <w:rPr>
          <w:rFonts w:cs="Times New Roman"/>
          <w:b/>
          <w:bCs/>
          <w:i/>
          <w:iCs/>
          <w:szCs w:val="24"/>
        </w:rPr>
        <w:t>footwear</w:t>
      </w:r>
      <w:r>
        <w:rPr>
          <w:rFonts w:cs="Times New Roman"/>
          <w:szCs w:val="24"/>
        </w:rPr>
        <w:t xml:space="preserve"> through its </w:t>
      </w:r>
      <w:r>
        <w:rPr>
          <w:rFonts w:cs="Times New Roman"/>
          <w:b/>
          <w:bCs/>
          <w:i/>
          <w:iCs/>
          <w:szCs w:val="24"/>
        </w:rPr>
        <w:t>business model</w:t>
      </w:r>
      <w:r>
        <w:rPr>
          <w:rFonts w:cs="Times New Roman"/>
          <w:szCs w:val="24"/>
        </w:rPr>
        <w:t xml:space="preserve"> based on the combination of </w:t>
      </w:r>
      <w:r>
        <w:rPr>
          <w:rFonts w:cs="Times New Roman"/>
          <w:b/>
          <w:bCs/>
          <w:i/>
          <w:iCs/>
          <w:szCs w:val="24"/>
        </w:rPr>
        <w:t>traditional craftsmanship</w:t>
      </w:r>
      <w:r>
        <w:rPr>
          <w:rFonts w:cs="Times New Roman"/>
          <w:szCs w:val="24"/>
        </w:rPr>
        <w:t xml:space="preserve"> and </w:t>
      </w:r>
      <w:r>
        <w:rPr>
          <w:rFonts w:cs="Times New Roman"/>
          <w:b/>
          <w:bCs/>
          <w:i/>
          <w:iCs/>
          <w:szCs w:val="24"/>
        </w:rPr>
        <w:t xml:space="preserve">innovative </w:t>
      </w:r>
      <w:r>
        <w:rPr>
          <w:rFonts w:cs="Times New Roman"/>
          <w:b/>
          <w:bCs/>
          <w:i/>
          <w:iCs/>
          <w:szCs w:val="24"/>
        </w:rPr>
        <w:t>manufacturing</w:t>
      </w:r>
      <w:r>
        <w:rPr>
          <w:rFonts w:cs="Times New Roman"/>
          <w:szCs w:val="24"/>
        </w:rPr>
        <w:t xml:space="preserve"> (</w:t>
      </w:r>
      <w:r>
        <w:rPr>
          <w:rFonts w:cs="Times New Roman"/>
          <w:szCs w:val="24"/>
        </w:rPr>
        <w:t>Burberry, 2024)</w:t>
      </w:r>
      <w:r>
        <w:rPr>
          <w:rFonts w:cs="Times New Roman"/>
          <w:szCs w:val="24"/>
        </w:rPr>
        <w:t>.</w:t>
      </w:r>
      <w:r>
        <w:rPr>
          <w:rFonts w:cs="Times New Roman"/>
          <w:szCs w:val="24"/>
        </w:rPr>
        <w:t xml:space="preserve"> Furthermore, the business model of the company is based on four pillars</w:t>
      </w:r>
      <w:r>
        <w:rPr>
          <w:rFonts w:cs="Times New Roman"/>
          <w:szCs w:val="24"/>
        </w:rPr>
        <w:t xml:space="preserve"> as depicted in the below figure. </w:t>
      </w:r>
    </w:p>
    <w:p>
      <w:pPr>
        <w:pStyle w:val="style0"/>
        <w:spacing w:before="240" w:after="240"/>
        <w:rPr>
          <w:rFonts w:cs="Times New Roman"/>
          <w:szCs w:val="24"/>
        </w:rPr>
      </w:pPr>
    </w:p>
    <w:p>
      <w:pPr>
        <w:pStyle w:val="style0"/>
        <w:spacing w:before="240" w:after="240"/>
        <w:rPr>
          <w:rFonts w:cs="Times New Roman"/>
          <w:szCs w:val="24"/>
        </w:rPr>
      </w:pPr>
    </w:p>
    <w:p>
      <w:pPr>
        <w:pStyle w:val="style0"/>
        <w:spacing w:before="240" w:after="240"/>
        <w:rPr>
          <w:rFonts w:cs="Times New Roman"/>
          <w:szCs w:val="24"/>
        </w:rPr>
      </w:pPr>
    </w:p>
    <w:p>
      <w:pPr>
        <w:pStyle w:val="style0"/>
        <w:spacing w:before="240" w:after="240"/>
        <w:rPr>
          <w:rFonts w:cs="Times New Roman"/>
          <w:szCs w:val="24"/>
        </w:rPr>
      </w:pPr>
    </w:p>
    <w:p>
      <w:pPr>
        <w:pStyle w:val="style0"/>
        <w:spacing w:before="240" w:after="240"/>
        <w:rPr>
          <w:rFonts w:cs="Times New Roman"/>
          <w:szCs w:val="24"/>
        </w:rPr>
      </w:pPr>
      <w:r>
        <w:rPr>
          <w:rFonts w:cs="Times New Roman"/>
          <w:noProof/>
          <w:szCs w:val="24"/>
        </w:rPr>
        <mc:AlternateContent>
          <mc:Choice Requires="wps">
            <w:drawing>
              <wp:anchor distT="0" distB="0" distL="114300" distR="114300" simplePos="false" relativeHeight="26" behindDoc="false" locked="false" layoutInCell="true" allowOverlap="true">
                <wp:simplePos x="0" y="0"/>
                <wp:positionH relativeFrom="margin">
                  <wp:align>center</wp:align>
                </wp:positionH>
                <wp:positionV relativeFrom="paragraph">
                  <wp:posOffset>274760</wp:posOffset>
                </wp:positionV>
                <wp:extent cx="2573020" cy="462915"/>
                <wp:effectExtent l="0" t="0" r="0" b="0"/>
                <wp:wrapSquare wrapText="bothSides"/>
                <wp:docPr id="1030" name="Text Box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2573020" cy="462915"/>
                        </a:xfrm>
                        <a:prstGeom prst="rect"/>
                        <a:solidFill>
                          <a:srgbClr val="ffffff"/>
                        </a:solidFill>
                        <a:ln>
                          <a:noFill/>
                        </a:ln>
                      </wps:spPr>
                      <wps:txbx id="1030">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2</w:t>
                            </w:r>
                            <w:r>
                              <w:rPr>
                                <w:b/>
                                <w:bCs/>
                                <w:color w:val="auto"/>
                                <w:sz w:val="24"/>
                                <w:szCs w:val="32"/>
                              </w:rPr>
                              <w:fldChar w:fldCharType="end"/>
                            </w:r>
                            <w:r>
                              <w:rPr>
                                <w:b/>
                                <w:bCs/>
                                <w:color w:val="auto"/>
                                <w:sz w:val="24"/>
                                <w:szCs w:val="32"/>
                              </w:rPr>
                              <w:t>: Burberry; s Business Model</w:t>
                            </w:r>
                            <w:r>
                              <w:rPr>
                                <w:b/>
                                <w:bCs/>
                                <w:color w:val="auto"/>
                                <w:sz w:val="24"/>
                                <w:szCs w:val="32"/>
                              </w:rPr>
                              <w:br/>
                            </w:r>
                            <w:r>
                              <w:rPr>
                                <w:b/>
                                <w:bCs/>
                                <w:color w:val="auto"/>
                                <w:sz w:val="24"/>
                                <w:szCs w:val="32"/>
                              </w:rPr>
                              <w:t>(Source: Burberry, 2024)</w:t>
                            </w:r>
                          </w:p>
                        </w:txbxContent>
                      </wps:txbx>
                      <wps:bodyPr lIns="0" rIns="0" tIns="0" bIns="0" vert="horz" anchor="t" wrap="square">
                        <a:prstTxWarp prst="textNoShape"/>
                        <a:noAutofit/>
                      </wps:bodyPr>
                    </wps:wsp>
                  </a:graphicData>
                </a:graphic>
                <wp14:sizeRelH relativeFrom="margin">
                  <wp14:pctWidth>0</wp14:pctWidth>
                </wp14:sizeRelH>
                <wp14:sizeRelV relativeFrom="margin">
                  <wp14:pctHeight>0</wp14:pctHeight>
                </wp14:sizeRelV>
              </wp:anchor>
            </w:drawing>
          </mc:Choice>
          <mc:Fallback>
            <w:pict>
              <v:rect id="1030" fillcolor="white" stroked="f" style="position:absolute;margin-left:0.0pt;margin-top:21.63pt;width:202.6pt;height:36.45pt;z-index:26;mso-position-horizontal:center;mso-position-horizontal-relative:margin;mso-position-vertical-relative:text;mso-width-percent:0;mso-height-percent:0;mso-width-relative:margin;mso-height-relative:margin;visibility:visible;">
                <v:stroke on="f"/>
                <w10:wrap type="square"/>
                <v:fill/>
                <v:textbox inset="0.0pt,0.0pt,0.0pt,0.0pt">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2</w:t>
                      </w:r>
                      <w:r>
                        <w:rPr>
                          <w:b/>
                          <w:bCs/>
                          <w:color w:val="auto"/>
                          <w:sz w:val="24"/>
                          <w:szCs w:val="32"/>
                        </w:rPr>
                        <w:fldChar w:fldCharType="end"/>
                      </w:r>
                      <w:r>
                        <w:rPr>
                          <w:b/>
                          <w:bCs/>
                          <w:color w:val="auto"/>
                          <w:sz w:val="24"/>
                          <w:szCs w:val="32"/>
                        </w:rPr>
                        <w:t>: Burberry; s Business Model</w:t>
                      </w:r>
                      <w:r>
                        <w:rPr>
                          <w:b/>
                          <w:bCs/>
                          <w:color w:val="auto"/>
                          <w:sz w:val="24"/>
                          <w:szCs w:val="32"/>
                        </w:rPr>
                        <w:br/>
                      </w:r>
                      <w:r>
                        <w:rPr>
                          <w:b/>
                          <w:bCs/>
                          <w:color w:val="auto"/>
                          <w:sz w:val="24"/>
                          <w:szCs w:val="32"/>
                        </w:rPr>
                        <w:t>(Source: Burberry, 2024)</w:t>
                      </w:r>
                    </w:p>
                  </w:txbxContent>
                </v:textbox>
              </v:rect>
            </w:pict>
          </mc:Fallback>
        </mc:AlternateContent>
      </w:r>
    </w:p>
    <w:p>
      <w:pPr>
        <w:pStyle w:val="style0"/>
        <w:spacing w:before="240" w:after="240"/>
        <w:rPr>
          <w:rFonts w:cs="Times New Roman"/>
          <w:szCs w:val="24"/>
        </w:rPr>
      </w:pPr>
    </w:p>
    <w:p>
      <w:pPr>
        <w:pStyle w:val="style0"/>
        <w:spacing w:before="240" w:after="240"/>
        <w:rPr>
          <w:rFonts w:cs="Times New Roman"/>
          <w:szCs w:val="24"/>
        </w:rPr>
      </w:pPr>
    </w:p>
    <w:p>
      <w:pPr>
        <w:pStyle w:val="style0"/>
        <w:spacing w:before="240" w:after="240"/>
        <w:rPr>
          <w:rFonts w:cs="Times New Roman"/>
          <w:szCs w:val="24"/>
        </w:rPr>
      </w:pPr>
      <w:r>
        <w:rPr>
          <w:rFonts w:cs="Times New Roman"/>
          <w:szCs w:val="24"/>
        </w:rPr>
        <w:t>The model</w:t>
      </w:r>
      <w:r>
        <w:rPr>
          <w:rFonts w:cs="Times New Roman"/>
          <w:szCs w:val="24"/>
        </w:rPr>
        <w:t xml:space="preserve"> </w:t>
      </w:r>
      <w:r>
        <w:rPr>
          <w:rFonts w:cs="Times New Roman"/>
          <w:szCs w:val="24"/>
        </w:rPr>
        <w:t>is initiated</w:t>
      </w:r>
      <w:r>
        <w:rPr>
          <w:rFonts w:cs="Times New Roman"/>
          <w:szCs w:val="24"/>
        </w:rPr>
        <w:t xml:space="preserve"> from the customer-focused innovating </w:t>
      </w:r>
      <w:r>
        <w:rPr>
          <w:rFonts w:cs="Times New Roman"/>
          <w:b/>
          <w:bCs/>
          <w:i/>
          <w:iCs/>
          <w:szCs w:val="24"/>
        </w:rPr>
        <w:t>design</w:t>
      </w:r>
      <w:r>
        <w:rPr>
          <w:rFonts w:cs="Times New Roman"/>
          <w:szCs w:val="24"/>
        </w:rPr>
        <w:t xml:space="preserve"> to </w:t>
      </w:r>
      <w:r>
        <w:rPr>
          <w:rFonts w:cs="Times New Roman"/>
          <w:b/>
          <w:bCs/>
          <w:i/>
          <w:iCs/>
          <w:szCs w:val="24"/>
        </w:rPr>
        <w:t>distribution and selling</w:t>
      </w:r>
      <w:r>
        <w:rPr>
          <w:rFonts w:cs="Times New Roman"/>
          <w:szCs w:val="24"/>
        </w:rPr>
        <w:t xml:space="preserve"> of the products through franchise stores, online, and wholesale channels followed by </w:t>
      </w:r>
      <w:r>
        <w:rPr>
          <w:rFonts w:cs="Times New Roman"/>
          <w:b/>
          <w:bCs/>
          <w:i/>
          <w:iCs/>
          <w:szCs w:val="24"/>
        </w:rPr>
        <w:t>manufacturing</w:t>
      </w:r>
      <w:r>
        <w:rPr>
          <w:rFonts w:cs="Times New Roman"/>
          <w:szCs w:val="24"/>
        </w:rPr>
        <w:t xml:space="preserve"> and </w:t>
      </w:r>
      <w:r>
        <w:rPr>
          <w:rFonts w:cs="Times New Roman"/>
          <w:b/>
          <w:bCs/>
          <w:i/>
          <w:iCs/>
          <w:szCs w:val="24"/>
        </w:rPr>
        <w:t>sourcing</w:t>
      </w:r>
      <w:r>
        <w:rPr>
          <w:rFonts w:cs="Times New Roman"/>
          <w:szCs w:val="24"/>
        </w:rPr>
        <w:t xml:space="preserve"> the high-quality luxury products (Burberry, 2024).</w:t>
      </w:r>
      <w:r>
        <w:rPr>
          <w:rFonts w:cs="Times New Roman"/>
          <w:szCs w:val="24"/>
        </w:rPr>
        <w:t xml:space="preserve"> Furthermore, the model assists the company in keeping the value chain operations given the </w:t>
      </w:r>
      <w:r>
        <w:rPr>
          <w:rFonts w:cs="Times New Roman"/>
          <w:b/>
          <w:bCs/>
          <w:i/>
          <w:iCs/>
          <w:szCs w:val="24"/>
        </w:rPr>
        <w:t>environmental safety and standards</w:t>
      </w:r>
      <w:r>
        <w:rPr>
          <w:rFonts w:cs="Times New Roman"/>
          <w:szCs w:val="24"/>
        </w:rPr>
        <w:t xml:space="preserve"> while sourcing the material (Burberry, 2024).</w:t>
      </w:r>
      <w:r>
        <w:rPr>
          <w:rFonts w:cs="Times New Roman"/>
          <w:szCs w:val="24"/>
        </w:rPr>
        <w:t xml:space="preserve"> </w:t>
      </w:r>
      <w:r>
        <w:rPr>
          <w:rFonts w:cs="Times New Roman"/>
          <w:szCs w:val="24"/>
        </w:rPr>
        <w:t xml:space="preserve">Recording a revenue of </w:t>
      </w:r>
      <w:r>
        <w:rPr>
          <w:rFonts w:cs="Times New Roman"/>
          <w:szCs w:val="24"/>
        </w:rPr>
        <w:t>£2,968 million in 2023</w:t>
      </w:r>
      <w:r>
        <w:rPr>
          <w:rFonts w:cs="Times New Roman"/>
          <w:szCs w:val="24"/>
        </w:rPr>
        <w:t xml:space="preserve">, the company has </w:t>
      </w:r>
      <w:r>
        <w:rPr>
          <w:rFonts w:cs="Times New Roman"/>
          <w:szCs w:val="24"/>
        </w:rPr>
        <w:t xml:space="preserve">been </w:t>
      </w:r>
      <w:r>
        <w:rPr>
          <w:rFonts w:cs="Times New Roman"/>
          <w:szCs w:val="24"/>
        </w:rPr>
        <w:t>able to</w:t>
      </w:r>
      <w:r>
        <w:rPr>
          <w:rFonts w:cs="Times New Roman"/>
          <w:szCs w:val="24"/>
        </w:rPr>
        <w:t xml:space="preserve"> survive its </w:t>
      </w:r>
      <w:r>
        <w:rPr>
          <w:rFonts w:cs="Times New Roman"/>
          <w:szCs w:val="24"/>
        </w:rPr>
        <w:t>leading</w:t>
      </w:r>
      <w:r>
        <w:rPr>
          <w:rFonts w:cs="Times New Roman"/>
          <w:szCs w:val="24"/>
        </w:rPr>
        <w:t xml:space="preserve"> competitors such as </w:t>
      </w:r>
      <w:r>
        <w:rPr>
          <w:rFonts w:cs="Times New Roman"/>
          <w:b/>
          <w:bCs/>
          <w:i/>
          <w:iCs/>
          <w:szCs w:val="24"/>
        </w:rPr>
        <w:t xml:space="preserve">Marks and </w:t>
      </w:r>
      <w:r>
        <w:rPr>
          <w:rFonts w:cs="Times New Roman"/>
          <w:b/>
          <w:bCs/>
          <w:i/>
          <w:iCs/>
          <w:szCs w:val="24"/>
        </w:rPr>
        <w:t>Spencer</w:t>
      </w:r>
      <w:r>
        <w:rPr>
          <w:rFonts w:cs="Times New Roman"/>
          <w:b/>
          <w:bCs/>
          <w:i/>
          <w:iCs/>
          <w:szCs w:val="24"/>
        </w:rPr>
        <w:t xml:space="preserve">, </w:t>
      </w:r>
      <w:r>
        <w:rPr>
          <w:rFonts w:cs="Times New Roman"/>
          <w:b/>
          <w:bCs/>
          <w:i/>
          <w:iCs/>
          <w:szCs w:val="24"/>
        </w:rPr>
        <w:t>Taylor Wimpey, Whitbread</w:t>
      </w:r>
      <w:r>
        <w:rPr>
          <w:rFonts w:cs="Times New Roman"/>
          <w:b/>
          <w:bCs/>
          <w:i/>
          <w:iCs/>
          <w:szCs w:val="24"/>
        </w:rPr>
        <w:t>,</w:t>
      </w:r>
      <w:r>
        <w:rPr>
          <w:rFonts w:cs="Times New Roman"/>
          <w:b/>
          <w:bCs/>
          <w:i/>
          <w:iCs/>
          <w:szCs w:val="24"/>
        </w:rPr>
        <w:t xml:space="preserve"> The Berkeley Group</w:t>
      </w:r>
      <w:r>
        <w:rPr>
          <w:rFonts w:cs="Times New Roman"/>
          <w:b/>
          <w:bCs/>
          <w:i/>
          <w:iCs/>
          <w:szCs w:val="24"/>
        </w:rPr>
        <w:t>,</w:t>
      </w:r>
      <w:r>
        <w:rPr>
          <w:rFonts w:cs="Times New Roman"/>
          <w:b/>
          <w:bCs/>
          <w:i/>
          <w:iCs/>
          <w:szCs w:val="24"/>
        </w:rPr>
        <w:t xml:space="preserve"> and </w:t>
      </w:r>
      <w:r>
        <w:rPr>
          <w:rFonts w:cs="Times New Roman"/>
          <w:b/>
          <w:bCs/>
          <w:i/>
          <w:iCs/>
          <w:szCs w:val="24"/>
        </w:rPr>
        <w:t>Asos Plc</w:t>
      </w:r>
      <w:r>
        <w:rPr>
          <w:rFonts w:cs="Times New Roman"/>
          <w:b/>
          <w:bCs/>
          <w:i/>
          <w:iCs/>
          <w:szCs w:val="24"/>
        </w:rPr>
        <w:t xml:space="preserve"> </w:t>
      </w:r>
      <w:r>
        <w:rPr>
          <w:rFonts w:cs="Times New Roman"/>
          <w:szCs w:val="24"/>
        </w:rPr>
        <w:t xml:space="preserve">with a market </w:t>
      </w:r>
      <w:r>
        <w:rPr>
          <w:rFonts w:cs="Times New Roman"/>
          <w:szCs w:val="24"/>
        </w:rPr>
        <w:t>capitalisation</w:t>
      </w:r>
      <w:r>
        <w:rPr>
          <w:rFonts w:cs="Times New Roman"/>
          <w:szCs w:val="24"/>
        </w:rPr>
        <w:t xml:space="preserve"> of </w:t>
      </w:r>
      <w:r>
        <w:rPr>
          <w:rFonts w:cs="Times New Roman"/>
          <w:szCs w:val="24"/>
        </w:rPr>
        <w:t>£2.68 billion</w:t>
      </w:r>
      <w:r>
        <w:rPr>
          <w:rFonts w:cs="Times New Roman"/>
          <w:szCs w:val="24"/>
        </w:rPr>
        <w:t xml:space="preserve"> in 2023</w:t>
      </w:r>
      <w:r>
        <w:rPr>
          <w:rFonts w:cs="Times New Roman"/>
          <w:szCs w:val="24"/>
        </w:rPr>
        <w:t xml:space="preserve"> (</w:t>
      </w:r>
      <w:r>
        <w:rPr>
          <w:rFonts w:cs="Times New Roman"/>
          <w:szCs w:val="24"/>
        </w:rPr>
        <w:t>Market</w:t>
      </w:r>
      <w:r>
        <w:rPr>
          <w:rFonts w:cs="Times New Roman"/>
          <w:szCs w:val="24"/>
        </w:rPr>
        <w:t xml:space="preserve"> </w:t>
      </w:r>
      <w:r>
        <w:rPr>
          <w:rFonts w:cs="Times New Roman"/>
          <w:szCs w:val="24"/>
        </w:rPr>
        <w:t xml:space="preserve">beat, 2024). </w:t>
      </w:r>
    </w:p>
    <w:p>
      <w:pPr>
        <w:pStyle w:val="style0"/>
        <w:spacing w:before="240" w:after="240"/>
        <w:rPr>
          <w:rFonts w:cs="Times New Roman"/>
          <w:szCs w:val="24"/>
        </w:rPr>
      </w:pPr>
      <w:r>
        <w:rPr>
          <w:rFonts w:cs="Times New Roman"/>
          <w:szCs w:val="24"/>
        </w:rPr>
        <w:t>However,</w:t>
      </w:r>
      <w:r>
        <w:rPr>
          <w:rFonts w:cs="Times New Roman"/>
          <w:szCs w:val="24"/>
        </w:rPr>
        <w:t xml:space="preserve"> consideration of the </w:t>
      </w:r>
      <w:r>
        <w:rPr>
          <w:rFonts w:cs="Times New Roman"/>
          <w:szCs w:val="24"/>
        </w:rPr>
        <w:t xml:space="preserve">lower </w:t>
      </w:r>
      <w:r>
        <w:rPr>
          <w:rFonts w:cs="Times New Roman"/>
          <w:szCs w:val="24"/>
        </w:rPr>
        <w:t xml:space="preserve">growth margin in the Luxury </w:t>
      </w:r>
      <w:r>
        <w:rPr>
          <w:rFonts w:cs="Times New Roman"/>
          <w:szCs w:val="24"/>
        </w:rPr>
        <w:t>Economy</w:t>
      </w:r>
      <w:r>
        <w:rPr>
          <w:rFonts w:cs="Times New Roman"/>
          <w:szCs w:val="24"/>
        </w:rPr>
        <w:t xml:space="preserve"> </w:t>
      </w:r>
      <w:r>
        <w:rPr>
          <w:rFonts w:cs="Times New Roman"/>
          <w:szCs w:val="24"/>
        </w:rPr>
        <w:t>has resulted in the alteration in Burberry’s</w:t>
      </w:r>
      <w:r>
        <w:rPr>
          <w:rFonts w:cs="Times New Roman"/>
          <w:szCs w:val="24"/>
        </w:rPr>
        <w:t xml:space="preserve"> </w:t>
      </w:r>
      <w:r>
        <w:rPr>
          <w:rFonts w:cs="Times New Roman"/>
          <w:szCs w:val="24"/>
        </w:rPr>
        <w:t>policies as regards the leadership</w:t>
      </w:r>
      <w:r>
        <w:rPr>
          <w:rFonts w:cs="Times New Roman"/>
          <w:szCs w:val="24"/>
        </w:rPr>
        <w:t xml:space="preserve"> by appointing </w:t>
      </w:r>
      <w:r>
        <w:rPr>
          <w:rFonts w:cs="Times New Roman"/>
          <w:b/>
          <w:bCs/>
          <w:i/>
          <w:iCs/>
          <w:szCs w:val="24"/>
        </w:rPr>
        <w:t>Joshua Schulman</w:t>
      </w:r>
      <w:r>
        <w:rPr>
          <w:rFonts w:cs="Times New Roman"/>
          <w:szCs w:val="24"/>
        </w:rPr>
        <w:t xml:space="preserve"> as the new Chief Executive Officer </w:t>
      </w:r>
      <w:r>
        <w:rPr>
          <w:rFonts w:cs="Times New Roman"/>
          <w:szCs w:val="24"/>
        </w:rPr>
        <w:t>and Executive Director for driving t</w:t>
      </w:r>
      <w:r>
        <w:rPr>
          <w:rFonts w:cs="Times New Roman"/>
          <w:b/>
          <w:bCs/>
          <w:i/>
          <w:iCs/>
          <w:szCs w:val="24"/>
        </w:rPr>
        <w:t>ransitional growth and value creation</w:t>
      </w:r>
      <w:r>
        <w:rPr>
          <w:rFonts w:cs="Times New Roman"/>
          <w:szCs w:val="24"/>
        </w:rPr>
        <w:t xml:space="preserve"> in the luxury, </w:t>
      </w:r>
      <w:r>
        <w:rPr>
          <w:rFonts w:cs="Times New Roman"/>
          <w:szCs w:val="24"/>
        </w:rPr>
        <w:t>fashion and retail businesses (</w:t>
      </w:r>
      <w:r>
        <w:rPr>
          <w:rFonts w:cs="Times New Roman"/>
          <w:szCs w:val="24"/>
        </w:rPr>
        <w:t>Burberry, 2024).</w:t>
      </w:r>
      <w:r>
        <w:rPr>
          <w:rFonts w:cs="Times New Roman"/>
          <w:szCs w:val="24"/>
        </w:rPr>
        <w:t xml:space="preserve"> </w:t>
      </w:r>
      <w:r>
        <w:rPr>
          <w:rFonts w:cs="Times New Roman"/>
          <w:szCs w:val="24"/>
        </w:rPr>
        <w:t xml:space="preserve">Operating in more than </w:t>
      </w:r>
      <w:r>
        <w:rPr>
          <w:rFonts w:cs="Times New Roman"/>
          <w:b/>
          <w:bCs/>
          <w:i/>
          <w:iCs/>
          <w:szCs w:val="24"/>
        </w:rPr>
        <w:t>400 countries</w:t>
      </w:r>
      <w:r>
        <w:rPr>
          <w:rFonts w:cs="Times New Roman"/>
          <w:szCs w:val="24"/>
        </w:rPr>
        <w:t xml:space="preserve"> with approximately </w:t>
      </w:r>
      <w:r>
        <w:rPr>
          <w:rFonts w:cs="Times New Roman"/>
          <w:b/>
          <w:bCs/>
          <w:i/>
          <w:iCs/>
          <w:szCs w:val="24"/>
        </w:rPr>
        <w:t>9000 employees</w:t>
      </w:r>
      <w:r>
        <w:rPr>
          <w:rFonts w:cs="Times New Roman"/>
          <w:szCs w:val="24"/>
        </w:rPr>
        <w:t xml:space="preserve">, for the last five years the company’s profits </w:t>
      </w:r>
      <w:r>
        <w:rPr>
          <w:rFonts w:cs="Times New Roman"/>
          <w:szCs w:val="24"/>
        </w:rPr>
        <w:t>have</w:t>
      </w:r>
      <w:r>
        <w:rPr>
          <w:rFonts w:cs="Times New Roman"/>
          <w:szCs w:val="24"/>
        </w:rPr>
        <w:t xml:space="preserve"> been on </w:t>
      </w:r>
      <w:r>
        <w:rPr>
          <w:rFonts w:cs="Times New Roman"/>
          <w:szCs w:val="24"/>
        </w:rPr>
        <w:t>average growth except</w:t>
      </w:r>
      <w:r>
        <w:rPr>
          <w:rFonts w:cs="Times New Roman"/>
          <w:szCs w:val="24"/>
        </w:rPr>
        <w:t xml:space="preserve"> for</w:t>
      </w:r>
      <w:r>
        <w:rPr>
          <w:rFonts w:cs="Times New Roman"/>
          <w:szCs w:val="24"/>
        </w:rPr>
        <w:t xml:space="preserve"> the </w:t>
      </w:r>
      <w:r>
        <w:rPr>
          <w:rFonts w:cs="Times New Roman"/>
          <w:szCs w:val="24"/>
        </w:rPr>
        <w:t>2020</w:t>
      </w:r>
      <w:r>
        <w:rPr>
          <w:rFonts w:cs="Times New Roman"/>
          <w:szCs w:val="24"/>
        </w:rPr>
        <w:t xml:space="preserve"> financials which reported a</w:t>
      </w:r>
      <w:r>
        <w:rPr>
          <w:rFonts w:cs="Times New Roman"/>
          <w:szCs w:val="24"/>
        </w:rPr>
        <w:t xml:space="preserve">n </w:t>
      </w:r>
      <w:r>
        <w:rPr>
          <w:rFonts w:cs="Times New Roman"/>
          <w:b/>
          <w:bCs/>
          <w:i/>
          <w:iCs/>
          <w:szCs w:val="24"/>
        </w:rPr>
        <w:t>operating</w:t>
      </w:r>
      <w:r>
        <w:rPr>
          <w:rFonts w:cs="Times New Roman"/>
          <w:b/>
          <w:bCs/>
          <w:i/>
          <w:iCs/>
          <w:szCs w:val="24"/>
        </w:rPr>
        <w:t xml:space="preserve"> profit of </w:t>
      </w:r>
      <w:r>
        <w:rPr>
          <w:rFonts w:cs="Times New Roman"/>
          <w:b/>
          <w:bCs/>
          <w:i/>
          <w:iCs/>
          <w:szCs w:val="24"/>
        </w:rPr>
        <w:t>£188.7 million</w:t>
      </w:r>
      <w:r>
        <w:rPr>
          <w:rFonts w:cs="Times New Roman"/>
          <w:szCs w:val="24"/>
        </w:rPr>
        <w:t>, represented by a decline</w:t>
      </w:r>
      <w:r>
        <w:rPr>
          <w:rFonts w:cs="Times New Roman"/>
          <w:szCs w:val="24"/>
        </w:rPr>
        <w:t xml:space="preserve"> due to the </w:t>
      </w:r>
      <w:r>
        <w:rPr>
          <w:rFonts w:cs="Times New Roman"/>
          <w:b/>
          <w:bCs/>
          <w:i/>
          <w:iCs/>
          <w:szCs w:val="24"/>
        </w:rPr>
        <w:t>operational disruption</w:t>
      </w:r>
      <w:r>
        <w:rPr>
          <w:rFonts w:cs="Times New Roman"/>
          <w:szCs w:val="24"/>
        </w:rPr>
        <w:t xml:space="preserve"> followed by </w:t>
      </w:r>
      <w:r>
        <w:rPr>
          <w:rFonts w:cs="Times New Roman"/>
          <w:szCs w:val="24"/>
        </w:rPr>
        <w:t xml:space="preserve">the </w:t>
      </w:r>
      <w:r>
        <w:rPr>
          <w:rFonts w:cs="Times New Roman"/>
          <w:b/>
          <w:bCs/>
          <w:i/>
          <w:iCs/>
          <w:szCs w:val="24"/>
        </w:rPr>
        <w:t>COVID outbreak</w:t>
      </w:r>
      <w:r>
        <w:rPr>
          <w:rFonts w:cs="Times New Roman"/>
          <w:szCs w:val="24"/>
        </w:rPr>
        <w:t xml:space="preserve"> (</w:t>
      </w:r>
      <w:r>
        <w:rPr>
          <w:rFonts w:cs="Times New Roman"/>
          <w:szCs w:val="24"/>
        </w:rPr>
        <w:t>Burberry, 2020)</w:t>
      </w:r>
      <w:r>
        <w:rPr>
          <w:rFonts w:cs="Times New Roman"/>
          <w:szCs w:val="24"/>
        </w:rPr>
        <w:t>.</w:t>
      </w:r>
      <w:r>
        <w:rPr>
          <w:rFonts w:cs="Times New Roman"/>
          <w:szCs w:val="24"/>
        </w:rPr>
        <w:t xml:space="preserve"> </w:t>
      </w:r>
      <w:r>
        <w:rPr>
          <w:rFonts w:cs="Times New Roman"/>
          <w:szCs w:val="24"/>
        </w:rPr>
        <w:t>In addition, the</w:t>
      </w:r>
      <w:r>
        <w:rPr>
          <w:rFonts w:cs="Times New Roman"/>
          <w:szCs w:val="24"/>
        </w:rPr>
        <w:t xml:space="preserve"> acquisition of a</w:t>
      </w:r>
      <w:r>
        <w:rPr>
          <w:rFonts w:cs="Times New Roman"/>
          <w:szCs w:val="24"/>
        </w:rPr>
        <w:t>n Italian supplier</w:t>
      </w:r>
      <w:r>
        <w:rPr>
          <w:rFonts w:cs="Times New Roman"/>
          <w:szCs w:val="24"/>
        </w:rPr>
        <w:t xml:space="preserve"> in 2023</w:t>
      </w:r>
      <w:r>
        <w:rPr>
          <w:rFonts w:cs="Times New Roman"/>
          <w:szCs w:val="24"/>
        </w:rPr>
        <w:t xml:space="preserve">, </w:t>
      </w:r>
      <w:r>
        <w:rPr>
          <w:rFonts w:cs="Times New Roman"/>
          <w:b/>
          <w:bCs/>
          <w:i/>
          <w:iCs/>
          <w:szCs w:val="24"/>
        </w:rPr>
        <w:t xml:space="preserve">Pattern </w:t>
      </w:r>
      <w:r>
        <w:rPr>
          <w:rFonts w:cs="Times New Roman"/>
          <w:b/>
          <w:bCs/>
          <w:i/>
          <w:iCs/>
          <w:szCs w:val="24"/>
        </w:rPr>
        <w:t>SpA</w:t>
      </w:r>
      <w:r>
        <w:rPr>
          <w:rFonts w:cs="Times New Roman"/>
          <w:szCs w:val="24"/>
        </w:rPr>
        <w:t xml:space="preserve"> </w:t>
      </w:r>
      <w:r>
        <w:rPr>
          <w:rFonts w:cs="Times New Roman"/>
          <w:szCs w:val="24"/>
        </w:rPr>
        <w:t xml:space="preserve">has enlarged the operational scale of Burberry </w:t>
      </w:r>
      <w:r>
        <w:rPr>
          <w:rFonts w:cs="Times New Roman"/>
          <w:b/>
          <w:bCs/>
          <w:i/>
          <w:iCs/>
          <w:szCs w:val="24"/>
        </w:rPr>
        <w:t xml:space="preserve">in </w:t>
      </w:r>
      <w:r>
        <w:rPr>
          <w:rFonts w:cs="Times New Roman"/>
          <w:b/>
          <w:bCs/>
          <w:i/>
          <w:iCs/>
          <w:szCs w:val="24"/>
        </w:rPr>
        <w:t>Florence, Italy</w:t>
      </w:r>
      <w:r>
        <w:rPr>
          <w:rFonts w:cs="Times New Roman"/>
          <w:szCs w:val="24"/>
        </w:rPr>
        <w:t>, thereby enhancing the capability</w:t>
      </w:r>
      <w:r>
        <w:rPr>
          <w:rFonts w:cs="Times New Roman"/>
          <w:szCs w:val="24"/>
        </w:rPr>
        <w:t xml:space="preserve"> of Burberry</w:t>
      </w:r>
      <w:r>
        <w:rPr>
          <w:rFonts w:cs="Times New Roman"/>
          <w:szCs w:val="24"/>
        </w:rPr>
        <w:t xml:space="preserve"> Group</w:t>
      </w:r>
      <w:r>
        <w:rPr>
          <w:rFonts w:cs="Times New Roman"/>
          <w:szCs w:val="24"/>
        </w:rPr>
        <w:t xml:space="preserve"> to build technical </w:t>
      </w:r>
      <w:r>
        <w:rPr>
          <w:rFonts w:cs="Times New Roman"/>
          <w:szCs w:val="24"/>
        </w:rPr>
        <w:t xml:space="preserve">outwear and </w:t>
      </w:r>
      <w:r>
        <w:rPr>
          <w:rFonts w:cs="Times New Roman"/>
          <w:szCs w:val="24"/>
        </w:rPr>
        <w:t>incorporate</w:t>
      </w:r>
      <w:r>
        <w:rPr>
          <w:rFonts w:cs="Times New Roman"/>
          <w:szCs w:val="24"/>
        </w:rPr>
        <w:t xml:space="preserve"> sustainability in</w:t>
      </w:r>
      <w:r>
        <w:rPr>
          <w:rFonts w:cs="Times New Roman"/>
          <w:szCs w:val="24"/>
        </w:rPr>
        <w:t xml:space="preserve"> the company’s value chain (Burberry,</w:t>
      </w:r>
      <w:r>
        <w:rPr>
          <w:rFonts w:cs="Times New Roman"/>
          <w:szCs w:val="24"/>
        </w:rPr>
        <w:t xml:space="preserve"> </w:t>
      </w:r>
      <w:r>
        <w:rPr>
          <w:rFonts w:cs="Times New Roman"/>
          <w:szCs w:val="24"/>
        </w:rPr>
        <w:t>2023)</w:t>
      </w:r>
      <w:r>
        <w:rPr>
          <w:rFonts w:cs="Times New Roman"/>
          <w:szCs w:val="24"/>
        </w:rPr>
        <w:t>.</w:t>
      </w:r>
      <w:r>
        <w:rPr>
          <w:rFonts w:cs="Times New Roman"/>
          <w:szCs w:val="24"/>
        </w:rPr>
        <w:t xml:space="preserve"> </w:t>
      </w:r>
      <w:r>
        <w:rPr>
          <w:rFonts w:cs="Times New Roman"/>
          <w:szCs w:val="24"/>
        </w:rPr>
        <w:t>Furthermore, the</w:t>
      </w:r>
      <w:r>
        <w:rPr>
          <w:rFonts w:cs="Times New Roman"/>
          <w:szCs w:val="24"/>
        </w:rPr>
        <w:t xml:space="preserve"> recen</w:t>
      </w:r>
      <w:r>
        <w:rPr>
          <w:rFonts w:cs="Times New Roman"/>
          <w:szCs w:val="24"/>
        </w:rPr>
        <w:t>t</w:t>
      </w:r>
      <w:r>
        <w:rPr>
          <w:rFonts w:cs="Times New Roman"/>
          <w:szCs w:val="24"/>
        </w:rPr>
        <w:t xml:space="preserve"> </w:t>
      </w:r>
      <w:r>
        <w:rPr>
          <w:rFonts w:cs="Times New Roman"/>
          <w:szCs w:val="24"/>
        </w:rPr>
        <w:t>Burberry’s winning</w:t>
      </w:r>
      <w:r>
        <w:rPr>
          <w:rFonts w:cs="Times New Roman"/>
          <w:szCs w:val="24"/>
        </w:rPr>
        <w:t xml:space="preserve"> of lawsuits in China</w:t>
      </w:r>
      <w:r>
        <w:rPr>
          <w:rFonts w:cs="Times New Roman"/>
          <w:szCs w:val="24"/>
        </w:rPr>
        <w:t xml:space="preserve"> in 2024</w:t>
      </w:r>
      <w:r>
        <w:rPr>
          <w:rFonts w:cs="Times New Roman"/>
          <w:szCs w:val="24"/>
        </w:rPr>
        <w:t xml:space="preserve"> </w:t>
      </w:r>
      <w:r>
        <w:rPr>
          <w:rFonts w:cs="Times New Roman"/>
          <w:szCs w:val="24"/>
        </w:rPr>
        <w:t>for</w:t>
      </w:r>
      <w:r>
        <w:rPr>
          <w:rFonts w:cs="Times New Roman"/>
          <w:szCs w:val="24"/>
        </w:rPr>
        <w:t xml:space="preserve"> </w:t>
      </w:r>
      <w:r>
        <w:rPr>
          <w:rFonts w:cs="Times New Roman"/>
          <w:b/>
          <w:bCs/>
          <w:i/>
          <w:iCs/>
          <w:szCs w:val="24"/>
        </w:rPr>
        <w:t xml:space="preserve">trademark </w:t>
      </w:r>
      <w:r>
        <w:rPr>
          <w:rFonts w:cs="Times New Roman"/>
          <w:b/>
          <w:bCs/>
          <w:i/>
          <w:iCs/>
          <w:szCs w:val="24"/>
        </w:rPr>
        <w:t>infringement</w:t>
      </w:r>
      <w:r>
        <w:rPr>
          <w:rFonts w:cs="Times New Roman"/>
          <w:szCs w:val="24"/>
        </w:rPr>
        <w:t xml:space="preserve"> has resulted in </w:t>
      </w:r>
      <w:r>
        <w:rPr>
          <w:rFonts w:cs="Times New Roman"/>
          <w:szCs w:val="24"/>
        </w:rPr>
        <w:t xml:space="preserve">rewarding the company’s cash </w:t>
      </w:r>
      <w:r>
        <w:rPr>
          <w:rFonts w:cs="Times New Roman"/>
          <w:szCs w:val="24"/>
        </w:rPr>
        <w:t xml:space="preserve">balance by more than </w:t>
      </w:r>
      <w:r>
        <w:rPr>
          <w:rFonts w:cs="Times New Roman"/>
          <w:b/>
          <w:bCs/>
          <w:i/>
          <w:iCs/>
          <w:szCs w:val="24"/>
        </w:rPr>
        <w:t>£675,000</w:t>
      </w:r>
      <w:r>
        <w:rPr>
          <w:rFonts w:cs="Times New Roman"/>
          <w:szCs w:val="24"/>
        </w:rPr>
        <w:t xml:space="preserve"> </w:t>
      </w:r>
      <w:r>
        <w:rPr>
          <w:rFonts w:cs="Times New Roman"/>
          <w:szCs w:val="24"/>
        </w:rPr>
        <w:t>(Zhang, 2024).</w:t>
      </w:r>
      <w:r>
        <w:rPr>
          <w:rFonts w:cs="Times New Roman"/>
          <w:szCs w:val="24"/>
        </w:rPr>
        <w:t xml:space="preserve"> </w:t>
      </w:r>
      <w:r>
        <w:rPr>
          <w:rFonts w:cs="Times New Roman"/>
          <w:szCs w:val="24"/>
        </w:rPr>
        <w:t xml:space="preserve">Additionally, the company’s sustainability embarks on a target to achieve a </w:t>
      </w:r>
      <w:r>
        <w:rPr>
          <w:rFonts w:cs="Times New Roman"/>
          <w:b/>
          <w:bCs/>
          <w:i/>
          <w:iCs/>
          <w:szCs w:val="24"/>
        </w:rPr>
        <w:t>climate positive</w:t>
      </w:r>
      <w:r>
        <w:rPr>
          <w:rFonts w:cs="Times New Roman"/>
          <w:szCs w:val="24"/>
        </w:rPr>
        <w:t xml:space="preserve"> by 2040 in the luxury market economy</w:t>
      </w:r>
      <w:r>
        <w:rPr>
          <w:rFonts w:cs="Times New Roman"/>
          <w:szCs w:val="24"/>
        </w:rPr>
        <w:t xml:space="preserve"> </w:t>
      </w:r>
      <w:r>
        <w:rPr>
          <w:rFonts w:cs="Times New Roman"/>
          <w:szCs w:val="24"/>
        </w:rPr>
        <w:t xml:space="preserve">by investing in </w:t>
      </w:r>
      <w:r>
        <w:rPr>
          <w:rFonts w:cs="Times New Roman"/>
          <w:b/>
          <w:bCs/>
          <w:i/>
          <w:iCs/>
          <w:szCs w:val="24"/>
        </w:rPr>
        <w:t>carbon-free projects</w:t>
      </w:r>
      <w:r>
        <w:rPr>
          <w:rFonts w:cs="Times New Roman"/>
          <w:szCs w:val="24"/>
        </w:rPr>
        <w:t xml:space="preserve"> and reducing the carbon emissions from </w:t>
      </w:r>
      <w:r>
        <w:rPr>
          <w:rFonts w:cs="Times New Roman"/>
          <w:szCs w:val="24"/>
        </w:rPr>
        <w:t>its supply chain by 46% till 2030</w:t>
      </w:r>
      <w:r>
        <w:rPr>
          <w:rFonts w:cs="Times New Roman"/>
          <w:szCs w:val="24"/>
        </w:rPr>
        <w:t>, ensuring net zero carbon</w:t>
      </w:r>
      <w:r>
        <w:rPr>
          <w:rFonts w:cs="Times New Roman"/>
          <w:szCs w:val="24"/>
        </w:rPr>
        <w:t xml:space="preserve"> in compliance with </w:t>
      </w:r>
      <w:r>
        <w:rPr>
          <w:rFonts w:cs="Times New Roman"/>
          <w:b/>
          <w:bCs/>
          <w:i/>
          <w:iCs/>
          <w:szCs w:val="24"/>
        </w:rPr>
        <w:t xml:space="preserve">UN Sustainable </w:t>
      </w:r>
      <w:r>
        <w:rPr>
          <w:rFonts w:cs="Times New Roman"/>
          <w:b/>
          <w:bCs/>
          <w:i/>
          <w:iCs/>
          <w:szCs w:val="24"/>
        </w:rPr>
        <w:t xml:space="preserve">Development </w:t>
      </w:r>
      <w:r>
        <w:rPr>
          <w:rFonts w:cs="Times New Roman"/>
          <w:b/>
          <w:bCs/>
          <w:i/>
          <w:iCs/>
          <w:szCs w:val="24"/>
        </w:rPr>
        <w:t>Goals</w:t>
      </w:r>
      <w:r>
        <w:rPr>
          <w:rFonts w:cs="Times New Roman"/>
          <w:szCs w:val="24"/>
        </w:rPr>
        <w:t xml:space="preserve"> (Burberry, 202</w:t>
      </w:r>
      <w:r>
        <w:rPr>
          <w:rFonts w:cs="Times New Roman"/>
          <w:szCs w:val="24"/>
        </w:rPr>
        <w:t>1).</w:t>
      </w:r>
      <w:r>
        <w:rPr>
          <w:rFonts w:cs="Times New Roman"/>
          <w:szCs w:val="24"/>
        </w:rPr>
        <w:t xml:space="preserve"> </w:t>
      </w:r>
      <w:r>
        <w:rPr>
          <w:rFonts w:cs="Times New Roman"/>
          <w:szCs w:val="24"/>
        </w:rPr>
        <w:t xml:space="preserve"> </w:t>
      </w:r>
    </w:p>
    <w:p>
      <w:pPr>
        <w:pStyle w:val="style0"/>
        <w:spacing w:before="240" w:after="240"/>
        <w:jc w:val="left"/>
        <w:rPr>
          <w:rFonts w:cs="Times New Roman"/>
          <w:szCs w:val="24"/>
        </w:rPr>
      </w:pPr>
      <w:r>
        <w:rPr>
          <w:rFonts w:cs="Times New Roman"/>
          <w:szCs w:val="24"/>
        </w:rPr>
        <w:br w:type="page"/>
      </w:r>
    </w:p>
    <w:bookmarkStart w:id="1" w:name="_Toc173489793"/>
    <w:p>
      <w:pPr>
        <w:pStyle w:val="style1"/>
        <w:spacing w:before="240" w:after="240"/>
        <w:rPr>
          <w:rFonts w:cs="Times New Roman"/>
          <w:szCs w:val="24"/>
        </w:rPr>
      </w:pPr>
      <w:r>
        <w:rPr>
          <w:rFonts w:cs="Times New Roman"/>
          <w:szCs w:val="24"/>
        </w:rPr>
        <w:t xml:space="preserve">Burberry’s </w:t>
      </w:r>
      <w:r>
        <w:rPr>
          <w:rFonts w:cs="Times New Roman"/>
          <w:szCs w:val="24"/>
        </w:rPr>
        <w:t xml:space="preserve">and Asos’s </w:t>
      </w:r>
      <w:r>
        <w:rPr>
          <w:rFonts w:cs="Times New Roman"/>
          <w:szCs w:val="24"/>
        </w:rPr>
        <w:t>Financial Performance Review</w:t>
      </w:r>
      <w:bookmarkEnd w:id="1"/>
    </w:p>
    <w:bookmarkStart w:id="2" w:name="_Toc173489794"/>
    <w:p>
      <w:pPr>
        <w:pStyle w:val="style2"/>
        <w:spacing w:before="240" w:after="240"/>
        <w:rPr>
          <w:rFonts w:cs="Times New Roman"/>
          <w:szCs w:val="24"/>
        </w:rPr>
      </w:pPr>
      <w:r>
        <w:rPr>
          <w:rFonts w:cs="Times New Roman"/>
          <w:szCs w:val="24"/>
        </w:rPr>
        <w:t xml:space="preserve">Financial Analysis and </w:t>
      </w:r>
      <w:r>
        <w:rPr>
          <w:rFonts w:cs="Times New Roman"/>
          <w:szCs w:val="24"/>
        </w:rPr>
        <w:t>Its Significance</w:t>
      </w:r>
      <w:bookmarkEnd w:id="2"/>
    </w:p>
    <w:p>
      <w:pPr>
        <w:pStyle w:val="style0"/>
        <w:spacing w:before="240" w:after="240"/>
        <w:rPr>
          <w:rFonts w:cs="Times New Roman"/>
          <w:szCs w:val="24"/>
        </w:rPr>
      </w:pPr>
      <w:r>
        <w:rPr>
          <w:rFonts w:cs="Times New Roman"/>
          <w:b/>
          <w:i/>
          <w:noProof/>
          <w:szCs w:val="24"/>
        </w:rPr>
        <w:drawing>
          <wp:anchor distT="0" distB="0" distL="114300" distR="114300" simplePos="false" relativeHeight="10" behindDoc="false" locked="false" layoutInCell="true" allowOverlap="true">
            <wp:simplePos x="0" y="0"/>
            <wp:positionH relativeFrom="margin">
              <wp:align>center</wp:align>
            </wp:positionH>
            <wp:positionV relativeFrom="paragraph">
              <wp:posOffset>6887</wp:posOffset>
            </wp:positionV>
            <wp:extent cx="2391410" cy="1837055"/>
            <wp:effectExtent l="19050" t="19050" r="27940" b="10795"/>
            <wp:wrapSquare wrapText="bothSides"/>
            <wp:docPr id="1031" name="Picture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5"/>
                    <pic:cNvPicPr/>
                  </pic:nvPicPr>
                  <pic:blipFill>
                    <a:blip r:embed="rId5" cstate="print"/>
                    <a:srcRect l="0" t="0" r="0" b="0"/>
                    <a:stretch/>
                  </pic:blipFill>
                  <pic:spPr>
                    <a:xfrm rot="0">
                      <a:off x="0" y="0"/>
                      <a:ext cx="2391410" cy="1837055"/>
                    </a:xfrm>
                    <a:prstGeom prst="rect"/>
                    <a:ln cmpd="sng" cap="flat" w="12700">
                      <a:solidFill>
                        <a:srgbClr val="000000"/>
                      </a:solidFill>
                      <a:prstDash val="solid"/>
                      <a:round/>
                      <a:headEnd/>
                      <a:tailEnd/>
                    </a:ln>
                  </pic:spPr>
                </pic:pic>
              </a:graphicData>
            </a:graphic>
            <wp14:sizeRelH relativeFrom="margin">
              <wp14:pctWidth>0</wp14:pctWidth>
            </wp14:sizeRelH>
            <wp14:sizeRelV relativeFrom="margin">
              <wp14:pctHeight>0</wp14:pctHeight>
            </wp14:sizeRelV>
          </wp:anchor>
        </w:drawing>
      </w:r>
    </w:p>
    <w:p>
      <w:pPr>
        <w:pStyle w:val="style0"/>
        <w:spacing w:before="240" w:after="240"/>
        <w:rPr>
          <w:rFonts w:cs="Times New Roman"/>
          <w:szCs w:val="24"/>
        </w:rPr>
      </w:pPr>
    </w:p>
    <w:p>
      <w:pPr>
        <w:pStyle w:val="style0"/>
        <w:spacing w:before="240" w:after="240"/>
        <w:rPr>
          <w:rFonts w:cs="Times New Roman"/>
          <w:szCs w:val="24"/>
        </w:rPr>
      </w:pPr>
    </w:p>
    <w:p>
      <w:pPr>
        <w:pStyle w:val="style0"/>
        <w:spacing w:before="240" w:after="240"/>
        <w:rPr>
          <w:rFonts w:cs="Times New Roman"/>
          <w:szCs w:val="24"/>
        </w:rPr>
      </w:pPr>
    </w:p>
    <w:p>
      <w:pPr>
        <w:pStyle w:val="style0"/>
        <w:spacing w:before="240" w:after="240"/>
        <w:rPr>
          <w:rFonts w:cs="Times New Roman"/>
          <w:szCs w:val="24"/>
        </w:rPr>
      </w:pPr>
    </w:p>
    <w:p>
      <w:pPr>
        <w:pStyle w:val="style0"/>
        <w:spacing w:before="240" w:after="240"/>
        <w:rPr>
          <w:rFonts w:cs="Times New Roman"/>
          <w:szCs w:val="24"/>
        </w:rPr>
      </w:pPr>
      <w:r>
        <w:rPr>
          <w:rFonts w:cs="Times New Roman"/>
          <w:noProof/>
          <w:szCs w:val="24"/>
        </w:rPr>
        <mc:AlternateContent>
          <mc:Choice Requires="wps">
            <w:drawing>
              <wp:anchor distT="0" distB="0" distL="114300" distR="114300" simplePos="false" relativeHeight="5" behindDoc="false" locked="false" layoutInCell="true" allowOverlap="true">
                <wp:simplePos x="0" y="0"/>
                <wp:positionH relativeFrom="margin">
                  <wp:align>center</wp:align>
                </wp:positionH>
                <wp:positionV relativeFrom="paragraph">
                  <wp:posOffset>62048</wp:posOffset>
                </wp:positionV>
                <wp:extent cx="2720975" cy="489584"/>
                <wp:effectExtent l="0" t="0" r="3175" b="5715"/>
                <wp:wrapSquare wrapText="bothSides"/>
                <wp:docPr id="1032" name="Text Box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2720975" cy="489584"/>
                        </a:xfrm>
                        <a:prstGeom prst="rect"/>
                        <a:solidFill>
                          <a:srgbClr val="ffffff"/>
                        </a:solidFill>
                        <a:ln>
                          <a:noFill/>
                        </a:ln>
                      </wps:spPr>
                      <wps:txbx id="1032">
                        <w:txbxContent>
                          <w:p>
                            <w:pPr>
                              <w:pStyle w:val="style34"/>
                              <w:spacing w:lineRule="auto" w:line="360"/>
                              <w:jc w:val="center"/>
                              <w:rPr>
                                <w:rFonts w:cs="Times New Roman"/>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3</w:t>
                            </w:r>
                            <w:r>
                              <w:rPr>
                                <w:b/>
                                <w:bCs/>
                                <w:color w:val="auto"/>
                                <w:sz w:val="24"/>
                                <w:szCs w:val="32"/>
                              </w:rPr>
                              <w:fldChar w:fldCharType="end"/>
                            </w:r>
                            <w:r>
                              <w:rPr>
                                <w:b/>
                                <w:bCs/>
                                <w:color w:val="auto"/>
                                <w:sz w:val="24"/>
                                <w:szCs w:val="32"/>
                              </w:rPr>
                              <w:t>: Financial Statements Analysis</w:t>
                            </w:r>
                            <w:r>
                              <w:rPr>
                                <w:b/>
                                <w:bCs/>
                                <w:color w:val="auto"/>
                                <w:sz w:val="24"/>
                                <w:szCs w:val="32"/>
                              </w:rPr>
                              <w:br/>
                            </w:r>
                            <w:r>
                              <w:rPr>
                                <w:b/>
                                <w:bCs/>
                                <w:color w:val="auto"/>
                                <w:sz w:val="24"/>
                                <w:szCs w:val="32"/>
                              </w:rPr>
                              <w:t xml:space="preserve">(Source: </w:t>
                            </w:r>
                            <w:r>
                              <w:rPr>
                                <w:b/>
                                <w:bCs/>
                                <w:color w:val="auto"/>
                                <w:sz w:val="24"/>
                                <w:szCs w:val="32"/>
                              </w:rPr>
                              <w:t>Kasza</w:t>
                            </w:r>
                            <w:r>
                              <w:rPr>
                                <w:b/>
                                <w:bCs/>
                                <w:color w:val="auto"/>
                                <w:sz w:val="24"/>
                                <w:szCs w:val="32"/>
                              </w:rPr>
                              <w:t>, 202</w:t>
                            </w:r>
                            <w:r>
                              <w:rPr>
                                <w:b/>
                                <w:bCs/>
                                <w:color w:val="auto"/>
                                <w:sz w:val="24"/>
                                <w:szCs w:val="32"/>
                              </w:rPr>
                              <w:t>1</w:t>
                            </w:r>
                            <w:r>
                              <w:rPr>
                                <w:b/>
                                <w:bCs/>
                                <w:color w:val="auto"/>
                                <w:sz w:val="24"/>
                                <w:szCs w:val="32"/>
                              </w:rPr>
                              <w:t>)</w:t>
                            </w:r>
                          </w:p>
                        </w:txbxContent>
                      </wps:txbx>
                      <wps:bodyPr lIns="0" rIns="0" tIns="0" bIns="0" vert="horz" anchor="t" wrap="square">
                        <a:prstTxWarp prst="textNoShape"/>
                        <a:noAutofit/>
                      </wps:bodyPr>
                    </wps:wsp>
                  </a:graphicData>
                </a:graphic>
                <wp14:sizeRelV relativeFrom="margin">
                  <wp14:pctHeight>0</wp14:pctHeight>
                </wp14:sizeRelV>
              </wp:anchor>
            </w:drawing>
          </mc:Choice>
          <mc:Fallback>
            <w:pict>
              <v:rect id="1032" fillcolor="white" stroked="f" style="position:absolute;margin-left:0.0pt;margin-top:4.89pt;width:214.25pt;height:38.55pt;z-index:5;mso-position-horizontal:center;mso-position-horizontal-relative:margin;mso-position-vertical-relative:text;mso-height-percent:0;mso-width-relative:page;mso-height-relative:margin;visibility:visible;">
                <v:stroke on="f"/>
                <w10:wrap type="square"/>
                <v:fill/>
                <v:textbox inset="0.0pt,0.0pt,0.0pt,0.0pt">
                  <w:txbxContent>
                    <w:p>
                      <w:pPr>
                        <w:pStyle w:val="style34"/>
                        <w:spacing w:lineRule="auto" w:line="360"/>
                        <w:jc w:val="center"/>
                        <w:rPr>
                          <w:rFonts w:cs="Times New Roman"/>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3</w:t>
                      </w:r>
                      <w:r>
                        <w:rPr>
                          <w:b/>
                          <w:bCs/>
                          <w:color w:val="auto"/>
                          <w:sz w:val="24"/>
                          <w:szCs w:val="32"/>
                        </w:rPr>
                        <w:fldChar w:fldCharType="end"/>
                      </w:r>
                      <w:r>
                        <w:rPr>
                          <w:b/>
                          <w:bCs/>
                          <w:color w:val="auto"/>
                          <w:sz w:val="24"/>
                          <w:szCs w:val="32"/>
                        </w:rPr>
                        <w:t>: Financial Statements Analysis</w:t>
                      </w:r>
                      <w:r>
                        <w:rPr>
                          <w:b/>
                          <w:bCs/>
                          <w:color w:val="auto"/>
                          <w:sz w:val="24"/>
                          <w:szCs w:val="32"/>
                        </w:rPr>
                        <w:br/>
                      </w:r>
                      <w:r>
                        <w:rPr>
                          <w:b/>
                          <w:bCs/>
                          <w:color w:val="auto"/>
                          <w:sz w:val="24"/>
                          <w:szCs w:val="32"/>
                        </w:rPr>
                        <w:t xml:space="preserve">(Source: </w:t>
                      </w:r>
                      <w:r>
                        <w:rPr>
                          <w:b/>
                          <w:bCs/>
                          <w:color w:val="auto"/>
                          <w:sz w:val="24"/>
                          <w:szCs w:val="32"/>
                        </w:rPr>
                        <w:t>Kasza</w:t>
                      </w:r>
                      <w:r>
                        <w:rPr>
                          <w:b/>
                          <w:bCs/>
                          <w:color w:val="auto"/>
                          <w:sz w:val="24"/>
                          <w:szCs w:val="32"/>
                        </w:rPr>
                        <w:t>, 202</w:t>
                      </w:r>
                      <w:r>
                        <w:rPr>
                          <w:b/>
                          <w:bCs/>
                          <w:color w:val="auto"/>
                          <w:sz w:val="24"/>
                          <w:szCs w:val="32"/>
                        </w:rPr>
                        <w:t>1</w:t>
                      </w:r>
                      <w:r>
                        <w:rPr>
                          <w:b/>
                          <w:bCs/>
                          <w:color w:val="auto"/>
                          <w:sz w:val="24"/>
                          <w:szCs w:val="32"/>
                        </w:rPr>
                        <w:t>)</w:t>
                      </w:r>
                    </w:p>
                  </w:txbxContent>
                </v:textbox>
              </v:rect>
            </w:pict>
          </mc:Fallback>
        </mc:AlternateContent>
      </w:r>
    </w:p>
    <w:p>
      <w:pPr>
        <w:pStyle w:val="style0"/>
        <w:spacing w:before="240" w:after="240"/>
        <w:rPr>
          <w:rFonts w:cs="Times New Roman"/>
          <w:szCs w:val="24"/>
        </w:rPr>
      </w:pPr>
    </w:p>
    <w:p>
      <w:pPr>
        <w:pStyle w:val="style0"/>
        <w:spacing w:before="240" w:after="240"/>
        <w:rPr>
          <w:rFonts w:cs="Times New Roman"/>
          <w:szCs w:val="24"/>
        </w:rPr>
      </w:pPr>
      <w:r>
        <w:rPr>
          <w:rFonts w:cs="Times New Roman"/>
          <w:szCs w:val="24"/>
        </w:rPr>
        <w:t xml:space="preserve">The </w:t>
      </w:r>
      <w:r>
        <w:rPr>
          <w:rFonts w:cs="Times New Roman"/>
          <w:szCs w:val="24"/>
        </w:rPr>
        <w:t xml:space="preserve">key component of </w:t>
      </w:r>
      <w:r>
        <w:rPr>
          <w:rFonts w:cs="Times New Roman"/>
          <w:szCs w:val="24"/>
        </w:rPr>
        <w:t xml:space="preserve">evaluating the financial performance of any organisation in the business environment is </w:t>
      </w:r>
      <w:r>
        <w:rPr>
          <w:rFonts w:cs="Times New Roman"/>
          <w:szCs w:val="24"/>
        </w:rPr>
        <w:t xml:space="preserve">supported by its </w:t>
      </w:r>
      <w:r>
        <w:rPr>
          <w:rFonts w:cs="Times New Roman"/>
          <w:b/>
          <w:bCs/>
          <w:i/>
          <w:iCs/>
          <w:szCs w:val="24"/>
        </w:rPr>
        <w:t>Financial Statements</w:t>
      </w:r>
      <w:r>
        <w:rPr>
          <w:rFonts w:cs="Times New Roman"/>
          <w:szCs w:val="24"/>
        </w:rPr>
        <w:t xml:space="preserve"> (Ol</w:t>
      </w:r>
      <w:r>
        <w:rPr>
          <w:rFonts w:cs="Times New Roman"/>
          <w:szCs w:val="24"/>
        </w:rPr>
        <w:t>a</w:t>
      </w:r>
      <w:r>
        <w:rPr>
          <w:rFonts w:cs="Times New Roman"/>
          <w:szCs w:val="24"/>
        </w:rPr>
        <w:t>yinka, 2022)</w:t>
      </w:r>
      <w:r>
        <w:rPr>
          <w:rFonts w:cs="Times New Roman"/>
          <w:szCs w:val="24"/>
        </w:rPr>
        <w:t>. Financial</w:t>
      </w:r>
      <w:r>
        <w:rPr>
          <w:rFonts w:cs="Times New Roman"/>
          <w:szCs w:val="24"/>
        </w:rPr>
        <w:t xml:space="preserve"> reports</w:t>
      </w:r>
      <w:r>
        <w:rPr>
          <w:rFonts w:cs="Times New Roman"/>
          <w:szCs w:val="24"/>
        </w:rPr>
        <w:t xml:space="preserve"> are the official documents </w:t>
      </w:r>
      <w:r>
        <w:rPr>
          <w:rFonts w:cs="Times New Roman"/>
          <w:szCs w:val="24"/>
        </w:rPr>
        <w:t xml:space="preserve">of </w:t>
      </w:r>
      <w:r>
        <w:rPr>
          <w:rFonts w:cs="Times New Roman"/>
          <w:szCs w:val="24"/>
        </w:rPr>
        <w:t xml:space="preserve">a </w:t>
      </w:r>
      <w:r>
        <w:rPr>
          <w:rFonts w:cs="Times New Roman"/>
          <w:szCs w:val="24"/>
        </w:rPr>
        <w:t>company’s operational performance and financial status</w:t>
      </w:r>
      <w:r>
        <w:rPr>
          <w:rFonts w:cs="Times New Roman"/>
          <w:szCs w:val="24"/>
        </w:rPr>
        <w:t xml:space="preserve"> </w:t>
      </w:r>
      <w:r>
        <w:rPr>
          <w:rFonts w:cs="Times New Roman"/>
          <w:szCs w:val="24"/>
        </w:rPr>
        <w:t>as</w:t>
      </w:r>
      <w:r>
        <w:rPr>
          <w:rFonts w:cs="Times New Roman"/>
          <w:szCs w:val="24"/>
        </w:rPr>
        <w:t xml:space="preserve"> regards its assets, liabilities, revenue, profits</w:t>
      </w:r>
      <w:r>
        <w:rPr>
          <w:rFonts w:cs="Times New Roman"/>
          <w:szCs w:val="24"/>
        </w:rPr>
        <w:t>,</w:t>
      </w:r>
      <w:r>
        <w:rPr>
          <w:rFonts w:cs="Times New Roman"/>
          <w:szCs w:val="24"/>
        </w:rPr>
        <w:t xml:space="preserve"> and cash flows </w:t>
      </w:r>
      <w:r>
        <w:rPr>
          <w:rFonts w:cs="Times New Roman"/>
          <w:szCs w:val="24"/>
        </w:rPr>
        <w:t>followed by relevant annexures and notes (</w:t>
      </w:r>
      <w:r>
        <w:rPr>
          <w:rFonts w:cs="Times New Roman"/>
          <w:szCs w:val="24"/>
        </w:rPr>
        <w:t xml:space="preserve">Olayinka, 2022). </w:t>
      </w:r>
      <w:r>
        <w:rPr>
          <w:rFonts w:cs="Times New Roman"/>
          <w:szCs w:val="24"/>
        </w:rPr>
        <w:t>Whereas</w:t>
      </w:r>
      <w:r>
        <w:rPr>
          <w:rFonts w:cs="Times New Roman"/>
          <w:szCs w:val="24"/>
        </w:rPr>
        <w:t xml:space="preserve"> the </w:t>
      </w:r>
      <w:r>
        <w:rPr>
          <w:rFonts w:cs="Times New Roman"/>
          <w:b/>
          <w:bCs/>
          <w:i/>
          <w:iCs/>
          <w:szCs w:val="24"/>
        </w:rPr>
        <w:t>Financial Statement analysis</w:t>
      </w:r>
      <w:r>
        <w:rPr>
          <w:rFonts w:cs="Times New Roman"/>
          <w:szCs w:val="24"/>
        </w:rPr>
        <w:t xml:space="preserve"> refers to the prudent examination of the financial reports</w:t>
      </w:r>
      <w:r>
        <w:rPr>
          <w:rFonts w:cs="Times New Roman"/>
          <w:szCs w:val="24"/>
        </w:rPr>
        <w:t xml:space="preserve"> </w:t>
      </w:r>
      <w:r>
        <w:rPr>
          <w:rFonts w:cs="Times New Roman"/>
          <w:szCs w:val="24"/>
        </w:rPr>
        <w:t>to extract significant actionable insights using various methods and techniques for effective decision</w:t>
      </w:r>
      <w:r>
        <w:rPr>
          <w:rFonts w:cs="Times New Roman"/>
          <w:szCs w:val="24"/>
        </w:rPr>
        <w:t>-making related to financing and investing in the company (</w:t>
      </w:r>
      <w:r>
        <w:rPr>
          <w:rFonts w:cs="Times New Roman"/>
          <w:szCs w:val="24"/>
        </w:rPr>
        <w:t>Palepu, et al., 2020).</w:t>
      </w:r>
      <w:r>
        <w:rPr>
          <w:rFonts w:cs="Times New Roman"/>
          <w:szCs w:val="24"/>
        </w:rPr>
        <w:t xml:space="preserve"> </w:t>
      </w:r>
      <w:r>
        <w:rPr>
          <w:rFonts w:cs="Times New Roman"/>
          <w:szCs w:val="24"/>
        </w:rPr>
        <w:t>Reporting analysis provides several benefits to the company and its stakeholders</w:t>
      </w:r>
      <w:r>
        <w:rPr>
          <w:rFonts w:cs="Times New Roman"/>
          <w:szCs w:val="24"/>
        </w:rPr>
        <w:t xml:space="preserve"> as follows:</w:t>
      </w:r>
    </w:p>
    <w:p>
      <w:pPr>
        <w:pStyle w:val="style179"/>
        <w:numPr>
          <w:ilvl w:val="0"/>
          <w:numId w:val="1"/>
        </w:numPr>
        <w:spacing w:before="240" w:after="240"/>
        <w:rPr>
          <w:rFonts w:cs="Times New Roman"/>
          <w:szCs w:val="24"/>
        </w:rPr>
      </w:pPr>
      <w:r>
        <w:rPr>
          <w:rFonts w:cs="Times New Roman"/>
          <w:b/>
          <w:bCs/>
          <w:i/>
          <w:iCs/>
          <w:szCs w:val="24"/>
        </w:rPr>
        <w:t>Evidence-based decision-making</w:t>
      </w:r>
      <w:r>
        <w:rPr>
          <w:rFonts w:cs="Times New Roman"/>
          <w:szCs w:val="24"/>
        </w:rPr>
        <w:t xml:space="preserve"> </w:t>
      </w:r>
      <w:r>
        <w:rPr>
          <w:rFonts w:cs="Times New Roman"/>
          <w:szCs w:val="24"/>
        </w:rPr>
        <w:t>supported by the audited financial data of the company.</w:t>
      </w:r>
      <w:r>
        <w:rPr>
          <w:rFonts w:cs="Times New Roman"/>
          <w:szCs w:val="24"/>
        </w:rPr>
        <w:t xml:space="preserve"> </w:t>
      </w:r>
    </w:p>
    <w:p>
      <w:pPr>
        <w:pStyle w:val="style179"/>
        <w:numPr>
          <w:ilvl w:val="0"/>
          <w:numId w:val="1"/>
        </w:numPr>
        <w:spacing w:before="240" w:after="240"/>
        <w:rPr>
          <w:rFonts w:cs="Times New Roman"/>
          <w:szCs w:val="24"/>
        </w:rPr>
      </w:pPr>
      <w:r>
        <w:rPr>
          <w:rFonts w:cs="Times New Roman"/>
          <w:szCs w:val="24"/>
        </w:rPr>
        <w:t xml:space="preserve">Ascertaining the </w:t>
      </w:r>
      <w:r>
        <w:rPr>
          <w:rFonts w:cs="Times New Roman"/>
          <w:b/>
          <w:bCs/>
          <w:i/>
          <w:iCs/>
          <w:szCs w:val="24"/>
        </w:rPr>
        <w:t>net revenue and profitability</w:t>
      </w:r>
      <w:r>
        <w:rPr>
          <w:rFonts w:cs="Times New Roman"/>
          <w:szCs w:val="24"/>
        </w:rPr>
        <w:t xml:space="preserve"> from annual business operations.</w:t>
      </w:r>
    </w:p>
    <w:p>
      <w:pPr>
        <w:pStyle w:val="style179"/>
        <w:numPr>
          <w:ilvl w:val="0"/>
          <w:numId w:val="1"/>
        </w:numPr>
        <w:spacing w:before="240" w:after="240"/>
        <w:rPr>
          <w:rFonts w:cs="Times New Roman"/>
          <w:szCs w:val="24"/>
        </w:rPr>
      </w:pPr>
      <w:r>
        <w:rPr>
          <w:rFonts w:cs="Times New Roman"/>
          <w:szCs w:val="24"/>
        </w:rPr>
        <w:t>Valuing</w:t>
      </w:r>
      <w:r>
        <w:rPr>
          <w:rFonts w:cs="Times New Roman"/>
          <w:szCs w:val="24"/>
        </w:rPr>
        <w:t xml:space="preserve"> and analysing</w:t>
      </w:r>
      <w:r>
        <w:rPr>
          <w:rFonts w:cs="Times New Roman"/>
          <w:szCs w:val="24"/>
        </w:rPr>
        <w:t xml:space="preserve"> the </w:t>
      </w:r>
      <w:r>
        <w:rPr>
          <w:rFonts w:cs="Times New Roman"/>
          <w:b/>
          <w:bCs/>
          <w:i/>
          <w:iCs/>
          <w:szCs w:val="24"/>
        </w:rPr>
        <w:t>company’s net worth</w:t>
      </w:r>
      <w:r>
        <w:rPr>
          <w:rFonts w:cs="Times New Roman"/>
          <w:szCs w:val="24"/>
        </w:rPr>
        <w:t xml:space="preserve"> represented by</w:t>
      </w:r>
      <w:r>
        <w:rPr>
          <w:rFonts w:cs="Times New Roman"/>
          <w:szCs w:val="24"/>
        </w:rPr>
        <w:t xml:space="preserve"> the reports.</w:t>
      </w:r>
    </w:p>
    <w:p>
      <w:pPr>
        <w:pStyle w:val="style179"/>
        <w:numPr>
          <w:ilvl w:val="0"/>
          <w:numId w:val="1"/>
        </w:numPr>
        <w:spacing w:before="240" w:after="240"/>
        <w:rPr>
          <w:rFonts w:cs="Times New Roman"/>
          <w:szCs w:val="24"/>
        </w:rPr>
      </w:pPr>
      <w:r>
        <w:rPr>
          <w:rFonts w:cs="Times New Roman"/>
          <w:szCs w:val="24"/>
        </w:rPr>
        <w:t>Assisting the creditors</w:t>
      </w:r>
      <w:r>
        <w:rPr>
          <w:rFonts w:cs="Times New Roman"/>
          <w:szCs w:val="24"/>
        </w:rPr>
        <w:t xml:space="preserve"> and lenders in quantifying the </w:t>
      </w:r>
      <w:r>
        <w:rPr>
          <w:rFonts w:cs="Times New Roman"/>
          <w:b/>
          <w:bCs/>
          <w:i/>
          <w:iCs/>
          <w:szCs w:val="24"/>
        </w:rPr>
        <w:t>credibility of the company</w:t>
      </w:r>
      <w:r>
        <w:rPr>
          <w:rFonts w:cs="Times New Roman"/>
          <w:szCs w:val="24"/>
        </w:rPr>
        <w:t xml:space="preserve"> </w:t>
      </w:r>
      <w:r>
        <w:rPr>
          <w:rFonts w:cs="Times New Roman"/>
          <w:szCs w:val="24"/>
        </w:rPr>
        <w:t>in terms of financing</w:t>
      </w:r>
      <w:r>
        <w:rPr>
          <w:rFonts w:cs="Times New Roman"/>
          <w:szCs w:val="24"/>
        </w:rPr>
        <w:t xml:space="preserve"> (</w:t>
      </w:r>
      <w:r>
        <w:rPr>
          <w:rFonts w:cs="Times New Roman"/>
          <w:szCs w:val="24"/>
        </w:rPr>
        <w:t>Fridson</w:t>
      </w:r>
      <w:r>
        <w:rPr>
          <w:rFonts w:cs="Times New Roman"/>
          <w:szCs w:val="24"/>
        </w:rPr>
        <w:t xml:space="preserve"> and Alvarez, 2022</w:t>
      </w:r>
      <w:r>
        <w:rPr>
          <w:rFonts w:cs="Times New Roman"/>
          <w:szCs w:val="24"/>
        </w:rPr>
        <w:t>)</w:t>
      </w:r>
      <w:r>
        <w:rPr>
          <w:rFonts w:cs="Times New Roman"/>
          <w:szCs w:val="24"/>
        </w:rPr>
        <w:t>.</w:t>
      </w:r>
    </w:p>
    <w:bookmarkStart w:id="3" w:name="_Toc173489795"/>
    <w:p>
      <w:pPr>
        <w:pStyle w:val="style2"/>
        <w:spacing w:before="240" w:after="240"/>
        <w:rPr>
          <w:rFonts w:cs="Times New Roman"/>
          <w:szCs w:val="24"/>
        </w:rPr>
      </w:pPr>
      <w:r>
        <w:rPr>
          <w:rFonts w:cs="Times New Roman"/>
          <w:noProof/>
          <w:szCs w:val="24"/>
        </w:rPr>
        <w:drawing>
          <wp:anchor distT="0" distB="0" distL="114300" distR="114300" simplePos="false" relativeHeight="6" behindDoc="false" locked="false" layoutInCell="true" allowOverlap="true">
            <wp:simplePos x="0" y="0"/>
            <wp:positionH relativeFrom="margin">
              <wp:align>center</wp:align>
            </wp:positionH>
            <wp:positionV relativeFrom="paragraph">
              <wp:posOffset>238397</wp:posOffset>
            </wp:positionV>
            <wp:extent cx="1190791" cy="466790"/>
            <wp:effectExtent l="0" t="0" r="9525" b="9525"/>
            <wp:wrapSquare wrapText="bothSides"/>
            <wp:docPr id="1033" name="Picture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5"/>
                    <pic:cNvPicPr/>
                  </pic:nvPicPr>
                  <pic:blipFill>
                    <a:blip r:embed="rId6" cstate="print"/>
                    <a:srcRect l="0" t="0" r="0" b="0"/>
                    <a:stretch/>
                  </pic:blipFill>
                  <pic:spPr>
                    <a:xfrm rot="0">
                      <a:off x="0" y="0"/>
                      <a:ext cx="1190791" cy="466790"/>
                    </a:xfrm>
                    <a:prstGeom prst="rect"/>
                  </pic:spPr>
                </pic:pic>
              </a:graphicData>
            </a:graphic>
          </wp:anchor>
        </w:drawing>
      </w:r>
      <w:r>
        <w:rPr>
          <w:rFonts w:cs="Times New Roman"/>
          <w:szCs w:val="24"/>
        </w:rPr>
        <w:t xml:space="preserve">Overview of the </w:t>
      </w:r>
      <w:r>
        <w:rPr>
          <w:rFonts w:cs="Times New Roman"/>
          <w:szCs w:val="24"/>
        </w:rPr>
        <w:t>Asos Plc</w:t>
      </w:r>
      <w:bookmarkEnd w:id="3"/>
    </w:p>
    <w:p>
      <w:pPr>
        <w:pStyle w:val="style0"/>
        <w:spacing w:before="240" w:after="240"/>
        <w:rPr>
          <w:rFonts w:cs="Times New Roman"/>
          <w:szCs w:val="24"/>
        </w:rPr>
      </w:pPr>
      <w:r>
        <w:rPr>
          <w:rFonts w:cs="Times New Roman"/>
          <w:noProof/>
          <w:szCs w:val="24"/>
        </w:rPr>
        <mc:AlternateContent>
          <mc:Choice Requires="wps">
            <w:drawing>
              <wp:anchor distT="0" distB="0" distL="114300" distR="114300" simplePos="false" relativeHeight="7" behindDoc="false" locked="false" layoutInCell="true" allowOverlap="true">
                <wp:simplePos x="0" y="0"/>
                <wp:positionH relativeFrom="margin">
                  <wp:align>center</wp:align>
                </wp:positionH>
                <wp:positionV relativeFrom="paragraph">
                  <wp:posOffset>474799</wp:posOffset>
                </wp:positionV>
                <wp:extent cx="1823085" cy="634"/>
                <wp:effectExtent l="0" t="0" r="5715" b="0"/>
                <wp:wrapSquare wrapText="bothSides"/>
                <wp:docPr id="1034" name="Text Box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1823085" cy="634"/>
                        </a:xfrm>
                        <a:prstGeom prst="rect"/>
                        <a:solidFill>
                          <a:srgbClr val="ffffff"/>
                        </a:solidFill>
                        <a:ln>
                          <a:noFill/>
                        </a:ln>
                      </wps:spPr>
                      <wps:txbx id="1034">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4</w:t>
                            </w:r>
                            <w:r>
                              <w:rPr>
                                <w:b/>
                                <w:bCs/>
                                <w:color w:val="auto"/>
                                <w:sz w:val="24"/>
                                <w:szCs w:val="32"/>
                              </w:rPr>
                              <w:fldChar w:fldCharType="end"/>
                            </w:r>
                            <w:r>
                              <w:rPr>
                                <w:b/>
                                <w:bCs/>
                                <w:color w:val="auto"/>
                                <w:sz w:val="24"/>
                                <w:szCs w:val="32"/>
                              </w:rPr>
                              <w:t>: Asos Plc Logo</w:t>
                            </w:r>
                            <w:r>
                              <w:rPr>
                                <w:b/>
                                <w:bCs/>
                                <w:color w:val="auto"/>
                                <w:sz w:val="24"/>
                                <w:szCs w:val="32"/>
                              </w:rPr>
                              <w:br/>
                            </w:r>
                            <w:r>
                              <w:rPr>
                                <w:b/>
                                <w:bCs/>
                                <w:color w:val="auto"/>
                                <w:sz w:val="24"/>
                                <w:szCs w:val="32"/>
                              </w:rPr>
                              <w:t xml:space="preserve">(Source: </w:t>
                            </w:r>
                            <w:r>
                              <w:rPr>
                                <w:b/>
                                <w:bCs/>
                                <w:color w:val="auto"/>
                                <w:sz w:val="24"/>
                                <w:szCs w:val="32"/>
                              </w:rPr>
                              <w:t>Asos, 2024</w:t>
                            </w:r>
                            <w:r>
                              <w:rPr>
                                <w:b/>
                                <w:bCs/>
                                <w:color w:val="auto"/>
                                <w:sz w:val="24"/>
                                <w:szCs w:val="32"/>
                              </w:rPr>
                              <w:t>)</w:t>
                            </w:r>
                          </w:p>
                        </w:txbxContent>
                      </wps:txbx>
                      <wps:bodyPr lIns="0" rIns="0" tIns="0" bIns="0" vert="horz" anchor="t" wrap="square">
                        <a:prstTxWarp prst="textNoShape"/>
                        <a:spAutoFit/>
                      </wps:bodyPr>
                    </wps:wsp>
                  </a:graphicData>
                </a:graphic>
                <wp14:sizeRelH relativeFrom="margin">
                  <wp14:pctWidth>0</wp14:pctWidth>
                </wp14:sizeRelH>
              </wp:anchor>
            </w:drawing>
          </mc:Choice>
          <mc:Fallback>
            <w:pict>
              <v:rect id="1034" fillcolor="white" stroked="f" style="position:absolute;margin-left:0.0pt;margin-top:37.39pt;width:143.55pt;height:0.05pt;z-index:7;mso-position-horizontal:center;mso-position-horizontal-relative:margin;mso-position-vertical-relative:text;mso-width-percent:0;mso-width-relative:margin;mso-height-relative:page;visibility:visible;">
                <v:stroke on="f"/>
                <w10:wrap type="square"/>
                <v:fill/>
                <v:textbox inset="0.0pt,0.0pt,0.0pt,0.0pt" style="mso-fit-shape-to-text:true;">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4</w:t>
                      </w:r>
                      <w:r>
                        <w:rPr>
                          <w:b/>
                          <w:bCs/>
                          <w:color w:val="auto"/>
                          <w:sz w:val="24"/>
                          <w:szCs w:val="32"/>
                        </w:rPr>
                        <w:fldChar w:fldCharType="end"/>
                      </w:r>
                      <w:r>
                        <w:rPr>
                          <w:b/>
                          <w:bCs/>
                          <w:color w:val="auto"/>
                          <w:sz w:val="24"/>
                          <w:szCs w:val="32"/>
                        </w:rPr>
                        <w:t>: Asos Plc Logo</w:t>
                      </w:r>
                      <w:r>
                        <w:rPr>
                          <w:b/>
                          <w:bCs/>
                          <w:color w:val="auto"/>
                          <w:sz w:val="24"/>
                          <w:szCs w:val="32"/>
                        </w:rPr>
                        <w:br/>
                      </w:r>
                      <w:r>
                        <w:rPr>
                          <w:b/>
                          <w:bCs/>
                          <w:color w:val="auto"/>
                          <w:sz w:val="24"/>
                          <w:szCs w:val="32"/>
                        </w:rPr>
                        <w:t xml:space="preserve">(Source: </w:t>
                      </w:r>
                      <w:r>
                        <w:rPr>
                          <w:b/>
                          <w:bCs/>
                          <w:color w:val="auto"/>
                          <w:sz w:val="24"/>
                          <w:szCs w:val="32"/>
                        </w:rPr>
                        <w:t>Asos, 2024</w:t>
                      </w:r>
                      <w:r>
                        <w:rPr>
                          <w:b/>
                          <w:bCs/>
                          <w:color w:val="auto"/>
                          <w:sz w:val="24"/>
                          <w:szCs w:val="32"/>
                        </w:rPr>
                        <w:t>)</w:t>
                      </w:r>
                    </w:p>
                  </w:txbxContent>
                </v:textbox>
              </v:rect>
            </w:pict>
          </mc:Fallback>
        </mc:AlternateContent>
      </w:r>
    </w:p>
    <w:p>
      <w:pPr>
        <w:pStyle w:val="style0"/>
        <w:spacing w:before="240" w:after="240"/>
        <w:rPr>
          <w:rFonts w:cs="Times New Roman"/>
          <w:szCs w:val="24"/>
        </w:rPr>
      </w:pPr>
    </w:p>
    <w:p>
      <w:pPr>
        <w:pStyle w:val="style0"/>
        <w:spacing w:before="240" w:after="240"/>
        <w:rPr>
          <w:rFonts w:cs="Times New Roman"/>
          <w:szCs w:val="24"/>
        </w:rPr>
      </w:pPr>
    </w:p>
    <w:p>
      <w:pPr>
        <w:pStyle w:val="style0"/>
        <w:spacing w:before="240" w:after="240"/>
        <w:rPr>
          <w:rFonts w:cs="Times New Roman"/>
          <w:szCs w:val="24"/>
        </w:rPr>
      </w:pPr>
      <w:r>
        <w:rPr>
          <w:rFonts w:cs="Times New Roman"/>
          <w:b/>
          <w:bCs/>
          <w:i/>
          <w:iCs/>
          <w:szCs w:val="24"/>
        </w:rPr>
        <w:t>Asos Plc</w:t>
      </w:r>
      <w:r>
        <w:rPr>
          <w:rFonts w:cs="Times New Roman"/>
          <w:szCs w:val="24"/>
        </w:rPr>
        <w:t xml:space="preserve"> is </w:t>
      </w:r>
      <w:r>
        <w:rPr>
          <w:rFonts w:cs="Times New Roman"/>
          <w:szCs w:val="24"/>
        </w:rPr>
        <w:t xml:space="preserve">a public limited company headquartered in </w:t>
      </w:r>
      <w:r>
        <w:rPr>
          <w:rFonts w:cs="Times New Roman"/>
          <w:b/>
          <w:bCs/>
          <w:i/>
          <w:iCs/>
          <w:szCs w:val="24"/>
        </w:rPr>
        <w:t>London, England</w:t>
      </w:r>
      <w:r>
        <w:rPr>
          <w:rFonts w:cs="Times New Roman"/>
          <w:szCs w:val="24"/>
        </w:rPr>
        <w:t xml:space="preserve"> </w:t>
      </w:r>
      <w:r>
        <w:rPr>
          <w:rFonts w:cs="Times New Roman"/>
          <w:szCs w:val="24"/>
        </w:rPr>
        <w:t xml:space="preserve">as a </w:t>
      </w:r>
      <w:r>
        <w:rPr>
          <w:rFonts w:cs="Times New Roman"/>
          <w:b/>
          <w:bCs/>
          <w:i/>
          <w:iCs/>
          <w:szCs w:val="24"/>
        </w:rPr>
        <w:t>retailer</w:t>
      </w:r>
      <w:r>
        <w:rPr>
          <w:rFonts w:cs="Times New Roman"/>
          <w:szCs w:val="24"/>
        </w:rPr>
        <w:t xml:space="preserve"> in the </w:t>
      </w:r>
      <w:r>
        <w:rPr>
          <w:rFonts w:cs="Times New Roman"/>
          <w:b/>
          <w:bCs/>
          <w:i/>
          <w:iCs/>
          <w:szCs w:val="24"/>
        </w:rPr>
        <w:t>clothing and the online shopping industry</w:t>
      </w:r>
      <w:r>
        <w:rPr>
          <w:rFonts w:cs="Times New Roman"/>
          <w:szCs w:val="24"/>
        </w:rPr>
        <w:t xml:space="preserve"> (</w:t>
      </w:r>
      <w:r>
        <w:rPr>
          <w:rFonts w:cs="Times New Roman"/>
          <w:szCs w:val="24"/>
        </w:rPr>
        <w:t>Asos, 2024).</w:t>
      </w:r>
      <w:r>
        <w:rPr>
          <w:rFonts w:cs="Times New Roman"/>
          <w:szCs w:val="24"/>
        </w:rPr>
        <w:t xml:space="preserve"> It is one of the key </w:t>
      </w:r>
      <w:r>
        <w:rPr>
          <w:rFonts w:cs="Times New Roman"/>
          <w:szCs w:val="24"/>
        </w:rPr>
        <w:t>competitors</w:t>
      </w:r>
      <w:r>
        <w:rPr>
          <w:rFonts w:cs="Times New Roman"/>
          <w:szCs w:val="24"/>
        </w:rPr>
        <w:t xml:space="preserve"> of Burberry Plc that give a stiff competition to the company. It was</w:t>
      </w:r>
      <w:r>
        <w:rPr>
          <w:rFonts w:cs="Times New Roman"/>
          <w:szCs w:val="24"/>
        </w:rPr>
        <w:t xml:space="preserve"> </w:t>
      </w:r>
      <w:r>
        <w:rPr>
          <w:rFonts w:cs="Times New Roman"/>
          <w:szCs w:val="24"/>
        </w:rPr>
        <w:t>f</w:t>
      </w:r>
      <w:r>
        <w:rPr>
          <w:rFonts w:cs="Times New Roman"/>
          <w:szCs w:val="24"/>
        </w:rPr>
        <w:t>ounded</w:t>
      </w:r>
      <w:r>
        <w:rPr>
          <w:rFonts w:cs="Times New Roman"/>
          <w:szCs w:val="24"/>
        </w:rPr>
        <w:t xml:space="preserve"> by </w:t>
      </w:r>
      <w:r>
        <w:rPr>
          <w:rFonts w:cs="Times New Roman"/>
          <w:b/>
          <w:bCs/>
          <w:i/>
          <w:iCs/>
          <w:szCs w:val="24"/>
        </w:rPr>
        <w:t xml:space="preserve">Nick Robertson, Andre Regan, Quentin Griffiths, </w:t>
      </w:r>
      <w:r>
        <w:rPr>
          <w:rFonts w:cs="Times New Roman"/>
          <w:b/>
          <w:bCs/>
          <w:i/>
          <w:iCs/>
          <w:szCs w:val="24"/>
        </w:rPr>
        <w:t>and Deborah Thorpe</w:t>
      </w:r>
      <w:r>
        <w:rPr>
          <w:rFonts w:cs="Times New Roman"/>
          <w:szCs w:val="24"/>
        </w:rPr>
        <w:t xml:space="preserve"> in 2000</w:t>
      </w:r>
      <w:r>
        <w:rPr>
          <w:rFonts w:cs="Times New Roman"/>
          <w:szCs w:val="24"/>
        </w:rPr>
        <w:t>. It</w:t>
      </w:r>
      <w:r>
        <w:rPr>
          <w:rFonts w:cs="Times New Roman"/>
          <w:szCs w:val="24"/>
        </w:rPr>
        <w:t xml:space="preserve"> has an operational scale </w:t>
      </w:r>
      <w:r>
        <w:rPr>
          <w:rFonts w:cs="Times New Roman"/>
          <w:szCs w:val="24"/>
        </w:rPr>
        <w:t xml:space="preserve">of more than </w:t>
      </w:r>
      <w:r>
        <w:rPr>
          <w:rFonts w:cs="Times New Roman"/>
          <w:b/>
          <w:bCs/>
          <w:i/>
          <w:iCs/>
          <w:szCs w:val="24"/>
        </w:rPr>
        <w:t>850 brands</w:t>
      </w:r>
      <w:r>
        <w:rPr>
          <w:rFonts w:cs="Times New Roman"/>
          <w:szCs w:val="24"/>
        </w:rPr>
        <w:t xml:space="preserve"> </w:t>
      </w:r>
      <w:r>
        <w:rPr>
          <w:rFonts w:cs="Times New Roman"/>
          <w:szCs w:val="24"/>
        </w:rPr>
        <w:t xml:space="preserve">offering </w:t>
      </w:r>
      <w:r>
        <w:rPr>
          <w:rFonts w:cs="Times New Roman"/>
          <w:b/>
          <w:bCs/>
          <w:i/>
          <w:iCs/>
          <w:szCs w:val="24"/>
        </w:rPr>
        <w:t xml:space="preserve">clothes, shoes, beauty products, </w:t>
      </w:r>
      <w:r>
        <w:rPr>
          <w:rFonts w:cs="Times New Roman"/>
          <w:b/>
          <w:bCs/>
          <w:i/>
          <w:iCs/>
          <w:szCs w:val="24"/>
        </w:rPr>
        <w:t>accessories</w:t>
      </w:r>
      <w:r>
        <w:rPr>
          <w:rFonts w:cs="Times New Roman"/>
          <w:b/>
          <w:bCs/>
          <w:i/>
          <w:iCs/>
          <w:szCs w:val="24"/>
        </w:rPr>
        <w:t>,</w:t>
      </w:r>
      <w:r>
        <w:rPr>
          <w:rFonts w:cs="Times New Roman"/>
          <w:b/>
          <w:bCs/>
          <w:i/>
          <w:iCs/>
          <w:szCs w:val="24"/>
        </w:rPr>
        <w:t xml:space="preserve"> and gifts</w:t>
      </w:r>
      <w:r>
        <w:rPr>
          <w:rFonts w:cs="Times New Roman"/>
          <w:szCs w:val="24"/>
        </w:rPr>
        <w:t xml:space="preserve"> in over 190 countries</w:t>
      </w:r>
      <w:r>
        <w:rPr>
          <w:rFonts w:cs="Times New Roman"/>
          <w:szCs w:val="24"/>
        </w:rPr>
        <w:t xml:space="preserve"> worldwide</w:t>
      </w:r>
      <w:r>
        <w:rPr>
          <w:rFonts w:cs="Times New Roman"/>
          <w:szCs w:val="24"/>
        </w:rPr>
        <w:t xml:space="preserve"> </w:t>
      </w:r>
      <w:r>
        <w:rPr>
          <w:rFonts w:cs="Times New Roman"/>
          <w:szCs w:val="24"/>
        </w:rPr>
        <w:t xml:space="preserve">through its subsidiaries </w:t>
      </w:r>
      <w:r>
        <w:rPr>
          <w:rFonts w:cs="Times New Roman"/>
          <w:b/>
          <w:bCs/>
          <w:i/>
          <w:iCs/>
          <w:szCs w:val="24"/>
        </w:rPr>
        <w:t>Topshop, Topman, Miss Selfridge and ASOS.com Limited</w:t>
      </w:r>
      <w:r>
        <w:rPr>
          <w:rFonts w:cs="Times New Roman"/>
          <w:szCs w:val="24"/>
        </w:rPr>
        <w:t xml:space="preserve"> (</w:t>
      </w:r>
      <w:r>
        <w:rPr>
          <w:rFonts w:cs="Times New Roman"/>
          <w:szCs w:val="24"/>
        </w:rPr>
        <w:t>Asos, 2024).</w:t>
      </w:r>
      <w:r>
        <w:rPr>
          <w:rFonts w:cs="Times New Roman"/>
          <w:szCs w:val="24"/>
        </w:rPr>
        <w:t xml:space="preserve"> The company holds</w:t>
      </w:r>
      <w:r>
        <w:rPr>
          <w:rFonts w:cs="Times New Roman"/>
          <w:szCs w:val="24"/>
        </w:rPr>
        <w:t xml:space="preserve"> </w:t>
      </w:r>
      <w:r>
        <w:rPr>
          <w:rFonts w:cs="Times New Roman"/>
          <w:szCs w:val="24"/>
        </w:rPr>
        <w:t xml:space="preserve">the </w:t>
      </w:r>
      <w:r>
        <w:rPr>
          <w:rFonts w:cs="Times New Roman"/>
          <w:b/>
          <w:bCs/>
          <w:i/>
          <w:iCs/>
          <w:szCs w:val="24"/>
        </w:rPr>
        <w:t>6164</w:t>
      </w:r>
      <w:r>
        <w:rPr>
          <w:rFonts w:cs="Times New Roman"/>
          <w:b/>
          <w:bCs/>
          <w:i/>
          <w:iCs/>
          <w:szCs w:val="24"/>
          <w:vertAlign w:val="superscript"/>
        </w:rPr>
        <w:t>th</w:t>
      </w:r>
      <w:r>
        <w:rPr>
          <w:rFonts w:cs="Times New Roman"/>
          <w:b/>
          <w:bCs/>
          <w:i/>
          <w:iCs/>
          <w:szCs w:val="24"/>
        </w:rPr>
        <w:t xml:space="preserve"> global rank</w:t>
      </w:r>
      <w:r>
        <w:rPr>
          <w:rFonts w:cs="Times New Roman"/>
          <w:szCs w:val="24"/>
        </w:rPr>
        <w:t xml:space="preserve"> in the fashion industry</w:t>
      </w:r>
      <w:r>
        <w:rPr>
          <w:rFonts w:cs="Times New Roman"/>
          <w:szCs w:val="24"/>
        </w:rPr>
        <w:t xml:space="preserve"> followed by </w:t>
      </w:r>
      <w:r>
        <w:rPr>
          <w:rFonts w:cs="Times New Roman"/>
          <w:szCs w:val="24"/>
        </w:rPr>
        <w:t xml:space="preserve">a </w:t>
      </w:r>
      <w:r>
        <w:rPr>
          <w:rFonts w:cs="Times New Roman"/>
          <w:b/>
          <w:bCs/>
          <w:i/>
          <w:iCs/>
          <w:szCs w:val="24"/>
        </w:rPr>
        <w:t>market capitalisation of $0.56 million</w:t>
      </w:r>
      <w:r>
        <w:rPr>
          <w:rFonts w:cs="Times New Roman"/>
          <w:szCs w:val="24"/>
        </w:rPr>
        <w:t xml:space="preserve"> in 2024</w:t>
      </w:r>
      <w:r>
        <w:rPr>
          <w:rFonts w:cs="Times New Roman"/>
          <w:szCs w:val="24"/>
        </w:rPr>
        <w:t xml:space="preserve"> (Global Ranking, 2024).</w:t>
      </w:r>
      <w:r>
        <w:rPr>
          <w:rFonts w:cs="Times New Roman"/>
          <w:szCs w:val="24"/>
        </w:rPr>
        <w:t xml:space="preserve"> </w:t>
      </w:r>
      <w:r>
        <w:rPr>
          <w:rFonts w:cs="Times New Roman"/>
          <w:szCs w:val="24"/>
        </w:rPr>
        <w:t xml:space="preserve">  </w:t>
      </w:r>
      <w:r>
        <w:rPr>
          <w:rFonts w:cs="Times New Roman"/>
          <w:szCs w:val="24"/>
        </w:rPr>
        <w:t xml:space="preserve">The </w:t>
      </w:r>
      <w:r>
        <w:rPr>
          <w:rFonts w:cs="Times New Roman"/>
          <w:b/>
          <w:bCs/>
          <w:i/>
          <w:iCs/>
          <w:szCs w:val="24"/>
        </w:rPr>
        <w:t>operational revenue</w:t>
      </w:r>
      <w:r>
        <w:rPr>
          <w:rFonts w:cs="Times New Roman"/>
          <w:szCs w:val="24"/>
        </w:rPr>
        <w:t xml:space="preserve"> of the company in 2023 has been reported at </w:t>
      </w:r>
      <w:r>
        <w:rPr>
          <w:rFonts w:cs="Times New Roman"/>
          <w:b/>
          <w:bCs/>
          <w:i/>
          <w:iCs/>
          <w:szCs w:val="24"/>
        </w:rPr>
        <w:t>£3,538 million</w:t>
      </w:r>
      <w:r>
        <w:rPr>
          <w:rFonts w:cs="Times New Roman"/>
          <w:szCs w:val="24"/>
        </w:rPr>
        <w:t xml:space="preserve"> followed by </w:t>
      </w:r>
      <w:r>
        <w:rPr>
          <w:rFonts w:cs="Times New Roman"/>
          <w:szCs w:val="24"/>
        </w:rPr>
        <w:t>an</w:t>
      </w:r>
      <w:r>
        <w:rPr>
          <w:rFonts w:cs="Times New Roman"/>
          <w:szCs w:val="24"/>
        </w:rPr>
        <w:t xml:space="preserve"> </w:t>
      </w:r>
      <w:r>
        <w:rPr>
          <w:rFonts w:cs="Times New Roman"/>
          <w:b/>
          <w:bCs/>
          <w:i/>
          <w:iCs/>
          <w:szCs w:val="24"/>
        </w:rPr>
        <w:t>operating</w:t>
      </w:r>
      <w:r>
        <w:rPr>
          <w:rFonts w:cs="Times New Roman"/>
          <w:b/>
          <w:bCs/>
          <w:i/>
          <w:iCs/>
          <w:szCs w:val="24"/>
        </w:rPr>
        <w:t xml:space="preserve"> loss</w:t>
      </w:r>
      <w:r>
        <w:rPr>
          <w:rFonts w:cs="Times New Roman"/>
          <w:b/>
          <w:bCs/>
          <w:i/>
          <w:iCs/>
          <w:szCs w:val="24"/>
        </w:rPr>
        <w:t xml:space="preserve"> of </w:t>
      </w:r>
      <w:r>
        <w:rPr>
          <w:rFonts w:cs="Times New Roman"/>
          <w:b/>
          <w:bCs/>
          <w:i/>
          <w:iCs/>
          <w:szCs w:val="24"/>
        </w:rPr>
        <w:t>(</w:t>
      </w:r>
      <w:r>
        <w:rPr>
          <w:rFonts w:cs="Times New Roman"/>
          <w:b/>
          <w:bCs/>
          <w:i/>
          <w:iCs/>
          <w:szCs w:val="24"/>
        </w:rPr>
        <w:t>£</w:t>
      </w:r>
      <w:r>
        <w:rPr>
          <w:rFonts w:cs="Times New Roman"/>
          <w:b/>
          <w:bCs/>
          <w:i/>
          <w:iCs/>
          <w:szCs w:val="24"/>
        </w:rPr>
        <w:t>29</w:t>
      </w:r>
      <w:r>
        <w:rPr>
          <w:rFonts w:cs="Times New Roman"/>
          <w:b/>
          <w:bCs/>
          <w:i/>
          <w:iCs/>
          <w:szCs w:val="24"/>
        </w:rPr>
        <w:t xml:space="preserve">) </w:t>
      </w:r>
      <w:r>
        <w:rPr>
          <w:rFonts w:cs="Times New Roman"/>
          <w:b/>
          <w:bCs/>
          <w:i/>
          <w:iCs/>
          <w:szCs w:val="24"/>
        </w:rPr>
        <w:t>million</w:t>
      </w:r>
      <w:r>
        <w:rPr>
          <w:rFonts w:cs="Times New Roman"/>
          <w:szCs w:val="24"/>
        </w:rPr>
        <w:t xml:space="preserve"> (</w:t>
      </w:r>
      <w:r>
        <w:rPr>
          <w:rFonts w:cs="Times New Roman"/>
          <w:szCs w:val="24"/>
        </w:rPr>
        <w:t>Asos, 2023)</w:t>
      </w:r>
      <w:r>
        <w:rPr>
          <w:rFonts w:cs="Times New Roman"/>
          <w:szCs w:val="24"/>
        </w:rPr>
        <w:t>.</w:t>
      </w:r>
      <w:r>
        <w:rPr>
          <w:rFonts w:cs="Times New Roman"/>
          <w:szCs w:val="24"/>
        </w:rPr>
        <w:t xml:space="preserve"> </w:t>
      </w:r>
      <w:r>
        <w:rPr>
          <w:rFonts w:cs="Times New Roman"/>
          <w:szCs w:val="24"/>
        </w:rPr>
        <w:t xml:space="preserve"> </w:t>
      </w:r>
    </w:p>
    <w:bookmarkStart w:id="4" w:name="_Toc173489796"/>
    <w:p>
      <w:pPr>
        <w:pStyle w:val="style2"/>
        <w:spacing w:before="240" w:after="240"/>
        <w:rPr>
          <w:rFonts w:cs="Times New Roman"/>
          <w:szCs w:val="24"/>
        </w:rPr>
      </w:pPr>
      <w:r>
        <w:rPr>
          <w:rFonts w:cs="Times New Roman"/>
          <w:szCs w:val="24"/>
        </w:rPr>
        <w:t>Financial Ratio Analysis</w:t>
      </w:r>
      <w:bookmarkEnd w:id="4"/>
    </w:p>
    <w:bookmarkStart w:id="5" w:name="_Toc173489797"/>
    <w:p>
      <w:pPr>
        <w:pStyle w:val="style3"/>
        <w:spacing w:before="240" w:after="240"/>
        <w:rPr>
          <w:rFonts w:cs="Times New Roman"/>
          <w:szCs w:val="24"/>
        </w:rPr>
      </w:pPr>
      <w:r>
        <w:rPr>
          <w:rFonts w:cs="Times New Roman"/>
          <w:szCs w:val="24"/>
        </w:rPr>
        <w:t>Profitability Ratio</w:t>
      </w:r>
      <w:bookmarkEnd w:id="5"/>
    </w:p>
    <w:p>
      <w:pPr>
        <w:pStyle w:val="style179"/>
        <w:numPr>
          <w:ilvl w:val="0"/>
          <w:numId w:val="5"/>
        </w:numPr>
        <w:spacing w:before="240" w:after="240"/>
        <w:rPr>
          <w:rFonts w:cs="Times New Roman"/>
          <w:b/>
          <w:bCs/>
          <w:szCs w:val="24"/>
        </w:rPr>
      </w:pPr>
      <w:r>
        <w:rPr>
          <w:rFonts w:cs="Times New Roman"/>
          <w:b/>
          <w:bCs/>
          <w:szCs w:val="24"/>
        </w:rPr>
        <w:t>Gross Profit Ratio</w:t>
      </w:r>
    </w:p>
    <w:p>
      <w:pPr>
        <w:pStyle w:val="style0"/>
        <w:spacing w:before="240" w:after="240"/>
        <w:rPr>
          <w:rFonts w:cs="Times New Roman"/>
          <w:szCs w:val="24"/>
        </w:rPr>
      </w:pPr>
      <w:r>
        <w:rPr>
          <w:rFonts w:cs="Times New Roman"/>
          <w:szCs w:val="24"/>
        </w:rPr>
        <w:t xml:space="preserve">The </w:t>
      </w:r>
      <w:r>
        <w:rPr>
          <w:rFonts w:cs="Times New Roman"/>
          <w:b/>
          <w:bCs/>
          <w:i/>
          <w:iCs/>
          <w:szCs w:val="24"/>
        </w:rPr>
        <w:t>Gross Profit Ratio</w:t>
      </w:r>
      <w:r>
        <w:rPr>
          <w:rFonts w:cs="Times New Roman"/>
          <w:szCs w:val="24"/>
        </w:rPr>
        <w:t xml:space="preserve"> defines the company’s ability to generate revenue as regards the assets, liabilities, equity and cash flows and the overall pricing policy, thereby enhancing the profitability (Tamplin, 2023).</w:t>
      </w:r>
    </w:p>
    <w:p>
      <w:pPr>
        <w:pStyle w:val="style0"/>
        <w:spacing w:before="240" w:after="240"/>
        <w:rPr>
          <w:rFonts w:cs="Times New Roman"/>
          <w:szCs w:val="24"/>
        </w:rPr>
      </w:pPr>
      <w:r>
        <w:rPr>
          <w:rFonts w:cs="Times New Roman"/>
          <w:noProof/>
          <w:szCs w:val="24"/>
        </w:rPr>
        <w:drawing>
          <wp:anchor distT="0" distB="0" distL="114300" distR="114300" simplePos="false" relativeHeight="9" behindDoc="false" locked="false" layoutInCell="true" allowOverlap="true">
            <wp:simplePos x="0" y="0"/>
            <wp:positionH relativeFrom="margin">
              <wp:align>center</wp:align>
            </wp:positionH>
            <wp:positionV relativeFrom="paragraph">
              <wp:posOffset>78286</wp:posOffset>
            </wp:positionV>
            <wp:extent cx="3604260" cy="2148840"/>
            <wp:effectExtent l="19050" t="19050" r="15240" b="22860"/>
            <wp:wrapSquare wrapText="bothSides"/>
            <wp:docPr id="1035" name="Picture 8" descr="A graph of a bar chart&#10;&#10;Description automatically generated with medium confidence"/>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8"/>
                    <pic:cNvPicPr/>
                  </pic:nvPicPr>
                  <pic:blipFill>
                    <a:blip r:embed="rId7" cstate="print"/>
                    <a:srcRect l="0" t="0" r="0" b="0"/>
                    <a:stretch/>
                  </pic:blipFill>
                  <pic:spPr>
                    <a:xfrm rot="0">
                      <a:off x="0" y="0"/>
                      <a:ext cx="3604260" cy="2148840"/>
                    </a:xfrm>
                    <a:prstGeom prst="rect"/>
                    <a:ln cmpd="sng" cap="flat" w="12700">
                      <a:solidFill>
                        <a:srgbClr val="000000"/>
                      </a:solidFill>
                      <a:prstDash val="solid"/>
                      <a:round/>
                      <a:headEnd/>
                      <a:tailEnd/>
                    </a:ln>
                  </pic:spPr>
                </pic:pic>
              </a:graphicData>
            </a:graphic>
            <wp14:sizeRelH relativeFrom="margin">
              <wp14:pctWidth>0</wp14:pctWidth>
            </wp14:sizeRelH>
            <wp14:sizeRelV relativeFrom="margin">
              <wp14:pctHeight>0</wp14:pctHeight>
            </wp14:sizeRelV>
          </wp:anchor>
        </w:drawing>
      </w:r>
    </w:p>
    <w:p>
      <w:pPr>
        <w:pStyle w:val="style0"/>
        <w:spacing w:before="240" w:after="240"/>
        <w:rPr>
          <w:rFonts w:cs="Times New Roman"/>
          <w:szCs w:val="24"/>
        </w:rPr>
      </w:pPr>
    </w:p>
    <w:p>
      <w:pPr>
        <w:pStyle w:val="style0"/>
        <w:spacing w:before="240" w:after="240"/>
        <w:rPr>
          <w:rFonts w:cs="Times New Roman"/>
          <w:szCs w:val="24"/>
        </w:rPr>
      </w:pPr>
    </w:p>
    <w:p>
      <w:pPr>
        <w:pStyle w:val="style0"/>
        <w:spacing w:before="240" w:after="240"/>
        <w:rPr>
          <w:rFonts w:cs="Times New Roman"/>
          <w:szCs w:val="24"/>
        </w:rPr>
      </w:pPr>
    </w:p>
    <w:p>
      <w:pPr>
        <w:pStyle w:val="style0"/>
        <w:spacing w:before="240" w:after="240"/>
        <w:rPr>
          <w:rFonts w:cs="Times New Roman"/>
          <w:szCs w:val="24"/>
        </w:rPr>
      </w:pPr>
    </w:p>
    <w:p>
      <w:pPr>
        <w:pStyle w:val="style0"/>
        <w:spacing w:before="240" w:after="240"/>
        <w:rPr>
          <w:rFonts w:cs="Times New Roman"/>
          <w:szCs w:val="24"/>
        </w:rPr>
      </w:pPr>
    </w:p>
    <w:p>
      <w:pPr>
        <w:pStyle w:val="style0"/>
        <w:spacing w:before="240" w:after="240"/>
        <w:rPr>
          <w:rFonts w:cs="Times New Roman"/>
          <w:szCs w:val="24"/>
        </w:rPr>
      </w:pPr>
      <w:r>
        <w:rPr>
          <w:rFonts w:cs="Times New Roman"/>
          <w:noProof/>
          <w:szCs w:val="24"/>
        </w:rPr>
        <mc:AlternateContent>
          <mc:Choice Requires="wps">
            <w:drawing>
              <wp:anchor distT="0" distB="0" distL="114300" distR="114300" simplePos="false" relativeHeight="8" behindDoc="false" locked="false" layoutInCell="true" allowOverlap="true">
                <wp:simplePos x="0" y="0"/>
                <wp:positionH relativeFrom="margin">
                  <wp:align>center</wp:align>
                </wp:positionH>
                <wp:positionV relativeFrom="paragraph">
                  <wp:posOffset>98878</wp:posOffset>
                </wp:positionV>
                <wp:extent cx="3535680" cy="451484"/>
                <wp:effectExtent l="0" t="0" r="7620" b="5715"/>
                <wp:wrapSquare wrapText="bothSides"/>
                <wp:docPr id="1036" name="Text Box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3535680" cy="451484"/>
                        </a:xfrm>
                        <a:prstGeom prst="rect"/>
                        <a:solidFill>
                          <a:srgbClr val="ffffff"/>
                        </a:solidFill>
                        <a:ln>
                          <a:noFill/>
                        </a:ln>
                      </wps:spPr>
                      <wps:txbx id="1036">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5</w:t>
                            </w:r>
                            <w:r>
                              <w:rPr>
                                <w:b/>
                                <w:bCs/>
                                <w:color w:val="auto"/>
                                <w:sz w:val="24"/>
                                <w:szCs w:val="32"/>
                              </w:rPr>
                              <w:fldChar w:fldCharType="end"/>
                            </w:r>
                            <w:r>
                              <w:rPr>
                                <w:b/>
                                <w:bCs/>
                                <w:color w:val="auto"/>
                                <w:sz w:val="24"/>
                                <w:szCs w:val="32"/>
                              </w:rPr>
                              <w:t>: Burberry's and Asos's Gross Profit Ratio</w:t>
                            </w:r>
                            <w:r>
                              <w:rPr>
                                <w:b/>
                                <w:bCs/>
                                <w:color w:val="auto"/>
                                <w:sz w:val="24"/>
                                <w:szCs w:val="32"/>
                              </w:rPr>
                              <w:br/>
                            </w:r>
                            <w:r>
                              <w:rPr>
                                <w:b/>
                                <w:bCs/>
                                <w:color w:val="auto"/>
                                <w:sz w:val="24"/>
                                <w:szCs w:val="32"/>
                              </w:rPr>
                              <w:t>(Source: Created by Author</w:t>
                            </w:r>
                            <w:r>
                              <w:rPr>
                                <w:b/>
                                <w:bCs/>
                                <w:color w:val="auto"/>
                                <w:sz w:val="24"/>
                                <w:szCs w:val="32"/>
                              </w:rPr>
                              <w:t>)</w:t>
                            </w:r>
                          </w:p>
                        </w:txbxContent>
                      </wps:txbx>
                      <wps:bodyPr lIns="0" rIns="0" tIns="0" bIns="0" vert="horz" anchor="t" wrap="square">
                        <a:prstTxWarp prst="textNoShape"/>
                        <a:noAutofit/>
                      </wps:bodyPr>
                    </wps:wsp>
                  </a:graphicData>
                </a:graphic>
                <wp14:sizeRelV relativeFrom="margin">
                  <wp14:pctHeight>0</wp14:pctHeight>
                </wp14:sizeRelV>
              </wp:anchor>
            </w:drawing>
          </mc:Choice>
          <mc:Fallback>
            <w:pict>
              <v:rect id="1036" fillcolor="white" stroked="f" style="position:absolute;margin-left:0.0pt;margin-top:7.79pt;width:278.4pt;height:35.55pt;z-index:8;mso-position-horizontal:center;mso-position-horizontal-relative:margin;mso-position-vertical-relative:text;mso-height-percent:0;mso-width-relative:page;mso-height-relative:margin;visibility:visible;">
                <v:stroke on="f"/>
                <w10:wrap type="square"/>
                <v:fill/>
                <v:textbox inset="0.0pt,0.0pt,0.0pt,0.0pt">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5</w:t>
                      </w:r>
                      <w:r>
                        <w:rPr>
                          <w:b/>
                          <w:bCs/>
                          <w:color w:val="auto"/>
                          <w:sz w:val="24"/>
                          <w:szCs w:val="32"/>
                        </w:rPr>
                        <w:fldChar w:fldCharType="end"/>
                      </w:r>
                      <w:r>
                        <w:rPr>
                          <w:b/>
                          <w:bCs/>
                          <w:color w:val="auto"/>
                          <w:sz w:val="24"/>
                          <w:szCs w:val="32"/>
                        </w:rPr>
                        <w:t>: Burberry's and Asos's Gross Profit Ratio</w:t>
                      </w:r>
                      <w:r>
                        <w:rPr>
                          <w:b/>
                          <w:bCs/>
                          <w:color w:val="auto"/>
                          <w:sz w:val="24"/>
                          <w:szCs w:val="32"/>
                        </w:rPr>
                        <w:br/>
                      </w:r>
                      <w:r>
                        <w:rPr>
                          <w:b/>
                          <w:bCs/>
                          <w:color w:val="auto"/>
                          <w:sz w:val="24"/>
                          <w:szCs w:val="32"/>
                        </w:rPr>
                        <w:t>(Source: Created by Author</w:t>
                      </w:r>
                      <w:r>
                        <w:rPr>
                          <w:b/>
                          <w:bCs/>
                          <w:color w:val="auto"/>
                          <w:sz w:val="24"/>
                          <w:szCs w:val="32"/>
                        </w:rPr>
                        <w:t>)</w:t>
                      </w:r>
                    </w:p>
                  </w:txbxContent>
                </v:textbox>
              </v:rect>
            </w:pict>
          </mc:Fallback>
        </mc:AlternateContent>
      </w:r>
    </w:p>
    <w:p>
      <w:pPr>
        <w:pStyle w:val="style0"/>
        <w:spacing w:before="240" w:after="240"/>
        <w:rPr>
          <w:rFonts w:cs="Times New Roman"/>
          <w:szCs w:val="24"/>
        </w:rPr>
      </w:pPr>
    </w:p>
    <w:p>
      <w:pPr>
        <w:pStyle w:val="style0"/>
        <w:spacing w:before="240" w:after="240"/>
        <w:rPr>
          <w:rFonts w:cs="Times New Roman"/>
          <w:szCs w:val="24"/>
        </w:rPr>
      </w:pPr>
      <w:r>
        <w:rPr>
          <w:rFonts w:cs="Times New Roman"/>
          <w:szCs w:val="24"/>
        </w:rPr>
        <w:t>The above infographics reveal</w:t>
      </w:r>
      <w:r>
        <w:rPr>
          <w:rFonts w:cs="Times New Roman"/>
          <w:szCs w:val="24"/>
        </w:rPr>
        <w:t xml:space="preserve"> the </w:t>
      </w:r>
      <w:r>
        <w:rPr>
          <w:rFonts w:cs="Times New Roman"/>
          <w:b/>
          <w:bCs/>
          <w:i/>
          <w:iCs/>
          <w:szCs w:val="24"/>
        </w:rPr>
        <w:t>gross margin performance</w:t>
      </w:r>
      <w:r>
        <w:rPr>
          <w:rFonts w:cs="Times New Roman"/>
          <w:szCs w:val="24"/>
        </w:rPr>
        <w:t xml:space="preserve"> of Burberry Group Plc and Asos Plc for the</w:t>
      </w:r>
      <w:r>
        <w:rPr>
          <w:rFonts w:cs="Times New Roman"/>
          <w:szCs w:val="24"/>
        </w:rPr>
        <w:t xml:space="preserve"> five consecutive financial years from 2019 to 2023. </w:t>
      </w:r>
    </w:p>
    <w:p>
      <w:pPr>
        <w:pStyle w:val="style179"/>
        <w:numPr>
          <w:ilvl w:val="0"/>
          <w:numId w:val="4"/>
        </w:numPr>
        <w:spacing w:before="240" w:after="240"/>
        <w:rPr>
          <w:rFonts w:cs="Times New Roman"/>
          <w:szCs w:val="24"/>
        </w:rPr>
      </w:pPr>
      <w:r>
        <w:rPr>
          <w:rFonts w:cs="Times New Roman"/>
          <w:szCs w:val="24"/>
        </w:rPr>
        <w:t xml:space="preserve">The </w:t>
      </w:r>
      <w:r>
        <w:rPr>
          <w:rFonts w:cs="Times New Roman"/>
          <w:szCs w:val="24"/>
        </w:rPr>
        <w:t>gross margin performance of Burberry’s Group Plc represents a</w:t>
      </w:r>
      <w:r>
        <w:rPr>
          <w:rFonts w:cs="Times New Roman"/>
          <w:szCs w:val="24"/>
        </w:rPr>
        <w:t>n average</w:t>
      </w:r>
      <w:r>
        <w:rPr>
          <w:rFonts w:cs="Times New Roman"/>
          <w:szCs w:val="24"/>
        </w:rPr>
        <w:t xml:space="preserve"> trend</w:t>
      </w:r>
      <w:r>
        <w:rPr>
          <w:rFonts w:cs="Times New Roman"/>
          <w:szCs w:val="24"/>
        </w:rPr>
        <w:t xml:space="preserve"> followed by</w:t>
      </w:r>
      <w:r>
        <w:rPr>
          <w:rFonts w:cs="Times New Roman"/>
          <w:szCs w:val="24"/>
        </w:rPr>
        <w:t xml:space="preserve"> an </w:t>
      </w:r>
      <w:r>
        <w:rPr>
          <w:rFonts w:cs="Times New Roman"/>
          <w:b/>
          <w:bCs/>
          <w:i/>
          <w:iCs/>
          <w:szCs w:val="24"/>
        </w:rPr>
        <w:t>average growth in</w:t>
      </w:r>
      <w:r>
        <w:rPr>
          <w:rFonts w:cs="Times New Roman"/>
          <w:b/>
          <w:bCs/>
          <w:i/>
          <w:iCs/>
          <w:szCs w:val="24"/>
        </w:rPr>
        <w:t xml:space="preserve"> revenue and the operating costs</w:t>
      </w:r>
      <w:r>
        <w:rPr>
          <w:rFonts w:cs="Times New Roman"/>
          <w:szCs w:val="24"/>
        </w:rPr>
        <w:t xml:space="preserve"> of the company.</w:t>
      </w:r>
      <w:r>
        <w:rPr>
          <w:rFonts w:cs="Times New Roman"/>
          <w:szCs w:val="24"/>
        </w:rPr>
        <w:t xml:space="preserve"> </w:t>
      </w:r>
      <w:r>
        <w:rPr>
          <w:rFonts w:cs="Times New Roman"/>
          <w:szCs w:val="24"/>
        </w:rPr>
        <w:t xml:space="preserve">However, the 2020 financials </w:t>
      </w:r>
      <w:r>
        <w:rPr>
          <w:rFonts w:cs="Times New Roman"/>
          <w:szCs w:val="24"/>
        </w:rPr>
        <w:t>represent</w:t>
      </w:r>
      <w:r>
        <w:rPr>
          <w:rFonts w:cs="Times New Roman"/>
          <w:szCs w:val="24"/>
        </w:rPr>
        <w:t xml:space="preserve"> a lower gross margin of </w:t>
      </w:r>
      <w:r>
        <w:rPr>
          <w:rFonts w:cs="Times New Roman"/>
          <w:szCs w:val="24"/>
        </w:rPr>
        <w:t xml:space="preserve">64.772% as compared to other financial years. The </w:t>
      </w:r>
      <w:r>
        <w:rPr>
          <w:rFonts w:cs="Times New Roman"/>
          <w:b/>
          <w:bCs/>
          <w:i/>
          <w:iCs/>
          <w:szCs w:val="24"/>
        </w:rPr>
        <w:t>COVID outbreak</w:t>
      </w:r>
      <w:r>
        <w:rPr>
          <w:rFonts w:cs="Times New Roman"/>
          <w:szCs w:val="24"/>
        </w:rPr>
        <w:t xml:space="preserve"> has </w:t>
      </w:r>
      <w:r>
        <w:rPr>
          <w:rFonts w:cs="Times New Roman"/>
          <w:szCs w:val="24"/>
        </w:rPr>
        <w:t>restricted the</w:t>
      </w:r>
      <w:r>
        <w:rPr>
          <w:rFonts w:cs="Times New Roman"/>
          <w:szCs w:val="24"/>
        </w:rPr>
        <w:t xml:space="preserve"> mobility of goods and services which has </w:t>
      </w:r>
      <w:r>
        <w:rPr>
          <w:rFonts w:cs="Times New Roman"/>
          <w:b/>
          <w:bCs/>
          <w:i/>
          <w:iCs/>
          <w:szCs w:val="24"/>
        </w:rPr>
        <w:t>disrupted the supply chain</w:t>
      </w:r>
      <w:r>
        <w:rPr>
          <w:rFonts w:cs="Times New Roman"/>
          <w:szCs w:val="24"/>
        </w:rPr>
        <w:t xml:space="preserve"> of the company and the luxury sector</w:t>
      </w:r>
      <w:r>
        <w:rPr>
          <w:rFonts w:cs="Times New Roman"/>
          <w:szCs w:val="24"/>
        </w:rPr>
        <w:t xml:space="preserve">, thereby resulting in </w:t>
      </w:r>
      <w:r>
        <w:rPr>
          <w:rFonts w:cs="Times New Roman"/>
          <w:b/>
          <w:bCs/>
          <w:i/>
          <w:iCs/>
          <w:szCs w:val="24"/>
        </w:rPr>
        <w:t>widespread store closures</w:t>
      </w:r>
      <w:r>
        <w:rPr>
          <w:rFonts w:cs="Times New Roman"/>
          <w:b/>
          <w:bCs/>
          <w:i/>
          <w:iCs/>
          <w:szCs w:val="24"/>
        </w:rPr>
        <w:t>, declining customer sentiments,</w:t>
      </w:r>
      <w:r>
        <w:rPr>
          <w:rFonts w:cs="Times New Roman"/>
          <w:szCs w:val="24"/>
        </w:rPr>
        <w:t xml:space="preserve"> and </w:t>
      </w:r>
      <w:r>
        <w:rPr>
          <w:rFonts w:cs="Times New Roman"/>
          <w:szCs w:val="24"/>
        </w:rPr>
        <w:t xml:space="preserve">an adverse impact on revenue growth (Burberry, 2020). </w:t>
      </w:r>
    </w:p>
    <w:p>
      <w:pPr>
        <w:pStyle w:val="style179"/>
        <w:numPr>
          <w:ilvl w:val="0"/>
          <w:numId w:val="4"/>
        </w:numPr>
        <w:spacing w:before="240" w:after="240"/>
        <w:rPr>
          <w:rFonts w:cs="Times New Roman"/>
          <w:szCs w:val="24"/>
        </w:rPr>
      </w:pPr>
      <w:r>
        <w:rPr>
          <w:rFonts w:cs="Times New Roman"/>
          <w:szCs w:val="24"/>
        </w:rPr>
        <w:t>In contrast to Burberry,</w:t>
      </w:r>
      <w:r>
        <w:rPr>
          <w:rFonts w:cs="Times New Roman"/>
          <w:szCs w:val="24"/>
        </w:rPr>
        <w:t xml:space="preserve"> </w:t>
      </w:r>
      <w:r>
        <w:rPr>
          <w:rFonts w:cs="Times New Roman"/>
          <w:szCs w:val="24"/>
        </w:rPr>
        <w:t xml:space="preserve">Asos Plc </w:t>
      </w:r>
      <w:r>
        <w:rPr>
          <w:rFonts w:cs="Times New Roman"/>
          <w:szCs w:val="24"/>
        </w:rPr>
        <w:t xml:space="preserve">represented a </w:t>
      </w:r>
      <w:r>
        <w:rPr>
          <w:rFonts w:cs="Times New Roman"/>
          <w:b/>
          <w:bCs/>
          <w:i/>
          <w:iCs/>
          <w:szCs w:val="24"/>
        </w:rPr>
        <w:t>negative trend</w:t>
      </w:r>
      <w:r>
        <w:rPr>
          <w:rFonts w:cs="Times New Roman"/>
          <w:b/>
          <w:bCs/>
          <w:i/>
          <w:iCs/>
          <w:szCs w:val="24"/>
        </w:rPr>
        <w:t xml:space="preserve"> in the gross margin </w:t>
      </w:r>
      <w:r>
        <w:rPr>
          <w:rFonts w:cs="Times New Roman"/>
          <w:b/>
          <w:bCs/>
          <w:i/>
          <w:iCs/>
          <w:szCs w:val="24"/>
        </w:rPr>
        <w:t>performance</w:t>
      </w:r>
      <w:r>
        <w:rPr>
          <w:rFonts w:cs="Times New Roman"/>
          <w:szCs w:val="24"/>
        </w:rPr>
        <w:t xml:space="preserve"> as depicted </w:t>
      </w:r>
      <w:r>
        <w:rPr>
          <w:rFonts w:cs="Times New Roman"/>
          <w:szCs w:val="24"/>
        </w:rPr>
        <w:t>in</w:t>
      </w:r>
      <w:r>
        <w:rPr>
          <w:rFonts w:cs="Times New Roman"/>
          <w:szCs w:val="24"/>
        </w:rPr>
        <w:t xml:space="preserve"> the above figure</w:t>
      </w:r>
      <w:r>
        <w:rPr>
          <w:rFonts w:cs="Times New Roman"/>
          <w:szCs w:val="24"/>
        </w:rPr>
        <w:t>. The highest</w:t>
      </w:r>
      <w:r>
        <w:rPr>
          <w:rFonts w:cs="Times New Roman"/>
          <w:szCs w:val="24"/>
        </w:rPr>
        <w:t xml:space="preserve"> and lowest</w:t>
      </w:r>
      <w:r>
        <w:rPr>
          <w:rFonts w:cs="Times New Roman"/>
          <w:szCs w:val="24"/>
        </w:rPr>
        <w:t xml:space="preserve"> gross margin </w:t>
      </w:r>
      <w:r>
        <w:rPr>
          <w:rFonts w:cs="Times New Roman"/>
          <w:szCs w:val="24"/>
        </w:rPr>
        <w:t>ratios</w:t>
      </w:r>
      <w:r>
        <w:rPr>
          <w:rFonts w:cs="Times New Roman"/>
          <w:szCs w:val="24"/>
        </w:rPr>
        <w:t xml:space="preserve"> of </w:t>
      </w:r>
      <w:r>
        <w:rPr>
          <w:rFonts w:cs="Times New Roman"/>
          <w:b/>
          <w:bCs/>
          <w:i/>
          <w:iCs/>
          <w:szCs w:val="24"/>
        </w:rPr>
        <w:t>48.813% and 41.104%</w:t>
      </w:r>
      <w:r>
        <w:rPr>
          <w:rFonts w:cs="Times New Roman"/>
          <w:szCs w:val="24"/>
        </w:rPr>
        <w:t xml:space="preserve"> is recorded in the year 2019 and 2023 respectively.</w:t>
      </w:r>
      <w:r>
        <w:rPr>
          <w:rFonts w:cs="Times New Roman"/>
          <w:szCs w:val="24"/>
        </w:rPr>
        <w:t xml:space="preserve"> </w:t>
      </w:r>
      <w:r>
        <w:rPr>
          <w:rFonts w:cs="Times New Roman"/>
          <w:szCs w:val="24"/>
        </w:rPr>
        <w:t xml:space="preserve">The lower gross margin ratio in the year 2023 is </w:t>
      </w:r>
      <w:r>
        <w:rPr>
          <w:rFonts w:cs="Times New Roman"/>
          <w:szCs w:val="24"/>
        </w:rPr>
        <w:t xml:space="preserve">followed by a decline in revenue growth and an increase in the operating costs of the company. </w:t>
      </w:r>
      <w:r>
        <w:rPr>
          <w:rFonts w:cs="Times New Roman"/>
          <w:szCs w:val="24"/>
        </w:rPr>
        <w:t xml:space="preserve">The decline in revenue is backed by three headwinds- </w:t>
      </w:r>
      <w:r>
        <w:rPr>
          <w:rFonts w:cs="Times New Roman"/>
          <w:szCs w:val="24"/>
        </w:rPr>
        <w:t>ne</w:t>
      </w:r>
      <w:r>
        <w:rPr>
          <w:rFonts w:cs="Times New Roman"/>
          <w:b/>
          <w:bCs/>
          <w:i/>
          <w:iCs/>
          <w:szCs w:val="24"/>
        </w:rPr>
        <w:t xml:space="preserve">gative </w:t>
      </w:r>
      <w:r>
        <w:rPr>
          <w:rFonts w:cs="Times New Roman"/>
          <w:b/>
          <w:bCs/>
          <w:i/>
          <w:iCs/>
          <w:szCs w:val="24"/>
        </w:rPr>
        <w:t>consumer</w:t>
      </w:r>
      <w:r>
        <w:rPr>
          <w:rFonts w:cs="Times New Roman"/>
          <w:b/>
          <w:bCs/>
          <w:i/>
          <w:iCs/>
          <w:szCs w:val="24"/>
        </w:rPr>
        <w:t xml:space="preserve"> sentiments</w:t>
      </w:r>
      <w:r>
        <w:rPr>
          <w:rFonts w:cs="Times New Roman"/>
          <w:b/>
          <w:bCs/>
          <w:i/>
          <w:iCs/>
          <w:szCs w:val="24"/>
        </w:rPr>
        <w:t xml:space="preserve"> due to cost-of-living issues,</w:t>
      </w:r>
      <w:r>
        <w:rPr>
          <w:rFonts w:cs="Times New Roman"/>
          <w:b/>
          <w:bCs/>
          <w:i/>
          <w:iCs/>
          <w:szCs w:val="24"/>
        </w:rPr>
        <w:t xml:space="preserve"> underperformance of the</w:t>
      </w:r>
      <w:r>
        <w:rPr>
          <w:rFonts w:cs="Times New Roman"/>
          <w:b/>
          <w:bCs/>
          <w:i/>
          <w:iCs/>
          <w:szCs w:val="24"/>
        </w:rPr>
        <w:t xml:space="preserve"> retail</w:t>
      </w:r>
      <w:r>
        <w:rPr>
          <w:rFonts w:cs="Times New Roman"/>
          <w:b/>
          <w:bCs/>
          <w:i/>
          <w:iCs/>
          <w:szCs w:val="24"/>
        </w:rPr>
        <w:t xml:space="preserve"> market</w:t>
      </w:r>
      <w:r>
        <w:rPr>
          <w:rFonts w:cs="Times New Roman"/>
          <w:b/>
          <w:bCs/>
          <w:i/>
          <w:iCs/>
          <w:szCs w:val="24"/>
        </w:rPr>
        <w:t>,</w:t>
      </w:r>
      <w:r>
        <w:rPr>
          <w:rFonts w:cs="Times New Roman"/>
          <w:b/>
          <w:bCs/>
          <w:i/>
          <w:iCs/>
          <w:szCs w:val="24"/>
        </w:rPr>
        <w:t xml:space="preserve"> and the</w:t>
      </w:r>
      <w:r>
        <w:rPr>
          <w:rFonts w:cs="Times New Roman"/>
          <w:b/>
          <w:bCs/>
          <w:i/>
          <w:iCs/>
          <w:szCs w:val="24"/>
        </w:rPr>
        <w:t xml:space="preserve"> </w:t>
      </w:r>
      <w:r>
        <w:rPr>
          <w:rFonts w:cs="Times New Roman"/>
          <w:b/>
          <w:bCs/>
          <w:i/>
          <w:iCs/>
          <w:szCs w:val="24"/>
        </w:rPr>
        <w:t>COVID-19</w:t>
      </w:r>
      <w:r>
        <w:rPr>
          <w:rFonts w:cs="Times New Roman"/>
          <w:b/>
          <w:bCs/>
          <w:i/>
          <w:iCs/>
          <w:szCs w:val="24"/>
        </w:rPr>
        <w:t xml:space="preserve"> impact </w:t>
      </w:r>
      <w:r>
        <w:rPr>
          <w:rFonts w:cs="Times New Roman"/>
          <w:b/>
          <w:bCs/>
          <w:i/>
          <w:iCs/>
          <w:szCs w:val="24"/>
        </w:rPr>
        <w:t>on shopping stores</w:t>
      </w:r>
      <w:r>
        <w:rPr>
          <w:rFonts w:cs="Times New Roman"/>
          <w:szCs w:val="24"/>
        </w:rPr>
        <w:t xml:space="preserve"> (Asos, 20</w:t>
      </w:r>
      <w:r>
        <w:rPr>
          <w:rFonts w:cs="Times New Roman"/>
          <w:szCs w:val="24"/>
        </w:rPr>
        <w:t>23)</w:t>
      </w:r>
      <w:r>
        <w:rPr>
          <w:rFonts w:cs="Times New Roman"/>
          <w:szCs w:val="24"/>
        </w:rPr>
        <w:t>.</w:t>
      </w:r>
      <w:r>
        <w:rPr>
          <w:rFonts w:cs="Times New Roman"/>
          <w:szCs w:val="24"/>
        </w:rPr>
        <w:t xml:space="preserve"> In addition to this, the </w:t>
      </w:r>
      <w:r>
        <w:rPr>
          <w:rFonts w:cs="Times New Roman"/>
          <w:b/>
          <w:bCs/>
          <w:i/>
          <w:iCs/>
          <w:szCs w:val="24"/>
        </w:rPr>
        <w:t>active customers</w:t>
      </w:r>
      <w:r>
        <w:rPr>
          <w:rFonts w:cs="Times New Roman"/>
          <w:szCs w:val="24"/>
        </w:rPr>
        <w:t xml:space="preserve"> of the company have declined by 9% from </w:t>
      </w:r>
      <w:r>
        <w:rPr>
          <w:rFonts w:cs="Times New Roman"/>
          <w:b/>
          <w:bCs/>
          <w:i/>
          <w:iCs/>
          <w:szCs w:val="24"/>
        </w:rPr>
        <w:t>25.7 million customers in 2022 to 23.3 million customers in 2023</w:t>
      </w:r>
      <w:r>
        <w:rPr>
          <w:rFonts w:cs="Times New Roman"/>
          <w:b/>
          <w:bCs/>
          <w:i/>
          <w:iCs/>
          <w:szCs w:val="24"/>
        </w:rPr>
        <w:t>,</w:t>
      </w:r>
      <w:r>
        <w:rPr>
          <w:rFonts w:cs="Times New Roman"/>
          <w:szCs w:val="24"/>
        </w:rPr>
        <w:t xml:space="preserve"> thereby impacting th</w:t>
      </w:r>
      <w:r>
        <w:rPr>
          <w:rFonts w:cs="Times New Roman"/>
          <w:szCs w:val="24"/>
        </w:rPr>
        <w:t xml:space="preserve">e operational revenue of the company (Asos, 2023). </w:t>
      </w:r>
    </w:p>
    <w:p>
      <w:pPr>
        <w:pStyle w:val="style179"/>
        <w:numPr>
          <w:ilvl w:val="0"/>
          <w:numId w:val="5"/>
        </w:numPr>
        <w:spacing w:before="240" w:after="240"/>
        <w:rPr>
          <w:rFonts w:cs="Times New Roman"/>
          <w:b/>
          <w:bCs/>
          <w:szCs w:val="24"/>
        </w:rPr>
      </w:pPr>
      <w:r>
        <w:rPr>
          <w:rFonts w:cs="Times New Roman"/>
          <w:b/>
          <w:bCs/>
          <w:szCs w:val="24"/>
        </w:rPr>
        <w:t>Return on Capital Employed</w:t>
      </w:r>
    </w:p>
    <w:p>
      <w:pPr>
        <w:pStyle w:val="style0"/>
        <w:spacing w:before="240" w:after="240"/>
        <w:ind w:left="360"/>
        <w:rPr>
          <w:rFonts w:cs="Times New Roman"/>
          <w:szCs w:val="24"/>
        </w:rPr>
      </w:pPr>
      <w:r>
        <w:rPr>
          <w:rFonts w:cs="Times New Roman"/>
          <w:szCs w:val="24"/>
        </w:rPr>
        <w:t xml:space="preserve">The Return on Capital Employed is a profitability metric that defines </w:t>
      </w:r>
      <w:r>
        <w:rPr>
          <w:rFonts w:cs="Times New Roman"/>
          <w:szCs w:val="24"/>
        </w:rPr>
        <w:t xml:space="preserve">the company’s capital efficiency in generating profits (Husain and </w:t>
      </w:r>
      <w:r>
        <w:rPr>
          <w:rFonts w:cs="Times New Roman"/>
          <w:szCs w:val="24"/>
        </w:rPr>
        <w:t>Sunardi</w:t>
      </w:r>
      <w:r>
        <w:rPr>
          <w:rFonts w:cs="Times New Roman"/>
          <w:szCs w:val="24"/>
        </w:rPr>
        <w:t>, 2020).</w:t>
      </w:r>
    </w:p>
    <w:p>
      <w:pPr>
        <w:pStyle w:val="style0"/>
        <w:spacing w:before="240" w:after="240"/>
        <w:rPr>
          <w:rFonts w:cs="Times New Roman"/>
          <w:b/>
          <w:bCs/>
          <w:szCs w:val="24"/>
        </w:rPr>
      </w:pPr>
      <w:r>
        <w:rPr>
          <w:rFonts w:cs="Times New Roman"/>
          <w:b/>
          <w:bCs/>
          <w:noProof/>
          <w:szCs w:val="24"/>
        </w:rPr>
        <w:drawing>
          <wp:anchor distT="0" distB="0" distL="114300" distR="114300" simplePos="false" relativeHeight="12" behindDoc="false" locked="false" layoutInCell="true" allowOverlap="true">
            <wp:simplePos x="0" y="0"/>
            <wp:positionH relativeFrom="margin">
              <wp:align>center</wp:align>
            </wp:positionH>
            <wp:positionV relativeFrom="paragraph">
              <wp:posOffset>14605</wp:posOffset>
            </wp:positionV>
            <wp:extent cx="3463925" cy="2286635"/>
            <wp:effectExtent l="19050" t="19050" r="22225" b="18415"/>
            <wp:wrapSquare wrapText="bothSides"/>
            <wp:docPr id="1037" name="Picture 8"/>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8"/>
                    <pic:cNvPicPr/>
                  </pic:nvPicPr>
                  <pic:blipFill>
                    <a:blip r:embed="rId8" cstate="print"/>
                    <a:srcRect l="0" t="0" r="0" b="0"/>
                    <a:stretch/>
                  </pic:blipFill>
                  <pic:spPr>
                    <a:xfrm rot="0">
                      <a:off x="0" y="0"/>
                      <a:ext cx="3463925" cy="2286635"/>
                    </a:xfrm>
                    <a:prstGeom prst="rect"/>
                    <a:ln cmpd="sng" cap="flat" w="12700">
                      <a:solidFill>
                        <a:srgbClr val="000000"/>
                      </a:solidFill>
                      <a:prstDash val="solid"/>
                      <a:round/>
                      <a:headEnd/>
                      <a:tailEnd/>
                    </a:ln>
                  </pic:spPr>
                </pic:pic>
              </a:graphicData>
            </a:graphic>
            <wp14:sizeRelH relativeFrom="margin">
              <wp14:pctWidth>0</wp14:pctWidth>
            </wp14:sizeRelH>
            <wp14:sizeRelV relativeFrom="margin">
              <wp14:pctHeight>0</wp14:pctHeight>
            </wp14:sizeRelV>
          </wp:anchor>
        </w:drawing>
      </w:r>
    </w:p>
    <w:p>
      <w:pPr>
        <w:pStyle w:val="style0"/>
        <w:spacing w:before="240" w:after="240"/>
        <w:rPr>
          <w:rFonts w:cs="Times New Roman" w:eastAsia="等线 Light"/>
          <w:b/>
          <w:iCs/>
          <w:color w:val="000000"/>
          <w:szCs w:val="24"/>
        </w:rPr>
      </w:pPr>
    </w:p>
    <w:p>
      <w:pPr>
        <w:pStyle w:val="style0"/>
        <w:spacing w:before="240" w:after="240"/>
        <w:rPr>
          <w:rFonts w:cs="Times New Roman" w:eastAsia="等线 Light"/>
          <w:b/>
          <w:iCs/>
          <w:color w:val="000000"/>
          <w:szCs w:val="24"/>
        </w:rPr>
      </w:pPr>
    </w:p>
    <w:p>
      <w:pPr>
        <w:pStyle w:val="style0"/>
        <w:spacing w:before="240" w:after="240"/>
        <w:rPr>
          <w:rFonts w:cs="Times New Roman" w:eastAsia="等线 Light"/>
          <w:b/>
          <w:iCs/>
          <w:color w:val="000000"/>
          <w:szCs w:val="24"/>
        </w:rPr>
      </w:pPr>
    </w:p>
    <w:p>
      <w:pPr>
        <w:pStyle w:val="style0"/>
        <w:spacing w:before="240" w:after="240"/>
        <w:rPr>
          <w:rFonts w:cs="Times New Roman" w:eastAsia="等线 Light"/>
          <w:b/>
          <w:iCs/>
          <w:color w:val="000000"/>
          <w:szCs w:val="24"/>
        </w:rPr>
      </w:pPr>
    </w:p>
    <w:p>
      <w:pPr>
        <w:pStyle w:val="style0"/>
        <w:spacing w:before="240" w:after="240"/>
        <w:rPr>
          <w:rFonts w:cs="Times New Roman" w:eastAsia="等线 Light"/>
          <w:b/>
          <w:iCs/>
          <w:color w:val="000000"/>
          <w:szCs w:val="24"/>
        </w:rPr>
      </w:pPr>
    </w:p>
    <w:p>
      <w:pPr>
        <w:pStyle w:val="style0"/>
        <w:spacing w:before="240" w:after="240"/>
        <w:rPr>
          <w:rFonts w:cs="Times New Roman" w:eastAsia="等线 Light"/>
          <w:b/>
          <w:iCs/>
          <w:color w:val="000000"/>
          <w:szCs w:val="24"/>
        </w:rPr>
      </w:pPr>
      <w:r>
        <w:rPr>
          <w:rFonts w:cs="Times New Roman"/>
          <w:noProof/>
          <w:szCs w:val="24"/>
        </w:rPr>
        <mc:AlternateContent>
          <mc:Choice Requires="wps">
            <w:drawing>
              <wp:anchor distT="0" distB="0" distL="114300" distR="114300" simplePos="false" relativeHeight="11" behindDoc="false" locked="false" layoutInCell="true" allowOverlap="true">
                <wp:simplePos x="0" y="0"/>
                <wp:positionH relativeFrom="margin">
                  <wp:align>center</wp:align>
                </wp:positionH>
                <wp:positionV relativeFrom="paragraph">
                  <wp:posOffset>215265</wp:posOffset>
                </wp:positionV>
                <wp:extent cx="3921125" cy="450850"/>
                <wp:effectExtent l="0" t="0" r="3175" b="6350"/>
                <wp:wrapSquare wrapText="bothSides"/>
                <wp:docPr id="1038" name="Text Box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3921125" cy="450850"/>
                        </a:xfrm>
                        <a:prstGeom prst="rect"/>
                        <a:solidFill>
                          <a:srgbClr val="ffffff"/>
                        </a:solidFill>
                        <a:ln>
                          <a:noFill/>
                        </a:ln>
                      </wps:spPr>
                      <wps:txbx id="1038">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6</w:t>
                            </w:r>
                            <w:r>
                              <w:rPr>
                                <w:b/>
                                <w:bCs/>
                                <w:color w:val="auto"/>
                                <w:sz w:val="24"/>
                                <w:szCs w:val="32"/>
                              </w:rPr>
                              <w:fldChar w:fldCharType="end"/>
                            </w:r>
                            <w:r>
                              <w:rPr>
                                <w:b/>
                                <w:bCs/>
                                <w:color w:val="auto"/>
                                <w:sz w:val="24"/>
                                <w:szCs w:val="32"/>
                              </w:rPr>
                              <w:t>: Burberry's and Asos's Return on Capital Employed</w:t>
                            </w:r>
                            <w:r>
                              <w:rPr>
                                <w:b/>
                                <w:bCs/>
                                <w:color w:val="auto"/>
                                <w:sz w:val="24"/>
                                <w:szCs w:val="32"/>
                              </w:rPr>
                              <w:br/>
                            </w:r>
                            <w:r>
                              <w:rPr>
                                <w:b/>
                                <w:bCs/>
                                <w:color w:val="auto"/>
                                <w:sz w:val="24"/>
                                <w:szCs w:val="32"/>
                              </w:rPr>
                              <w:t>(Source: Created by Author)</w:t>
                            </w:r>
                          </w:p>
                        </w:txbxContent>
                      </wps:txbx>
                      <wps:bodyPr lIns="0" rIns="0" tIns="0" bIns="0" vert="horz" anchor="t" wrap="square">
                        <a:prstTxWarp prst="textNoShape"/>
                        <a:noAutofit/>
                      </wps:bodyPr>
                    </wps:wsp>
                  </a:graphicData>
                </a:graphic>
                <wp14:sizeRelH relativeFrom="margin">
                  <wp14:pctWidth>0</wp14:pctWidth>
                </wp14:sizeRelH>
                <wp14:sizeRelV relativeFrom="margin">
                  <wp14:pctHeight>0</wp14:pctHeight>
                </wp14:sizeRelV>
              </wp:anchor>
            </w:drawing>
          </mc:Choice>
          <mc:Fallback>
            <w:pict>
              <v:rect id="1038" fillcolor="white" stroked="f" style="position:absolute;margin-left:0.0pt;margin-top:16.95pt;width:308.75pt;height:35.5pt;z-index:11;mso-position-horizontal:center;mso-position-horizontal-relative:margin;mso-position-vertical-relative:text;mso-width-percent:0;mso-height-percent:0;mso-width-relative:margin;mso-height-relative:margin;visibility:visible;">
                <v:stroke on="f"/>
                <w10:wrap type="square"/>
                <v:fill/>
                <v:textbox inset="0.0pt,0.0pt,0.0pt,0.0pt">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6</w:t>
                      </w:r>
                      <w:r>
                        <w:rPr>
                          <w:b/>
                          <w:bCs/>
                          <w:color w:val="auto"/>
                          <w:sz w:val="24"/>
                          <w:szCs w:val="32"/>
                        </w:rPr>
                        <w:fldChar w:fldCharType="end"/>
                      </w:r>
                      <w:r>
                        <w:rPr>
                          <w:b/>
                          <w:bCs/>
                          <w:color w:val="auto"/>
                          <w:sz w:val="24"/>
                          <w:szCs w:val="32"/>
                        </w:rPr>
                        <w:t>: Burberry's and Asos's Return on Capital Employed</w:t>
                      </w:r>
                      <w:r>
                        <w:rPr>
                          <w:b/>
                          <w:bCs/>
                          <w:color w:val="auto"/>
                          <w:sz w:val="24"/>
                          <w:szCs w:val="32"/>
                        </w:rPr>
                        <w:br/>
                      </w:r>
                      <w:r>
                        <w:rPr>
                          <w:b/>
                          <w:bCs/>
                          <w:color w:val="auto"/>
                          <w:sz w:val="24"/>
                          <w:szCs w:val="32"/>
                        </w:rPr>
                        <w:t>(Source: Created by Author)</w:t>
                      </w:r>
                    </w:p>
                  </w:txbxContent>
                </v:textbox>
              </v:rect>
            </w:pict>
          </mc:Fallback>
        </mc:AlternateContent>
      </w:r>
    </w:p>
    <w:p>
      <w:pPr>
        <w:pStyle w:val="style0"/>
        <w:spacing w:before="240" w:after="240"/>
        <w:rPr>
          <w:rFonts w:cs="Times New Roman" w:eastAsia="等线 Light"/>
          <w:b/>
          <w:iCs/>
          <w:color w:val="000000"/>
          <w:szCs w:val="24"/>
        </w:rPr>
      </w:pPr>
    </w:p>
    <w:p>
      <w:pPr>
        <w:pStyle w:val="style0"/>
        <w:spacing w:before="240" w:after="240"/>
        <w:rPr>
          <w:rFonts w:cs="Times New Roman" w:eastAsia="等线 Light"/>
          <w:bCs/>
          <w:iCs/>
          <w:color w:val="000000"/>
          <w:szCs w:val="24"/>
        </w:rPr>
      </w:pPr>
      <w:r>
        <w:rPr>
          <w:rFonts w:cs="Times New Roman" w:eastAsia="等线 Light"/>
          <w:bCs/>
          <w:iCs/>
          <w:color w:val="000000"/>
          <w:szCs w:val="24"/>
        </w:rPr>
        <w:t xml:space="preserve">The above infographics reveal the Return on Capital Employed by Burberry and Asos for the last five financial years from 2019 to 2023. </w:t>
      </w:r>
    </w:p>
    <w:p>
      <w:pPr>
        <w:pStyle w:val="style179"/>
        <w:numPr>
          <w:ilvl w:val="0"/>
          <w:numId w:val="7"/>
        </w:numPr>
        <w:spacing w:before="240" w:after="240"/>
        <w:rPr>
          <w:rFonts w:cs="Times New Roman"/>
          <w:szCs w:val="24"/>
        </w:rPr>
      </w:pPr>
      <w:r>
        <w:rPr>
          <w:rFonts w:cs="Times New Roman" w:eastAsia="等线 Light"/>
          <w:bCs/>
          <w:iCs/>
          <w:color w:val="000000"/>
          <w:szCs w:val="24"/>
        </w:rPr>
        <w:t xml:space="preserve">The overall trends of the Return on Capital Employed by Burberry Group Plc and Asos Plc </w:t>
      </w:r>
      <w:r>
        <w:rPr>
          <w:rFonts w:cs="Times New Roman" w:eastAsia="等线 Light"/>
          <w:b/>
          <w:i/>
          <w:color w:val="000000"/>
          <w:szCs w:val="24"/>
        </w:rPr>
        <w:t>fluctuated</w:t>
      </w:r>
      <w:r>
        <w:rPr>
          <w:rFonts w:cs="Times New Roman" w:eastAsia="等线 Light"/>
          <w:bCs/>
          <w:iCs/>
          <w:color w:val="000000"/>
          <w:szCs w:val="24"/>
        </w:rPr>
        <w:t xml:space="preserve"> for the last five years as observed from the above figure. The highest and the lowest returns of the Burberry Group</w:t>
      </w:r>
      <w:r>
        <w:rPr>
          <w:rFonts w:cs="Times New Roman" w:eastAsia="等线 Light"/>
          <w:bCs/>
          <w:iCs/>
          <w:color w:val="000000"/>
          <w:szCs w:val="24"/>
        </w:rPr>
        <w:t>’s capital employment</w:t>
      </w:r>
      <w:r>
        <w:rPr>
          <w:rFonts w:cs="Times New Roman" w:eastAsia="等线 Light"/>
          <w:bCs/>
          <w:iCs/>
          <w:color w:val="000000"/>
          <w:szCs w:val="24"/>
        </w:rPr>
        <w:t xml:space="preserve"> </w:t>
      </w:r>
      <w:r>
        <w:rPr>
          <w:rFonts w:cs="Times New Roman" w:eastAsia="等线 Light"/>
          <w:b/>
          <w:i/>
          <w:color w:val="000000"/>
          <w:szCs w:val="24"/>
        </w:rPr>
        <w:t>is</w:t>
      </w:r>
      <w:r>
        <w:rPr>
          <w:rFonts w:cs="Times New Roman" w:eastAsia="等线 Light"/>
          <w:b/>
          <w:i/>
          <w:color w:val="000000"/>
          <w:szCs w:val="24"/>
        </w:rPr>
        <w:t xml:space="preserve"> 25.838%</w:t>
      </w:r>
      <w:r>
        <w:rPr>
          <w:rFonts w:cs="Times New Roman" w:eastAsia="等线 Light"/>
          <w:bCs/>
          <w:iCs/>
          <w:color w:val="000000"/>
          <w:szCs w:val="24"/>
        </w:rPr>
        <w:t xml:space="preserve"> and </w:t>
      </w:r>
      <w:r>
        <w:rPr>
          <w:rFonts w:cs="Times New Roman" w:eastAsia="等线 Light"/>
          <w:b/>
          <w:i/>
          <w:color w:val="000000"/>
          <w:szCs w:val="24"/>
        </w:rPr>
        <w:t>7.366%</w:t>
      </w:r>
      <w:r>
        <w:rPr>
          <w:rFonts w:cs="Times New Roman" w:eastAsia="等线 Light"/>
          <w:bCs/>
          <w:iCs/>
          <w:color w:val="000000"/>
          <w:szCs w:val="24"/>
        </w:rPr>
        <w:t xml:space="preserve"> in the year 2019 and 2020 respectively. However, for Asos Plc, </w:t>
      </w:r>
      <w:r>
        <w:rPr>
          <w:rFonts w:cs="Times New Roman" w:eastAsia="等线 Light"/>
          <w:b/>
          <w:i/>
          <w:color w:val="000000"/>
          <w:szCs w:val="24"/>
        </w:rPr>
        <w:t>(13.008) %,</w:t>
      </w:r>
      <w:r>
        <w:rPr>
          <w:rFonts w:cs="Times New Roman" w:eastAsia="等线 Light"/>
          <w:bCs/>
          <w:iCs/>
          <w:color w:val="000000"/>
          <w:szCs w:val="24"/>
        </w:rPr>
        <w:t xml:space="preserve"> and </w:t>
      </w:r>
      <w:r>
        <w:rPr>
          <w:rFonts w:cs="Times New Roman" w:eastAsia="等线 Light"/>
          <w:b/>
          <w:i/>
          <w:color w:val="000000"/>
          <w:szCs w:val="24"/>
        </w:rPr>
        <w:t>13.309%</w:t>
      </w:r>
      <w:r>
        <w:rPr>
          <w:rFonts w:cs="Times New Roman" w:eastAsia="等线 Light"/>
          <w:bCs/>
          <w:iCs/>
          <w:color w:val="000000"/>
          <w:szCs w:val="24"/>
        </w:rPr>
        <w:t xml:space="preserve"> are the lowest and highest for the year 2023 and 202</w:t>
      </w:r>
      <w:r>
        <w:rPr>
          <w:rFonts w:cs="Times New Roman" w:eastAsia="等线 Light"/>
          <w:bCs/>
          <w:iCs/>
          <w:color w:val="000000"/>
          <w:szCs w:val="24"/>
        </w:rPr>
        <w:t>0</w:t>
      </w:r>
      <w:r>
        <w:rPr>
          <w:rFonts w:cs="Times New Roman" w:eastAsia="等线 Light"/>
          <w:bCs/>
          <w:iCs/>
          <w:color w:val="000000"/>
          <w:szCs w:val="24"/>
        </w:rPr>
        <w:t xml:space="preserve"> respectively. </w:t>
      </w:r>
    </w:p>
    <w:p>
      <w:pPr>
        <w:pStyle w:val="style179"/>
        <w:numPr>
          <w:ilvl w:val="0"/>
          <w:numId w:val="7"/>
        </w:numPr>
        <w:spacing w:before="240" w:after="240"/>
        <w:rPr>
          <w:rFonts w:cs="Times New Roman"/>
          <w:szCs w:val="24"/>
        </w:rPr>
      </w:pPr>
      <w:r>
        <w:rPr>
          <w:rFonts w:cs="Times New Roman" w:eastAsia="等线 Light"/>
          <w:bCs/>
          <w:iCs/>
          <w:color w:val="000000"/>
          <w:szCs w:val="24"/>
        </w:rPr>
        <w:t xml:space="preserve">The year 2020 </w:t>
      </w:r>
      <w:r>
        <w:rPr>
          <w:rFonts w:cs="Times New Roman" w:eastAsia="等线 Light"/>
          <w:bCs/>
          <w:iCs/>
          <w:color w:val="000000"/>
          <w:szCs w:val="24"/>
        </w:rPr>
        <w:t xml:space="preserve">for the Burberry Group has been </w:t>
      </w:r>
      <w:r>
        <w:rPr>
          <w:rFonts w:cs="Times New Roman" w:eastAsia="等线 Light"/>
          <w:b/>
          <w:i/>
          <w:color w:val="000000"/>
          <w:szCs w:val="24"/>
        </w:rPr>
        <w:t>unfavourable</w:t>
      </w:r>
      <w:r>
        <w:rPr>
          <w:rFonts w:cs="Times New Roman" w:eastAsia="等线 Light"/>
          <w:bCs/>
          <w:iCs/>
          <w:color w:val="000000"/>
          <w:szCs w:val="24"/>
        </w:rPr>
        <w:t xml:space="preserve"> with a lower return on capital of 7.366% as represented by the above figure. Inefficient allocation of capital has resulted in the </w:t>
      </w:r>
      <w:r>
        <w:rPr>
          <w:rFonts w:cs="Times New Roman" w:eastAsia="等线 Light"/>
          <w:b/>
          <w:i/>
          <w:color w:val="000000"/>
          <w:szCs w:val="24"/>
        </w:rPr>
        <w:t>decline of the operating profits to £188.7 million</w:t>
      </w:r>
      <w:r>
        <w:rPr>
          <w:rFonts w:cs="Times New Roman" w:eastAsia="等线 Light"/>
          <w:bCs/>
          <w:iCs/>
          <w:color w:val="000000"/>
          <w:szCs w:val="24"/>
        </w:rPr>
        <w:t>, thereby indicating lower returns on capital employed in the year 2020</w:t>
      </w:r>
      <w:r>
        <w:rPr>
          <w:rFonts w:cs="Times New Roman" w:eastAsia="等线 Light"/>
          <w:bCs/>
          <w:iCs/>
          <w:color w:val="000000"/>
          <w:szCs w:val="24"/>
        </w:rPr>
        <w:t xml:space="preserve"> (Burberry, 2020)</w:t>
      </w:r>
      <w:r>
        <w:rPr>
          <w:rFonts w:cs="Times New Roman" w:eastAsia="等线 Light"/>
          <w:bCs/>
          <w:iCs/>
          <w:color w:val="000000"/>
          <w:szCs w:val="24"/>
        </w:rPr>
        <w:t>. Although</w:t>
      </w:r>
      <w:r>
        <w:rPr>
          <w:rFonts w:cs="Times New Roman" w:eastAsia="等线 Light"/>
          <w:bCs/>
          <w:iCs/>
          <w:color w:val="000000"/>
          <w:szCs w:val="24"/>
        </w:rPr>
        <w:t>,</w:t>
      </w:r>
      <w:r>
        <w:rPr>
          <w:rFonts w:cs="Times New Roman" w:eastAsia="等线 Light"/>
          <w:bCs/>
          <w:iCs/>
          <w:color w:val="000000"/>
          <w:szCs w:val="24"/>
        </w:rPr>
        <w:t xml:space="preserve"> the operating costs of the company have decreased</w:t>
      </w:r>
      <w:r>
        <w:rPr>
          <w:rFonts w:cs="Times New Roman" w:eastAsia="等线 Light"/>
          <w:bCs/>
          <w:iCs/>
          <w:color w:val="000000"/>
          <w:szCs w:val="24"/>
        </w:rPr>
        <w:t xml:space="preserve"> from </w:t>
      </w:r>
      <w:r>
        <w:rPr>
          <w:rFonts w:cs="Times New Roman" w:eastAsia="等线 Light"/>
          <w:b/>
          <w:i/>
          <w:color w:val="000000"/>
          <w:szCs w:val="24"/>
        </w:rPr>
        <w:t>£1423 million to £1341 million</w:t>
      </w:r>
      <w:r>
        <w:rPr>
          <w:rFonts w:cs="Times New Roman" w:eastAsia="等线 Light"/>
          <w:bCs/>
          <w:iCs/>
          <w:color w:val="000000"/>
          <w:szCs w:val="24"/>
        </w:rPr>
        <w:t>, but the revenue generated from operations was not sufficient for generating higher profits and higher returns on capital employed (Burberry, 2020).</w:t>
      </w:r>
      <w:r>
        <w:rPr>
          <w:rFonts w:cs="Times New Roman" w:eastAsia="等线 Light"/>
          <w:bCs/>
          <w:iCs/>
          <w:color w:val="000000"/>
          <w:szCs w:val="24"/>
        </w:rPr>
        <w:t xml:space="preserve"> </w:t>
      </w:r>
    </w:p>
    <w:p>
      <w:pPr>
        <w:pStyle w:val="style179"/>
        <w:numPr>
          <w:ilvl w:val="0"/>
          <w:numId w:val="7"/>
        </w:numPr>
        <w:spacing w:before="240" w:after="240"/>
        <w:rPr>
          <w:rFonts w:cs="Times New Roman"/>
          <w:szCs w:val="24"/>
        </w:rPr>
      </w:pPr>
      <w:r>
        <w:rPr>
          <w:rFonts w:cs="Times New Roman" w:eastAsia="等线 Light"/>
          <w:bCs/>
          <w:iCs/>
          <w:color w:val="000000"/>
          <w:kern w:val="0"/>
          <w:szCs w:val="24"/>
          <w14:ligatures xmlns:w14="http://schemas.microsoft.com/office/word/2010/wordml" w14:val="none"/>
        </w:rPr>
        <w:t xml:space="preserve">Considering Asos Plc, the company has generated </w:t>
      </w:r>
      <w:r>
        <w:rPr>
          <w:rFonts w:cs="Times New Roman" w:eastAsia="等线 Light"/>
          <w:b/>
          <w:i/>
          <w:color w:val="000000"/>
          <w:kern w:val="0"/>
          <w:szCs w:val="24"/>
          <w14:ligatures xmlns:w14="http://schemas.microsoft.com/office/word/2010/wordml" w14:val="none"/>
        </w:rPr>
        <w:t xml:space="preserve">negative returns of (13.008) % and (0.501) % on the capital employed </w:t>
      </w:r>
      <w:r>
        <w:rPr>
          <w:rFonts w:cs="Times New Roman" w:eastAsia="等线 Light"/>
          <w:bCs/>
          <w:iCs/>
          <w:color w:val="000000"/>
          <w:kern w:val="0"/>
          <w:szCs w:val="24"/>
          <w14:ligatures xmlns:w14="http://schemas.microsoft.com/office/word/2010/wordml" w14:val="none"/>
        </w:rPr>
        <w:t xml:space="preserve">in </w:t>
      </w:r>
      <w:r>
        <w:rPr>
          <w:rFonts w:cs="Times New Roman" w:eastAsia="等线 Light"/>
          <w:bCs/>
          <w:iCs/>
          <w:color w:val="000000"/>
          <w:szCs w:val="24"/>
        </w:rPr>
        <w:t>2023 and 2022 respectively. Excess operating costs</w:t>
      </w:r>
      <w:r>
        <w:rPr>
          <w:rFonts w:cs="Times New Roman" w:eastAsia="等线 Light"/>
          <w:bCs/>
          <w:iCs/>
          <w:color w:val="000000"/>
          <w:szCs w:val="24"/>
        </w:rPr>
        <w:t xml:space="preserve"> such as the </w:t>
      </w:r>
      <w:r>
        <w:rPr>
          <w:rFonts w:cs="Times New Roman" w:eastAsia="等线 Light"/>
          <w:b/>
          <w:i/>
          <w:color w:val="000000"/>
          <w:szCs w:val="24"/>
        </w:rPr>
        <w:t xml:space="preserve">distribution </w:t>
      </w:r>
      <w:r>
        <w:rPr>
          <w:rFonts w:cs="Times New Roman" w:eastAsia="等线 Light"/>
          <w:b/>
          <w:i/>
          <w:color w:val="000000"/>
          <w:kern w:val="0"/>
          <w:szCs w:val="24"/>
          <w14:ligatures xmlns:w14="http://schemas.microsoft.com/office/word/2010/wordml" w14:val="none"/>
        </w:rPr>
        <w:t>and admin costs</w:t>
      </w:r>
      <w:r>
        <w:rPr>
          <w:rFonts w:cs="Times New Roman" w:eastAsia="等线 Light"/>
          <w:bCs/>
          <w:iCs/>
          <w:color w:val="000000"/>
          <w:kern w:val="0"/>
          <w:szCs w:val="24"/>
          <w14:ligatures xmlns:w14="http://schemas.microsoft.com/office/word/2010/wordml" w14:val="none"/>
        </w:rPr>
        <w:t xml:space="preserve">, over the revenue, have reduced the operational profits reported at </w:t>
      </w:r>
      <w:r>
        <w:rPr>
          <w:rFonts w:cs="Times New Roman" w:eastAsia="等线 Light"/>
          <w:b/>
          <w:i/>
          <w:color w:val="000000"/>
          <w:kern w:val="0"/>
          <w:szCs w:val="24"/>
          <w14:ligatures xmlns:w14="http://schemas.microsoft.com/office/word/2010/wordml" w14:val="none"/>
        </w:rPr>
        <w:t>£ (9.8) million in </w:t>
      </w:r>
      <w:r>
        <w:rPr>
          <w:rFonts w:cs="Times New Roman" w:eastAsia="等线 Light"/>
          <w:b/>
          <w:i/>
          <w:color w:val="000000"/>
          <w:szCs w:val="24"/>
        </w:rPr>
        <w:t>2022</w:t>
      </w:r>
      <w:r>
        <w:rPr>
          <w:rFonts w:cs="Times New Roman" w:eastAsia="等线 Light"/>
          <w:bCs/>
          <w:iCs/>
          <w:color w:val="000000"/>
          <w:szCs w:val="24"/>
        </w:rPr>
        <w:t xml:space="preserve"> (Asos, 2022). Despite the </w:t>
      </w:r>
      <w:r>
        <w:rPr>
          <w:rFonts w:cs="Times New Roman" w:eastAsia="等线 Light"/>
          <w:b/>
          <w:i/>
          <w:color w:val="000000"/>
          <w:szCs w:val="24"/>
        </w:rPr>
        <w:t xml:space="preserve">economic impact of covid outbreak </w:t>
      </w:r>
      <w:r>
        <w:rPr>
          <w:rFonts w:cs="Times New Roman" w:eastAsia="等线 Light"/>
          <w:bCs/>
          <w:iCs/>
          <w:color w:val="000000"/>
          <w:szCs w:val="24"/>
        </w:rPr>
        <w:t xml:space="preserve">on the business environment, the company has able to perform well in the year 2020 with a </w:t>
      </w:r>
      <w:r>
        <w:rPr>
          <w:rFonts w:cs="Times New Roman" w:eastAsia="等线 Light"/>
          <w:b/>
          <w:i/>
          <w:color w:val="000000"/>
          <w:szCs w:val="24"/>
        </w:rPr>
        <w:t>positive</w:t>
      </w:r>
      <w:r>
        <w:rPr>
          <w:rFonts w:cs="Times New Roman" w:eastAsia="等线 Light"/>
          <w:bCs/>
          <w:iCs/>
          <w:color w:val="000000"/>
          <w:szCs w:val="24"/>
        </w:rPr>
        <w:t xml:space="preserve"> </w:t>
      </w:r>
      <w:r>
        <w:rPr>
          <w:rFonts w:cs="Times New Roman" w:eastAsia="等线 Light"/>
          <w:b/>
          <w:i/>
          <w:color w:val="000000"/>
          <w:szCs w:val="24"/>
        </w:rPr>
        <w:t>return of 13.309% on the capital employed</w:t>
      </w:r>
      <w:r>
        <w:rPr>
          <w:rFonts w:cs="Times New Roman" w:eastAsia="等线 Light"/>
          <w:bCs/>
          <w:iCs/>
          <w:color w:val="000000"/>
          <w:szCs w:val="24"/>
        </w:rPr>
        <w:t xml:space="preserve"> as observed from the above figure.</w:t>
      </w:r>
    </w:p>
    <w:p>
      <w:pPr>
        <w:pStyle w:val="style0"/>
        <w:spacing w:before="240" w:after="240"/>
        <w:rPr>
          <w:rFonts w:cs="Times New Roman"/>
          <w:szCs w:val="24"/>
        </w:rPr>
      </w:pPr>
      <w:r>
        <w:rPr>
          <w:rFonts w:cs="Times New Roman" w:eastAsia="等线 Light"/>
          <w:bCs/>
          <w:iCs/>
          <w:color w:val="000000"/>
          <w:szCs w:val="24"/>
        </w:rPr>
        <w:t xml:space="preserve">Comparison based on profitability ratios, </w:t>
      </w:r>
      <w:r>
        <w:rPr>
          <w:rFonts w:cs="Times New Roman" w:eastAsia="等线 Light"/>
          <w:b/>
          <w:i/>
          <w:color w:val="000000"/>
          <w:szCs w:val="24"/>
        </w:rPr>
        <w:t>Burberry Group Plc</w:t>
      </w:r>
      <w:r>
        <w:rPr>
          <w:rFonts w:cs="Times New Roman" w:eastAsia="等线 Light"/>
          <w:bCs/>
          <w:iCs/>
          <w:color w:val="000000"/>
          <w:szCs w:val="24"/>
        </w:rPr>
        <w:t xml:space="preserve"> has outperformed its competitor Asos Plc with a strong growth in the operational revenue and profits.</w:t>
      </w:r>
    </w:p>
    <w:bookmarkStart w:id="6" w:name="_Toc173489798"/>
    <w:p>
      <w:pPr>
        <w:pStyle w:val="style3"/>
        <w:spacing w:before="240" w:after="240"/>
        <w:rPr>
          <w:rFonts w:cs="Times New Roman"/>
          <w:szCs w:val="24"/>
        </w:rPr>
      </w:pPr>
      <w:r>
        <w:rPr>
          <w:rFonts w:cs="Times New Roman"/>
          <w:szCs w:val="24"/>
        </w:rPr>
        <w:t>Liquidity Ratio</w:t>
      </w:r>
      <w:bookmarkEnd w:id="6"/>
    </w:p>
    <w:p>
      <w:pPr>
        <w:pStyle w:val="style179"/>
        <w:numPr>
          <w:ilvl w:val="0"/>
          <w:numId w:val="9"/>
        </w:numPr>
        <w:spacing w:before="240" w:after="240"/>
        <w:rPr>
          <w:rFonts w:cs="Times New Roman"/>
          <w:b/>
          <w:bCs/>
          <w:szCs w:val="24"/>
        </w:rPr>
      </w:pPr>
      <w:r>
        <w:rPr>
          <w:rFonts w:cs="Times New Roman"/>
          <w:b/>
          <w:bCs/>
          <w:szCs w:val="24"/>
        </w:rPr>
        <w:t>Current Ratio</w:t>
      </w:r>
    </w:p>
    <w:p>
      <w:pPr>
        <w:pStyle w:val="style0"/>
        <w:spacing w:before="240" w:after="240"/>
        <w:rPr>
          <w:rFonts w:cs="Times New Roman"/>
          <w:szCs w:val="24"/>
        </w:rPr>
      </w:pPr>
      <w:r>
        <w:rPr>
          <w:rFonts w:cs="Times New Roman"/>
          <w:szCs w:val="24"/>
        </w:rPr>
        <w:t xml:space="preserve">The </w:t>
      </w:r>
      <w:r>
        <w:rPr>
          <w:rFonts w:cs="Times New Roman"/>
          <w:b/>
          <w:bCs/>
          <w:i/>
          <w:iCs/>
          <w:szCs w:val="24"/>
        </w:rPr>
        <w:t>Current Ratio</w:t>
      </w:r>
      <w:r>
        <w:rPr>
          <w:rFonts w:cs="Times New Roman"/>
          <w:szCs w:val="24"/>
        </w:rPr>
        <w:t xml:space="preserve"> is a measure of liquidity that defines the company’s ability to cover the short-term liabilities using the current assets of the company (</w:t>
      </w:r>
      <w:r>
        <w:rPr>
          <w:rFonts w:cs="Times New Roman"/>
          <w:szCs w:val="24"/>
        </w:rPr>
        <w:t>Markonah</w:t>
      </w:r>
      <w:r>
        <w:rPr>
          <w:rFonts w:cs="Times New Roman"/>
          <w:szCs w:val="24"/>
        </w:rPr>
        <w:t>, et al., 2021).</w:t>
      </w:r>
    </w:p>
    <w:p>
      <w:pPr>
        <w:pStyle w:val="style0"/>
        <w:spacing w:before="240" w:after="240"/>
        <w:rPr>
          <w:rFonts w:cs="Times New Roman"/>
          <w:b/>
          <w:bCs/>
          <w:szCs w:val="24"/>
        </w:rPr>
      </w:pPr>
      <w:r>
        <w:rPr>
          <w:rFonts w:cs="Times New Roman"/>
          <w:b/>
          <w:bCs/>
          <w:noProof/>
          <w:szCs w:val="24"/>
        </w:rPr>
        <w:drawing>
          <wp:anchor distT="0" distB="0" distL="114300" distR="114300" simplePos="false" relativeHeight="13" behindDoc="false" locked="false" layoutInCell="true" allowOverlap="true">
            <wp:simplePos x="0" y="0"/>
            <wp:positionH relativeFrom="margin">
              <wp:align>center</wp:align>
            </wp:positionH>
            <wp:positionV relativeFrom="paragraph">
              <wp:posOffset>198120</wp:posOffset>
            </wp:positionV>
            <wp:extent cx="3314700" cy="1962149"/>
            <wp:effectExtent l="19050" t="19050" r="19050" b="19050"/>
            <wp:wrapSquare wrapText="bothSides"/>
            <wp:docPr id="1039" name="Picture 9" descr="A graph of a number of bar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Picture 9"/>
                    <pic:cNvPicPr/>
                  </pic:nvPicPr>
                  <pic:blipFill>
                    <a:blip r:embed="rId9" cstate="print"/>
                    <a:srcRect l="0" t="0" r="0" b="0"/>
                    <a:stretch/>
                  </pic:blipFill>
                  <pic:spPr>
                    <a:xfrm rot="0">
                      <a:off x="0" y="0"/>
                      <a:ext cx="3314700" cy="1962149"/>
                    </a:xfrm>
                    <a:prstGeom prst="rect"/>
                    <a:ln cmpd="sng" cap="flat" w="12700">
                      <a:solidFill>
                        <a:srgbClr val="000000"/>
                      </a:solidFill>
                      <a:prstDash val="solid"/>
                      <a:round/>
                      <a:headEnd/>
                      <a:tailEnd/>
                    </a:ln>
                  </pic:spPr>
                </pic:pic>
              </a:graphicData>
            </a:graphic>
            <wp14:sizeRelH relativeFrom="margin">
              <wp14:pctWidth>0</wp14:pctWidth>
            </wp14:sizeRelH>
            <wp14:sizeRelV relativeFrom="margin">
              <wp14:pctHeight>0</wp14:pctHeight>
            </wp14:sizeRelV>
          </wp:anchor>
        </w:drawing>
      </w: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r>
        <w:rPr>
          <w:rFonts w:cs="Times New Roman"/>
          <w:noProof/>
          <w:szCs w:val="24"/>
        </w:rPr>
        <mc:AlternateContent>
          <mc:Choice Requires="wps">
            <w:drawing>
              <wp:anchor distT="0" distB="0" distL="114300" distR="114300" simplePos="false" relativeHeight="14" behindDoc="false" locked="false" layoutInCell="true" allowOverlap="true">
                <wp:simplePos x="0" y="0"/>
                <wp:positionH relativeFrom="margin">
                  <wp:align>center</wp:align>
                </wp:positionH>
                <wp:positionV relativeFrom="paragraph">
                  <wp:posOffset>173355</wp:posOffset>
                </wp:positionV>
                <wp:extent cx="3314700" cy="486409"/>
                <wp:effectExtent l="0" t="0" r="0" b="8890"/>
                <wp:wrapSquare wrapText="bothSides"/>
                <wp:docPr id="1040" name="Text Box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3314700" cy="486409"/>
                        </a:xfrm>
                        <a:prstGeom prst="rect"/>
                        <a:solidFill>
                          <a:srgbClr val="ffffff"/>
                        </a:solidFill>
                        <a:ln>
                          <a:noFill/>
                        </a:ln>
                      </wps:spPr>
                      <wps:txbx id="1040">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7</w:t>
                            </w:r>
                            <w:r>
                              <w:rPr>
                                <w:b/>
                                <w:bCs/>
                                <w:color w:val="auto"/>
                                <w:sz w:val="24"/>
                                <w:szCs w:val="32"/>
                              </w:rPr>
                              <w:fldChar w:fldCharType="end"/>
                            </w:r>
                            <w:r>
                              <w:rPr>
                                <w:b/>
                                <w:bCs/>
                                <w:color w:val="auto"/>
                                <w:sz w:val="24"/>
                                <w:szCs w:val="32"/>
                              </w:rPr>
                              <w:t>: Burberry's and Asos's Current Ratio</w:t>
                            </w:r>
                            <w:r>
                              <w:rPr>
                                <w:b/>
                                <w:bCs/>
                                <w:color w:val="auto"/>
                                <w:sz w:val="24"/>
                                <w:szCs w:val="32"/>
                              </w:rPr>
                              <w:br/>
                            </w:r>
                            <w:r>
                              <w:rPr>
                                <w:b/>
                                <w:bCs/>
                                <w:color w:val="auto"/>
                                <w:sz w:val="24"/>
                                <w:szCs w:val="32"/>
                              </w:rPr>
                              <w:t>(Source: Created by Author)</w:t>
                            </w:r>
                          </w:p>
                        </w:txbxContent>
                      </wps:txbx>
                      <wps:bodyPr lIns="0" rIns="0" tIns="0" bIns="0" vert="horz" anchor="t" wrap="square">
                        <a:prstTxWarp prst="textNoShape"/>
                        <a:noAutofit/>
                      </wps:bodyPr>
                    </wps:wsp>
                  </a:graphicData>
                </a:graphic>
                <wp14:sizeRelV relativeFrom="margin">
                  <wp14:pctHeight>0</wp14:pctHeight>
                </wp14:sizeRelV>
              </wp:anchor>
            </w:drawing>
          </mc:Choice>
          <mc:Fallback>
            <w:pict>
              <v:rect id="1040" fillcolor="white" stroked="f" style="position:absolute;margin-left:0.0pt;margin-top:13.65pt;width:261.0pt;height:38.3pt;z-index:14;mso-position-horizontal:center;mso-position-horizontal-relative:margin;mso-position-vertical-relative:text;mso-height-percent:0;mso-width-relative:page;mso-height-relative:margin;visibility:visible;">
                <v:stroke on="f"/>
                <w10:wrap type="square"/>
                <v:fill/>
                <v:textbox inset="0.0pt,0.0pt,0.0pt,0.0pt">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7</w:t>
                      </w:r>
                      <w:r>
                        <w:rPr>
                          <w:b/>
                          <w:bCs/>
                          <w:color w:val="auto"/>
                          <w:sz w:val="24"/>
                          <w:szCs w:val="32"/>
                        </w:rPr>
                        <w:fldChar w:fldCharType="end"/>
                      </w:r>
                      <w:r>
                        <w:rPr>
                          <w:b/>
                          <w:bCs/>
                          <w:color w:val="auto"/>
                          <w:sz w:val="24"/>
                          <w:szCs w:val="32"/>
                        </w:rPr>
                        <w:t>: Burberry's and Asos's Current Ratio</w:t>
                      </w:r>
                      <w:r>
                        <w:rPr>
                          <w:b/>
                          <w:bCs/>
                          <w:color w:val="auto"/>
                          <w:sz w:val="24"/>
                          <w:szCs w:val="32"/>
                        </w:rPr>
                        <w:br/>
                      </w:r>
                      <w:r>
                        <w:rPr>
                          <w:b/>
                          <w:bCs/>
                          <w:color w:val="auto"/>
                          <w:sz w:val="24"/>
                          <w:szCs w:val="32"/>
                        </w:rPr>
                        <w:t>(Source: Created by Author)</w:t>
                      </w:r>
                    </w:p>
                  </w:txbxContent>
                </v:textbox>
              </v:rect>
            </w:pict>
          </mc:Fallback>
        </mc:AlternateContent>
      </w:r>
    </w:p>
    <w:p>
      <w:pPr>
        <w:pStyle w:val="style0"/>
        <w:spacing w:before="240" w:after="240"/>
        <w:rPr>
          <w:rFonts w:cs="Times New Roman"/>
          <w:szCs w:val="24"/>
        </w:rPr>
      </w:pPr>
    </w:p>
    <w:p>
      <w:pPr>
        <w:pStyle w:val="style0"/>
        <w:spacing w:before="240" w:after="240"/>
        <w:rPr>
          <w:rFonts w:cs="Times New Roman"/>
          <w:szCs w:val="24"/>
        </w:rPr>
      </w:pPr>
      <w:r>
        <w:rPr>
          <w:rFonts w:cs="Times New Roman"/>
          <w:szCs w:val="24"/>
        </w:rPr>
        <w:t>The above figure visualises the Current ratio of Burberry Group Plc and Asos Plc for the last five financial years from 2019 and 2023.</w:t>
      </w:r>
    </w:p>
    <w:p>
      <w:pPr>
        <w:pStyle w:val="style179"/>
        <w:numPr>
          <w:ilvl w:val="0"/>
          <w:numId w:val="10"/>
        </w:numPr>
        <w:spacing w:before="240" w:after="240"/>
        <w:rPr>
          <w:rFonts w:cs="Times New Roman"/>
          <w:b/>
          <w:bCs/>
          <w:i/>
          <w:iCs/>
          <w:szCs w:val="24"/>
        </w:rPr>
      </w:pPr>
      <w:r>
        <w:rPr>
          <w:rFonts w:cs="Times New Roman"/>
          <w:szCs w:val="24"/>
        </w:rPr>
        <w:t xml:space="preserve">The years 2021 and 2020 represented the highest and lowest current ratios of </w:t>
      </w:r>
      <w:r>
        <w:rPr>
          <w:rFonts w:cs="Times New Roman"/>
          <w:b/>
          <w:bCs/>
          <w:i/>
          <w:iCs/>
          <w:szCs w:val="24"/>
        </w:rPr>
        <w:t>2.820</w:t>
      </w:r>
      <w:r>
        <w:rPr>
          <w:rFonts w:cs="Times New Roman"/>
          <w:szCs w:val="24"/>
        </w:rPr>
        <w:t xml:space="preserve"> and </w:t>
      </w:r>
      <w:r>
        <w:rPr>
          <w:rFonts w:cs="Times New Roman"/>
          <w:b/>
          <w:bCs/>
          <w:i/>
          <w:iCs/>
          <w:szCs w:val="24"/>
        </w:rPr>
        <w:t>2.312</w:t>
      </w:r>
      <w:r>
        <w:rPr>
          <w:rFonts w:cs="Times New Roman"/>
          <w:szCs w:val="24"/>
        </w:rPr>
        <w:t xml:space="preserve"> respectively</w:t>
      </w:r>
      <w:r>
        <w:rPr>
          <w:rFonts w:cs="Times New Roman"/>
          <w:szCs w:val="24"/>
        </w:rPr>
        <w:t xml:space="preserve"> for Burberry Group Plc</w:t>
      </w:r>
      <w:r>
        <w:rPr>
          <w:rFonts w:cs="Times New Roman"/>
          <w:szCs w:val="24"/>
        </w:rPr>
        <w:t xml:space="preserve">. Due to fluctuations in the </w:t>
      </w:r>
      <w:r>
        <w:rPr>
          <w:rFonts w:cs="Times New Roman"/>
          <w:b/>
          <w:bCs/>
          <w:i/>
          <w:iCs/>
          <w:szCs w:val="24"/>
        </w:rPr>
        <w:t>credit risk</w:t>
      </w:r>
      <w:r>
        <w:rPr>
          <w:rFonts w:cs="Times New Roman"/>
          <w:szCs w:val="24"/>
        </w:rPr>
        <w:t xml:space="preserve">, changes in the </w:t>
      </w:r>
      <w:r>
        <w:rPr>
          <w:rFonts w:cs="Times New Roman"/>
          <w:b/>
          <w:bCs/>
          <w:i/>
          <w:iCs/>
          <w:szCs w:val="24"/>
        </w:rPr>
        <w:t>provisional amount for the loss of debt</w:t>
      </w:r>
      <w:r>
        <w:rPr>
          <w:rFonts w:cs="Times New Roman"/>
          <w:szCs w:val="24"/>
        </w:rPr>
        <w:t xml:space="preserve"> have reduced the value of the </w:t>
      </w:r>
      <w:r>
        <w:rPr>
          <w:rFonts w:cs="Times New Roman"/>
          <w:b/>
          <w:bCs/>
          <w:i/>
          <w:iCs/>
          <w:szCs w:val="24"/>
        </w:rPr>
        <w:t>Trade receivables</w:t>
      </w:r>
      <w:r>
        <w:rPr>
          <w:rFonts w:cs="Times New Roman"/>
          <w:b/>
          <w:bCs/>
          <w:i/>
          <w:iCs/>
          <w:szCs w:val="24"/>
        </w:rPr>
        <w:t xml:space="preserve"> </w:t>
      </w:r>
      <w:r>
        <w:rPr>
          <w:rFonts w:cs="Times New Roman"/>
          <w:szCs w:val="24"/>
        </w:rPr>
        <w:t xml:space="preserve">and </w:t>
      </w:r>
      <w:r>
        <w:rPr>
          <w:rFonts w:cs="Times New Roman"/>
          <w:b/>
          <w:bCs/>
          <w:i/>
          <w:iCs/>
          <w:szCs w:val="24"/>
        </w:rPr>
        <w:t>cash and cash equivalents</w:t>
      </w:r>
      <w:r>
        <w:rPr>
          <w:rFonts w:cs="Times New Roman"/>
          <w:szCs w:val="24"/>
        </w:rPr>
        <w:t xml:space="preserve">, thereby reducing the overall value of the current assets of the company (Burberry, 2020). </w:t>
      </w:r>
    </w:p>
    <w:p>
      <w:pPr>
        <w:pStyle w:val="style179"/>
        <w:numPr>
          <w:ilvl w:val="0"/>
          <w:numId w:val="10"/>
        </w:numPr>
        <w:spacing w:before="240" w:after="240"/>
        <w:rPr>
          <w:rFonts w:cs="Times New Roman"/>
          <w:b/>
          <w:bCs/>
          <w:i/>
          <w:iCs/>
          <w:szCs w:val="24"/>
        </w:rPr>
      </w:pPr>
      <w:r>
        <w:rPr>
          <w:rFonts w:cs="Times New Roman"/>
          <w:szCs w:val="24"/>
        </w:rPr>
        <w:t xml:space="preserve">Compared to Burberry, the highest and the lowest current ratios for Asos Plc are </w:t>
      </w:r>
      <w:r>
        <w:rPr>
          <w:rFonts w:cs="Times New Roman"/>
          <w:b/>
          <w:bCs/>
          <w:i/>
          <w:iCs/>
          <w:szCs w:val="24"/>
        </w:rPr>
        <w:t>1.726</w:t>
      </w:r>
      <w:r>
        <w:rPr>
          <w:rFonts w:cs="Times New Roman"/>
          <w:szCs w:val="24"/>
        </w:rPr>
        <w:t xml:space="preserve"> and </w:t>
      </w:r>
      <w:r>
        <w:rPr>
          <w:rFonts w:cs="Times New Roman"/>
          <w:b/>
          <w:bCs/>
          <w:i/>
          <w:iCs/>
          <w:szCs w:val="24"/>
        </w:rPr>
        <w:t>0.807</w:t>
      </w:r>
      <w:r>
        <w:rPr>
          <w:rFonts w:cs="Times New Roman"/>
          <w:szCs w:val="24"/>
        </w:rPr>
        <w:t xml:space="preserve"> in the year 2023 and 2019 respectively. The fair valuation of short-term </w:t>
      </w:r>
      <w:r>
        <w:rPr>
          <w:rFonts w:cs="Times New Roman"/>
          <w:b/>
          <w:bCs/>
          <w:i/>
          <w:iCs/>
          <w:szCs w:val="24"/>
        </w:rPr>
        <w:t>derivative financial instruments</w:t>
      </w:r>
      <w:r>
        <w:rPr>
          <w:rFonts w:cs="Times New Roman"/>
          <w:szCs w:val="24"/>
        </w:rPr>
        <w:t xml:space="preserve"> due to </w:t>
      </w:r>
      <w:r>
        <w:rPr>
          <w:rFonts w:cs="Times New Roman"/>
          <w:b/>
          <w:bCs/>
          <w:i/>
          <w:iCs/>
          <w:szCs w:val="24"/>
        </w:rPr>
        <w:t>market behaviour</w:t>
      </w:r>
      <w:r>
        <w:rPr>
          <w:rFonts w:cs="Times New Roman"/>
          <w:szCs w:val="24"/>
        </w:rPr>
        <w:t xml:space="preserve"> and the </w:t>
      </w:r>
      <w:r>
        <w:rPr>
          <w:rFonts w:cs="Times New Roman"/>
          <w:b/>
          <w:bCs/>
          <w:i/>
          <w:iCs/>
          <w:szCs w:val="24"/>
        </w:rPr>
        <w:t>foreign currency exchange</w:t>
      </w:r>
      <w:r>
        <w:rPr>
          <w:rFonts w:cs="Times New Roman"/>
          <w:szCs w:val="24"/>
        </w:rPr>
        <w:t xml:space="preserve"> has reduced the value of the current assets of the company in the year 2019, thereby declining the current ratio of the company (Asos, 2019). </w:t>
      </w:r>
      <w:r>
        <w:rPr>
          <w:rFonts w:cs="Times New Roman"/>
          <w:szCs w:val="24"/>
        </w:rPr>
        <w:t xml:space="preserve">However, the increase in the current ratio in the year 2023 is supported by a </w:t>
      </w:r>
      <w:r>
        <w:rPr>
          <w:rFonts w:cs="Times New Roman"/>
          <w:b/>
          <w:bCs/>
          <w:i/>
          <w:iCs/>
          <w:szCs w:val="24"/>
        </w:rPr>
        <w:t>significant decrease in the current liabilities</w:t>
      </w:r>
      <w:r>
        <w:rPr>
          <w:rFonts w:cs="Times New Roman"/>
          <w:szCs w:val="24"/>
        </w:rPr>
        <w:t xml:space="preserve"> due to the </w:t>
      </w:r>
      <w:r>
        <w:rPr>
          <w:rFonts w:cs="Times New Roman"/>
          <w:b/>
          <w:bCs/>
          <w:i/>
          <w:iCs/>
          <w:szCs w:val="24"/>
        </w:rPr>
        <w:t>devaluation of the short-term derivative financial liabilities</w:t>
      </w:r>
      <w:r>
        <w:rPr>
          <w:rFonts w:cs="Times New Roman"/>
          <w:szCs w:val="24"/>
        </w:rPr>
        <w:t xml:space="preserve"> from </w:t>
      </w:r>
      <w:r>
        <w:rPr>
          <w:rFonts w:cs="Times New Roman"/>
          <w:b/>
          <w:bCs/>
          <w:i/>
          <w:iCs/>
          <w:szCs w:val="24"/>
        </w:rPr>
        <w:t xml:space="preserve">£41.4 million to £22.4 million </w:t>
      </w:r>
      <w:r>
        <w:rPr>
          <w:rFonts w:cs="Times New Roman"/>
          <w:szCs w:val="24"/>
        </w:rPr>
        <w:t xml:space="preserve">followed by </w:t>
      </w:r>
      <w:r>
        <w:rPr>
          <w:rFonts w:cs="Times New Roman"/>
          <w:b/>
          <w:bCs/>
          <w:i/>
          <w:iCs/>
          <w:szCs w:val="24"/>
        </w:rPr>
        <w:t xml:space="preserve">foreign currency fluctuations </w:t>
      </w:r>
      <w:r>
        <w:rPr>
          <w:rFonts w:cs="Times New Roman"/>
          <w:szCs w:val="24"/>
        </w:rPr>
        <w:t xml:space="preserve">(Asos, 2023). </w:t>
      </w:r>
    </w:p>
    <w:p>
      <w:pPr>
        <w:pStyle w:val="style179"/>
        <w:numPr>
          <w:ilvl w:val="0"/>
          <w:numId w:val="11"/>
        </w:numPr>
        <w:spacing w:before="240" w:after="240"/>
        <w:rPr>
          <w:rFonts w:cs="Times New Roman"/>
          <w:b/>
          <w:bCs/>
          <w:szCs w:val="24"/>
        </w:rPr>
      </w:pPr>
      <w:r>
        <w:rPr>
          <w:rFonts w:cs="Times New Roman"/>
          <w:b/>
          <w:bCs/>
          <w:szCs w:val="24"/>
        </w:rPr>
        <w:t>Quick Ratio</w:t>
      </w:r>
    </w:p>
    <w:p>
      <w:pPr>
        <w:pStyle w:val="style0"/>
        <w:spacing w:before="240" w:after="240"/>
        <w:rPr>
          <w:rFonts w:cs="Times New Roman"/>
          <w:szCs w:val="24"/>
        </w:rPr>
      </w:pPr>
      <w:r>
        <w:rPr>
          <w:rFonts w:cs="Times New Roman"/>
          <w:szCs w:val="24"/>
        </w:rPr>
        <w:t xml:space="preserve">The </w:t>
      </w:r>
      <w:r>
        <w:rPr>
          <w:rFonts w:cs="Times New Roman"/>
          <w:b/>
          <w:bCs/>
          <w:i/>
          <w:iCs/>
          <w:szCs w:val="24"/>
        </w:rPr>
        <w:t>Quick Ratio</w:t>
      </w:r>
      <w:r>
        <w:rPr>
          <w:rFonts w:cs="Times New Roman"/>
          <w:szCs w:val="24"/>
        </w:rPr>
        <w:t xml:space="preserve"> defines the company’s ability to cover short-term obligations using the current assets excluding inventories (</w:t>
      </w:r>
      <w:r>
        <w:rPr>
          <w:rFonts w:cs="Times New Roman"/>
          <w:szCs w:val="24"/>
        </w:rPr>
        <w:t>Markonah</w:t>
      </w:r>
      <w:r>
        <w:rPr>
          <w:rFonts w:cs="Times New Roman"/>
          <w:szCs w:val="24"/>
        </w:rPr>
        <w:t>, et al., 2021).</w:t>
      </w:r>
    </w:p>
    <w:p>
      <w:pPr>
        <w:pStyle w:val="style0"/>
        <w:spacing w:before="240" w:after="240"/>
        <w:rPr>
          <w:rFonts w:cs="Times New Roman"/>
          <w:b/>
          <w:bCs/>
          <w:szCs w:val="24"/>
        </w:rPr>
      </w:pPr>
      <w:r>
        <w:rPr>
          <w:rFonts w:cs="Times New Roman"/>
          <w:b/>
          <w:bCs/>
          <w:noProof/>
          <w:szCs w:val="24"/>
        </w:rPr>
        <w:drawing>
          <wp:anchor distT="0" distB="0" distL="114300" distR="114300" simplePos="false" relativeHeight="15" behindDoc="false" locked="false" layoutInCell="true" allowOverlap="true">
            <wp:simplePos x="0" y="0"/>
            <wp:positionH relativeFrom="margin">
              <wp:align>center</wp:align>
            </wp:positionH>
            <wp:positionV relativeFrom="paragraph">
              <wp:posOffset>4201</wp:posOffset>
            </wp:positionV>
            <wp:extent cx="3729990" cy="2226945"/>
            <wp:effectExtent l="19050" t="19050" r="22860" b="20955"/>
            <wp:wrapSquare wrapText="bothSides"/>
            <wp:docPr id="1041" name="Picture 10" descr="A graph of a number of different numbers&#10;&#10;Description automatically generated with medium confidence"/>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Picture 10"/>
                    <pic:cNvPicPr/>
                  </pic:nvPicPr>
                  <pic:blipFill>
                    <a:blip r:embed="rId10" cstate="print"/>
                    <a:srcRect l="0" t="0" r="0" b="0"/>
                    <a:stretch/>
                  </pic:blipFill>
                  <pic:spPr>
                    <a:xfrm rot="0">
                      <a:off x="0" y="0"/>
                      <a:ext cx="3729990" cy="2226945"/>
                    </a:xfrm>
                    <a:prstGeom prst="rect"/>
                    <a:ln cmpd="sng" cap="flat" w="12700">
                      <a:solidFill>
                        <a:srgbClr val="000000"/>
                      </a:solidFill>
                      <a:prstDash val="solid"/>
                      <a:round/>
                      <a:headEnd/>
                      <a:tailEnd/>
                    </a:ln>
                  </pic:spPr>
                </pic:pic>
              </a:graphicData>
            </a:graphic>
            <wp14:sizeRelH relativeFrom="margin">
              <wp14:pctWidth>0</wp14:pctWidth>
            </wp14:sizeRelH>
            <wp14:sizeRelV relativeFrom="margin">
              <wp14:pctHeight>0</wp14:pctHeight>
            </wp14:sizeRelV>
          </wp:anchor>
        </w:drawing>
      </w: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r>
        <w:rPr>
          <w:rFonts w:cs="Times New Roman"/>
          <w:noProof/>
          <w:szCs w:val="24"/>
        </w:rPr>
        <mc:AlternateContent>
          <mc:Choice Requires="wps">
            <w:drawing>
              <wp:anchor distT="0" distB="0" distL="114300" distR="114300" simplePos="false" relativeHeight="16" behindDoc="false" locked="false" layoutInCell="true" allowOverlap="true">
                <wp:simplePos x="0" y="0"/>
                <wp:positionH relativeFrom="margin">
                  <wp:align>center</wp:align>
                </wp:positionH>
                <wp:positionV relativeFrom="paragraph">
                  <wp:posOffset>104726</wp:posOffset>
                </wp:positionV>
                <wp:extent cx="3729990" cy="445135"/>
                <wp:effectExtent l="0" t="0" r="3810" b="0"/>
                <wp:wrapSquare wrapText="bothSides"/>
                <wp:docPr id="1042" name="Text Box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3729990" cy="445135"/>
                        </a:xfrm>
                        <a:prstGeom prst="rect"/>
                        <a:solidFill>
                          <a:srgbClr val="ffffff"/>
                        </a:solidFill>
                        <a:ln>
                          <a:noFill/>
                        </a:ln>
                      </wps:spPr>
                      <wps:txbx id="1042">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8</w:t>
                            </w:r>
                            <w:r>
                              <w:rPr>
                                <w:b/>
                                <w:bCs/>
                                <w:color w:val="auto"/>
                                <w:sz w:val="24"/>
                                <w:szCs w:val="32"/>
                              </w:rPr>
                              <w:fldChar w:fldCharType="end"/>
                            </w:r>
                            <w:r>
                              <w:rPr>
                                <w:b/>
                                <w:bCs/>
                                <w:color w:val="auto"/>
                                <w:sz w:val="24"/>
                                <w:szCs w:val="32"/>
                              </w:rPr>
                              <w:t>: Burberry's and Asos's Quick Ratio</w:t>
                            </w:r>
                            <w:r>
                              <w:rPr>
                                <w:b/>
                                <w:bCs/>
                                <w:color w:val="auto"/>
                                <w:sz w:val="24"/>
                                <w:szCs w:val="32"/>
                              </w:rPr>
                              <w:br/>
                            </w:r>
                            <w:r>
                              <w:rPr>
                                <w:b/>
                                <w:bCs/>
                                <w:color w:val="auto"/>
                                <w:sz w:val="24"/>
                                <w:szCs w:val="32"/>
                              </w:rPr>
                              <w:t>(Source: Created by Author)</w:t>
                            </w:r>
                          </w:p>
                        </w:txbxContent>
                      </wps:txbx>
                      <wps:bodyPr lIns="0" rIns="0" tIns="0" bIns="0" vert="horz" anchor="t" wrap="square">
                        <a:prstTxWarp prst="textNoShape"/>
                        <a:noAutofit/>
                      </wps:bodyPr>
                    </wps:wsp>
                  </a:graphicData>
                </a:graphic>
                <wp14:sizeRelV relativeFrom="margin">
                  <wp14:pctHeight>0</wp14:pctHeight>
                </wp14:sizeRelV>
              </wp:anchor>
            </w:drawing>
          </mc:Choice>
          <mc:Fallback>
            <w:pict>
              <v:rect id="1042" fillcolor="white" stroked="f" style="position:absolute;margin-left:0.0pt;margin-top:8.25pt;width:293.7pt;height:35.05pt;z-index:16;mso-position-horizontal:center;mso-position-horizontal-relative:margin;mso-position-vertical-relative:text;mso-height-percent:0;mso-width-relative:page;mso-height-relative:margin;visibility:visible;">
                <v:stroke on="f"/>
                <w10:wrap type="square"/>
                <v:fill/>
                <v:textbox inset="0.0pt,0.0pt,0.0pt,0.0pt">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8</w:t>
                      </w:r>
                      <w:r>
                        <w:rPr>
                          <w:b/>
                          <w:bCs/>
                          <w:color w:val="auto"/>
                          <w:sz w:val="24"/>
                          <w:szCs w:val="32"/>
                        </w:rPr>
                        <w:fldChar w:fldCharType="end"/>
                      </w:r>
                      <w:r>
                        <w:rPr>
                          <w:b/>
                          <w:bCs/>
                          <w:color w:val="auto"/>
                          <w:sz w:val="24"/>
                          <w:szCs w:val="32"/>
                        </w:rPr>
                        <w:t>: Burberry's and Asos's Quick Ratio</w:t>
                      </w:r>
                      <w:r>
                        <w:rPr>
                          <w:b/>
                          <w:bCs/>
                          <w:color w:val="auto"/>
                          <w:sz w:val="24"/>
                          <w:szCs w:val="32"/>
                        </w:rPr>
                        <w:br/>
                      </w:r>
                      <w:r>
                        <w:rPr>
                          <w:b/>
                          <w:bCs/>
                          <w:color w:val="auto"/>
                          <w:sz w:val="24"/>
                          <w:szCs w:val="32"/>
                        </w:rPr>
                        <w:t>(Source: Created by Author)</w:t>
                      </w:r>
                    </w:p>
                  </w:txbxContent>
                </v:textbox>
              </v:rect>
            </w:pict>
          </mc:Fallback>
        </mc:AlternateContent>
      </w: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szCs w:val="24"/>
        </w:rPr>
      </w:pPr>
      <w:r>
        <w:rPr>
          <w:rFonts w:cs="Times New Roman"/>
          <w:szCs w:val="24"/>
        </w:rPr>
        <w:t>The above figure visualises the Quick Ratio of Burberry Group Plc and Asos Plc for the last five financial years from 2019 and 2023.</w:t>
      </w:r>
    </w:p>
    <w:p>
      <w:pPr>
        <w:pStyle w:val="style179"/>
        <w:numPr>
          <w:ilvl w:val="0"/>
          <w:numId w:val="12"/>
        </w:numPr>
        <w:spacing w:before="240" w:after="240"/>
        <w:rPr>
          <w:rFonts w:cs="Times New Roman"/>
          <w:szCs w:val="24"/>
        </w:rPr>
      </w:pPr>
      <w:r>
        <w:rPr>
          <w:rFonts w:cs="Times New Roman"/>
          <w:szCs w:val="24"/>
        </w:rPr>
        <w:t xml:space="preserve">The </w:t>
      </w:r>
      <w:r>
        <w:rPr>
          <w:rFonts w:cs="Times New Roman"/>
          <w:b/>
          <w:bCs/>
          <w:i/>
          <w:iCs/>
          <w:szCs w:val="24"/>
        </w:rPr>
        <w:t>quick ratio</w:t>
      </w:r>
      <w:r>
        <w:rPr>
          <w:rFonts w:cs="Times New Roman"/>
          <w:szCs w:val="24"/>
        </w:rPr>
        <w:t xml:space="preserve"> for the Burberry Group records </w:t>
      </w:r>
      <w:r>
        <w:rPr>
          <w:rFonts w:cs="Times New Roman"/>
          <w:b/>
          <w:bCs/>
          <w:i/>
          <w:iCs/>
          <w:szCs w:val="24"/>
        </w:rPr>
        <w:t>2.248</w:t>
      </w:r>
      <w:r>
        <w:rPr>
          <w:rFonts w:cs="Times New Roman"/>
          <w:szCs w:val="24"/>
        </w:rPr>
        <w:t xml:space="preserve"> as the highest in 2021, whereas records </w:t>
      </w:r>
      <w:r>
        <w:rPr>
          <w:rFonts w:cs="Times New Roman"/>
          <w:b/>
          <w:bCs/>
          <w:i/>
          <w:iCs/>
          <w:szCs w:val="24"/>
        </w:rPr>
        <w:t>1.695</w:t>
      </w:r>
      <w:r>
        <w:rPr>
          <w:rFonts w:cs="Times New Roman"/>
          <w:szCs w:val="24"/>
        </w:rPr>
        <w:t xml:space="preserve"> as the lowest in the year 2020 as observed from the above figure. The </w:t>
      </w:r>
      <w:r>
        <w:rPr>
          <w:rFonts w:cs="Times New Roman"/>
          <w:b/>
          <w:bCs/>
          <w:i/>
          <w:iCs/>
          <w:szCs w:val="24"/>
        </w:rPr>
        <w:t>inventory provisioning</w:t>
      </w:r>
      <w:r>
        <w:rPr>
          <w:rFonts w:cs="Times New Roman"/>
          <w:szCs w:val="24"/>
        </w:rPr>
        <w:t xml:space="preserve"> policy of the company which constitutes </w:t>
      </w:r>
      <w:r>
        <w:rPr>
          <w:rFonts w:cs="Times New Roman"/>
          <w:b/>
          <w:bCs/>
          <w:i/>
          <w:iCs/>
          <w:szCs w:val="24"/>
        </w:rPr>
        <w:t>22.5% of the gross inventory value</w:t>
      </w:r>
      <w:r>
        <w:rPr>
          <w:rFonts w:cs="Times New Roman"/>
          <w:szCs w:val="24"/>
        </w:rPr>
        <w:t xml:space="preserve"> devalued the </w:t>
      </w:r>
      <w:r>
        <w:rPr>
          <w:rFonts w:cs="Times New Roman"/>
          <w:b/>
          <w:bCs/>
          <w:i/>
          <w:iCs/>
          <w:szCs w:val="24"/>
        </w:rPr>
        <w:t>cash and cash equivalents</w:t>
      </w:r>
      <w:r>
        <w:rPr>
          <w:rFonts w:cs="Times New Roman"/>
          <w:b/>
          <w:bCs/>
          <w:i/>
          <w:iCs/>
          <w:szCs w:val="24"/>
        </w:rPr>
        <w:t xml:space="preserve">, </w:t>
      </w:r>
      <w:r>
        <w:rPr>
          <w:rFonts w:cs="Times New Roman"/>
          <w:szCs w:val="24"/>
        </w:rPr>
        <w:t xml:space="preserve">in addition to the </w:t>
      </w:r>
      <w:r>
        <w:rPr>
          <w:rFonts w:cs="Times New Roman"/>
          <w:b/>
          <w:bCs/>
          <w:i/>
          <w:iCs/>
          <w:szCs w:val="24"/>
        </w:rPr>
        <w:t>incremental inventory provisioning</w:t>
      </w:r>
      <w:r>
        <w:rPr>
          <w:rFonts w:cs="Times New Roman"/>
          <w:szCs w:val="24"/>
        </w:rPr>
        <w:t xml:space="preserve"> for the </w:t>
      </w:r>
      <w:r>
        <w:rPr>
          <w:rFonts w:cs="Times New Roman"/>
          <w:b/>
          <w:bCs/>
          <w:i/>
          <w:iCs/>
          <w:szCs w:val="24"/>
        </w:rPr>
        <w:t>covid impact</w:t>
      </w:r>
      <w:r>
        <w:rPr>
          <w:rFonts w:cs="Times New Roman"/>
          <w:szCs w:val="24"/>
        </w:rPr>
        <w:t xml:space="preserve">, thereby decreasing the value of </w:t>
      </w:r>
      <w:r>
        <w:rPr>
          <w:rFonts w:cs="Times New Roman"/>
          <w:b/>
          <w:bCs/>
          <w:i/>
          <w:iCs/>
          <w:szCs w:val="24"/>
        </w:rPr>
        <w:t xml:space="preserve">Quick </w:t>
      </w:r>
      <w:r>
        <w:rPr>
          <w:rFonts w:cs="Times New Roman"/>
          <w:b/>
          <w:bCs/>
          <w:i/>
          <w:iCs/>
          <w:szCs w:val="24"/>
        </w:rPr>
        <w:t>assets</w:t>
      </w:r>
      <w:r>
        <w:rPr>
          <w:rFonts w:cs="Times New Roman"/>
          <w:szCs w:val="24"/>
        </w:rPr>
        <w:t xml:space="preserve"> which is computed by the difference between Current assets and the inventory value in the year 2023 (Burberry, 2020). </w:t>
      </w:r>
      <w:r>
        <w:rPr>
          <w:rFonts w:cs="Times New Roman"/>
          <w:szCs w:val="24"/>
        </w:rPr>
        <w:t>This has resulted in the decline of the quick ratio of the company in the year 2020.</w:t>
      </w:r>
      <w:r>
        <w:rPr>
          <w:rFonts w:cs="Times New Roman"/>
          <w:szCs w:val="24"/>
        </w:rPr>
        <w:t xml:space="preserve"> </w:t>
      </w:r>
    </w:p>
    <w:p>
      <w:pPr>
        <w:pStyle w:val="style179"/>
        <w:numPr>
          <w:ilvl w:val="0"/>
          <w:numId w:val="12"/>
        </w:numPr>
        <w:spacing w:before="240" w:after="240"/>
        <w:rPr>
          <w:rFonts w:cs="Times New Roman"/>
          <w:szCs w:val="24"/>
        </w:rPr>
      </w:pPr>
      <w:r>
        <w:rPr>
          <w:rFonts w:cs="Times New Roman"/>
          <w:szCs w:val="24"/>
        </w:rPr>
        <w:t xml:space="preserve">In addition, the quick ratio for Asos Plc has been recorded highest in the year 2021 with a ratio of </w:t>
      </w:r>
      <w:r>
        <w:rPr>
          <w:rFonts w:cs="Times New Roman"/>
          <w:b/>
          <w:bCs/>
          <w:i/>
          <w:iCs/>
          <w:szCs w:val="24"/>
        </w:rPr>
        <w:t>0.754</w:t>
      </w:r>
      <w:r>
        <w:rPr>
          <w:rFonts w:cs="Times New Roman"/>
          <w:szCs w:val="24"/>
        </w:rPr>
        <w:t xml:space="preserve"> and the lowest being </w:t>
      </w:r>
      <w:r>
        <w:rPr>
          <w:rFonts w:cs="Times New Roman"/>
          <w:b/>
          <w:bCs/>
          <w:i/>
          <w:iCs/>
          <w:szCs w:val="24"/>
        </w:rPr>
        <w:t>0.112</w:t>
      </w:r>
      <w:r>
        <w:rPr>
          <w:rFonts w:cs="Times New Roman"/>
          <w:szCs w:val="24"/>
        </w:rPr>
        <w:t xml:space="preserve"> in the year 2019. As an overall, Asos Plc’s quick ratio represents the liquidity deficit followed by </w:t>
      </w:r>
      <w:r>
        <w:rPr>
          <w:rFonts w:cs="Times New Roman"/>
          <w:b/>
          <w:bCs/>
          <w:i/>
          <w:iCs/>
          <w:szCs w:val="24"/>
        </w:rPr>
        <w:t>fluctuating trends</w:t>
      </w:r>
      <w:r>
        <w:rPr>
          <w:rFonts w:cs="Times New Roman"/>
          <w:szCs w:val="24"/>
        </w:rPr>
        <w:t xml:space="preserve"> in the quick ratio performance, indicating the </w:t>
      </w:r>
      <w:r>
        <w:rPr>
          <w:rFonts w:cs="Times New Roman"/>
          <w:b/>
          <w:bCs/>
          <w:i/>
          <w:iCs/>
          <w:szCs w:val="24"/>
        </w:rPr>
        <w:t>inefficiency of the quick assets</w:t>
      </w:r>
      <w:r>
        <w:rPr>
          <w:rFonts w:cs="Times New Roman"/>
          <w:szCs w:val="24"/>
        </w:rPr>
        <w:t xml:space="preserve"> to recover the short-term liabilities of the company.  </w:t>
      </w:r>
    </w:p>
    <w:p>
      <w:pPr>
        <w:pStyle w:val="style0"/>
        <w:spacing w:before="240" w:after="240"/>
        <w:rPr>
          <w:rFonts w:cs="Times New Roman"/>
          <w:szCs w:val="24"/>
        </w:rPr>
      </w:pPr>
      <w:r>
        <w:rPr>
          <w:rFonts w:cs="Times New Roman"/>
          <w:szCs w:val="24"/>
        </w:rPr>
        <w:t>Based on the above observations as regards liquidity, Burberry Group Plc possesses a high degree of liquidity in terms of current assets to cover its short-term liabilities</w:t>
      </w:r>
      <w:r>
        <w:rPr>
          <w:rFonts w:cs="Times New Roman"/>
          <w:szCs w:val="24"/>
        </w:rPr>
        <w:t xml:space="preserve"> as compared to Asos Plc</w:t>
      </w:r>
      <w:r>
        <w:rPr>
          <w:rFonts w:cs="Times New Roman"/>
          <w:szCs w:val="24"/>
        </w:rPr>
        <w:t xml:space="preserve">. </w:t>
      </w:r>
    </w:p>
    <w:bookmarkStart w:id="7" w:name="_Toc173489799"/>
    <w:p>
      <w:pPr>
        <w:pStyle w:val="style3"/>
        <w:spacing w:before="240" w:after="240"/>
        <w:rPr>
          <w:rFonts w:cs="Times New Roman"/>
          <w:szCs w:val="24"/>
        </w:rPr>
      </w:pPr>
      <w:r>
        <w:rPr>
          <w:rFonts w:cs="Times New Roman"/>
          <w:szCs w:val="24"/>
        </w:rPr>
        <w:t>Efficiency Ratio</w:t>
      </w:r>
      <w:bookmarkEnd w:id="7"/>
    </w:p>
    <w:p>
      <w:pPr>
        <w:pStyle w:val="style179"/>
        <w:numPr>
          <w:ilvl w:val="0"/>
          <w:numId w:val="13"/>
        </w:numPr>
        <w:spacing w:before="240" w:after="240"/>
        <w:rPr>
          <w:rFonts w:cs="Times New Roman"/>
          <w:b/>
          <w:bCs/>
          <w:szCs w:val="24"/>
        </w:rPr>
      </w:pPr>
      <w:r>
        <w:rPr>
          <w:rFonts w:cs="Times New Roman"/>
          <w:b/>
          <w:bCs/>
          <w:szCs w:val="24"/>
        </w:rPr>
        <w:t>Account Receivable Days Ratio</w:t>
      </w:r>
    </w:p>
    <w:p>
      <w:pPr>
        <w:pStyle w:val="style0"/>
        <w:spacing w:before="240" w:after="240"/>
        <w:rPr>
          <w:rFonts w:cs="Times New Roman"/>
          <w:szCs w:val="24"/>
        </w:rPr>
      </w:pPr>
      <w:r>
        <w:rPr>
          <w:rFonts w:cs="Times New Roman"/>
          <w:szCs w:val="24"/>
        </w:rPr>
        <w:t xml:space="preserve">The </w:t>
      </w:r>
      <w:r>
        <w:rPr>
          <w:rFonts w:cs="Times New Roman"/>
          <w:b/>
          <w:bCs/>
          <w:i/>
          <w:iCs/>
          <w:szCs w:val="24"/>
        </w:rPr>
        <w:t>Account Receivable Days Ratio</w:t>
      </w:r>
      <w:r>
        <w:rPr>
          <w:rFonts w:cs="Times New Roman"/>
          <w:szCs w:val="24"/>
        </w:rPr>
        <w:t xml:space="preserve"> defines the number of days a company receives the payment from its trade receivables or buyers (</w:t>
      </w:r>
      <w:r>
        <w:rPr>
          <w:rFonts w:cs="Times New Roman"/>
          <w:szCs w:val="24"/>
        </w:rPr>
        <w:t>Yenni, et al., 2021).</w:t>
      </w:r>
    </w:p>
    <w:p>
      <w:pPr>
        <w:pStyle w:val="style0"/>
        <w:spacing w:before="240" w:after="240"/>
        <w:rPr>
          <w:rFonts w:cs="Times New Roman"/>
          <w:b/>
          <w:bCs/>
          <w:szCs w:val="24"/>
        </w:rPr>
      </w:pPr>
      <w:r>
        <w:rPr>
          <w:rFonts w:cs="Times New Roman"/>
          <w:b/>
          <w:bCs/>
          <w:noProof/>
          <w:szCs w:val="24"/>
        </w:rPr>
        <w:drawing>
          <wp:anchor distT="0" distB="0" distL="114300" distR="114300" simplePos="false" relativeHeight="17" behindDoc="false" locked="false" layoutInCell="true" allowOverlap="true">
            <wp:simplePos x="0" y="0"/>
            <wp:positionH relativeFrom="margin">
              <wp:align>center</wp:align>
            </wp:positionH>
            <wp:positionV relativeFrom="paragraph">
              <wp:posOffset>26669</wp:posOffset>
            </wp:positionV>
            <wp:extent cx="3422650" cy="2119630"/>
            <wp:effectExtent l="19050" t="19050" r="25400" b="13970"/>
            <wp:wrapSquare wrapText="bothSides"/>
            <wp:docPr id="1043" name="Picture 8" descr="A graph of a number of numbers&#10;&#10;Description automatically generate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Picture 8"/>
                    <pic:cNvPicPr/>
                  </pic:nvPicPr>
                  <pic:blipFill>
                    <a:blip r:embed="rId11" cstate="print"/>
                    <a:srcRect l="0" t="0" r="0" b="0"/>
                    <a:stretch/>
                  </pic:blipFill>
                  <pic:spPr>
                    <a:xfrm rot="0">
                      <a:off x="0" y="0"/>
                      <a:ext cx="3422650" cy="2119630"/>
                    </a:xfrm>
                    <a:prstGeom prst="rect"/>
                    <a:ln cmpd="sng" cap="flat" w="12700">
                      <a:solidFill>
                        <a:srgbClr val="000000"/>
                      </a:solidFill>
                      <a:prstDash val="solid"/>
                      <a:round/>
                      <a:headEnd/>
                      <a:tailEnd/>
                    </a:ln>
                  </pic:spPr>
                </pic:pic>
              </a:graphicData>
            </a:graphic>
            <wp14:sizeRelH relativeFrom="margin">
              <wp14:pctWidth>0</wp14:pctWidth>
            </wp14:sizeRelH>
            <wp14:sizeRelV relativeFrom="margin">
              <wp14:pctHeight>0</wp14:pctHeight>
            </wp14:sizeRelV>
          </wp:anchor>
        </w:drawing>
      </w: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r>
        <w:rPr>
          <w:rFonts w:cs="Times New Roman"/>
          <w:noProof/>
          <w:szCs w:val="24"/>
        </w:rPr>
        <mc:AlternateContent>
          <mc:Choice Requires="wps">
            <w:drawing>
              <wp:anchor distT="0" distB="0" distL="114300" distR="114300" simplePos="false" relativeHeight="18" behindDoc="false" locked="false" layoutInCell="true" allowOverlap="true">
                <wp:simplePos x="0" y="0"/>
                <wp:positionH relativeFrom="margin">
                  <wp:align>center</wp:align>
                </wp:positionH>
                <wp:positionV relativeFrom="paragraph">
                  <wp:posOffset>6985</wp:posOffset>
                </wp:positionV>
                <wp:extent cx="4073525" cy="586105"/>
                <wp:effectExtent l="0" t="0" r="3175" b="4445"/>
                <wp:wrapSquare wrapText="bothSides"/>
                <wp:docPr id="1044" name="Text Box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4073525" cy="586105"/>
                        </a:xfrm>
                        <a:prstGeom prst="rect"/>
                        <a:solidFill>
                          <a:srgbClr val="ffffff"/>
                        </a:solidFill>
                        <a:ln>
                          <a:noFill/>
                        </a:ln>
                      </wps:spPr>
                      <wps:txbx id="1044">
                        <w:txbxContent>
                          <w:p>
                            <w:pPr>
                              <w:pStyle w:val="style34"/>
                              <w:spacing w:lineRule="auto" w:line="48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9</w:t>
                            </w:r>
                            <w:r>
                              <w:rPr>
                                <w:b/>
                                <w:bCs/>
                                <w:color w:val="auto"/>
                                <w:sz w:val="24"/>
                                <w:szCs w:val="32"/>
                              </w:rPr>
                              <w:fldChar w:fldCharType="end"/>
                            </w:r>
                            <w:r>
                              <w:rPr>
                                <w:b/>
                                <w:bCs/>
                                <w:color w:val="auto"/>
                                <w:sz w:val="24"/>
                                <w:szCs w:val="32"/>
                              </w:rPr>
                              <w:t>: Burberry's and Asos's Account Receivable</w:t>
                            </w:r>
                            <w:r>
                              <w:rPr>
                                <w:b/>
                                <w:bCs/>
                                <w:color w:val="auto"/>
                                <w:sz w:val="24"/>
                                <w:szCs w:val="32"/>
                              </w:rPr>
                              <w:t xml:space="preserve"> Days</w:t>
                            </w:r>
                            <w:r>
                              <w:rPr>
                                <w:b/>
                                <w:bCs/>
                                <w:color w:val="auto"/>
                                <w:sz w:val="24"/>
                                <w:szCs w:val="32"/>
                              </w:rPr>
                              <w:t xml:space="preserve"> Ratio</w:t>
                            </w:r>
                            <w:r>
                              <w:rPr>
                                <w:b/>
                                <w:bCs/>
                                <w:color w:val="auto"/>
                                <w:sz w:val="24"/>
                                <w:szCs w:val="32"/>
                              </w:rPr>
                              <w:br/>
                            </w:r>
                            <w:r>
                              <w:rPr>
                                <w:b/>
                                <w:bCs/>
                                <w:color w:val="auto"/>
                                <w:sz w:val="24"/>
                                <w:szCs w:val="32"/>
                              </w:rPr>
                              <w:t>(Source: Created by Author)</w:t>
                            </w:r>
                          </w:p>
                        </w:txbxContent>
                      </wps:txbx>
                      <wps:bodyPr lIns="0" rIns="0" tIns="0" bIns="0" vert="horz" anchor="t" wrap="square">
                        <a:prstTxWarp prst="textNoShape"/>
                        <a:noAutofit/>
                      </wps:bodyPr>
                    </wps:wsp>
                  </a:graphicData>
                </a:graphic>
                <wp14:sizeRelH relativeFrom="margin">
                  <wp14:pctWidth>0</wp14:pctWidth>
                </wp14:sizeRelH>
                <wp14:sizeRelV relativeFrom="margin">
                  <wp14:pctHeight>0</wp14:pctHeight>
                </wp14:sizeRelV>
              </wp:anchor>
            </w:drawing>
          </mc:Choice>
          <mc:Fallback>
            <w:pict>
              <v:rect id="1044" fillcolor="white" stroked="f" style="position:absolute;margin-left:0.0pt;margin-top:0.55pt;width:320.75pt;height:46.15pt;z-index:18;mso-position-horizontal:center;mso-position-horizontal-relative:margin;mso-position-vertical-relative:text;mso-width-percent:0;mso-height-percent:0;mso-width-relative:margin;mso-height-relative:margin;visibility:visible;">
                <v:stroke on="f"/>
                <w10:wrap type="square"/>
                <v:fill/>
                <v:textbox inset="0.0pt,0.0pt,0.0pt,0.0pt">
                  <w:txbxContent>
                    <w:p>
                      <w:pPr>
                        <w:pStyle w:val="style34"/>
                        <w:spacing w:lineRule="auto" w:line="48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9</w:t>
                      </w:r>
                      <w:r>
                        <w:rPr>
                          <w:b/>
                          <w:bCs/>
                          <w:color w:val="auto"/>
                          <w:sz w:val="24"/>
                          <w:szCs w:val="32"/>
                        </w:rPr>
                        <w:fldChar w:fldCharType="end"/>
                      </w:r>
                      <w:r>
                        <w:rPr>
                          <w:b/>
                          <w:bCs/>
                          <w:color w:val="auto"/>
                          <w:sz w:val="24"/>
                          <w:szCs w:val="32"/>
                        </w:rPr>
                        <w:t>: Burberry's and Asos's Account Receivable</w:t>
                      </w:r>
                      <w:r>
                        <w:rPr>
                          <w:b/>
                          <w:bCs/>
                          <w:color w:val="auto"/>
                          <w:sz w:val="24"/>
                          <w:szCs w:val="32"/>
                        </w:rPr>
                        <w:t xml:space="preserve"> Days</w:t>
                      </w:r>
                      <w:r>
                        <w:rPr>
                          <w:b/>
                          <w:bCs/>
                          <w:color w:val="auto"/>
                          <w:sz w:val="24"/>
                          <w:szCs w:val="32"/>
                        </w:rPr>
                        <w:t xml:space="preserve"> Ratio</w:t>
                      </w:r>
                      <w:r>
                        <w:rPr>
                          <w:b/>
                          <w:bCs/>
                          <w:color w:val="auto"/>
                          <w:sz w:val="24"/>
                          <w:szCs w:val="32"/>
                        </w:rPr>
                        <w:br/>
                      </w:r>
                      <w:r>
                        <w:rPr>
                          <w:b/>
                          <w:bCs/>
                          <w:color w:val="auto"/>
                          <w:sz w:val="24"/>
                          <w:szCs w:val="32"/>
                        </w:rPr>
                        <w:t>(Source: Created by Author)</w:t>
                      </w:r>
                    </w:p>
                  </w:txbxContent>
                </v:textbox>
              </v:rect>
            </w:pict>
          </mc:Fallback>
        </mc:AlternateContent>
      </w:r>
    </w:p>
    <w:p>
      <w:pPr>
        <w:pStyle w:val="style0"/>
        <w:spacing w:before="240" w:after="240"/>
        <w:rPr>
          <w:rFonts w:cs="Times New Roman"/>
          <w:b/>
          <w:bCs/>
          <w:szCs w:val="24"/>
        </w:rPr>
      </w:pPr>
    </w:p>
    <w:p>
      <w:pPr>
        <w:pStyle w:val="style0"/>
        <w:spacing w:before="240" w:after="240"/>
        <w:rPr>
          <w:rFonts w:cs="Times New Roman"/>
          <w:szCs w:val="24"/>
        </w:rPr>
      </w:pPr>
      <w:r>
        <w:rPr>
          <w:rFonts w:cs="Times New Roman"/>
          <w:szCs w:val="24"/>
        </w:rPr>
        <w:t>The above figure represents the account receivable days ratio for Burberry Group Plc and Asos Plc for the five consecutive financial years from 2019 to 2023.</w:t>
      </w:r>
    </w:p>
    <w:p>
      <w:pPr>
        <w:pStyle w:val="style179"/>
        <w:numPr>
          <w:ilvl w:val="0"/>
          <w:numId w:val="14"/>
        </w:numPr>
        <w:spacing w:before="240" w:after="240"/>
        <w:rPr>
          <w:rFonts w:cs="Times New Roman"/>
          <w:szCs w:val="24"/>
        </w:rPr>
      </w:pPr>
      <w:r>
        <w:rPr>
          <w:rFonts w:cs="Times New Roman"/>
          <w:szCs w:val="24"/>
        </w:rPr>
        <w:t xml:space="preserve">The year 2021 records the highest ratio of </w:t>
      </w:r>
      <w:r>
        <w:rPr>
          <w:rFonts w:cs="Times New Roman"/>
          <w:b/>
          <w:bCs/>
          <w:i/>
          <w:iCs/>
          <w:szCs w:val="24"/>
        </w:rPr>
        <w:t>43.120</w:t>
      </w:r>
      <w:r>
        <w:rPr>
          <w:rFonts w:cs="Times New Roman"/>
          <w:b/>
          <w:bCs/>
          <w:i/>
          <w:iCs/>
          <w:szCs w:val="24"/>
        </w:rPr>
        <w:t xml:space="preserve"> days</w:t>
      </w:r>
      <w:r>
        <w:rPr>
          <w:rFonts w:cs="Times New Roman"/>
          <w:szCs w:val="24"/>
        </w:rPr>
        <w:t xml:space="preserve"> while 2019 records the lowest ratio of </w:t>
      </w:r>
      <w:r>
        <w:rPr>
          <w:rFonts w:cs="Times New Roman"/>
          <w:b/>
          <w:bCs/>
          <w:i/>
          <w:iCs/>
          <w:szCs w:val="24"/>
        </w:rPr>
        <w:t>33.693</w:t>
      </w:r>
      <w:r>
        <w:rPr>
          <w:rFonts w:cs="Times New Roman"/>
          <w:b/>
          <w:bCs/>
          <w:i/>
          <w:iCs/>
          <w:szCs w:val="24"/>
        </w:rPr>
        <w:t xml:space="preserve"> days</w:t>
      </w:r>
      <w:r>
        <w:rPr>
          <w:rFonts w:cs="Times New Roman"/>
          <w:szCs w:val="24"/>
        </w:rPr>
        <w:t xml:space="preserve"> of Burberry Group Plc as depicted in the above figure.</w:t>
      </w:r>
      <w:r>
        <w:rPr>
          <w:rFonts w:cs="Times New Roman"/>
          <w:szCs w:val="24"/>
        </w:rPr>
        <w:t xml:space="preserve"> The closing loss allowance of Trade receivables has reduced its value followed by </w:t>
      </w:r>
      <w:r>
        <w:rPr>
          <w:rFonts w:cs="Times New Roman"/>
          <w:b/>
          <w:bCs/>
          <w:i/>
          <w:iCs/>
          <w:szCs w:val="24"/>
        </w:rPr>
        <w:t>impairment provisional losses and the uncollectable amount being written off</w:t>
      </w:r>
      <w:r>
        <w:rPr>
          <w:rFonts w:cs="Times New Roman"/>
          <w:szCs w:val="24"/>
        </w:rPr>
        <w:t xml:space="preserve"> in the year 2019 which has resulted in a decline of the ratio </w:t>
      </w:r>
      <w:r>
        <w:rPr>
          <w:rFonts w:cs="Times New Roman"/>
          <w:szCs w:val="24"/>
        </w:rPr>
        <w:t>(Burberry, 20</w:t>
      </w:r>
      <w:r>
        <w:rPr>
          <w:rFonts w:cs="Times New Roman"/>
          <w:szCs w:val="24"/>
        </w:rPr>
        <w:t>19</w:t>
      </w:r>
      <w:r>
        <w:rPr>
          <w:rFonts w:cs="Times New Roman"/>
          <w:szCs w:val="24"/>
        </w:rPr>
        <w:t xml:space="preserve">). </w:t>
      </w:r>
      <w:r>
        <w:rPr>
          <w:rFonts w:cs="Times New Roman"/>
          <w:szCs w:val="24"/>
        </w:rPr>
        <w:t>In addition, the revenue of the compan</w:t>
      </w:r>
      <w:r>
        <w:rPr>
          <w:rFonts w:cs="Times New Roman"/>
          <w:szCs w:val="24"/>
        </w:rPr>
        <w:t>y has</w:t>
      </w:r>
      <w:r>
        <w:rPr>
          <w:rFonts w:cs="Times New Roman"/>
          <w:szCs w:val="24"/>
        </w:rPr>
        <w:t xml:space="preserve"> decreased from </w:t>
      </w:r>
      <w:r>
        <w:rPr>
          <w:rFonts w:cs="Times New Roman"/>
          <w:b/>
          <w:bCs/>
          <w:i/>
          <w:iCs/>
          <w:szCs w:val="24"/>
        </w:rPr>
        <w:t>£2,732.8 million in 2018 to £2720.2 million</w:t>
      </w:r>
      <w:r>
        <w:rPr>
          <w:rFonts w:cs="Times New Roman"/>
          <w:b/>
          <w:bCs/>
          <w:i/>
          <w:iCs/>
          <w:szCs w:val="24"/>
        </w:rPr>
        <w:t xml:space="preserve"> in the year 2019</w:t>
      </w:r>
      <w:r>
        <w:rPr>
          <w:rFonts w:cs="Times New Roman"/>
          <w:szCs w:val="24"/>
        </w:rPr>
        <w:t xml:space="preserve"> (Burberry, 20219). </w:t>
      </w:r>
    </w:p>
    <w:p>
      <w:pPr>
        <w:pStyle w:val="style179"/>
        <w:numPr>
          <w:ilvl w:val="0"/>
          <w:numId w:val="14"/>
        </w:numPr>
        <w:spacing w:before="240" w:after="240"/>
        <w:rPr>
          <w:rFonts w:cs="Times New Roman"/>
          <w:b/>
          <w:bCs/>
          <w:i/>
          <w:iCs/>
          <w:szCs w:val="24"/>
        </w:rPr>
      </w:pPr>
      <w:r>
        <w:rPr>
          <w:rFonts w:cs="Times New Roman"/>
          <w:szCs w:val="24"/>
        </w:rPr>
        <w:t xml:space="preserve">The year 2019 records the highest ratio of </w:t>
      </w:r>
      <w:r>
        <w:rPr>
          <w:rFonts w:cs="Times New Roman"/>
          <w:b/>
          <w:bCs/>
          <w:i/>
          <w:iCs/>
          <w:szCs w:val="24"/>
        </w:rPr>
        <w:t>9.721</w:t>
      </w:r>
      <w:r>
        <w:rPr>
          <w:rFonts w:cs="Times New Roman"/>
          <w:szCs w:val="24"/>
        </w:rPr>
        <w:t xml:space="preserve"> while 2021 records the lowest ratio of </w:t>
      </w:r>
      <w:r>
        <w:rPr>
          <w:rFonts w:cs="Times New Roman"/>
          <w:b/>
          <w:bCs/>
          <w:i/>
          <w:iCs/>
          <w:szCs w:val="24"/>
        </w:rPr>
        <w:t>5.386</w:t>
      </w:r>
      <w:r>
        <w:rPr>
          <w:rFonts w:cs="Times New Roman"/>
          <w:szCs w:val="24"/>
        </w:rPr>
        <w:t xml:space="preserve"> of Asos Plc as depicted in the above figure. As compared to Burberry Plc, Asos Plc ratio statistics</w:t>
      </w:r>
      <w:r>
        <w:rPr>
          <w:rFonts w:cs="Times New Roman"/>
          <w:szCs w:val="24"/>
        </w:rPr>
        <w:t xml:space="preserve"> for the last five financial years</w:t>
      </w:r>
      <w:r>
        <w:rPr>
          <w:rFonts w:cs="Times New Roman"/>
          <w:szCs w:val="24"/>
        </w:rPr>
        <w:t xml:space="preserve"> reveal the </w:t>
      </w:r>
      <w:r>
        <w:rPr>
          <w:rFonts w:cs="Times New Roman"/>
          <w:b/>
          <w:bCs/>
          <w:i/>
          <w:iCs/>
          <w:szCs w:val="24"/>
        </w:rPr>
        <w:t>efficiency</w:t>
      </w:r>
      <w:r>
        <w:rPr>
          <w:rFonts w:cs="Times New Roman"/>
          <w:szCs w:val="24"/>
        </w:rPr>
        <w:t xml:space="preserve"> of the company </w:t>
      </w:r>
      <w:r>
        <w:rPr>
          <w:rFonts w:cs="Times New Roman"/>
          <w:szCs w:val="24"/>
        </w:rPr>
        <w:t>in recovering</w:t>
      </w:r>
      <w:r>
        <w:rPr>
          <w:rFonts w:cs="Times New Roman"/>
          <w:szCs w:val="24"/>
        </w:rPr>
        <w:t xml:space="preserve"> the amount from the trade receivables</w:t>
      </w:r>
      <w:r>
        <w:rPr>
          <w:rFonts w:cs="Times New Roman"/>
          <w:szCs w:val="24"/>
        </w:rPr>
        <w:t xml:space="preserve"> which maintains the </w:t>
      </w:r>
      <w:r>
        <w:rPr>
          <w:rFonts w:cs="Times New Roman"/>
          <w:b/>
          <w:bCs/>
          <w:i/>
          <w:iCs/>
          <w:szCs w:val="24"/>
        </w:rPr>
        <w:t xml:space="preserve">company’s liquidity and smooth operations. </w:t>
      </w:r>
    </w:p>
    <w:p>
      <w:pPr>
        <w:pStyle w:val="style0"/>
        <w:spacing w:before="240" w:after="240"/>
        <w:ind w:left="360"/>
        <w:rPr>
          <w:rFonts w:cs="Times New Roman"/>
          <w:szCs w:val="24"/>
        </w:rPr>
      </w:pPr>
      <w:r>
        <w:rPr>
          <w:rFonts w:cs="Times New Roman"/>
          <w:szCs w:val="24"/>
        </w:rPr>
        <w:t xml:space="preserve">A brief comparison of the companies as regards efficiency ratios reveals </w:t>
      </w:r>
      <w:r>
        <w:rPr>
          <w:rFonts w:cs="Times New Roman"/>
          <w:b/>
          <w:bCs/>
          <w:i/>
          <w:iCs/>
          <w:szCs w:val="24"/>
        </w:rPr>
        <w:t>Asos Plc</w:t>
      </w:r>
      <w:r>
        <w:rPr>
          <w:rFonts w:cs="Times New Roman"/>
          <w:szCs w:val="24"/>
        </w:rPr>
        <w:t xml:space="preserve"> is reasonably efficient to operate its business operations with a lower disruption degree. </w:t>
      </w:r>
    </w:p>
    <w:p>
      <w:pPr>
        <w:pStyle w:val="style179"/>
        <w:numPr>
          <w:ilvl w:val="0"/>
          <w:numId w:val="37"/>
        </w:numPr>
        <w:spacing w:before="240" w:after="240"/>
        <w:rPr>
          <w:rFonts w:cs="Times New Roman"/>
          <w:b/>
          <w:bCs/>
          <w:szCs w:val="24"/>
        </w:rPr>
      </w:pPr>
      <w:r>
        <w:rPr>
          <w:rFonts w:cs="Times New Roman"/>
          <w:b/>
          <w:bCs/>
          <w:szCs w:val="24"/>
        </w:rPr>
        <w:t>Account Payable Days Ratio</w:t>
      </w:r>
    </w:p>
    <w:p>
      <w:pPr>
        <w:pStyle w:val="style0"/>
        <w:spacing w:before="240" w:after="240"/>
        <w:rPr>
          <w:rFonts w:cs="Times New Roman"/>
          <w:szCs w:val="24"/>
        </w:rPr>
      </w:pPr>
      <w:r>
        <w:rPr>
          <w:rFonts w:cs="Times New Roman"/>
          <w:szCs w:val="24"/>
        </w:rPr>
        <w:t xml:space="preserve">The </w:t>
      </w:r>
      <w:r>
        <w:rPr>
          <w:rFonts w:cs="Times New Roman"/>
          <w:b/>
          <w:bCs/>
          <w:i/>
          <w:iCs/>
          <w:szCs w:val="24"/>
        </w:rPr>
        <w:t>Account Payable Days</w:t>
      </w:r>
      <w:r>
        <w:rPr>
          <w:rFonts w:cs="Times New Roman"/>
          <w:szCs w:val="24"/>
        </w:rPr>
        <w:t xml:space="preserve"> Ratio defines the velocity in days by which a company pays its obligations to creditors, lenders, or suppliers (</w:t>
      </w:r>
      <w:r>
        <w:rPr>
          <w:rFonts w:cs="Times New Roman"/>
          <w:szCs w:val="24"/>
        </w:rPr>
        <w:t>Yenni, et al., 2021).</w:t>
      </w:r>
    </w:p>
    <w:p>
      <w:pPr>
        <w:pStyle w:val="style0"/>
        <w:spacing w:before="240" w:after="240"/>
        <w:rPr>
          <w:rFonts w:cs="Times New Roman"/>
          <w:b/>
          <w:bCs/>
          <w:szCs w:val="24"/>
        </w:rPr>
      </w:pPr>
      <w:r>
        <w:rPr>
          <w:rFonts w:cs="Times New Roman"/>
          <w:b/>
          <w:bCs/>
          <w:noProof/>
          <w:szCs w:val="24"/>
        </w:rPr>
        <w:drawing>
          <wp:anchor distT="0" distB="0" distL="114300" distR="114300" simplePos="false" relativeHeight="19" behindDoc="false" locked="false" layoutInCell="true" allowOverlap="true">
            <wp:simplePos x="0" y="0"/>
            <wp:positionH relativeFrom="margin">
              <wp:align>center</wp:align>
            </wp:positionH>
            <wp:positionV relativeFrom="paragraph">
              <wp:posOffset>186690</wp:posOffset>
            </wp:positionV>
            <wp:extent cx="3065145" cy="1881505"/>
            <wp:effectExtent l="19050" t="19050" r="20955" b="23495"/>
            <wp:wrapSquare wrapText="bothSides"/>
            <wp:docPr id="1045" name="Picture 9" descr="A graph of numbers and a number of number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Picture 9"/>
                    <pic:cNvPicPr/>
                  </pic:nvPicPr>
                  <pic:blipFill>
                    <a:blip r:embed="rId12" cstate="print"/>
                    <a:srcRect l="0" t="0" r="0" b="0"/>
                    <a:stretch/>
                  </pic:blipFill>
                  <pic:spPr>
                    <a:xfrm rot="0">
                      <a:off x="0" y="0"/>
                      <a:ext cx="3065145" cy="1881505"/>
                    </a:xfrm>
                    <a:prstGeom prst="rect"/>
                    <a:ln cmpd="sng" cap="flat" w="12700">
                      <a:solidFill>
                        <a:srgbClr val="000000"/>
                      </a:solidFill>
                      <a:prstDash val="solid"/>
                      <a:round/>
                      <a:headEnd/>
                      <a:tailEnd/>
                    </a:ln>
                  </pic:spPr>
                </pic:pic>
              </a:graphicData>
            </a:graphic>
            <wp14:sizeRelH relativeFrom="margin">
              <wp14:pctWidth>0</wp14:pctWidth>
            </wp14:sizeRelH>
            <wp14:sizeRelV relativeFrom="margin">
              <wp14:pctHeight>0</wp14:pctHeight>
            </wp14:sizeRelV>
          </wp:anchor>
        </w:drawing>
      </w:r>
    </w:p>
    <w:p>
      <w:pPr>
        <w:pStyle w:val="style0"/>
        <w:spacing w:before="240" w:after="240"/>
        <w:rPr>
          <w:rFonts w:cs="Times New Roman"/>
          <w:b/>
          <w:bCs/>
          <w:szCs w:val="24"/>
        </w:rPr>
      </w:pPr>
    </w:p>
    <w:p>
      <w:pPr>
        <w:pStyle w:val="style0"/>
        <w:spacing w:before="240" w:after="240"/>
        <w:rPr>
          <w:rFonts w:cs="Times New Roman"/>
          <w:szCs w:val="24"/>
        </w:rPr>
      </w:pPr>
    </w:p>
    <w:p>
      <w:pPr>
        <w:pStyle w:val="style0"/>
        <w:spacing w:before="240" w:after="240"/>
        <w:rPr>
          <w:rFonts w:cs="Times New Roman"/>
          <w:szCs w:val="24"/>
        </w:rPr>
      </w:pPr>
    </w:p>
    <w:p>
      <w:pPr>
        <w:pStyle w:val="style0"/>
        <w:spacing w:before="240" w:after="240"/>
        <w:rPr>
          <w:rFonts w:cs="Times New Roman"/>
          <w:szCs w:val="24"/>
        </w:rPr>
      </w:pPr>
    </w:p>
    <w:p>
      <w:pPr>
        <w:pStyle w:val="style0"/>
        <w:spacing w:before="240" w:after="240"/>
        <w:rPr>
          <w:rFonts w:cs="Times New Roman"/>
          <w:szCs w:val="24"/>
        </w:rPr>
      </w:pPr>
    </w:p>
    <w:p>
      <w:pPr>
        <w:pStyle w:val="style0"/>
        <w:spacing w:before="240" w:after="240"/>
        <w:rPr>
          <w:rFonts w:cs="Times New Roman"/>
          <w:szCs w:val="24"/>
        </w:rPr>
      </w:pPr>
      <w:r>
        <w:rPr>
          <w:rFonts w:cs="Times New Roman"/>
          <w:noProof/>
          <w:szCs w:val="24"/>
        </w:rPr>
        <mc:AlternateContent>
          <mc:Choice Requires="wps">
            <w:drawing>
              <wp:anchor distT="0" distB="0" distL="114300" distR="114300" simplePos="false" relativeHeight="20" behindDoc="false" locked="false" layoutInCell="true" allowOverlap="true">
                <wp:simplePos x="0" y="0"/>
                <wp:positionH relativeFrom="margin">
                  <wp:align>center</wp:align>
                </wp:positionH>
                <wp:positionV relativeFrom="paragraph">
                  <wp:posOffset>5080</wp:posOffset>
                </wp:positionV>
                <wp:extent cx="3926840" cy="445135"/>
                <wp:effectExtent l="0" t="0" r="0" b="0"/>
                <wp:wrapSquare wrapText="bothSides"/>
                <wp:docPr id="1046" name="Text Box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3926840" cy="445135"/>
                        </a:xfrm>
                        <a:prstGeom prst="rect"/>
                        <a:solidFill>
                          <a:srgbClr val="ffffff"/>
                        </a:solidFill>
                        <a:ln>
                          <a:noFill/>
                        </a:ln>
                      </wps:spPr>
                      <wps:txbx id="1046">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10</w:t>
                            </w:r>
                            <w:r>
                              <w:rPr>
                                <w:b/>
                                <w:bCs/>
                                <w:color w:val="auto"/>
                                <w:sz w:val="24"/>
                                <w:szCs w:val="32"/>
                              </w:rPr>
                              <w:fldChar w:fldCharType="end"/>
                            </w:r>
                            <w:r>
                              <w:rPr>
                                <w:b/>
                                <w:bCs/>
                                <w:color w:val="auto"/>
                                <w:sz w:val="24"/>
                                <w:szCs w:val="32"/>
                              </w:rPr>
                              <w:t>: Burberry's and Asos’s Account Payable Days Ratio</w:t>
                            </w:r>
                            <w:r>
                              <w:rPr>
                                <w:b/>
                                <w:bCs/>
                                <w:color w:val="auto"/>
                                <w:sz w:val="24"/>
                                <w:szCs w:val="32"/>
                              </w:rPr>
                              <w:br/>
                            </w:r>
                            <w:r>
                              <w:rPr>
                                <w:b/>
                                <w:bCs/>
                                <w:color w:val="auto"/>
                                <w:sz w:val="24"/>
                                <w:szCs w:val="32"/>
                              </w:rPr>
                              <w:t>(Source: Created by Author)</w:t>
                            </w:r>
                          </w:p>
                        </w:txbxContent>
                      </wps:txbx>
                      <wps:bodyPr lIns="0" rIns="0" tIns="0" bIns="0" vert="horz" anchor="t" wrap="square">
                        <a:prstTxWarp prst="textNoShape"/>
                        <a:noAutofit/>
                      </wps:bodyPr>
                    </wps:wsp>
                  </a:graphicData>
                </a:graphic>
                <wp14:sizeRelH relativeFrom="margin">
                  <wp14:pctWidth>0</wp14:pctWidth>
                </wp14:sizeRelH>
                <wp14:sizeRelV relativeFrom="margin">
                  <wp14:pctHeight>0</wp14:pctHeight>
                </wp14:sizeRelV>
              </wp:anchor>
            </w:drawing>
          </mc:Choice>
          <mc:Fallback>
            <w:pict>
              <v:rect id="1046" fillcolor="white" stroked="f" style="position:absolute;margin-left:0.0pt;margin-top:0.4pt;width:309.2pt;height:35.05pt;z-index:20;mso-position-horizontal:center;mso-position-horizontal-relative:margin;mso-position-vertical-relative:text;mso-width-percent:0;mso-height-percent:0;mso-width-relative:margin;mso-height-relative:margin;visibility:visible;">
                <v:stroke on="f"/>
                <w10:wrap type="square"/>
                <v:fill/>
                <v:textbox inset="0.0pt,0.0pt,0.0pt,0.0pt">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10</w:t>
                      </w:r>
                      <w:r>
                        <w:rPr>
                          <w:b/>
                          <w:bCs/>
                          <w:color w:val="auto"/>
                          <w:sz w:val="24"/>
                          <w:szCs w:val="32"/>
                        </w:rPr>
                        <w:fldChar w:fldCharType="end"/>
                      </w:r>
                      <w:r>
                        <w:rPr>
                          <w:b/>
                          <w:bCs/>
                          <w:color w:val="auto"/>
                          <w:sz w:val="24"/>
                          <w:szCs w:val="32"/>
                        </w:rPr>
                        <w:t>: Burberry's and Asos’s Account Payable Days Ratio</w:t>
                      </w:r>
                      <w:r>
                        <w:rPr>
                          <w:b/>
                          <w:bCs/>
                          <w:color w:val="auto"/>
                          <w:sz w:val="24"/>
                          <w:szCs w:val="32"/>
                        </w:rPr>
                        <w:br/>
                      </w:r>
                      <w:r>
                        <w:rPr>
                          <w:b/>
                          <w:bCs/>
                          <w:color w:val="auto"/>
                          <w:sz w:val="24"/>
                          <w:szCs w:val="32"/>
                        </w:rPr>
                        <w:t>(Source: Created by Author)</w:t>
                      </w:r>
                    </w:p>
                  </w:txbxContent>
                </v:textbox>
              </v:rect>
            </w:pict>
          </mc:Fallback>
        </mc:AlternateContent>
      </w:r>
    </w:p>
    <w:p>
      <w:pPr>
        <w:pStyle w:val="style0"/>
        <w:spacing w:before="240" w:after="240"/>
        <w:rPr>
          <w:rFonts w:cs="Times New Roman"/>
          <w:szCs w:val="24"/>
        </w:rPr>
      </w:pPr>
    </w:p>
    <w:p>
      <w:pPr>
        <w:pStyle w:val="style0"/>
        <w:spacing w:before="240" w:after="240"/>
        <w:rPr>
          <w:rFonts w:cs="Times New Roman"/>
          <w:szCs w:val="24"/>
        </w:rPr>
      </w:pPr>
      <w:r>
        <w:rPr>
          <w:rFonts w:cs="Times New Roman"/>
          <w:szCs w:val="24"/>
        </w:rPr>
        <w:t>The above chart visualises the Account Payable Days ratio for Burberry Group Plc and Asos Plc for the five consecutive financial years from 2019 to 2023.</w:t>
      </w:r>
    </w:p>
    <w:p>
      <w:pPr>
        <w:pStyle w:val="style179"/>
        <w:numPr>
          <w:ilvl w:val="0"/>
          <w:numId w:val="15"/>
        </w:numPr>
        <w:spacing w:before="240" w:after="240"/>
        <w:rPr>
          <w:rFonts w:cs="Times New Roman"/>
          <w:b/>
          <w:bCs/>
          <w:szCs w:val="24"/>
        </w:rPr>
      </w:pPr>
      <w:r>
        <w:rPr>
          <w:rFonts w:cs="Times New Roman"/>
          <w:szCs w:val="24"/>
        </w:rPr>
        <w:t xml:space="preserve">The year 2019 of the Burberry Group Plc represents the highest account payable days ratio of </w:t>
      </w:r>
      <w:r>
        <w:rPr>
          <w:rFonts w:cs="Times New Roman"/>
          <w:b/>
          <w:bCs/>
          <w:i/>
          <w:iCs/>
          <w:szCs w:val="24"/>
        </w:rPr>
        <w:t>223.273</w:t>
      </w:r>
      <w:r>
        <w:rPr>
          <w:rFonts w:cs="Times New Roman"/>
          <w:szCs w:val="24"/>
        </w:rPr>
        <w:t xml:space="preserve"> while the lowest ratio of </w:t>
      </w:r>
      <w:r>
        <w:rPr>
          <w:rFonts w:cs="Times New Roman"/>
          <w:b/>
          <w:bCs/>
          <w:i/>
          <w:iCs/>
          <w:szCs w:val="24"/>
        </w:rPr>
        <w:t>176.086</w:t>
      </w:r>
      <w:r>
        <w:rPr>
          <w:rFonts w:cs="Times New Roman"/>
          <w:szCs w:val="24"/>
        </w:rPr>
        <w:t xml:space="preserve"> is represented by the year 2020 as depicted in the above figure. The primary reason for such high ratio statistics is due to the </w:t>
      </w:r>
      <w:r>
        <w:rPr>
          <w:rFonts w:cs="Times New Roman"/>
          <w:b/>
          <w:bCs/>
          <w:i/>
          <w:iCs/>
          <w:szCs w:val="24"/>
        </w:rPr>
        <w:t>high account receivable days ratio</w:t>
      </w:r>
      <w:r>
        <w:rPr>
          <w:rFonts w:cs="Times New Roman"/>
          <w:szCs w:val="24"/>
        </w:rPr>
        <w:t xml:space="preserve">, indicating insufficient balance in the cash and cash equivalents for the payment to </w:t>
      </w:r>
      <w:r>
        <w:rPr>
          <w:rFonts w:cs="Times New Roman"/>
          <w:b/>
          <w:bCs/>
          <w:i/>
          <w:iCs/>
          <w:szCs w:val="24"/>
        </w:rPr>
        <w:t>creditors, lenders, and suppliers of the company</w:t>
      </w:r>
      <w:r>
        <w:rPr>
          <w:rFonts w:cs="Times New Roman"/>
          <w:b/>
          <w:bCs/>
          <w:i/>
          <w:iCs/>
          <w:szCs w:val="24"/>
        </w:rPr>
        <w:t xml:space="preserve"> </w:t>
      </w:r>
      <w:r>
        <w:rPr>
          <w:rFonts w:cs="Times New Roman"/>
          <w:szCs w:val="24"/>
        </w:rPr>
        <w:t>(Burberry, 2019)</w:t>
      </w:r>
      <w:r>
        <w:rPr>
          <w:rFonts w:cs="Times New Roman"/>
          <w:szCs w:val="24"/>
        </w:rPr>
        <w:t xml:space="preserve">. </w:t>
      </w:r>
    </w:p>
    <w:p>
      <w:pPr>
        <w:pStyle w:val="style179"/>
        <w:numPr>
          <w:ilvl w:val="0"/>
          <w:numId w:val="15"/>
        </w:numPr>
        <w:spacing w:before="240" w:after="240"/>
        <w:rPr>
          <w:rFonts w:cs="Times New Roman"/>
          <w:b/>
          <w:bCs/>
          <w:i/>
          <w:iCs/>
          <w:szCs w:val="24"/>
        </w:rPr>
      </w:pPr>
      <w:r>
        <w:rPr>
          <w:rFonts w:cs="Times New Roman"/>
          <w:szCs w:val="24"/>
        </w:rPr>
        <w:t xml:space="preserve">Compared to Burberry Group, Asos Plc records the highest ratio of 174.518 in the year 2019 and the lowest ratio of 118.797 in the year 2023 as depicted in the given figure. The overall trends of the ratio of both companies </w:t>
      </w:r>
      <w:r>
        <w:rPr>
          <w:rFonts w:cs="Times New Roman"/>
          <w:szCs w:val="24"/>
        </w:rPr>
        <w:t>are</w:t>
      </w:r>
      <w:r>
        <w:rPr>
          <w:rFonts w:cs="Times New Roman"/>
          <w:szCs w:val="24"/>
        </w:rPr>
        <w:t xml:space="preserve"> average, thereby indicating a significant impact on the </w:t>
      </w:r>
      <w:r>
        <w:rPr>
          <w:rFonts w:cs="Times New Roman"/>
          <w:b/>
          <w:bCs/>
          <w:i/>
          <w:iCs/>
          <w:szCs w:val="24"/>
        </w:rPr>
        <w:t>credibility</w:t>
      </w:r>
      <w:r>
        <w:rPr>
          <w:rFonts w:cs="Times New Roman"/>
          <w:szCs w:val="24"/>
        </w:rPr>
        <w:t xml:space="preserve"> of both companies in consideration of the delayed payments to trade payable which can create an adverse impact on the </w:t>
      </w:r>
      <w:r>
        <w:rPr>
          <w:rFonts w:cs="Times New Roman"/>
          <w:b/>
          <w:bCs/>
          <w:i/>
          <w:iCs/>
          <w:szCs w:val="24"/>
        </w:rPr>
        <w:t>market goodwill.</w:t>
      </w:r>
      <w:r>
        <w:rPr>
          <w:rFonts w:cs="Times New Roman"/>
          <w:szCs w:val="24"/>
        </w:rPr>
        <w:t xml:space="preserve"> </w:t>
      </w:r>
    </w:p>
    <w:p>
      <w:pPr>
        <w:pStyle w:val="style0"/>
        <w:spacing w:before="240" w:after="240"/>
        <w:rPr>
          <w:rFonts w:cs="Times New Roman"/>
          <w:b/>
          <w:bCs/>
          <w:i/>
          <w:iCs/>
          <w:szCs w:val="24"/>
        </w:rPr>
      </w:pPr>
    </w:p>
    <w:bookmarkStart w:id="8" w:name="_Toc173489800"/>
    <w:p>
      <w:pPr>
        <w:pStyle w:val="style3"/>
        <w:spacing w:before="240" w:after="240"/>
        <w:rPr>
          <w:rFonts w:cs="Times New Roman"/>
          <w:szCs w:val="24"/>
        </w:rPr>
      </w:pPr>
      <w:r>
        <w:rPr>
          <w:rFonts w:cs="Times New Roman"/>
          <w:szCs w:val="24"/>
        </w:rPr>
        <w:t>Gearing Ratios</w:t>
      </w:r>
      <w:bookmarkEnd w:id="8"/>
    </w:p>
    <w:p>
      <w:pPr>
        <w:pStyle w:val="style179"/>
        <w:numPr>
          <w:ilvl w:val="0"/>
          <w:numId w:val="36"/>
        </w:numPr>
        <w:spacing w:before="240" w:after="240"/>
        <w:jc w:val="left"/>
        <w:rPr>
          <w:rFonts w:cs="Times New Roman"/>
          <w:b/>
          <w:bCs/>
          <w:szCs w:val="24"/>
        </w:rPr>
      </w:pPr>
      <w:r>
        <w:rPr>
          <w:rFonts w:cs="Times New Roman"/>
          <w:b/>
          <w:bCs/>
          <w:szCs w:val="24"/>
        </w:rPr>
        <w:t>Debt-Equity Ratio</w:t>
      </w:r>
    </w:p>
    <w:p>
      <w:pPr>
        <w:pStyle w:val="style0"/>
        <w:spacing w:before="240" w:after="240"/>
        <w:jc w:val="left"/>
        <w:rPr>
          <w:rFonts w:cs="Times New Roman"/>
          <w:szCs w:val="24"/>
        </w:rPr>
      </w:pPr>
      <w:r>
        <w:rPr>
          <w:rFonts w:cs="Times New Roman"/>
          <w:szCs w:val="24"/>
        </w:rPr>
        <w:t xml:space="preserve">The </w:t>
      </w:r>
      <w:r>
        <w:rPr>
          <w:rFonts w:cs="Times New Roman"/>
          <w:b/>
          <w:bCs/>
          <w:i/>
          <w:iCs/>
          <w:szCs w:val="24"/>
        </w:rPr>
        <w:t>Debt-Equity Ratio</w:t>
      </w:r>
      <w:r>
        <w:rPr>
          <w:rFonts w:cs="Times New Roman"/>
          <w:szCs w:val="24"/>
        </w:rPr>
        <w:t xml:space="preserve"> is a measure of financial leverage that</w:t>
      </w:r>
      <w:r>
        <w:rPr>
          <w:rFonts w:cs="Times New Roman"/>
          <w:szCs w:val="24"/>
        </w:rPr>
        <w:t xml:space="preserve"> defines the proportion of long-term debt </w:t>
      </w:r>
      <w:r>
        <w:rPr>
          <w:rFonts w:cs="Times New Roman"/>
          <w:szCs w:val="24"/>
        </w:rPr>
        <w:t>to</w:t>
      </w:r>
      <w:r>
        <w:rPr>
          <w:rFonts w:cs="Times New Roman"/>
          <w:szCs w:val="24"/>
        </w:rPr>
        <w:t xml:space="preserve"> equity as part of the company’s capital portfolio</w:t>
      </w:r>
      <w:r>
        <w:rPr>
          <w:rFonts w:cs="Times New Roman"/>
          <w:szCs w:val="24"/>
        </w:rPr>
        <w:t xml:space="preserve"> (Nukala and Prasada, 2021).</w:t>
      </w:r>
    </w:p>
    <w:p>
      <w:pPr>
        <w:pStyle w:val="style0"/>
        <w:spacing w:before="240" w:after="240"/>
        <w:jc w:val="left"/>
        <w:rPr>
          <w:rFonts w:cs="Times New Roman"/>
          <w:b/>
          <w:bCs/>
          <w:szCs w:val="24"/>
        </w:rPr>
      </w:pPr>
      <w:r>
        <w:rPr>
          <w:rFonts w:cs="Times New Roman"/>
          <w:b/>
          <w:bCs/>
          <w:noProof/>
          <w:szCs w:val="24"/>
        </w:rPr>
        <w:drawing>
          <wp:anchor distT="0" distB="0" distL="114300" distR="114300" simplePos="false" relativeHeight="21" behindDoc="false" locked="false" layoutInCell="true" allowOverlap="true">
            <wp:simplePos x="0" y="0"/>
            <wp:positionH relativeFrom="margin">
              <wp:align>center</wp:align>
            </wp:positionH>
            <wp:positionV relativeFrom="paragraph">
              <wp:posOffset>286385</wp:posOffset>
            </wp:positionV>
            <wp:extent cx="3201670" cy="1930400"/>
            <wp:effectExtent l="19050" t="19050" r="17780" b="12700"/>
            <wp:wrapSquare wrapText="bothSides"/>
            <wp:docPr id="1047" name="Picture 10" descr="A graph of a graph showing the number of the company's debt"/>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Picture 10"/>
                    <pic:cNvPicPr/>
                  </pic:nvPicPr>
                  <pic:blipFill>
                    <a:blip r:embed="rId13" cstate="print"/>
                    <a:srcRect l="0" t="0" r="0" b="0"/>
                    <a:stretch/>
                  </pic:blipFill>
                  <pic:spPr>
                    <a:xfrm rot="0">
                      <a:off x="0" y="0"/>
                      <a:ext cx="3201670" cy="1930400"/>
                    </a:xfrm>
                    <a:prstGeom prst="rect"/>
                    <a:ln cmpd="sng" cap="flat" w="12700">
                      <a:solidFill>
                        <a:srgbClr val="000000"/>
                      </a:solidFill>
                      <a:prstDash val="solid"/>
                      <a:round/>
                      <a:headEnd/>
                      <a:tailEnd/>
                    </a:ln>
                  </pic:spPr>
                </pic:pic>
              </a:graphicData>
            </a:graphic>
            <wp14:sizeRelH relativeFrom="margin">
              <wp14:pctWidth>0</wp14:pctWidth>
            </wp14:sizeRelH>
            <wp14:sizeRelV relativeFrom="margin">
              <wp14:pctHeight>0</wp14:pctHeight>
            </wp14:sizeRelV>
          </wp:anchor>
        </w:drawing>
      </w:r>
    </w:p>
    <w:p>
      <w:pPr>
        <w:pStyle w:val="style0"/>
        <w:spacing w:before="240" w:after="240"/>
        <w:jc w:val="left"/>
        <w:rPr>
          <w:rFonts w:cs="Times New Roman"/>
          <w:b/>
          <w:bCs/>
          <w:szCs w:val="24"/>
        </w:rPr>
      </w:pPr>
    </w:p>
    <w:p>
      <w:pPr>
        <w:pStyle w:val="style0"/>
        <w:spacing w:before="240" w:after="240"/>
        <w:jc w:val="left"/>
        <w:rPr>
          <w:rFonts w:cs="Times New Roman"/>
          <w:b/>
          <w:bCs/>
          <w:szCs w:val="24"/>
        </w:rPr>
      </w:pPr>
    </w:p>
    <w:p>
      <w:pPr>
        <w:pStyle w:val="style0"/>
        <w:spacing w:before="240" w:after="240"/>
        <w:jc w:val="left"/>
        <w:rPr>
          <w:rFonts w:cs="Times New Roman"/>
          <w:b/>
          <w:bCs/>
          <w:szCs w:val="24"/>
        </w:rPr>
      </w:pPr>
    </w:p>
    <w:p>
      <w:pPr>
        <w:pStyle w:val="style0"/>
        <w:spacing w:before="240" w:after="240"/>
        <w:jc w:val="left"/>
        <w:rPr>
          <w:rFonts w:cs="Times New Roman"/>
          <w:b/>
          <w:bCs/>
          <w:szCs w:val="24"/>
        </w:rPr>
      </w:pPr>
    </w:p>
    <w:p>
      <w:pPr>
        <w:pStyle w:val="style0"/>
        <w:spacing w:before="240" w:after="240"/>
        <w:jc w:val="left"/>
        <w:rPr>
          <w:rFonts w:cs="Times New Roman"/>
          <w:b/>
          <w:bCs/>
          <w:szCs w:val="24"/>
        </w:rPr>
      </w:pPr>
    </w:p>
    <w:p>
      <w:pPr>
        <w:pStyle w:val="style0"/>
        <w:spacing w:before="240" w:after="240"/>
        <w:jc w:val="left"/>
        <w:rPr>
          <w:rFonts w:cs="Times New Roman"/>
          <w:b/>
          <w:bCs/>
          <w:szCs w:val="24"/>
        </w:rPr>
      </w:pPr>
      <w:r>
        <w:rPr>
          <w:rFonts w:cs="Times New Roman"/>
          <w:noProof/>
          <w:szCs w:val="24"/>
        </w:rPr>
        <mc:AlternateContent>
          <mc:Choice Requires="wps">
            <w:drawing>
              <wp:anchor distT="0" distB="0" distL="114300" distR="114300" simplePos="false" relativeHeight="22" behindDoc="false" locked="false" layoutInCell="true" allowOverlap="true">
                <wp:simplePos x="0" y="0"/>
                <wp:positionH relativeFrom="margin">
                  <wp:align>center</wp:align>
                </wp:positionH>
                <wp:positionV relativeFrom="paragraph">
                  <wp:posOffset>271780</wp:posOffset>
                </wp:positionV>
                <wp:extent cx="3475355" cy="457200"/>
                <wp:effectExtent l="0" t="0" r="0" b="0"/>
                <wp:wrapSquare wrapText="bothSides"/>
                <wp:docPr id="1048" name="Text Box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3475355" cy="457200"/>
                        </a:xfrm>
                        <a:prstGeom prst="rect"/>
                        <a:solidFill>
                          <a:srgbClr val="ffffff"/>
                        </a:solidFill>
                        <a:ln>
                          <a:noFill/>
                        </a:ln>
                      </wps:spPr>
                      <wps:txbx id="1048">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11</w:t>
                            </w:r>
                            <w:r>
                              <w:rPr>
                                <w:b/>
                                <w:bCs/>
                                <w:color w:val="auto"/>
                                <w:sz w:val="24"/>
                                <w:szCs w:val="32"/>
                              </w:rPr>
                              <w:fldChar w:fldCharType="end"/>
                            </w:r>
                            <w:r>
                              <w:rPr>
                                <w:b/>
                                <w:bCs/>
                                <w:color w:val="auto"/>
                                <w:sz w:val="24"/>
                                <w:szCs w:val="32"/>
                              </w:rPr>
                              <w:t>: Burberry's and Asos's Debt-Equity Ratio</w:t>
                            </w:r>
                            <w:r>
                              <w:rPr>
                                <w:b/>
                                <w:bCs/>
                                <w:color w:val="auto"/>
                                <w:sz w:val="24"/>
                                <w:szCs w:val="32"/>
                              </w:rPr>
                              <w:br/>
                            </w:r>
                            <w:r>
                              <w:rPr>
                                <w:b/>
                                <w:bCs/>
                                <w:color w:val="auto"/>
                                <w:sz w:val="24"/>
                                <w:szCs w:val="32"/>
                              </w:rPr>
                              <w:t>(Source: Created by Author)</w:t>
                            </w:r>
                          </w:p>
                        </w:txbxContent>
                      </wps:txbx>
                      <wps:bodyPr lIns="0" rIns="0" tIns="0" bIns="0" vert="horz" anchor="t" wrap="square">
                        <a:prstTxWarp prst="textNoShape"/>
                        <a:noAutofit/>
                      </wps:bodyPr>
                    </wps:wsp>
                  </a:graphicData>
                </a:graphic>
                <wp14:sizeRelH relativeFrom="margin">
                  <wp14:pctWidth>0</wp14:pctWidth>
                </wp14:sizeRelH>
                <wp14:sizeRelV relativeFrom="margin">
                  <wp14:pctHeight>0</wp14:pctHeight>
                </wp14:sizeRelV>
              </wp:anchor>
            </w:drawing>
          </mc:Choice>
          <mc:Fallback>
            <w:pict>
              <v:rect id="1048" fillcolor="white" stroked="f" style="position:absolute;margin-left:0.0pt;margin-top:21.4pt;width:273.65pt;height:36.0pt;z-index:22;mso-position-horizontal:center;mso-position-horizontal-relative:margin;mso-position-vertical-relative:text;mso-width-percent:0;mso-height-percent:0;mso-width-relative:margin;mso-height-relative:margin;visibility:visible;">
                <v:stroke on="f"/>
                <w10:wrap type="square"/>
                <v:fill/>
                <v:textbox inset="0.0pt,0.0pt,0.0pt,0.0pt">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11</w:t>
                      </w:r>
                      <w:r>
                        <w:rPr>
                          <w:b/>
                          <w:bCs/>
                          <w:color w:val="auto"/>
                          <w:sz w:val="24"/>
                          <w:szCs w:val="32"/>
                        </w:rPr>
                        <w:fldChar w:fldCharType="end"/>
                      </w:r>
                      <w:r>
                        <w:rPr>
                          <w:b/>
                          <w:bCs/>
                          <w:color w:val="auto"/>
                          <w:sz w:val="24"/>
                          <w:szCs w:val="32"/>
                        </w:rPr>
                        <w:t>: Burberry's and Asos's Debt-Equity Ratio</w:t>
                      </w:r>
                      <w:r>
                        <w:rPr>
                          <w:b/>
                          <w:bCs/>
                          <w:color w:val="auto"/>
                          <w:sz w:val="24"/>
                          <w:szCs w:val="32"/>
                        </w:rPr>
                        <w:br/>
                      </w:r>
                      <w:r>
                        <w:rPr>
                          <w:b/>
                          <w:bCs/>
                          <w:color w:val="auto"/>
                          <w:sz w:val="24"/>
                          <w:szCs w:val="32"/>
                        </w:rPr>
                        <w:t>(Source: Created by Author)</w:t>
                      </w:r>
                    </w:p>
                  </w:txbxContent>
                </v:textbox>
              </v:rect>
            </w:pict>
          </mc:Fallback>
        </mc:AlternateContent>
      </w:r>
    </w:p>
    <w:p>
      <w:pPr>
        <w:pStyle w:val="style0"/>
        <w:spacing w:before="240" w:after="240"/>
        <w:jc w:val="left"/>
        <w:rPr>
          <w:rFonts w:cs="Times New Roman"/>
          <w:b/>
          <w:bCs/>
          <w:szCs w:val="24"/>
        </w:rPr>
      </w:pPr>
    </w:p>
    <w:p>
      <w:pPr>
        <w:pStyle w:val="style0"/>
        <w:spacing w:before="240" w:after="240"/>
        <w:jc w:val="left"/>
        <w:rPr>
          <w:rFonts w:cs="Times New Roman"/>
          <w:b/>
          <w:bCs/>
          <w:szCs w:val="24"/>
        </w:rPr>
      </w:pPr>
    </w:p>
    <w:p>
      <w:pPr>
        <w:pStyle w:val="style0"/>
        <w:spacing w:before="240" w:after="240"/>
        <w:jc w:val="left"/>
        <w:rPr>
          <w:rFonts w:cs="Times New Roman"/>
          <w:szCs w:val="24"/>
        </w:rPr>
      </w:pPr>
      <w:r>
        <w:rPr>
          <w:rFonts w:cs="Times New Roman"/>
          <w:szCs w:val="24"/>
        </w:rPr>
        <w:t>The above figure reveals the Debt-Equity performance of Burberry Group Plc and Asos Plc for the financial years 2019 to 2023.</w:t>
      </w:r>
    </w:p>
    <w:p>
      <w:pPr>
        <w:pStyle w:val="style179"/>
        <w:numPr>
          <w:ilvl w:val="0"/>
          <w:numId w:val="15"/>
        </w:numPr>
        <w:spacing w:before="240" w:after="240"/>
        <w:rPr>
          <w:rFonts w:cs="Times New Roman"/>
          <w:b/>
          <w:bCs/>
          <w:szCs w:val="24"/>
        </w:rPr>
      </w:pPr>
      <w:r>
        <w:rPr>
          <w:rFonts w:cs="Times New Roman"/>
          <w:szCs w:val="24"/>
        </w:rPr>
        <w:t xml:space="preserve">The </w:t>
      </w:r>
      <w:r>
        <w:rPr>
          <w:rFonts w:cs="Times New Roman"/>
          <w:szCs w:val="24"/>
        </w:rPr>
        <w:t xml:space="preserve">year 2019 of Burberry Plc represents the lowest debt-equity ratio of </w:t>
      </w:r>
      <w:r>
        <w:rPr>
          <w:rFonts w:cs="Times New Roman"/>
          <w:b/>
          <w:bCs/>
          <w:i/>
          <w:iCs/>
          <w:szCs w:val="24"/>
        </w:rPr>
        <w:t>0.159</w:t>
      </w:r>
      <w:r>
        <w:rPr>
          <w:rFonts w:cs="Times New Roman"/>
          <w:szCs w:val="24"/>
        </w:rPr>
        <w:t xml:space="preserve">, whereas the highest ratio of </w:t>
      </w:r>
      <w:r>
        <w:rPr>
          <w:rFonts w:cs="Times New Roman"/>
          <w:b/>
          <w:bCs/>
          <w:i/>
          <w:iCs/>
          <w:szCs w:val="24"/>
        </w:rPr>
        <w:t>1.102</w:t>
      </w:r>
      <w:r>
        <w:rPr>
          <w:rFonts w:cs="Times New Roman"/>
          <w:szCs w:val="24"/>
        </w:rPr>
        <w:t xml:space="preserve"> is represented by the year 2020. The decrease in the non-current liabilities from £244.7 million in 2018 to £232.1 million in the year 2019 with an increase of total equity from £</w:t>
      </w:r>
      <w:r>
        <w:rPr>
          <w:rFonts w:cs="Times New Roman"/>
          <w:b/>
          <w:bCs/>
          <w:i/>
          <w:iCs/>
          <w:szCs w:val="24"/>
        </w:rPr>
        <w:t>1425.4 million</w:t>
      </w:r>
      <w:r>
        <w:rPr>
          <w:rFonts w:cs="Times New Roman"/>
          <w:szCs w:val="24"/>
        </w:rPr>
        <w:t xml:space="preserve"> in the year 2018 to £ </w:t>
      </w:r>
      <w:r>
        <w:rPr>
          <w:rFonts w:cs="Times New Roman"/>
          <w:b/>
          <w:bCs/>
          <w:i/>
          <w:iCs/>
          <w:szCs w:val="24"/>
        </w:rPr>
        <w:t>1460 million</w:t>
      </w:r>
      <w:r>
        <w:rPr>
          <w:rFonts w:cs="Times New Roman"/>
          <w:szCs w:val="24"/>
        </w:rPr>
        <w:t xml:space="preserve"> in the year 2019 has reduced the overall ratio of company (Burberry, 2019). </w:t>
      </w:r>
      <w:r>
        <w:rPr>
          <w:rFonts w:cs="Times New Roman"/>
          <w:szCs w:val="24"/>
        </w:rPr>
        <w:t xml:space="preserve">An increase in the </w:t>
      </w:r>
      <w:r>
        <w:rPr>
          <w:rFonts w:cs="Times New Roman"/>
          <w:b/>
          <w:bCs/>
          <w:i/>
          <w:iCs/>
          <w:szCs w:val="24"/>
        </w:rPr>
        <w:t>shareholder’s premium, retained earnings, and the foreign currency translation reserve</w:t>
      </w:r>
      <w:r>
        <w:rPr>
          <w:rFonts w:cs="Times New Roman"/>
          <w:szCs w:val="24"/>
        </w:rPr>
        <w:t xml:space="preserve"> has enhanced the total equity of the company followed by a </w:t>
      </w:r>
      <w:r>
        <w:rPr>
          <w:rFonts w:cs="Times New Roman"/>
          <w:b/>
          <w:bCs/>
          <w:i/>
          <w:iCs/>
          <w:szCs w:val="24"/>
        </w:rPr>
        <w:t>buyback of £105 million</w:t>
      </w:r>
      <w:r>
        <w:rPr>
          <w:rFonts w:cs="Times New Roman"/>
          <w:szCs w:val="24"/>
        </w:rPr>
        <w:t xml:space="preserve"> in the year 2019, thereby decreasing the ratio of the company (Burberry, 2019). </w:t>
      </w:r>
    </w:p>
    <w:p>
      <w:pPr>
        <w:pStyle w:val="style179"/>
        <w:numPr>
          <w:ilvl w:val="0"/>
          <w:numId w:val="15"/>
        </w:numPr>
        <w:spacing w:before="240" w:after="240"/>
        <w:rPr>
          <w:rFonts w:cs="Times New Roman"/>
          <w:b/>
          <w:bCs/>
          <w:szCs w:val="24"/>
        </w:rPr>
      </w:pPr>
      <w:r>
        <w:rPr>
          <w:rFonts w:cs="Times New Roman"/>
          <w:szCs w:val="24"/>
        </w:rPr>
        <w:t xml:space="preserve">Compared to Burberry, the highest debt-equity ratio of </w:t>
      </w:r>
      <w:r>
        <w:rPr>
          <w:rFonts w:cs="Times New Roman"/>
          <w:b/>
          <w:bCs/>
          <w:i/>
          <w:iCs/>
          <w:szCs w:val="24"/>
        </w:rPr>
        <w:t>1.204</w:t>
      </w:r>
      <w:r>
        <w:rPr>
          <w:rFonts w:cs="Times New Roman"/>
          <w:szCs w:val="24"/>
        </w:rPr>
        <w:t xml:space="preserve"> of Asos Plc has been reported in the year 2023 while the ratio of </w:t>
      </w:r>
      <w:r>
        <w:rPr>
          <w:rFonts w:cs="Times New Roman"/>
          <w:b/>
          <w:bCs/>
          <w:i/>
          <w:iCs/>
          <w:szCs w:val="24"/>
        </w:rPr>
        <w:t>0.043</w:t>
      </w:r>
      <w:r>
        <w:rPr>
          <w:rFonts w:cs="Times New Roman"/>
          <w:szCs w:val="24"/>
        </w:rPr>
        <w:t xml:space="preserve"> has been recorded in the year 2019 as depicted in the above figure. </w:t>
      </w:r>
      <w:r>
        <w:rPr>
          <w:rFonts w:cs="Times New Roman"/>
          <w:szCs w:val="24"/>
        </w:rPr>
        <w:t>An increase</w:t>
      </w:r>
      <w:r>
        <w:rPr>
          <w:rFonts w:cs="Times New Roman"/>
          <w:szCs w:val="24"/>
        </w:rPr>
        <w:t xml:space="preserve"> in the </w:t>
      </w:r>
      <w:r>
        <w:rPr>
          <w:rFonts w:cs="Times New Roman"/>
          <w:b/>
          <w:bCs/>
          <w:i/>
          <w:iCs/>
          <w:szCs w:val="24"/>
        </w:rPr>
        <w:t>finance cost</w:t>
      </w:r>
      <w:r>
        <w:rPr>
          <w:rFonts w:cs="Times New Roman"/>
          <w:szCs w:val="24"/>
        </w:rPr>
        <w:t xml:space="preserve"> of the company from </w:t>
      </w:r>
      <w:r>
        <w:rPr>
          <w:rFonts w:cs="Times New Roman"/>
          <w:b/>
          <w:bCs/>
          <w:i/>
          <w:iCs/>
          <w:szCs w:val="24"/>
        </w:rPr>
        <w:t xml:space="preserve">£23 million in 2021 to £53.2 million </w:t>
      </w:r>
      <w:r>
        <w:rPr>
          <w:rFonts w:cs="Times New Roman"/>
          <w:szCs w:val="24"/>
        </w:rPr>
        <w:t xml:space="preserve">in the year 2022 indicates the proportion of more debt in the capital structure of the company, thereby increasing the debt-equity ratio of 2023 (Burberry, 2023). In addition to this, the company has made </w:t>
      </w:r>
      <w:r>
        <w:rPr>
          <w:rFonts w:cs="Times New Roman"/>
          <w:b/>
          <w:bCs/>
          <w:i/>
          <w:iCs/>
          <w:szCs w:val="24"/>
        </w:rPr>
        <w:t>borrowings of £671.3 million in 2023</w:t>
      </w:r>
      <w:r>
        <w:rPr>
          <w:rFonts w:cs="Times New Roman"/>
          <w:szCs w:val="24"/>
        </w:rPr>
        <w:t xml:space="preserve"> as compared to </w:t>
      </w:r>
      <w:r>
        <w:rPr>
          <w:rFonts w:cs="Times New Roman"/>
          <w:b/>
          <w:bCs/>
          <w:i/>
          <w:iCs/>
          <w:szCs w:val="24"/>
        </w:rPr>
        <w:t>£474.5 million in 2022</w:t>
      </w:r>
      <w:r>
        <w:rPr>
          <w:rFonts w:cs="Times New Roman"/>
          <w:szCs w:val="24"/>
        </w:rPr>
        <w:t xml:space="preserve">, which has increased the total debt value of the company, making the </w:t>
      </w:r>
      <w:r>
        <w:rPr>
          <w:rFonts w:cs="Times New Roman"/>
          <w:b/>
          <w:bCs/>
          <w:i/>
          <w:iCs/>
          <w:szCs w:val="24"/>
        </w:rPr>
        <w:t>equity insufficient</w:t>
      </w:r>
      <w:r>
        <w:rPr>
          <w:rFonts w:cs="Times New Roman"/>
          <w:szCs w:val="24"/>
        </w:rPr>
        <w:t xml:space="preserve"> to cover the debt (Burberry, 2023).</w:t>
      </w:r>
    </w:p>
    <w:p>
      <w:pPr>
        <w:pStyle w:val="style179"/>
        <w:numPr>
          <w:ilvl w:val="0"/>
          <w:numId w:val="35"/>
        </w:numPr>
        <w:spacing w:before="240" w:after="240"/>
        <w:jc w:val="left"/>
        <w:rPr>
          <w:rFonts w:cs="Times New Roman"/>
          <w:b/>
          <w:bCs/>
          <w:szCs w:val="24"/>
        </w:rPr>
      </w:pPr>
      <w:r>
        <w:rPr>
          <w:rFonts w:cs="Times New Roman"/>
          <w:b/>
          <w:bCs/>
          <w:szCs w:val="24"/>
        </w:rPr>
        <w:t>Interest Coverage Ratio</w:t>
      </w:r>
    </w:p>
    <w:p>
      <w:pPr>
        <w:pStyle w:val="style0"/>
        <w:spacing w:before="240" w:after="240"/>
        <w:jc w:val="left"/>
        <w:rPr>
          <w:rFonts w:cs="Times New Roman"/>
          <w:szCs w:val="24"/>
        </w:rPr>
      </w:pPr>
      <w:r>
        <w:rPr>
          <w:rFonts w:cs="Times New Roman"/>
          <w:szCs w:val="24"/>
        </w:rPr>
        <w:t xml:space="preserve">The </w:t>
      </w:r>
      <w:r>
        <w:rPr>
          <w:rFonts w:cs="Times New Roman"/>
          <w:b/>
          <w:bCs/>
          <w:i/>
          <w:iCs/>
          <w:szCs w:val="24"/>
        </w:rPr>
        <w:t>Interest Coverage Ratio</w:t>
      </w:r>
      <w:r>
        <w:rPr>
          <w:rFonts w:cs="Times New Roman"/>
          <w:szCs w:val="24"/>
        </w:rPr>
        <w:t xml:space="preserve"> defines the company’s profits in consideration of the interest payments on the outstanding debt (CFI, 2024).</w:t>
      </w:r>
    </w:p>
    <w:p>
      <w:pPr>
        <w:pStyle w:val="style0"/>
        <w:spacing w:before="240" w:after="240"/>
        <w:jc w:val="left"/>
        <w:rPr>
          <w:rFonts w:cs="Times New Roman"/>
          <w:b/>
          <w:bCs/>
          <w:szCs w:val="24"/>
        </w:rPr>
      </w:pPr>
      <w:r>
        <w:rPr>
          <w:rFonts w:cs="Times New Roman"/>
          <w:b/>
          <w:bCs/>
          <w:noProof/>
          <w:szCs w:val="24"/>
        </w:rPr>
        <w:drawing>
          <wp:anchor distT="0" distB="0" distL="114300" distR="114300" simplePos="false" relativeHeight="23" behindDoc="false" locked="false" layoutInCell="true" allowOverlap="true">
            <wp:simplePos x="0" y="0"/>
            <wp:positionH relativeFrom="margin">
              <wp:align>center</wp:align>
            </wp:positionH>
            <wp:positionV relativeFrom="paragraph">
              <wp:posOffset>27305</wp:posOffset>
            </wp:positionV>
            <wp:extent cx="3016250" cy="1873884"/>
            <wp:effectExtent l="19050" t="19050" r="12700" b="12065"/>
            <wp:wrapSquare wrapText="bothSides"/>
            <wp:docPr id="1049" name="Picture 11" descr="A graph of interest coverage ratio&#10;&#10;Description automatically generate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2" name="Picture 11"/>
                    <pic:cNvPicPr/>
                  </pic:nvPicPr>
                  <pic:blipFill>
                    <a:blip r:embed="rId14" cstate="print"/>
                    <a:srcRect l="0" t="0" r="0" b="0"/>
                    <a:stretch/>
                  </pic:blipFill>
                  <pic:spPr>
                    <a:xfrm rot="0">
                      <a:off x="0" y="0"/>
                      <a:ext cx="3016250" cy="1873884"/>
                    </a:xfrm>
                    <a:prstGeom prst="rect"/>
                    <a:ln cmpd="sng" cap="flat" w="12700">
                      <a:solidFill>
                        <a:srgbClr val="000000"/>
                      </a:solidFill>
                      <a:prstDash val="solid"/>
                      <a:round/>
                      <a:headEnd/>
                      <a:tailEnd/>
                    </a:ln>
                  </pic:spPr>
                </pic:pic>
              </a:graphicData>
            </a:graphic>
            <wp14:sizeRelH relativeFrom="margin">
              <wp14:pctWidth>0</wp14:pctWidth>
            </wp14:sizeRelH>
            <wp14:sizeRelV relativeFrom="margin">
              <wp14:pctHeight>0</wp14:pctHeight>
            </wp14:sizeRelV>
          </wp:anchor>
        </w:drawing>
      </w:r>
    </w:p>
    <w:p>
      <w:pPr>
        <w:pStyle w:val="style0"/>
        <w:spacing w:before="240" w:after="240"/>
        <w:jc w:val="left"/>
        <w:rPr>
          <w:rFonts w:cs="Times New Roman"/>
          <w:b/>
          <w:bCs/>
          <w:szCs w:val="24"/>
        </w:rPr>
      </w:pPr>
    </w:p>
    <w:p>
      <w:pPr>
        <w:pStyle w:val="style0"/>
        <w:spacing w:before="240" w:after="240"/>
        <w:jc w:val="left"/>
        <w:rPr>
          <w:rFonts w:cs="Times New Roman"/>
          <w:b/>
          <w:bCs/>
          <w:szCs w:val="24"/>
        </w:rPr>
      </w:pPr>
    </w:p>
    <w:p>
      <w:pPr>
        <w:pStyle w:val="style0"/>
        <w:spacing w:before="240" w:after="240"/>
        <w:jc w:val="left"/>
        <w:rPr>
          <w:rFonts w:cs="Times New Roman"/>
          <w:b/>
          <w:bCs/>
          <w:szCs w:val="24"/>
        </w:rPr>
      </w:pPr>
    </w:p>
    <w:p>
      <w:pPr>
        <w:pStyle w:val="style0"/>
        <w:spacing w:before="240" w:after="240"/>
        <w:jc w:val="left"/>
        <w:rPr>
          <w:rFonts w:cs="Times New Roman"/>
          <w:b/>
          <w:bCs/>
          <w:szCs w:val="24"/>
        </w:rPr>
      </w:pPr>
    </w:p>
    <w:p>
      <w:pPr>
        <w:pStyle w:val="style0"/>
        <w:spacing w:before="240" w:after="240"/>
        <w:jc w:val="left"/>
        <w:rPr>
          <w:rFonts w:cs="Times New Roman"/>
          <w:b/>
          <w:bCs/>
          <w:szCs w:val="24"/>
        </w:rPr>
      </w:pPr>
      <w:r>
        <w:rPr>
          <w:rFonts w:cs="Times New Roman"/>
          <w:noProof/>
          <w:szCs w:val="24"/>
        </w:rPr>
        <mc:AlternateContent>
          <mc:Choice Requires="wps">
            <w:drawing>
              <wp:anchor distT="0" distB="0" distL="114300" distR="114300" simplePos="false" relativeHeight="24" behindDoc="false" locked="false" layoutInCell="true" allowOverlap="true">
                <wp:simplePos x="0" y="0"/>
                <wp:positionH relativeFrom="margin">
                  <wp:align>center</wp:align>
                </wp:positionH>
                <wp:positionV relativeFrom="paragraph">
                  <wp:posOffset>159092</wp:posOffset>
                </wp:positionV>
                <wp:extent cx="3663315" cy="492124"/>
                <wp:effectExtent l="0" t="0" r="0" b="3175"/>
                <wp:wrapSquare wrapText="bothSides"/>
                <wp:docPr id="1050" name="Text Box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3663315" cy="492124"/>
                        </a:xfrm>
                        <a:prstGeom prst="rect"/>
                        <a:solidFill>
                          <a:srgbClr val="ffffff"/>
                        </a:solidFill>
                        <a:ln>
                          <a:noFill/>
                        </a:ln>
                      </wps:spPr>
                      <wps:txbx id="1050">
                        <w:txbxContent>
                          <w:p>
                            <w:pPr>
                              <w:pStyle w:val="style34"/>
                              <w:spacing w:lineRule="auto" w:line="360"/>
                              <w:jc w:val="center"/>
                              <w:rPr>
                                <w:b/>
                                <w:bCs/>
                                <w:color w:val="auto"/>
                                <w:sz w:val="24"/>
                                <w:szCs w:val="32"/>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12</w:t>
                            </w:r>
                            <w:r>
                              <w:rPr>
                                <w:b/>
                                <w:bCs/>
                                <w:color w:val="auto"/>
                                <w:sz w:val="24"/>
                                <w:szCs w:val="32"/>
                              </w:rPr>
                              <w:fldChar w:fldCharType="end"/>
                            </w:r>
                            <w:r>
                              <w:rPr>
                                <w:b/>
                                <w:bCs/>
                                <w:color w:val="auto"/>
                                <w:sz w:val="24"/>
                                <w:szCs w:val="32"/>
                              </w:rPr>
                              <w:t>: Burberry's and Asos's Interest Coverage Ratio</w:t>
                            </w:r>
                            <w:r>
                              <w:rPr>
                                <w:b/>
                                <w:bCs/>
                                <w:color w:val="auto"/>
                                <w:sz w:val="24"/>
                                <w:szCs w:val="32"/>
                              </w:rPr>
                              <w:br/>
                            </w:r>
                            <w:r>
                              <w:rPr>
                                <w:b/>
                                <w:bCs/>
                                <w:color w:val="auto"/>
                                <w:sz w:val="24"/>
                                <w:szCs w:val="32"/>
                              </w:rPr>
                              <w:t>(Source: Created by Author)</w:t>
                            </w:r>
                          </w:p>
                          <w:p>
                            <w:pPr>
                              <w:pStyle w:val="style0"/>
                              <w:jc w:val="center"/>
                              <w:rPr/>
                            </w:pPr>
                          </w:p>
                        </w:txbxContent>
                      </wps:txbx>
                      <wps:bodyPr lIns="0" rIns="0" tIns="0" bIns="0" vert="horz" anchor="t" wrap="square">
                        <a:prstTxWarp prst="textNoShape"/>
                        <a:noAutofit/>
                      </wps:bodyPr>
                    </wps:wsp>
                  </a:graphicData>
                </a:graphic>
                <wp14:sizeRelH relativeFrom="margin">
                  <wp14:pctWidth>0</wp14:pctWidth>
                </wp14:sizeRelH>
                <wp14:sizeRelV relativeFrom="margin">
                  <wp14:pctHeight>0</wp14:pctHeight>
                </wp14:sizeRelV>
              </wp:anchor>
            </w:drawing>
          </mc:Choice>
          <mc:Fallback>
            <w:pict>
              <v:rect id="1050" fillcolor="white" stroked="f" style="position:absolute;margin-left:0.0pt;margin-top:12.53pt;width:288.45pt;height:38.75pt;z-index:24;mso-position-horizontal:center;mso-position-horizontal-relative:margin;mso-position-vertical-relative:text;mso-width-percent:0;mso-height-percent:0;mso-width-relative:margin;mso-height-relative:margin;visibility:visible;">
                <v:stroke on="f"/>
                <w10:wrap type="square"/>
                <v:fill/>
                <v:textbox inset="0.0pt,0.0pt,0.0pt,0.0pt">
                  <w:txbxContent>
                    <w:p>
                      <w:pPr>
                        <w:pStyle w:val="style34"/>
                        <w:spacing w:lineRule="auto" w:line="360"/>
                        <w:jc w:val="center"/>
                        <w:rPr>
                          <w:b/>
                          <w:bCs/>
                          <w:color w:val="auto"/>
                          <w:sz w:val="24"/>
                          <w:szCs w:val="32"/>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12</w:t>
                      </w:r>
                      <w:r>
                        <w:rPr>
                          <w:b/>
                          <w:bCs/>
                          <w:color w:val="auto"/>
                          <w:sz w:val="24"/>
                          <w:szCs w:val="32"/>
                        </w:rPr>
                        <w:fldChar w:fldCharType="end"/>
                      </w:r>
                      <w:r>
                        <w:rPr>
                          <w:b/>
                          <w:bCs/>
                          <w:color w:val="auto"/>
                          <w:sz w:val="24"/>
                          <w:szCs w:val="32"/>
                        </w:rPr>
                        <w:t>: Burberry's and Asos's Interest Coverage Ratio</w:t>
                      </w:r>
                      <w:r>
                        <w:rPr>
                          <w:b/>
                          <w:bCs/>
                          <w:color w:val="auto"/>
                          <w:sz w:val="24"/>
                          <w:szCs w:val="32"/>
                        </w:rPr>
                        <w:br/>
                      </w:r>
                      <w:r>
                        <w:rPr>
                          <w:b/>
                          <w:bCs/>
                          <w:color w:val="auto"/>
                          <w:sz w:val="24"/>
                          <w:szCs w:val="32"/>
                        </w:rPr>
                        <w:t>(Source: Created by Author)</w:t>
                      </w:r>
                    </w:p>
                    <w:p>
                      <w:pPr>
                        <w:pStyle w:val="style0"/>
                        <w:jc w:val="center"/>
                        <w:rPr/>
                      </w:pPr>
                    </w:p>
                  </w:txbxContent>
                </v:textbox>
              </v:rect>
            </w:pict>
          </mc:Fallback>
        </mc:AlternateContent>
      </w:r>
    </w:p>
    <w:p>
      <w:pPr>
        <w:pStyle w:val="style0"/>
        <w:spacing w:before="240" w:after="240"/>
        <w:jc w:val="left"/>
        <w:rPr>
          <w:rFonts w:cs="Times New Roman"/>
          <w:szCs w:val="24"/>
        </w:rPr>
      </w:pPr>
    </w:p>
    <w:p>
      <w:pPr>
        <w:pStyle w:val="style0"/>
        <w:spacing w:before="240" w:after="240"/>
        <w:jc w:val="left"/>
        <w:rPr>
          <w:rFonts w:cs="Times New Roman"/>
          <w:szCs w:val="24"/>
        </w:rPr>
      </w:pPr>
      <w:r>
        <w:rPr>
          <w:rFonts w:cs="Times New Roman"/>
          <w:szCs w:val="24"/>
        </w:rPr>
        <w:t>The above chart visualises the Interest Coverage Ratio of Burberry Group Plc and Asos Plc for the last five financial years.</w:t>
      </w:r>
    </w:p>
    <w:p>
      <w:pPr>
        <w:pStyle w:val="style179"/>
        <w:numPr>
          <w:ilvl w:val="0"/>
          <w:numId w:val="17"/>
        </w:numPr>
        <w:spacing w:before="240" w:after="240"/>
        <w:rPr>
          <w:rFonts w:cs="Times New Roman"/>
          <w:szCs w:val="24"/>
        </w:rPr>
      </w:pPr>
      <w:r>
        <w:rPr>
          <w:rFonts w:cs="Times New Roman"/>
          <w:szCs w:val="24"/>
        </w:rPr>
        <w:t xml:space="preserve">The Interest Coverage ratio of </w:t>
      </w:r>
      <w:r>
        <w:rPr>
          <w:rFonts w:cs="Times New Roman"/>
          <w:b/>
          <w:bCs/>
          <w:i/>
          <w:iCs/>
          <w:szCs w:val="24"/>
        </w:rPr>
        <w:t>121.444</w:t>
      </w:r>
      <w:r>
        <w:rPr>
          <w:rFonts w:cs="Times New Roman"/>
          <w:szCs w:val="24"/>
        </w:rPr>
        <w:t xml:space="preserve"> </w:t>
      </w:r>
      <w:r>
        <w:rPr>
          <w:rFonts w:cs="Times New Roman"/>
          <w:szCs w:val="24"/>
        </w:rPr>
        <w:t xml:space="preserve">of </w:t>
      </w:r>
      <w:r>
        <w:rPr>
          <w:rFonts w:cs="Times New Roman"/>
          <w:szCs w:val="24"/>
        </w:rPr>
        <w:t>Burberry</w:t>
      </w:r>
      <w:r>
        <w:rPr>
          <w:rFonts w:cs="Times New Roman"/>
          <w:szCs w:val="24"/>
        </w:rPr>
        <w:t xml:space="preserve"> Group</w:t>
      </w:r>
      <w:r>
        <w:rPr>
          <w:rFonts w:cs="Times New Roman"/>
          <w:szCs w:val="24"/>
        </w:rPr>
        <w:t xml:space="preserve"> for 2019 represents the highest, followed by an operating profit of </w:t>
      </w:r>
      <w:r>
        <w:rPr>
          <w:rFonts w:cs="Times New Roman"/>
          <w:b/>
          <w:bCs/>
          <w:i/>
          <w:iCs/>
          <w:szCs w:val="24"/>
        </w:rPr>
        <w:t>£437.2 million</w:t>
      </w:r>
      <w:r>
        <w:rPr>
          <w:rFonts w:cs="Times New Roman"/>
          <w:b/>
          <w:bCs/>
          <w:i/>
          <w:iCs/>
          <w:szCs w:val="24"/>
        </w:rPr>
        <w:t xml:space="preserve"> and a fixed interest expense of £3.6 million</w:t>
      </w:r>
      <w:r>
        <w:rPr>
          <w:rFonts w:cs="Times New Roman"/>
          <w:szCs w:val="24"/>
        </w:rPr>
        <w:t xml:space="preserve"> </w:t>
      </w:r>
      <w:r>
        <w:rPr>
          <w:rFonts w:cs="Times New Roman"/>
          <w:szCs w:val="24"/>
        </w:rPr>
        <w:t xml:space="preserve">(Burberry, 2019). Burberry’s interest expense on bank loans and overdrafts has been reduced from </w:t>
      </w:r>
      <w:r>
        <w:rPr>
          <w:rFonts w:cs="Times New Roman"/>
          <w:b/>
          <w:bCs/>
          <w:i/>
          <w:iCs/>
          <w:szCs w:val="24"/>
        </w:rPr>
        <w:t>£1.3 million to £0.6 million in the year 2019</w:t>
      </w:r>
      <w:r>
        <w:rPr>
          <w:rFonts w:cs="Times New Roman"/>
          <w:szCs w:val="24"/>
        </w:rPr>
        <w:t xml:space="preserve">, thereby decreasing the </w:t>
      </w:r>
      <w:r>
        <w:rPr>
          <w:rFonts w:cs="Times New Roman"/>
          <w:b/>
          <w:bCs/>
          <w:i/>
          <w:iCs/>
          <w:szCs w:val="24"/>
        </w:rPr>
        <w:t>finance cost</w:t>
      </w:r>
      <w:r>
        <w:rPr>
          <w:rFonts w:cs="Times New Roman"/>
          <w:szCs w:val="24"/>
        </w:rPr>
        <w:t xml:space="preserve"> of the company and increasing the overall ratio of the company (Burberry, 2019).</w:t>
      </w:r>
    </w:p>
    <w:p>
      <w:pPr>
        <w:pStyle w:val="style179"/>
        <w:numPr>
          <w:ilvl w:val="0"/>
          <w:numId w:val="17"/>
        </w:numPr>
        <w:spacing w:before="240" w:after="240"/>
        <w:rPr>
          <w:rFonts w:cs="Times New Roman"/>
          <w:szCs w:val="24"/>
        </w:rPr>
      </w:pPr>
      <w:r>
        <w:rPr>
          <w:rFonts w:cs="Times New Roman"/>
          <w:szCs w:val="24"/>
        </w:rPr>
        <w:t xml:space="preserve">For Asos Plc, the highest interest coverage ratio of </w:t>
      </w:r>
      <w:r>
        <w:rPr>
          <w:rFonts w:cs="Times New Roman"/>
          <w:b/>
          <w:bCs/>
          <w:i/>
          <w:iCs/>
          <w:szCs w:val="24"/>
        </w:rPr>
        <w:t>17.550</w:t>
      </w:r>
      <w:r>
        <w:rPr>
          <w:rFonts w:cs="Times New Roman"/>
          <w:szCs w:val="24"/>
        </w:rPr>
        <w:t xml:space="preserve"> is represented by the year 2019 while the lowest ratio of </w:t>
      </w:r>
      <w:r>
        <w:rPr>
          <w:rFonts w:cs="Times New Roman"/>
          <w:b/>
          <w:bCs/>
          <w:i/>
          <w:iCs/>
          <w:szCs w:val="24"/>
        </w:rPr>
        <w:t>0.426</w:t>
      </w:r>
      <w:r>
        <w:rPr>
          <w:rFonts w:cs="Times New Roman"/>
          <w:szCs w:val="24"/>
        </w:rPr>
        <w:t xml:space="preserve"> is recognised in the year 2022 as depicted in the above figure. In support of the </w:t>
      </w:r>
      <w:r>
        <w:rPr>
          <w:rFonts w:cs="Times New Roman"/>
          <w:b/>
          <w:bCs/>
          <w:i/>
          <w:iCs/>
          <w:szCs w:val="24"/>
        </w:rPr>
        <w:t>warehouse program</w:t>
      </w:r>
      <w:r>
        <w:rPr>
          <w:rFonts w:cs="Times New Roman"/>
          <w:szCs w:val="24"/>
        </w:rPr>
        <w:t xml:space="preserve">, the company has increased the </w:t>
      </w:r>
      <w:r>
        <w:rPr>
          <w:rFonts w:cs="Times New Roman"/>
          <w:b/>
          <w:bCs/>
          <w:i/>
          <w:iCs/>
          <w:szCs w:val="24"/>
        </w:rPr>
        <w:t>debt proportion</w:t>
      </w:r>
      <w:r>
        <w:rPr>
          <w:rFonts w:cs="Times New Roman"/>
          <w:kern w:val="0"/>
          <w:szCs w:val="24"/>
          <w14:ligatures xmlns:w14="http://schemas.microsoft.com/office/word/2010/wordml" w14:val="none"/>
        </w:rPr>
        <w:t xml:space="preserve">, which has impacted the </w:t>
      </w:r>
      <w:r>
        <w:rPr>
          <w:rFonts w:cs="Times New Roman"/>
          <w:b/>
          <w:bCs/>
          <w:i/>
          <w:iCs/>
          <w:kern w:val="0"/>
          <w:szCs w:val="24"/>
          <w14:ligatures xmlns:w14="http://schemas.microsoft.com/office/word/2010/wordml" w14:val="none"/>
        </w:rPr>
        <w:t>profit before tax</w:t>
      </w:r>
      <w:r>
        <w:rPr>
          <w:rFonts w:cs="Times New Roman"/>
          <w:kern w:val="0"/>
          <w:szCs w:val="24"/>
          <w14:ligatures xmlns:w14="http://schemas.microsoft.com/office/word/2010/wordml" w14:val="none"/>
        </w:rPr>
        <w:t xml:space="preserve"> due to an increase in the </w:t>
      </w:r>
      <w:r>
        <w:rPr>
          <w:rFonts w:cs="Times New Roman"/>
          <w:b/>
          <w:bCs/>
          <w:i/>
          <w:iCs/>
          <w:kern w:val="0"/>
          <w:szCs w:val="24"/>
          <w14:ligatures xmlns:w14="http://schemas.microsoft.com/office/word/2010/wordml" w14:val="none"/>
        </w:rPr>
        <w:t>finance cost to £2 million in </w:t>
      </w:r>
      <w:r>
        <w:rPr>
          <w:rFonts w:cs="Times New Roman"/>
          <w:b/>
          <w:bCs/>
          <w:i/>
          <w:iCs/>
          <w:szCs w:val="24"/>
        </w:rPr>
        <w:t>2019</w:t>
      </w:r>
      <w:r>
        <w:rPr>
          <w:rFonts w:cs="Times New Roman"/>
          <w:szCs w:val="24"/>
        </w:rPr>
        <w:t xml:space="preserve"> (Asos, 2019). In addition, the </w:t>
      </w:r>
      <w:r>
        <w:rPr>
          <w:rFonts w:cs="Times New Roman"/>
          <w:b/>
          <w:bCs/>
          <w:i/>
          <w:iCs/>
          <w:szCs w:val="24"/>
        </w:rPr>
        <w:t>strategic partnership with Nordstrom</w:t>
      </w:r>
      <w:r>
        <w:rPr>
          <w:rFonts w:cs="Times New Roman"/>
          <w:szCs w:val="24"/>
        </w:rPr>
        <w:t xml:space="preserve">, an American multi-channel retailer, provided a </w:t>
      </w:r>
      <w:r>
        <w:rPr>
          <w:rFonts w:cs="Times New Roman"/>
          <w:b/>
          <w:bCs/>
          <w:i/>
          <w:iCs/>
          <w:szCs w:val="24"/>
        </w:rPr>
        <w:t xml:space="preserve">loan support of £21.9 </w:t>
      </w:r>
      <w:r>
        <w:rPr>
          <w:rFonts w:cs="Times New Roman"/>
          <w:szCs w:val="24"/>
        </w:rPr>
        <w:t>as an exchange agreement</w:t>
      </w:r>
      <w:r>
        <w:rPr>
          <w:rFonts w:cs="Times New Roman"/>
          <w:b/>
          <w:bCs/>
          <w:i/>
          <w:iCs/>
          <w:szCs w:val="24"/>
        </w:rPr>
        <w:t xml:space="preserve"> at a market rate of 6.5% per annum</w:t>
      </w:r>
      <w:r>
        <w:rPr>
          <w:rFonts w:cs="Times New Roman"/>
          <w:szCs w:val="24"/>
        </w:rPr>
        <w:t>, thereby increasing the total value of the borrowings of Asos plc, indicating a decline in the ratio in 2022 due to huge finance cost (Asos, 2022).</w:t>
      </w:r>
      <w:r>
        <w:rPr>
          <w:rFonts w:cs="Times New Roman"/>
          <w:szCs w:val="24"/>
        </w:rPr>
        <w:t xml:space="preserve"> </w:t>
      </w:r>
    </w:p>
    <w:p>
      <w:pPr>
        <w:pStyle w:val="style0"/>
        <w:spacing w:before="240" w:after="240"/>
        <w:rPr>
          <w:rFonts w:cs="Times New Roman"/>
          <w:szCs w:val="24"/>
        </w:rPr>
      </w:pPr>
      <w:r>
        <w:rPr>
          <w:rFonts w:cs="Times New Roman"/>
          <w:szCs w:val="24"/>
        </w:rPr>
        <w:t xml:space="preserve">The gearing ratio of both companies reveals that the operations of </w:t>
      </w:r>
      <w:r>
        <w:rPr>
          <w:rFonts w:cs="Times New Roman"/>
          <w:b/>
          <w:bCs/>
          <w:i/>
          <w:iCs/>
          <w:szCs w:val="24"/>
        </w:rPr>
        <w:t>Burberry Group plc</w:t>
      </w:r>
      <w:r>
        <w:rPr>
          <w:rFonts w:cs="Times New Roman"/>
          <w:szCs w:val="24"/>
        </w:rPr>
        <w:t xml:space="preserve"> are funded more by debt as compared to the equity proportion.</w:t>
      </w:r>
      <w:r>
        <w:rPr>
          <w:rFonts w:cs="Times New Roman"/>
          <w:szCs w:val="24"/>
        </w:rPr>
        <w:t xml:space="preserve">  </w:t>
      </w:r>
    </w:p>
    <w:bookmarkStart w:id="9" w:name="_Toc173489801"/>
    <w:p>
      <w:pPr>
        <w:pStyle w:val="style3"/>
        <w:spacing w:before="240" w:after="240"/>
        <w:rPr>
          <w:rFonts w:cs="Times New Roman"/>
          <w:b/>
          <w:bCs/>
          <w:szCs w:val="24"/>
        </w:rPr>
      </w:pPr>
      <w:r>
        <w:rPr>
          <w:rFonts w:cs="Times New Roman"/>
          <w:szCs w:val="24"/>
        </w:rPr>
        <w:t>Recommendations</w:t>
      </w:r>
      <w:bookmarkEnd w:id="9"/>
    </w:p>
    <w:p>
      <w:pPr>
        <w:pStyle w:val="style0"/>
        <w:spacing w:before="240" w:after="240"/>
        <w:rPr>
          <w:rFonts w:cs="Times New Roman"/>
          <w:szCs w:val="24"/>
        </w:rPr>
      </w:pPr>
      <w:r>
        <w:rPr>
          <w:rFonts w:cs="Times New Roman"/>
          <w:szCs w:val="24"/>
        </w:rPr>
        <w:t>From the above financial performance analysis of Burberry Group Plc with its competitor Asos Plc, the following are the recommendations in consideration of the ratio analysis:</w:t>
      </w:r>
    </w:p>
    <w:p>
      <w:pPr>
        <w:pStyle w:val="style179"/>
        <w:numPr>
          <w:ilvl w:val="0"/>
          <w:numId w:val="20"/>
        </w:numPr>
        <w:spacing w:before="240" w:after="240"/>
        <w:rPr>
          <w:rFonts w:cs="Times New Roman"/>
          <w:szCs w:val="24"/>
        </w:rPr>
      </w:pPr>
      <w:r>
        <w:rPr>
          <w:rFonts w:cs="Times New Roman"/>
          <w:szCs w:val="24"/>
        </w:rPr>
        <w:t xml:space="preserve">In consideration of the Profitability ratios of the Burberry Group, the company can invest in </w:t>
      </w:r>
      <w:r>
        <w:rPr>
          <w:rFonts w:cs="Times New Roman"/>
          <w:b/>
          <w:bCs/>
          <w:i/>
          <w:iCs/>
          <w:szCs w:val="24"/>
        </w:rPr>
        <w:t>future</w:t>
      </w:r>
      <w:r>
        <w:rPr>
          <w:rFonts w:cs="Times New Roman"/>
          <w:b/>
          <w:bCs/>
          <w:i/>
          <w:iCs/>
          <w:szCs w:val="24"/>
        </w:rPr>
        <w:t xml:space="preserve"> </w:t>
      </w:r>
      <w:r>
        <w:rPr>
          <w:rFonts w:cs="Times New Roman"/>
          <w:b/>
          <w:bCs/>
          <w:i/>
          <w:iCs/>
          <w:szCs w:val="24"/>
        </w:rPr>
        <w:t>project</w:t>
      </w:r>
      <w:r>
        <w:rPr>
          <w:rFonts w:cs="Times New Roman"/>
          <w:b/>
          <w:bCs/>
          <w:i/>
          <w:iCs/>
          <w:szCs w:val="24"/>
        </w:rPr>
        <w:t>s related to luxury fashion</w:t>
      </w:r>
      <w:r>
        <w:rPr>
          <w:rFonts w:cs="Times New Roman"/>
          <w:b/>
          <w:bCs/>
          <w:i/>
          <w:iCs/>
          <w:szCs w:val="24"/>
        </w:rPr>
        <w:t xml:space="preserve"> expansion</w:t>
      </w:r>
      <w:r>
        <w:rPr>
          <w:rFonts w:cs="Times New Roman"/>
          <w:szCs w:val="24"/>
        </w:rPr>
        <w:t xml:space="preserve"> </w:t>
      </w:r>
      <w:r>
        <w:rPr>
          <w:rFonts w:cs="Times New Roman"/>
          <w:szCs w:val="24"/>
        </w:rPr>
        <w:t xml:space="preserve">by computing their future values which can enhance the profitability of the company and the pre-arrangements in the cost management for funding the projects. </w:t>
      </w:r>
      <w:r>
        <w:rPr>
          <w:rFonts w:cs="Times New Roman"/>
          <w:szCs w:val="24"/>
        </w:rPr>
        <w:t xml:space="preserve">In addition, it can also provide the company a cutting edge amongst its competitors in the business environment thus </w:t>
      </w:r>
      <w:r>
        <w:rPr>
          <w:rFonts w:cs="Times New Roman"/>
          <w:szCs w:val="24"/>
        </w:rPr>
        <w:t xml:space="preserve">attaining a competitive advantage. The company can </w:t>
      </w:r>
      <w:r>
        <w:rPr>
          <w:rFonts w:cs="Times New Roman"/>
          <w:b/>
          <w:bCs/>
          <w:i/>
          <w:iCs/>
          <w:szCs w:val="24"/>
        </w:rPr>
        <w:t>conduct market research</w:t>
      </w:r>
      <w:r>
        <w:rPr>
          <w:rFonts w:cs="Times New Roman"/>
          <w:szCs w:val="24"/>
        </w:rPr>
        <w:t xml:space="preserve"> as regards identifying the potential opportunities for enhancing its operational revenue and market recognition and value. It is further recommended that the company allocate the </w:t>
      </w:r>
      <w:r>
        <w:rPr>
          <w:rFonts w:cs="Times New Roman"/>
          <w:b/>
          <w:bCs/>
          <w:i/>
          <w:iCs/>
          <w:szCs w:val="24"/>
        </w:rPr>
        <w:t>investments in assets</w:t>
      </w:r>
      <w:r>
        <w:rPr>
          <w:rFonts w:cs="Times New Roman"/>
          <w:szCs w:val="24"/>
        </w:rPr>
        <w:t xml:space="preserve"> which can assist the company in </w:t>
      </w:r>
      <w:r>
        <w:rPr>
          <w:rFonts w:cs="Times New Roman"/>
          <w:b/>
          <w:bCs/>
          <w:i/>
          <w:iCs/>
          <w:szCs w:val="24"/>
        </w:rPr>
        <w:t>futureproofing the business</w:t>
      </w:r>
      <w:r>
        <w:rPr>
          <w:rFonts w:cs="Times New Roman"/>
          <w:szCs w:val="24"/>
        </w:rPr>
        <w:t xml:space="preserve"> through generating optimal returns, thus enhancing the returns on the capital employed.</w:t>
      </w:r>
    </w:p>
    <w:p>
      <w:pPr>
        <w:pStyle w:val="style179"/>
        <w:numPr>
          <w:ilvl w:val="0"/>
          <w:numId w:val="20"/>
        </w:numPr>
        <w:spacing w:before="240" w:after="240"/>
        <w:rPr>
          <w:rFonts w:cs="Times New Roman"/>
          <w:szCs w:val="24"/>
        </w:rPr>
      </w:pPr>
      <w:r>
        <w:rPr>
          <w:rFonts w:cs="Times New Roman"/>
          <w:szCs w:val="24"/>
        </w:rPr>
        <w:t>For the purpose of</w:t>
      </w:r>
      <w:r>
        <w:rPr>
          <w:rFonts w:cs="Times New Roman"/>
          <w:szCs w:val="24"/>
        </w:rPr>
        <w:t xml:space="preserve"> improving liquidity and controlling cost</w:t>
      </w:r>
      <w:r>
        <w:rPr>
          <w:rFonts w:cs="Times New Roman"/>
          <w:szCs w:val="24"/>
        </w:rPr>
        <w:t xml:space="preserve">, the </w:t>
      </w:r>
      <w:r>
        <w:rPr>
          <w:rFonts w:cs="Times New Roman"/>
          <w:szCs w:val="24"/>
        </w:rPr>
        <w:t xml:space="preserve">company is recommended to install </w:t>
      </w:r>
      <w:r>
        <w:rPr>
          <w:rFonts w:cs="Times New Roman"/>
          <w:szCs w:val="24"/>
        </w:rPr>
        <w:t xml:space="preserve">a </w:t>
      </w:r>
      <w:r>
        <w:rPr>
          <w:rFonts w:cs="Times New Roman"/>
          <w:szCs w:val="24"/>
        </w:rPr>
        <w:t xml:space="preserve">rigorous </w:t>
      </w:r>
      <w:r>
        <w:rPr>
          <w:rFonts w:cs="Times New Roman"/>
          <w:b/>
          <w:bCs/>
          <w:i/>
          <w:iCs/>
          <w:szCs w:val="24"/>
        </w:rPr>
        <w:t>cost control</w:t>
      </w:r>
      <w:r>
        <w:rPr>
          <w:rFonts w:cs="Times New Roman"/>
          <w:b/>
          <w:bCs/>
          <w:i/>
          <w:iCs/>
          <w:szCs w:val="24"/>
        </w:rPr>
        <w:t xml:space="preserve"> system</w:t>
      </w:r>
      <w:r>
        <w:rPr>
          <w:rFonts w:cs="Times New Roman"/>
          <w:b/>
          <w:bCs/>
          <w:i/>
          <w:iCs/>
          <w:szCs w:val="24"/>
        </w:rPr>
        <w:t xml:space="preserve"> based on artificial intelligence</w:t>
      </w:r>
      <w:r>
        <w:rPr>
          <w:rFonts w:cs="Times New Roman"/>
          <w:b/>
          <w:bCs/>
          <w:i/>
          <w:iCs/>
          <w:szCs w:val="24"/>
        </w:rPr>
        <w:t>,</w:t>
      </w:r>
      <w:r>
        <w:rPr>
          <w:rFonts w:cs="Times New Roman"/>
          <w:szCs w:val="24"/>
        </w:rPr>
        <w:t xml:space="preserve"> to monitor and reduce the operating costs, thereby enhancing the profitability of the company. Consistent monitoring of the overall cost </w:t>
      </w:r>
      <w:r>
        <w:rPr>
          <w:rFonts w:cs="Times New Roman"/>
          <w:szCs w:val="24"/>
        </w:rPr>
        <w:t>behaviour</w:t>
      </w:r>
      <w:r>
        <w:rPr>
          <w:rFonts w:cs="Times New Roman"/>
          <w:szCs w:val="24"/>
        </w:rPr>
        <w:t xml:space="preserve"> of the company can provide valuable insights </w:t>
      </w:r>
      <w:r>
        <w:rPr>
          <w:rFonts w:cs="Times New Roman"/>
          <w:szCs w:val="24"/>
        </w:rPr>
        <w:t>that</w:t>
      </w:r>
      <w:r>
        <w:rPr>
          <w:rFonts w:cs="Times New Roman"/>
          <w:szCs w:val="24"/>
        </w:rPr>
        <w:t xml:space="preserve"> can be used in the effective decision-making related to cost, thereby enhancing the liquidity of the company in terms of sufficient balance in the cash and cash equivalents denoted by the balance sheet. </w:t>
      </w:r>
      <w:r>
        <w:rPr>
          <w:rFonts w:cs="Times New Roman"/>
          <w:szCs w:val="24"/>
        </w:rPr>
        <w:t xml:space="preserve">It is further recommended that the company </w:t>
      </w:r>
      <w:r>
        <w:rPr>
          <w:rFonts w:cs="Times New Roman"/>
          <w:b/>
          <w:bCs/>
          <w:i/>
          <w:iCs/>
          <w:szCs w:val="24"/>
        </w:rPr>
        <w:t>liquidate those assets that are non-core to the business</w:t>
      </w:r>
      <w:r>
        <w:rPr>
          <w:rFonts w:cs="Times New Roman"/>
          <w:szCs w:val="24"/>
        </w:rPr>
        <w:t xml:space="preserve"> and do not affect the normal operations of the business, thereby enhancing the liquidity of the company.</w:t>
      </w:r>
    </w:p>
    <w:p>
      <w:pPr>
        <w:pStyle w:val="style179"/>
        <w:numPr>
          <w:ilvl w:val="0"/>
          <w:numId w:val="20"/>
        </w:numPr>
        <w:spacing w:before="240" w:after="240"/>
        <w:rPr>
          <w:rFonts w:cs="Times New Roman"/>
          <w:szCs w:val="24"/>
        </w:rPr>
      </w:pPr>
      <w:r>
        <w:rPr>
          <w:rFonts w:cs="Times New Roman"/>
          <w:szCs w:val="24"/>
        </w:rPr>
        <w:t xml:space="preserve">In terms of the efficiency ratios, it is recommended that the company maintain a </w:t>
      </w:r>
      <w:r>
        <w:rPr>
          <w:rFonts w:cs="Times New Roman"/>
          <w:b/>
          <w:bCs/>
          <w:i/>
          <w:iCs/>
          <w:szCs w:val="24"/>
        </w:rPr>
        <w:t>special dataset for the clients</w:t>
      </w:r>
      <w:r>
        <w:rPr>
          <w:rFonts w:cs="Times New Roman"/>
          <w:szCs w:val="24"/>
        </w:rPr>
        <w:t xml:space="preserve"> and classify them based on </w:t>
      </w:r>
      <w:r>
        <w:rPr>
          <w:rFonts w:cs="Times New Roman"/>
          <w:b/>
          <w:bCs/>
          <w:i/>
          <w:iCs/>
          <w:szCs w:val="24"/>
        </w:rPr>
        <w:t>creditworthiness</w:t>
      </w:r>
      <w:r>
        <w:rPr>
          <w:rFonts w:cs="Times New Roman"/>
          <w:szCs w:val="24"/>
        </w:rPr>
        <w:t xml:space="preserve">, thereby assisting the company in determining the potential clients for recovery of the payments without disrupting the other operational processes. It can also assist the company in determining the degree of relationship to be maintained with the clients for future business transactions. Furthermore, it is recommended that the company </w:t>
      </w:r>
      <w:r>
        <w:rPr>
          <w:rFonts w:cs="Times New Roman"/>
          <w:szCs w:val="24"/>
        </w:rPr>
        <w:t xml:space="preserve">incorporate </w:t>
      </w:r>
      <w:r>
        <w:rPr>
          <w:rFonts w:cs="Times New Roman"/>
          <w:b/>
          <w:bCs/>
          <w:i/>
          <w:iCs/>
          <w:szCs w:val="24"/>
        </w:rPr>
        <w:t>rule-based algorithms into the account payable management system</w:t>
      </w:r>
      <w:r>
        <w:rPr>
          <w:rFonts w:cs="Times New Roman"/>
          <w:szCs w:val="24"/>
        </w:rPr>
        <w:t xml:space="preserve"> which can assist the company in </w:t>
      </w:r>
      <w:r>
        <w:rPr>
          <w:rFonts w:cs="Times New Roman"/>
          <w:b/>
          <w:bCs/>
          <w:i/>
          <w:iCs/>
          <w:szCs w:val="24"/>
        </w:rPr>
        <w:t>determining the dues</w:t>
      </w:r>
      <w:r>
        <w:rPr>
          <w:rFonts w:cs="Times New Roman"/>
          <w:szCs w:val="24"/>
        </w:rPr>
        <w:t xml:space="preserve"> on a weekly or monthly basis, ensuring timely payments and restructuring the credibility of the company in the market.</w:t>
      </w:r>
    </w:p>
    <w:p>
      <w:pPr>
        <w:pStyle w:val="style179"/>
        <w:numPr>
          <w:ilvl w:val="0"/>
          <w:numId w:val="20"/>
        </w:numPr>
        <w:spacing w:before="240" w:after="240"/>
        <w:rPr>
          <w:rFonts w:cs="Times New Roman"/>
          <w:szCs w:val="24"/>
        </w:rPr>
      </w:pPr>
      <w:r>
        <w:rPr>
          <w:rFonts w:cs="Times New Roman"/>
          <w:szCs w:val="24"/>
        </w:rPr>
        <w:t xml:space="preserve">As regards the debt-equity and interest coverage, it is recommended that the company </w:t>
      </w:r>
      <w:r>
        <w:rPr>
          <w:rFonts w:cs="Times New Roman"/>
          <w:b/>
          <w:bCs/>
          <w:i/>
          <w:iCs/>
          <w:szCs w:val="24"/>
        </w:rPr>
        <w:t xml:space="preserve">incorporates an advanced financial management protocol </w:t>
      </w:r>
      <w:r>
        <w:rPr>
          <w:rFonts w:cs="Times New Roman"/>
          <w:szCs w:val="24"/>
        </w:rPr>
        <w:t xml:space="preserve">for systematic and optimal management of </w:t>
      </w:r>
      <w:r>
        <w:rPr>
          <w:rFonts w:cs="Times New Roman"/>
          <w:szCs w:val="24"/>
        </w:rPr>
        <w:t xml:space="preserve">the </w:t>
      </w:r>
      <w:r>
        <w:rPr>
          <w:rFonts w:cs="Times New Roman"/>
          <w:szCs w:val="24"/>
        </w:rPr>
        <w:t xml:space="preserve">finances of the company. It can assist the company in various financial decisions such as capital structure, investment decisions, dividend decisions, and cost of capital, thereby ensuring an ideal proportion of debt and equity in the company’s capital portfolio. It is further recommended that the company </w:t>
      </w:r>
      <w:r>
        <w:rPr>
          <w:rFonts w:cs="Times New Roman"/>
          <w:b/>
          <w:bCs/>
          <w:i/>
          <w:iCs/>
          <w:szCs w:val="24"/>
        </w:rPr>
        <w:t>conduct research related to diversified investment products</w:t>
      </w:r>
      <w:r>
        <w:rPr>
          <w:rFonts w:cs="Times New Roman"/>
          <w:szCs w:val="24"/>
        </w:rPr>
        <w:t xml:space="preserve"> to spread the risk associated with the company’s investment portfolio and generate economic returns in concern of th</w:t>
      </w:r>
      <w:r>
        <w:rPr>
          <w:rFonts w:cs="Times New Roman"/>
          <w:szCs w:val="24"/>
        </w:rPr>
        <w:t xml:space="preserve">e interest rates prevailing in the market. </w:t>
      </w:r>
    </w:p>
    <w:p>
      <w:pPr>
        <w:pStyle w:val="style1"/>
        <w:rPr/>
      </w:pPr>
      <w:r>
        <w:br w:type="page"/>
      </w:r>
      <w:bookmarkStart w:id="10" w:name="_Toc173489802"/>
      <w:r>
        <w:t>Investment Appraisal</w:t>
      </w:r>
      <w:bookmarkEnd w:id="10"/>
    </w:p>
    <w:bookmarkStart w:id="11" w:name="_Toc173489803"/>
    <w:p>
      <w:pPr>
        <w:pStyle w:val="style2"/>
        <w:spacing w:before="240" w:after="240"/>
        <w:rPr>
          <w:rFonts w:cs="Times New Roman"/>
          <w:szCs w:val="24"/>
        </w:rPr>
      </w:pPr>
      <w:r>
        <w:rPr>
          <w:rFonts w:cs="Times New Roman"/>
          <w:szCs w:val="24"/>
        </w:rPr>
        <w:t>Evaluation of the projects using investment appraisal techniques</w:t>
      </w:r>
      <w:bookmarkEnd w:id="11"/>
    </w:p>
    <w:p>
      <w:pPr>
        <w:pStyle w:val="style0"/>
        <w:spacing w:before="240" w:after="240"/>
        <w:rPr>
          <w:rFonts w:cs="Times New Roman"/>
          <w:szCs w:val="24"/>
        </w:rPr>
      </w:pPr>
      <w:r>
        <w:rPr>
          <w:rFonts w:cs="Times New Roman"/>
          <w:noProof/>
          <w:szCs w:val="24"/>
        </w:rPr>
        <w:drawing>
          <wp:anchor distT="0" distB="0" distL="114300" distR="114300" simplePos="false" relativeHeight="27" behindDoc="false" locked="false" layoutInCell="true" allowOverlap="true">
            <wp:simplePos x="0" y="0"/>
            <wp:positionH relativeFrom="margin">
              <wp:align>center</wp:align>
            </wp:positionH>
            <wp:positionV relativeFrom="paragraph">
              <wp:posOffset>114984</wp:posOffset>
            </wp:positionV>
            <wp:extent cx="2148446" cy="1666142"/>
            <wp:effectExtent l="0" t="0" r="4445" b="0"/>
            <wp:wrapSquare wrapText="bothSides"/>
            <wp:docPr id="1051" name="Picture 13" descr="A yellow and black table with numbers and a number&#10;&#10;Description automatically generated with medium confidence"/>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5" cstate="print"/>
                    <a:srcRect l="0" t="0" r="0" b="0"/>
                    <a:stretch/>
                  </pic:blipFill>
                  <pic:spPr>
                    <a:xfrm rot="0">
                      <a:off x="0" y="0"/>
                      <a:ext cx="2148446" cy="1666142"/>
                    </a:xfrm>
                    <a:prstGeom prst="rect"/>
                  </pic:spPr>
                </pic:pic>
              </a:graphicData>
            </a:graphic>
            <wp14:sizeRelH relativeFrom="margin">
              <wp14:pctWidth>0</wp14:pctWidth>
            </wp14:sizeRelH>
            <wp14:sizeRelV relativeFrom="margin">
              <wp14:pctHeight>0</wp14:pctHeight>
            </wp14:sizeRelV>
          </wp:anchor>
        </w:drawing>
      </w:r>
    </w:p>
    <w:p>
      <w:pPr>
        <w:pStyle w:val="style0"/>
        <w:spacing w:before="240" w:after="240"/>
        <w:rPr>
          <w:rFonts w:cs="Times New Roman"/>
          <w:szCs w:val="24"/>
        </w:rPr>
      </w:pPr>
    </w:p>
    <w:p>
      <w:pPr>
        <w:pStyle w:val="style0"/>
        <w:spacing w:before="240" w:after="240"/>
        <w:rPr>
          <w:rFonts w:cs="Times New Roman"/>
          <w:szCs w:val="24"/>
        </w:rPr>
      </w:pPr>
    </w:p>
    <w:p>
      <w:pPr>
        <w:pStyle w:val="style0"/>
        <w:spacing w:before="240" w:after="240"/>
        <w:rPr>
          <w:rFonts w:cs="Times New Roman"/>
          <w:szCs w:val="24"/>
        </w:rPr>
      </w:pPr>
    </w:p>
    <w:p>
      <w:pPr>
        <w:pStyle w:val="style0"/>
        <w:spacing w:before="240" w:after="240"/>
        <w:rPr>
          <w:rFonts w:cs="Times New Roman"/>
          <w:szCs w:val="24"/>
        </w:rPr>
      </w:pPr>
    </w:p>
    <w:p>
      <w:pPr>
        <w:pStyle w:val="style0"/>
        <w:spacing w:before="240" w:after="240"/>
        <w:rPr>
          <w:rFonts w:cs="Times New Roman"/>
          <w:szCs w:val="24"/>
        </w:rPr>
      </w:pPr>
      <w:r>
        <w:rPr>
          <w:rFonts w:cs="Times New Roman"/>
          <w:noProof/>
          <w:szCs w:val="24"/>
        </w:rPr>
        <mc:AlternateContent>
          <mc:Choice Requires="wps">
            <w:drawing>
              <wp:anchor distT="0" distB="0" distL="114300" distR="114300" simplePos="false" relativeHeight="28" behindDoc="false" locked="false" layoutInCell="true" allowOverlap="true">
                <wp:simplePos x="0" y="0"/>
                <wp:positionH relativeFrom="margin">
                  <wp:align>center</wp:align>
                </wp:positionH>
                <wp:positionV relativeFrom="paragraph">
                  <wp:posOffset>62718</wp:posOffset>
                </wp:positionV>
                <wp:extent cx="3656964" cy="474345"/>
                <wp:effectExtent l="0" t="0" r="635" b="1905"/>
                <wp:wrapSquare wrapText="bothSides"/>
                <wp:docPr id="1052" name="Text Box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3656964" cy="474345"/>
                        </a:xfrm>
                        <a:prstGeom prst="rect"/>
                        <a:solidFill>
                          <a:srgbClr val="ffffff"/>
                        </a:solidFill>
                        <a:ln>
                          <a:noFill/>
                        </a:ln>
                      </wps:spPr>
                      <wps:txbx id="1052">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13</w:t>
                            </w:r>
                            <w:r>
                              <w:rPr>
                                <w:b/>
                                <w:bCs/>
                                <w:color w:val="auto"/>
                                <w:sz w:val="24"/>
                                <w:szCs w:val="32"/>
                              </w:rPr>
                              <w:fldChar w:fldCharType="end"/>
                            </w:r>
                            <w:r>
                              <w:rPr>
                                <w:b/>
                                <w:bCs/>
                                <w:color w:val="auto"/>
                                <w:sz w:val="24"/>
                                <w:szCs w:val="32"/>
                              </w:rPr>
                              <w:t>: Projected Cash Flows of Project A and B</w:t>
                            </w:r>
                            <w:r>
                              <w:rPr>
                                <w:b/>
                                <w:bCs/>
                                <w:color w:val="auto"/>
                                <w:sz w:val="24"/>
                                <w:szCs w:val="32"/>
                              </w:rPr>
                              <w:br/>
                            </w:r>
                            <w:r>
                              <w:rPr>
                                <w:b/>
                                <w:bCs/>
                                <w:color w:val="auto"/>
                                <w:sz w:val="24"/>
                                <w:szCs w:val="32"/>
                              </w:rPr>
                              <w:t>(Source: Created by Author)</w:t>
                            </w:r>
                          </w:p>
                        </w:txbxContent>
                      </wps:txbx>
                      <wps:bodyPr lIns="0" rIns="0" tIns="0" bIns="0" vert="horz" anchor="t" wrap="square">
                        <a:prstTxWarp prst="textNoShape"/>
                        <a:noAutofit/>
                      </wps:bodyPr>
                    </wps:wsp>
                  </a:graphicData>
                </a:graphic>
                <wp14:sizeRelH relativeFrom="margin">
                  <wp14:pctWidth>0</wp14:pctWidth>
                </wp14:sizeRelH>
                <wp14:sizeRelV relativeFrom="margin">
                  <wp14:pctHeight>0</wp14:pctHeight>
                </wp14:sizeRelV>
              </wp:anchor>
            </w:drawing>
          </mc:Choice>
          <mc:Fallback>
            <w:pict>
              <v:rect id="1052" fillcolor="white" stroked="f" style="position:absolute;margin-left:0.0pt;margin-top:4.94pt;width:287.95pt;height:37.35pt;z-index:28;mso-position-horizontal:center;mso-position-horizontal-relative:margin;mso-position-vertical-relative:text;mso-width-percent:0;mso-height-percent:0;mso-width-relative:margin;mso-height-relative:margin;visibility:visible;">
                <v:stroke on="f"/>
                <w10:wrap type="square"/>
                <v:fill/>
                <v:textbox inset="0.0pt,0.0pt,0.0pt,0.0pt">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13</w:t>
                      </w:r>
                      <w:r>
                        <w:rPr>
                          <w:b/>
                          <w:bCs/>
                          <w:color w:val="auto"/>
                          <w:sz w:val="24"/>
                          <w:szCs w:val="32"/>
                        </w:rPr>
                        <w:fldChar w:fldCharType="end"/>
                      </w:r>
                      <w:r>
                        <w:rPr>
                          <w:b/>
                          <w:bCs/>
                          <w:color w:val="auto"/>
                          <w:sz w:val="24"/>
                          <w:szCs w:val="32"/>
                        </w:rPr>
                        <w:t>: Projected Cash Flows of Project A and B</w:t>
                      </w:r>
                      <w:r>
                        <w:rPr>
                          <w:b/>
                          <w:bCs/>
                          <w:color w:val="auto"/>
                          <w:sz w:val="24"/>
                          <w:szCs w:val="32"/>
                        </w:rPr>
                        <w:br/>
                      </w:r>
                      <w:r>
                        <w:rPr>
                          <w:b/>
                          <w:bCs/>
                          <w:color w:val="auto"/>
                          <w:sz w:val="24"/>
                          <w:szCs w:val="32"/>
                        </w:rPr>
                        <w:t>(Source: Created by Author)</w:t>
                      </w:r>
                    </w:p>
                  </w:txbxContent>
                </v:textbox>
              </v:rect>
            </w:pict>
          </mc:Fallback>
        </mc:AlternateContent>
      </w:r>
    </w:p>
    <w:p>
      <w:pPr>
        <w:pStyle w:val="style0"/>
        <w:spacing w:before="240" w:after="240"/>
        <w:rPr>
          <w:rFonts w:cs="Times New Roman"/>
          <w:szCs w:val="24"/>
        </w:rPr>
      </w:pPr>
    </w:p>
    <w:p>
      <w:pPr>
        <w:pStyle w:val="style0"/>
        <w:spacing w:before="240" w:after="240"/>
        <w:rPr>
          <w:rFonts w:cs="Times New Roman"/>
          <w:szCs w:val="24"/>
        </w:rPr>
      </w:pPr>
      <w:r>
        <w:rPr>
          <w:rFonts w:cs="Times New Roman"/>
          <w:szCs w:val="24"/>
        </w:rPr>
        <w:t>The above figure represents the projected cash flows from Project A and Project B for the last four years based on the research of Burberry Group Plc. Following are the investment appraisal techniques to evaluate the optimal project with the required calculations:</w:t>
      </w:r>
    </w:p>
    <w:bookmarkStart w:id="12" w:name="_Toc173489804"/>
    <w:p>
      <w:pPr>
        <w:pStyle w:val="style3"/>
        <w:spacing w:before="240" w:after="240"/>
        <w:rPr>
          <w:rFonts w:cs="Times New Roman"/>
          <w:szCs w:val="24"/>
        </w:rPr>
      </w:pPr>
      <w:r>
        <w:rPr>
          <w:rFonts w:cs="Times New Roman"/>
          <w:szCs w:val="24"/>
        </w:rPr>
        <w:t>Payback Period (PBP)</w:t>
      </w:r>
      <w:bookmarkEnd w:id="12"/>
    </w:p>
    <w:p>
      <w:pPr>
        <w:pStyle w:val="style0"/>
        <w:spacing w:before="240" w:after="240"/>
        <w:rPr>
          <w:rFonts w:cs="Times New Roman"/>
          <w:szCs w:val="24"/>
        </w:rPr>
      </w:pPr>
      <w:r>
        <w:rPr>
          <w:rFonts w:cs="Times New Roman"/>
          <w:noProof/>
          <w:szCs w:val="24"/>
        </w:rPr>
        <mc:AlternateContent>
          <mc:Choice Requires="wps">
            <w:drawing>
              <wp:anchor distT="0" distB="0" distL="114300" distR="114300" simplePos="false" relativeHeight="30" behindDoc="false" locked="false" layoutInCell="true" allowOverlap="true">
                <wp:simplePos x="0" y="0"/>
                <wp:positionH relativeFrom="margin">
                  <wp:align>center</wp:align>
                </wp:positionH>
                <wp:positionV relativeFrom="paragraph">
                  <wp:posOffset>2202180</wp:posOffset>
                </wp:positionV>
                <wp:extent cx="6285230" cy="487679"/>
                <wp:effectExtent l="0" t="0" r="1270" b="7620"/>
                <wp:wrapSquare wrapText="bothSides"/>
                <wp:docPr id="1053" name="Text Box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6285230" cy="487679"/>
                        </a:xfrm>
                        <a:prstGeom prst="rect"/>
                        <a:solidFill>
                          <a:srgbClr val="ffffff"/>
                        </a:solidFill>
                        <a:ln>
                          <a:noFill/>
                        </a:ln>
                      </wps:spPr>
                      <wps:txbx id="1053">
                        <w:txbxContent>
                          <w:p>
                            <w:pPr>
                              <w:pStyle w:val="style34"/>
                              <w:spacing w:lineRule="auto" w:line="360"/>
                              <w:jc w:val="center"/>
                              <w:rPr>
                                <w:b/>
                                <w:bCs/>
                                <w:noProof/>
                                <w:color w:val="auto"/>
                                <w:sz w:val="36"/>
                                <w:szCs w:val="44"/>
                                <w:u w:val="single"/>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14</w:t>
                            </w:r>
                            <w:r>
                              <w:rPr>
                                <w:b/>
                                <w:bCs/>
                                <w:color w:val="auto"/>
                                <w:sz w:val="24"/>
                                <w:szCs w:val="32"/>
                              </w:rPr>
                              <w:fldChar w:fldCharType="end"/>
                            </w:r>
                            <w:r>
                              <w:rPr>
                                <w:b/>
                                <w:bCs/>
                                <w:color w:val="auto"/>
                                <w:sz w:val="24"/>
                                <w:szCs w:val="32"/>
                              </w:rPr>
                              <w:t>: Computing Payback Period</w:t>
                            </w:r>
                            <w:r>
                              <w:rPr>
                                <w:b/>
                                <w:bCs/>
                                <w:color w:val="auto"/>
                                <w:sz w:val="24"/>
                                <w:szCs w:val="32"/>
                              </w:rPr>
                              <w:br/>
                            </w:r>
                            <w:r>
                              <w:rPr>
                                <w:b/>
                                <w:bCs/>
                                <w:color w:val="auto"/>
                                <w:sz w:val="24"/>
                                <w:szCs w:val="32"/>
                              </w:rPr>
                              <w:t>(Source: Created by Author)</w:t>
                            </w:r>
                          </w:p>
                        </w:txbxContent>
                      </wps:txbx>
                      <wps:bodyPr lIns="0" rIns="0" tIns="0" bIns="0" vert="horz" anchor="t" wrap="square">
                        <a:prstTxWarp prst="textNoShape"/>
                        <a:noAutofit/>
                      </wps:bodyPr>
                    </wps:wsp>
                  </a:graphicData>
                </a:graphic>
                <wp14:sizeRelV relativeFrom="margin">
                  <wp14:pctHeight>0</wp14:pctHeight>
                </wp14:sizeRelV>
              </wp:anchor>
            </w:drawing>
          </mc:Choice>
          <mc:Fallback>
            <w:pict>
              <v:rect id="1053" fillcolor="white" stroked="f" style="position:absolute;margin-left:0.0pt;margin-top:173.4pt;width:494.9pt;height:38.4pt;z-index:30;mso-position-horizontal:center;mso-position-horizontal-relative:margin;mso-position-vertical-relative:text;mso-height-percent:0;mso-width-relative:page;mso-height-relative:margin;visibility:visible;">
                <v:stroke on="f"/>
                <w10:wrap type="square"/>
                <v:fill/>
                <v:textbox inset="0.0pt,0.0pt,0.0pt,0.0pt">
                  <w:txbxContent>
                    <w:p>
                      <w:pPr>
                        <w:pStyle w:val="style34"/>
                        <w:spacing w:lineRule="auto" w:line="360"/>
                        <w:jc w:val="center"/>
                        <w:rPr>
                          <w:b/>
                          <w:bCs/>
                          <w:noProof/>
                          <w:color w:val="auto"/>
                          <w:sz w:val="36"/>
                          <w:szCs w:val="44"/>
                          <w:u w:val="single"/>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14</w:t>
                      </w:r>
                      <w:r>
                        <w:rPr>
                          <w:b/>
                          <w:bCs/>
                          <w:color w:val="auto"/>
                          <w:sz w:val="24"/>
                          <w:szCs w:val="32"/>
                        </w:rPr>
                        <w:fldChar w:fldCharType="end"/>
                      </w:r>
                      <w:r>
                        <w:rPr>
                          <w:b/>
                          <w:bCs/>
                          <w:color w:val="auto"/>
                          <w:sz w:val="24"/>
                          <w:szCs w:val="32"/>
                        </w:rPr>
                        <w:t>: Computing Payback Period</w:t>
                      </w:r>
                      <w:r>
                        <w:rPr>
                          <w:b/>
                          <w:bCs/>
                          <w:color w:val="auto"/>
                          <w:sz w:val="24"/>
                          <w:szCs w:val="32"/>
                        </w:rPr>
                        <w:br/>
                      </w:r>
                      <w:r>
                        <w:rPr>
                          <w:b/>
                          <w:bCs/>
                          <w:color w:val="auto"/>
                          <w:sz w:val="24"/>
                          <w:szCs w:val="32"/>
                        </w:rPr>
                        <w:t>(Source: Created by Author)</w:t>
                      </w:r>
                    </w:p>
                  </w:txbxContent>
                </v:textbox>
              </v:rect>
            </w:pict>
          </mc:Fallback>
        </mc:AlternateContent>
      </w:r>
      <w:r>
        <w:rPr>
          <w:rFonts w:cs="Times New Roman"/>
          <w:noProof/>
          <w:szCs w:val="24"/>
        </w:rPr>
        <w:drawing>
          <wp:anchor distT="0" distB="0" distL="114300" distR="114300" simplePos="false" relativeHeight="29" behindDoc="false" locked="false" layoutInCell="true" allowOverlap="true">
            <wp:simplePos x="0" y="0"/>
            <wp:positionH relativeFrom="margin">
              <wp:align>center</wp:align>
            </wp:positionH>
            <wp:positionV relativeFrom="paragraph">
              <wp:posOffset>581660</wp:posOffset>
            </wp:positionV>
            <wp:extent cx="6285230" cy="1559560"/>
            <wp:effectExtent l="0" t="0" r="1270" b="2540"/>
            <wp:wrapSquare wrapText="bothSides"/>
            <wp:docPr id="1054" name="Picture 14" descr="A screenshot of a computer screen&#10;&#10;Description automatically generate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6" cstate="print"/>
                    <a:srcRect l="0" t="0" r="0" b="0"/>
                    <a:stretch/>
                  </pic:blipFill>
                  <pic:spPr>
                    <a:xfrm rot="0">
                      <a:off x="0" y="0"/>
                      <a:ext cx="6285230" cy="1559560"/>
                    </a:xfrm>
                    <a:prstGeom prst="rect"/>
                  </pic:spPr>
                </pic:pic>
              </a:graphicData>
            </a:graphic>
            <wp14:sizeRelH relativeFrom="margin">
              <wp14:pctWidth>0</wp14:pctWidth>
            </wp14:sizeRelH>
            <wp14:sizeRelV relativeFrom="margin">
              <wp14:pctHeight>0</wp14:pctHeight>
            </wp14:sizeRelV>
          </wp:anchor>
        </w:drawing>
      </w:r>
      <w:r>
        <w:rPr>
          <w:rFonts w:cs="Times New Roman"/>
          <w:szCs w:val="24"/>
        </w:rPr>
        <w:t xml:space="preserve">The </w:t>
      </w:r>
      <w:r>
        <w:rPr>
          <w:rFonts w:cs="Times New Roman"/>
          <w:b/>
          <w:bCs/>
          <w:i/>
          <w:iCs/>
          <w:szCs w:val="24"/>
        </w:rPr>
        <w:t xml:space="preserve">Payback Period </w:t>
      </w:r>
      <w:r>
        <w:rPr>
          <w:rFonts w:cs="Times New Roman"/>
          <w:szCs w:val="24"/>
        </w:rPr>
        <w:t xml:space="preserve">is the </w:t>
      </w:r>
      <w:r>
        <w:rPr>
          <w:rFonts w:cs="Times New Roman"/>
          <w:szCs w:val="24"/>
        </w:rPr>
        <w:t xml:space="preserve">investment </w:t>
      </w:r>
      <w:r>
        <w:rPr>
          <w:rFonts w:cs="Times New Roman"/>
          <w:szCs w:val="24"/>
        </w:rPr>
        <w:t xml:space="preserve">technique </w:t>
      </w:r>
      <w:r>
        <w:rPr>
          <w:rFonts w:cs="Times New Roman"/>
          <w:szCs w:val="24"/>
        </w:rPr>
        <w:t>that</w:t>
      </w:r>
      <w:r>
        <w:rPr>
          <w:rFonts w:cs="Times New Roman"/>
          <w:szCs w:val="24"/>
        </w:rPr>
        <w:t xml:space="preserve"> determines the amount of time required to cover the cost of investment</w:t>
      </w:r>
      <w:r>
        <w:rPr>
          <w:rFonts w:cs="Times New Roman"/>
          <w:szCs w:val="24"/>
        </w:rPr>
        <w:t xml:space="preserve"> made at the initial level</w:t>
      </w:r>
      <w:r>
        <w:rPr>
          <w:rFonts w:cs="Times New Roman"/>
          <w:szCs w:val="24"/>
        </w:rPr>
        <w:t xml:space="preserve"> (</w:t>
      </w:r>
      <w:r>
        <w:rPr>
          <w:rFonts w:cs="Times New Roman"/>
          <w:szCs w:val="24"/>
        </w:rPr>
        <w:t xml:space="preserve">Dai, et al., 2022). </w:t>
      </w:r>
    </w:p>
    <w:p>
      <w:pPr>
        <w:pStyle w:val="style0"/>
        <w:spacing w:before="240" w:after="240"/>
        <w:rPr>
          <w:rFonts w:cs="Times New Roman"/>
          <w:szCs w:val="24"/>
        </w:rPr>
      </w:pPr>
    </w:p>
    <w:p>
      <w:pPr>
        <w:pStyle w:val="style0"/>
        <w:spacing w:before="240" w:after="240"/>
        <w:rPr>
          <w:rFonts w:cs="Times New Roman"/>
          <w:szCs w:val="24"/>
        </w:rPr>
      </w:pPr>
      <w:r>
        <w:rPr>
          <w:rFonts w:cs="Times New Roman"/>
          <w:szCs w:val="24"/>
        </w:rPr>
        <w:t xml:space="preserve">In consideration of the projects of the company, the payback period is used in computing the time that each project can take to recover its investment cost incurred at the beginning of the year or the zero year as depicted in the above figure. </w:t>
      </w:r>
    </w:p>
    <w:p>
      <w:pPr>
        <w:pStyle w:val="style179"/>
        <w:numPr>
          <w:ilvl w:val="0"/>
          <w:numId w:val="22"/>
        </w:numPr>
        <w:spacing w:before="240" w:after="240"/>
        <w:rPr>
          <w:rFonts w:cs="Times New Roman"/>
          <w:szCs w:val="24"/>
        </w:rPr>
      </w:pPr>
      <w:r>
        <w:rPr>
          <w:rFonts w:cs="Times New Roman"/>
          <w:szCs w:val="24"/>
        </w:rPr>
        <w:t xml:space="preserve">The </w:t>
      </w:r>
      <w:r>
        <w:rPr>
          <w:rFonts w:cs="Times New Roman"/>
          <w:b/>
          <w:bCs/>
          <w:i/>
          <w:iCs/>
          <w:szCs w:val="24"/>
        </w:rPr>
        <w:t>payback period of Project A</w:t>
      </w:r>
      <w:r>
        <w:rPr>
          <w:rFonts w:cs="Times New Roman"/>
          <w:szCs w:val="24"/>
        </w:rPr>
        <w:t xml:space="preserve"> is </w:t>
      </w:r>
      <w:r>
        <w:rPr>
          <w:rFonts w:cs="Times New Roman"/>
          <w:b/>
          <w:bCs/>
          <w:i/>
          <w:iCs/>
          <w:szCs w:val="24"/>
        </w:rPr>
        <w:t>3.182 years</w:t>
      </w:r>
      <w:r>
        <w:rPr>
          <w:rFonts w:cs="Times New Roman"/>
          <w:szCs w:val="24"/>
        </w:rPr>
        <w:t xml:space="preserve"> which reveals that the initial investment cost of £80 million can be recovered in 3.182 years, considering the cumulative cash flows. Whereas an initial investment cost of £75 million in </w:t>
      </w:r>
      <w:r>
        <w:rPr>
          <w:rFonts w:cs="Times New Roman"/>
          <w:b/>
          <w:bCs/>
          <w:i/>
          <w:iCs/>
          <w:szCs w:val="24"/>
        </w:rPr>
        <w:t>Project B</w:t>
      </w:r>
      <w:r>
        <w:rPr>
          <w:rFonts w:cs="Times New Roman"/>
          <w:szCs w:val="24"/>
        </w:rPr>
        <w:t xml:space="preserve"> can be recovered in </w:t>
      </w:r>
      <w:r>
        <w:rPr>
          <w:rFonts w:cs="Times New Roman"/>
          <w:b/>
          <w:bCs/>
          <w:i/>
          <w:iCs/>
          <w:szCs w:val="24"/>
        </w:rPr>
        <w:t>2.25 years</w:t>
      </w:r>
      <w:r>
        <w:rPr>
          <w:rFonts w:cs="Times New Roman"/>
          <w:szCs w:val="24"/>
        </w:rPr>
        <w:t xml:space="preserve"> as depicted in the above calculations of the figure.  </w:t>
      </w:r>
    </w:p>
    <w:p>
      <w:pPr>
        <w:pStyle w:val="style179"/>
        <w:numPr>
          <w:ilvl w:val="0"/>
          <w:numId w:val="22"/>
        </w:numPr>
        <w:spacing w:before="240" w:after="240"/>
        <w:rPr>
          <w:rFonts w:cs="Times New Roman"/>
          <w:szCs w:val="24"/>
        </w:rPr>
      </w:pPr>
      <w:r>
        <w:rPr>
          <w:rFonts w:cs="Times New Roman"/>
          <w:szCs w:val="24"/>
        </w:rPr>
        <w:t xml:space="preserve">Comparison of both projects based on </w:t>
      </w:r>
      <w:r>
        <w:rPr>
          <w:rFonts w:cs="Times New Roman"/>
          <w:szCs w:val="24"/>
        </w:rPr>
        <w:t xml:space="preserve">the </w:t>
      </w:r>
      <w:r>
        <w:rPr>
          <w:rFonts w:cs="Times New Roman"/>
          <w:szCs w:val="24"/>
        </w:rPr>
        <w:t>Payback Period</w:t>
      </w:r>
      <w:r>
        <w:rPr>
          <w:rFonts w:cs="Times New Roman"/>
          <w:szCs w:val="24"/>
        </w:rPr>
        <w:t xml:space="preserve"> reveals that the </w:t>
      </w:r>
      <w:r>
        <w:rPr>
          <w:rFonts w:cs="Times New Roman"/>
          <w:b/>
          <w:bCs/>
          <w:i/>
          <w:iCs/>
          <w:szCs w:val="24"/>
        </w:rPr>
        <w:t xml:space="preserve">company can adopt Project B </w:t>
      </w:r>
      <w:r>
        <w:rPr>
          <w:rFonts w:cs="Times New Roman"/>
          <w:szCs w:val="24"/>
        </w:rPr>
        <w:t xml:space="preserve">which has a payback period of 2.25 years. It is because the shorter the payback period, the faster the velocity of the investment cost recovery, thereby </w:t>
      </w:r>
      <w:r>
        <w:rPr>
          <w:rFonts w:cs="Times New Roman"/>
          <w:b/>
          <w:bCs/>
          <w:i/>
          <w:iCs/>
          <w:szCs w:val="24"/>
        </w:rPr>
        <w:t>faster the generation of the profits</w:t>
      </w:r>
      <w:r>
        <w:rPr>
          <w:rFonts w:cs="Times New Roman"/>
          <w:szCs w:val="24"/>
        </w:rPr>
        <w:t xml:space="preserve"> from the project. Relative to Project</w:t>
      </w:r>
      <w:r>
        <w:rPr>
          <w:rFonts w:cs="Times New Roman"/>
          <w:szCs w:val="24"/>
        </w:rPr>
        <w:t xml:space="preserve"> A</w:t>
      </w:r>
      <w:r>
        <w:rPr>
          <w:rFonts w:cs="Times New Roman"/>
          <w:szCs w:val="24"/>
        </w:rPr>
        <w:t>, the payback period of the project</w:t>
      </w:r>
      <w:r>
        <w:rPr>
          <w:rFonts w:cs="Times New Roman"/>
          <w:szCs w:val="24"/>
        </w:rPr>
        <w:t xml:space="preserve"> </w:t>
      </w:r>
      <w:r>
        <w:rPr>
          <w:rFonts w:cs="Times New Roman"/>
          <w:szCs w:val="24"/>
        </w:rPr>
        <w:t xml:space="preserve">is higher than that of Project B, implying a longer duration of time to recover the investment cost and the generation of profits. </w:t>
      </w:r>
      <w:r>
        <w:rPr>
          <w:rFonts w:cs="Times New Roman"/>
          <w:szCs w:val="24"/>
        </w:rPr>
        <w:t>The longer duration of the payback period</w:t>
      </w:r>
      <w:r>
        <w:rPr>
          <w:rFonts w:cs="Times New Roman"/>
          <w:szCs w:val="24"/>
        </w:rPr>
        <w:t xml:space="preserve"> can attract</w:t>
      </w:r>
      <w:r>
        <w:rPr>
          <w:rFonts w:cs="Times New Roman"/>
          <w:szCs w:val="24"/>
        </w:rPr>
        <w:t xml:space="preserve"> certain </w:t>
      </w:r>
      <w:r>
        <w:rPr>
          <w:rFonts w:cs="Times New Roman"/>
          <w:szCs w:val="24"/>
        </w:rPr>
        <w:t>risks</w:t>
      </w:r>
      <w:r>
        <w:rPr>
          <w:rFonts w:cs="Times New Roman"/>
          <w:szCs w:val="24"/>
        </w:rPr>
        <w:t xml:space="preserve"> </w:t>
      </w:r>
      <w:r>
        <w:rPr>
          <w:rFonts w:cs="Times New Roman"/>
          <w:szCs w:val="24"/>
        </w:rPr>
        <w:t>and uncertainties</w:t>
      </w:r>
      <w:r>
        <w:rPr>
          <w:rFonts w:cs="Times New Roman"/>
          <w:szCs w:val="24"/>
        </w:rPr>
        <w:t xml:space="preserve"> associated with the operational revenue, thereby impacting the profits of the company and even making the earnings negative.</w:t>
      </w:r>
    </w:p>
    <w:p>
      <w:pPr>
        <w:pStyle w:val="style179"/>
        <w:numPr>
          <w:ilvl w:val="0"/>
          <w:numId w:val="22"/>
        </w:numPr>
        <w:spacing w:before="240" w:after="240"/>
        <w:rPr>
          <w:rFonts w:cs="Times New Roman"/>
          <w:szCs w:val="24"/>
        </w:rPr>
      </w:pPr>
      <w:r>
        <w:rPr>
          <w:rFonts w:cs="Times New Roman"/>
          <w:szCs w:val="24"/>
        </w:rPr>
        <w:t xml:space="preserve">However, based on the </w:t>
      </w:r>
      <w:r>
        <w:rPr>
          <w:rFonts w:cs="Times New Roman"/>
          <w:b/>
          <w:bCs/>
          <w:i/>
          <w:iCs/>
          <w:szCs w:val="24"/>
        </w:rPr>
        <w:t>investment amount</w:t>
      </w:r>
      <w:r>
        <w:rPr>
          <w:rFonts w:cs="Times New Roman"/>
          <w:szCs w:val="24"/>
        </w:rPr>
        <w:t xml:space="preserve">, </w:t>
      </w:r>
      <w:r>
        <w:rPr>
          <w:rFonts w:cs="Times New Roman"/>
          <w:b/>
          <w:bCs/>
          <w:i/>
          <w:iCs/>
          <w:szCs w:val="24"/>
        </w:rPr>
        <w:t>Project A</w:t>
      </w:r>
      <w:r>
        <w:rPr>
          <w:rFonts w:cs="Times New Roman"/>
          <w:szCs w:val="24"/>
        </w:rPr>
        <w:t xml:space="preserve"> can be viable for the company to invest in, irrespective of the payback period, as there is not much difference in the period of both the projects and the projected cash flow in the fourth year </w:t>
      </w:r>
      <w:r>
        <w:rPr>
          <w:rFonts w:cs="Times New Roman"/>
          <w:b/>
          <w:bCs/>
          <w:i/>
          <w:iCs/>
          <w:szCs w:val="24"/>
        </w:rPr>
        <w:t>is £45 million as compared to the £35 million of Project B</w:t>
      </w:r>
      <w:r>
        <w:rPr>
          <w:rFonts w:cs="Times New Roman"/>
          <w:szCs w:val="24"/>
        </w:rPr>
        <w:t xml:space="preserve">. </w:t>
      </w:r>
    </w:p>
    <w:p>
      <w:pPr>
        <w:pStyle w:val="style179"/>
        <w:numPr>
          <w:ilvl w:val="0"/>
          <w:numId w:val="22"/>
        </w:numPr>
        <w:spacing w:before="240" w:after="240"/>
        <w:rPr>
          <w:rFonts w:cs="Times New Roman"/>
          <w:szCs w:val="24"/>
        </w:rPr>
      </w:pPr>
      <w:r>
        <w:rPr>
          <w:rFonts w:cs="Times New Roman"/>
          <w:szCs w:val="24"/>
        </w:rPr>
        <w:t>Based on the above observations and findings, Project B is viable for the company to invest in as compared to the payback period of Project A.</w:t>
      </w:r>
    </w:p>
    <w:bookmarkStart w:id="13" w:name="_Toc173489805"/>
    <w:p>
      <w:pPr>
        <w:pStyle w:val="style3"/>
        <w:spacing w:before="240" w:after="240"/>
        <w:rPr>
          <w:rFonts w:cs="Times New Roman"/>
          <w:szCs w:val="24"/>
        </w:rPr>
      </w:pPr>
      <w:r>
        <w:rPr>
          <w:rFonts w:cs="Times New Roman"/>
          <w:szCs w:val="24"/>
        </w:rPr>
        <w:t>Accounting Rate of Return</w:t>
      </w:r>
      <w:bookmarkEnd w:id="13"/>
    </w:p>
    <w:p>
      <w:pPr>
        <w:pStyle w:val="style0"/>
        <w:spacing w:before="240" w:after="240"/>
        <w:rPr>
          <w:rFonts w:cs="Times New Roman"/>
          <w:szCs w:val="24"/>
        </w:rPr>
      </w:pPr>
      <w:r>
        <w:rPr>
          <w:rFonts w:cs="Times New Roman"/>
          <w:noProof/>
          <w:szCs w:val="24"/>
        </w:rPr>
        <w:drawing>
          <wp:anchor distT="0" distB="0" distL="114300" distR="114300" simplePos="false" relativeHeight="31" behindDoc="false" locked="false" layoutInCell="true" allowOverlap="true">
            <wp:simplePos x="0" y="0"/>
            <wp:positionH relativeFrom="margin">
              <wp:align>right</wp:align>
            </wp:positionH>
            <wp:positionV relativeFrom="paragraph">
              <wp:posOffset>889635</wp:posOffset>
            </wp:positionV>
            <wp:extent cx="5731510" cy="1457960"/>
            <wp:effectExtent l="0" t="0" r="2540" b="8890"/>
            <wp:wrapSquare wrapText="bothSides"/>
            <wp:docPr id="1055" name="Picture 15" descr="A screenshot of a spreadsheet"/>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7" cstate="print"/>
                    <a:srcRect l="0" t="0" r="0" b="0"/>
                    <a:stretch/>
                  </pic:blipFill>
                  <pic:spPr>
                    <a:xfrm rot="0">
                      <a:off x="0" y="0"/>
                      <a:ext cx="5731510" cy="1457960"/>
                    </a:xfrm>
                    <a:prstGeom prst="rect"/>
                  </pic:spPr>
                </pic:pic>
              </a:graphicData>
            </a:graphic>
            <wp14:sizeRelV relativeFrom="margin">
              <wp14:pctHeight>0</wp14:pctHeight>
            </wp14:sizeRelV>
          </wp:anchor>
        </w:drawing>
      </w:r>
      <w:r>
        <w:rPr>
          <w:rFonts w:cs="Times New Roman"/>
          <w:szCs w:val="24"/>
        </w:rPr>
        <w:t xml:space="preserve">The </w:t>
      </w:r>
      <w:r>
        <w:rPr>
          <w:rFonts w:cs="Times New Roman"/>
          <w:b/>
          <w:bCs/>
          <w:i/>
          <w:iCs/>
          <w:szCs w:val="24"/>
        </w:rPr>
        <w:t>Accounting Rate of Return</w:t>
      </w:r>
      <w:r>
        <w:rPr>
          <w:rFonts w:cs="Times New Roman"/>
          <w:szCs w:val="24"/>
        </w:rPr>
        <w:t xml:space="preserve"> is an investment metric that assists companies in determining the profitability </w:t>
      </w:r>
      <w:r>
        <w:rPr>
          <w:rFonts w:cs="Times New Roman"/>
          <w:szCs w:val="24"/>
        </w:rPr>
        <w:t>from</w:t>
      </w:r>
      <w:r>
        <w:rPr>
          <w:rFonts w:cs="Times New Roman"/>
          <w:szCs w:val="24"/>
        </w:rPr>
        <w:t xml:space="preserve"> an investment by computing the potential annual percentage return from</w:t>
      </w:r>
      <w:r>
        <w:rPr>
          <w:rFonts w:cs="Times New Roman"/>
          <w:szCs w:val="24"/>
        </w:rPr>
        <w:t xml:space="preserve"> making investment in consideration of initial investment</w:t>
      </w:r>
      <w:r>
        <w:rPr>
          <w:rFonts w:cs="Times New Roman"/>
          <w:szCs w:val="24"/>
        </w:rPr>
        <w:t xml:space="preserve"> </w:t>
      </w:r>
      <w:r>
        <w:rPr>
          <w:rFonts w:cs="Times New Roman"/>
          <w:szCs w:val="24"/>
        </w:rPr>
        <w:t xml:space="preserve">(Dai, et al., 2022). </w:t>
      </w:r>
    </w:p>
    <w:p>
      <w:pPr>
        <w:pStyle w:val="style0"/>
        <w:spacing w:before="240" w:after="240"/>
        <w:rPr>
          <w:rFonts w:cs="Times New Roman"/>
          <w:szCs w:val="24"/>
        </w:rPr>
      </w:pPr>
      <w:r>
        <w:rPr>
          <w:rFonts w:cs="Times New Roman"/>
          <w:noProof/>
          <w:szCs w:val="24"/>
        </w:rPr>
        <mc:AlternateContent>
          <mc:Choice Requires="wps">
            <w:drawing>
              <wp:anchor distT="0" distB="0" distL="114300" distR="114300" simplePos="false" relativeHeight="33" behindDoc="false" locked="false" layoutInCell="true" allowOverlap="true">
                <wp:simplePos x="0" y="0"/>
                <wp:positionH relativeFrom="margin">
                  <wp:posOffset>0</wp:posOffset>
                </wp:positionH>
                <wp:positionV relativeFrom="paragraph">
                  <wp:posOffset>412750</wp:posOffset>
                </wp:positionV>
                <wp:extent cx="5312410" cy="506730"/>
                <wp:effectExtent l="0" t="0" r="2540" b="7620"/>
                <wp:wrapSquare wrapText="bothSides"/>
                <wp:docPr id="1056" name="Text Box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5312410" cy="506730"/>
                        </a:xfrm>
                        <a:prstGeom prst="rect"/>
                        <a:solidFill>
                          <a:srgbClr val="ffffff"/>
                        </a:solidFill>
                        <a:ln>
                          <a:noFill/>
                        </a:ln>
                      </wps:spPr>
                      <wps:txbx id="1056">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15</w:t>
                            </w:r>
                            <w:r>
                              <w:rPr>
                                <w:b/>
                                <w:bCs/>
                                <w:color w:val="auto"/>
                                <w:sz w:val="24"/>
                                <w:szCs w:val="32"/>
                              </w:rPr>
                              <w:fldChar w:fldCharType="end"/>
                            </w:r>
                            <w:r>
                              <w:rPr>
                                <w:b/>
                                <w:bCs/>
                                <w:color w:val="auto"/>
                                <w:sz w:val="24"/>
                                <w:szCs w:val="32"/>
                              </w:rPr>
                              <w:t>: Accounting Rate of Return of Project A and B</w:t>
                            </w:r>
                            <w:r>
                              <w:rPr>
                                <w:b/>
                                <w:bCs/>
                                <w:color w:val="auto"/>
                                <w:sz w:val="24"/>
                                <w:szCs w:val="32"/>
                              </w:rPr>
                              <w:br/>
                            </w:r>
                            <w:r>
                              <w:rPr>
                                <w:b/>
                                <w:bCs/>
                                <w:color w:val="auto"/>
                                <w:sz w:val="24"/>
                                <w:szCs w:val="32"/>
                              </w:rPr>
                              <w:t>(Source: Created by Author)</w:t>
                            </w:r>
                          </w:p>
                        </w:txbxContent>
                      </wps:txbx>
                      <wps:bodyPr lIns="0" rIns="0" tIns="0" bIns="0" vert="horz" anchor="t" wrap="square">
                        <a:prstTxWarp prst="textNoShape"/>
                        <a:noAutofit/>
                      </wps:bodyPr>
                    </wps:wsp>
                  </a:graphicData>
                </a:graphic>
                <wp14:sizeRelH relativeFrom="margin">
                  <wp14:pctWidth>0</wp14:pctWidth>
                </wp14:sizeRelH>
                <wp14:sizeRelV relativeFrom="margin">
                  <wp14:pctHeight>0</wp14:pctHeight>
                </wp14:sizeRelV>
              </wp:anchor>
            </w:drawing>
          </mc:Choice>
          <mc:Fallback>
            <w:pict>
              <v:rect id="1056" fillcolor="white" stroked="f" style="position:absolute;margin-left:0.0pt;margin-top:32.5pt;width:418.3pt;height:39.9pt;z-index:33;mso-position-horizontal-relative:margin;mso-position-vertical-relative:text;mso-width-percent:0;mso-height-percent:0;mso-width-relative:margin;mso-height-relative:margin;visibility:visible;">
                <v:stroke on="f"/>
                <w10:wrap type="square"/>
                <v:fill/>
                <v:textbox inset="0.0pt,0.0pt,0.0pt,0.0pt">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15</w:t>
                      </w:r>
                      <w:r>
                        <w:rPr>
                          <w:b/>
                          <w:bCs/>
                          <w:color w:val="auto"/>
                          <w:sz w:val="24"/>
                          <w:szCs w:val="32"/>
                        </w:rPr>
                        <w:fldChar w:fldCharType="end"/>
                      </w:r>
                      <w:r>
                        <w:rPr>
                          <w:b/>
                          <w:bCs/>
                          <w:color w:val="auto"/>
                          <w:sz w:val="24"/>
                          <w:szCs w:val="32"/>
                        </w:rPr>
                        <w:t>: Accounting Rate of Return of Project A and B</w:t>
                      </w:r>
                      <w:r>
                        <w:rPr>
                          <w:b/>
                          <w:bCs/>
                          <w:color w:val="auto"/>
                          <w:sz w:val="24"/>
                          <w:szCs w:val="32"/>
                        </w:rPr>
                        <w:br/>
                      </w:r>
                      <w:r>
                        <w:rPr>
                          <w:b/>
                          <w:bCs/>
                          <w:color w:val="auto"/>
                          <w:sz w:val="24"/>
                          <w:szCs w:val="32"/>
                        </w:rPr>
                        <w:t>(Source: Created by Author)</w:t>
                      </w:r>
                    </w:p>
                  </w:txbxContent>
                </v:textbox>
              </v:rect>
            </w:pict>
          </mc:Fallback>
        </mc:AlternateContent>
      </w:r>
    </w:p>
    <w:p>
      <w:pPr>
        <w:pStyle w:val="style0"/>
        <w:spacing w:before="240" w:after="240"/>
        <w:rPr>
          <w:rFonts w:cs="Times New Roman"/>
          <w:szCs w:val="24"/>
        </w:rPr>
      </w:pPr>
    </w:p>
    <w:p>
      <w:pPr>
        <w:pStyle w:val="style0"/>
        <w:spacing w:before="240" w:after="240"/>
        <w:rPr>
          <w:rFonts w:cs="Times New Roman"/>
          <w:szCs w:val="24"/>
        </w:rPr>
      </w:pPr>
    </w:p>
    <w:p>
      <w:pPr>
        <w:pStyle w:val="style0"/>
        <w:spacing w:before="240" w:after="240"/>
        <w:rPr>
          <w:rFonts w:cs="Times New Roman"/>
          <w:szCs w:val="24"/>
        </w:rPr>
      </w:pPr>
      <w:r>
        <w:rPr>
          <w:rFonts w:cs="Times New Roman"/>
          <w:szCs w:val="24"/>
        </w:rPr>
        <w:t>The above figure represents the computation of the accounting rate of return for Project A and Project B as regards the investment decision by the company.</w:t>
      </w:r>
    </w:p>
    <w:p>
      <w:pPr>
        <w:pStyle w:val="style179"/>
        <w:numPr>
          <w:ilvl w:val="0"/>
          <w:numId w:val="23"/>
        </w:numPr>
        <w:spacing w:before="240" w:after="240"/>
        <w:rPr>
          <w:rFonts w:cs="Times New Roman"/>
          <w:szCs w:val="24"/>
        </w:rPr>
      </w:pPr>
      <w:r>
        <w:rPr>
          <w:rFonts w:cs="Times New Roman"/>
          <w:szCs w:val="24"/>
        </w:rPr>
        <w:t xml:space="preserve">The accounting rate of return for Project A is </w:t>
      </w:r>
      <w:r>
        <w:rPr>
          <w:rFonts w:cs="Times New Roman"/>
          <w:b/>
          <w:bCs/>
          <w:i/>
          <w:iCs/>
          <w:szCs w:val="24"/>
        </w:rPr>
        <w:t>39.063%</w:t>
      </w:r>
      <w:r>
        <w:rPr>
          <w:rFonts w:cs="Times New Roman"/>
          <w:szCs w:val="24"/>
        </w:rPr>
        <w:t xml:space="preserve"> while for Project B is </w:t>
      </w:r>
      <w:r>
        <w:rPr>
          <w:rFonts w:cs="Times New Roman"/>
          <w:b/>
          <w:bCs/>
          <w:i/>
          <w:iCs/>
          <w:szCs w:val="24"/>
        </w:rPr>
        <w:t xml:space="preserve">36.667% </w:t>
      </w:r>
      <w:r>
        <w:rPr>
          <w:rFonts w:cs="Times New Roman"/>
          <w:szCs w:val="24"/>
        </w:rPr>
        <w:t xml:space="preserve">as depicted in the above calculations of the figure. </w:t>
      </w:r>
    </w:p>
    <w:p>
      <w:pPr>
        <w:pStyle w:val="style179"/>
        <w:numPr>
          <w:ilvl w:val="0"/>
          <w:numId w:val="23"/>
        </w:numPr>
        <w:spacing w:before="240" w:after="240"/>
        <w:rPr>
          <w:rFonts w:cs="Times New Roman"/>
          <w:b/>
          <w:bCs/>
          <w:i/>
          <w:iCs/>
          <w:szCs w:val="24"/>
        </w:rPr>
      </w:pPr>
      <w:r>
        <w:rPr>
          <w:rFonts w:cs="Times New Roman"/>
          <w:szCs w:val="24"/>
        </w:rPr>
        <w:t xml:space="preserve">In consideration of the </w:t>
      </w:r>
      <w:r>
        <w:rPr>
          <w:rFonts w:cs="Times New Roman"/>
          <w:b/>
          <w:bCs/>
          <w:i/>
          <w:iCs/>
          <w:szCs w:val="24"/>
        </w:rPr>
        <w:t>current cost of capital of 9.75%,</w:t>
      </w:r>
      <w:r>
        <w:rPr>
          <w:rFonts w:cs="Times New Roman"/>
          <w:szCs w:val="24"/>
        </w:rPr>
        <w:t xml:space="preserve"> both projects are viable for the company as observed from the rate of return the project is expected to generate. Excess of the rate of return over the cost of capital makes </w:t>
      </w:r>
      <w:r>
        <w:rPr>
          <w:rFonts w:cs="Times New Roman"/>
          <w:b/>
          <w:bCs/>
          <w:i/>
          <w:iCs/>
          <w:szCs w:val="24"/>
        </w:rPr>
        <w:t>both projects suitable for the company to invest in.</w:t>
      </w:r>
    </w:p>
    <w:p>
      <w:pPr>
        <w:pStyle w:val="style179"/>
        <w:numPr>
          <w:ilvl w:val="0"/>
          <w:numId w:val="23"/>
        </w:numPr>
        <w:spacing w:before="240" w:after="240"/>
        <w:rPr>
          <w:rFonts w:cs="Times New Roman"/>
          <w:szCs w:val="24"/>
        </w:rPr>
      </w:pPr>
      <w:r>
        <w:rPr>
          <w:rFonts w:cs="Times New Roman"/>
          <w:szCs w:val="24"/>
        </w:rPr>
        <w:t>However, as per the case study</w:t>
      </w:r>
      <w:r>
        <w:rPr>
          <w:rFonts w:cs="Times New Roman"/>
          <w:szCs w:val="24"/>
        </w:rPr>
        <w:t>,</w:t>
      </w:r>
      <w:r>
        <w:rPr>
          <w:rFonts w:cs="Times New Roman"/>
          <w:szCs w:val="24"/>
        </w:rPr>
        <w:t xml:space="preserve"> Burberry Group Plc can adopt one project for its investments, therefore, the company can adopt </w:t>
      </w:r>
      <w:r>
        <w:rPr>
          <w:rFonts w:cs="Times New Roman"/>
          <w:b/>
          <w:bCs/>
          <w:i/>
          <w:iCs/>
          <w:szCs w:val="24"/>
        </w:rPr>
        <w:t>Project A which has the highest accounting rate of return of 39.063%</w:t>
      </w:r>
      <w:r>
        <w:rPr>
          <w:rFonts w:cs="Times New Roman"/>
          <w:szCs w:val="24"/>
        </w:rPr>
        <w:t xml:space="preserve"> as compared to Project B.</w:t>
      </w:r>
      <w:r>
        <w:rPr>
          <w:rFonts w:cs="Times New Roman"/>
          <w:szCs w:val="24"/>
        </w:rPr>
        <w:t xml:space="preserve"> This is because higher the accounting rate of return</w:t>
      </w:r>
      <w:r>
        <w:rPr>
          <w:rFonts w:cs="Times New Roman"/>
          <w:szCs w:val="24"/>
        </w:rPr>
        <w:t xml:space="preserve"> indicate</w:t>
      </w:r>
      <w:r>
        <w:rPr>
          <w:rFonts w:cs="Times New Roman"/>
          <w:szCs w:val="24"/>
        </w:rPr>
        <w:t xml:space="preserve"> higher profitability </w:t>
      </w:r>
      <w:r>
        <w:rPr>
          <w:rFonts w:cs="Times New Roman"/>
          <w:szCs w:val="24"/>
        </w:rPr>
        <w:t>for</w:t>
      </w:r>
      <w:r>
        <w:rPr>
          <w:rFonts w:cs="Times New Roman"/>
          <w:szCs w:val="24"/>
        </w:rPr>
        <w:t xml:space="preserve"> the company. Furthermore, it also implies that for </w:t>
      </w:r>
      <w:r>
        <w:rPr>
          <w:rFonts w:cs="Times New Roman"/>
          <w:b/>
          <w:bCs/>
          <w:i/>
          <w:iCs/>
          <w:szCs w:val="24"/>
        </w:rPr>
        <w:t>every pound invested</w:t>
      </w:r>
      <w:r>
        <w:rPr>
          <w:rFonts w:cs="Times New Roman"/>
          <w:szCs w:val="24"/>
        </w:rPr>
        <w:t xml:space="preserve">, the project is expected to generate </w:t>
      </w:r>
      <w:r>
        <w:rPr>
          <w:rFonts w:cs="Times New Roman"/>
          <w:b/>
          <w:bCs/>
          <w:i/>
          <w:iCs/>
          <w:szCs w:val="24"/>
        </w:rPr>
        <w:t>39.063% of profits annually</w:t>
      </w:r>
      <w:r>
        <w:rPr>
          <w:rFonts w:cs="Times New Roman"/>
          <w:szCs w:val="24"/>
        </w:rPr>
        <w:t xml:space="preserve"> as compared to Project B. </w:t>
      </w:r>
    </w:p>
    <w:p>
      <w:pPr>
        <w:pStyle w:val="style179"/>
        <w:numPr>
          <w:ilvl w:val="0"/>
          <w:numId w:val="23"/>
        </w:numPr>
        <w:spacing w:before="240" w:after="240"/>
        <w:rPr>
          <w:rFonts w:cs="Times New Roman"/>
          <w:szCs w:val="24"/>
        </w:rPr>
      </w:pPr>
      <w:r>
        <w:rPr>
          <w:rFonts w:cs="Times New Roman"/>
          <w:szCs w:val="24"/>
        </w:rPr>
        <w:t>Therefore, based on the above observations</w:t>
      </w:r>
      <w:r>
        <w:rPr>
          <w:rFonts w:cs="Times New Roman"/>
          <w:szCs w:val="24"/>
        </w:rPr>
        <w:t xml:space="preserve"> </w:t>
      </w:r>
      <w:r>
        <w:rPr>
          <w:rFonts w:cs="Times New Roman"/>
          <w:b/>
          <w:bCs/>
          <w:i/>
          <w:iCs/>
          <w:szCs w:val="24"/>
        </w:rPr>
        <w:t>Project A</w:t>
      </w:r>
      <w:r>
        <w:rPr>
          <w:rFonts w:cs="Times New Roman"/>
          <w:szCs w:val="24"/>
        </w:rPr>
        <w:t xml:space="preserve"> is more likely to be adopted</w:t>
      </w:r>
      <w:r>
        <w:rPr>
          <w:rFonts w:cs="Times New Roman"/>
          <w:szCs w:val="24"/>
        </w:rPr>
        <w:t xml:space="preserve"> by the company</w:t>
      </w:r>
      <w:r>
        <w:rPr>
          <w:rFonts w:cs="Times New Roman"/>
          <w:szCs w:val="24"/>
        </w:rPr>
        <w:t xml:space="preserve"> as the accounting rate of return of the project is higher than Project B </w:t>
      </w:r>
      <w:r>
        <w:rPr>
          <w:rFonts w:cs="Times New Roman"/>
          <w:szCs w:val="24"/>
        </w:rPr>
        <w:t>and the rate of return is more than the cost of capital backed by sufficient profits.</w:t>
      </w:r>
      <w:r>
        <w:rPr>
          <w:rFonts w:cs="Times New Roman"/>
          <w:szCs w:val="24"/>
        </w:rPr>
        <w:t xml:space="preserve"> </w:t>
      </w:r>
    </w:p>
    <w:bookmarkStart w:id="14" w:name="_Toc173489806"/>
    <w:p>
      <w:pPr>
        <w:pStyle w:val="style3"/>
        <w:spacing w:before="240" w:after="240"/>
        <w:rPr>
          <w:rFonts w:cs="Times New Roman"/>
          <w:szCs w:val="24"/>
        </w:rPr>
      </w:pPr>
      <w:r>
        <w:rPr>
          <w:rFonts w:cs="Times New Roman"/>
          <w:szCs w:val="24"/>
        </w:rPr>
        <w:t>Net Present Value</w:t>
      </w:r>
      <w:bookmarkEnd w:id="14"/>
    </w:p>
    <w:p>
      <w:pPr>
        <w:pStyle w:val="style0"/>
        <w:spacing w:before="240" w:after="240"/>
        <w:rPr>
          <w:rFonts w:cs="Times New Roman"/>
          <w:szCs w:val="24"/>
        </w:rPr>
      </w:pPr>
      <w:r>
        <w:rPr>
          <w:rFonts w:cs="Times New Roman"/>
          <w:szCs w:val="24"/>
        </w:rPr>
        <w:t>The Net Present Value is a key capital appraisal technique that use present value of cash onflow and present value of cash outflow for making decision regarding acceptance or rejection of project. It uses the concept of time value of money that help in making accurate and reliable decision for the purpose of making investment</w:t>
      </w:r>
      <w:r>
        <w:rPr>
          <w:rFonts w:cs="Times New Roman"/>
          <w:szCs w:val="24"/>
        </w:rPr>
        <w:t xml:space="preserve"> (Vipond, 2024).</w:t>
      </w:r>
    </w:p>
    <w:p>
      <w:pPr>
        <w:pStyle w:val="style0"/>
        <w:spacing w:before="240" w:after="240"/>
        <w:rPr>
          <w:rFonts w:cs="Times New Roman"/>
          <w:szCs w:val="24"/>
        </w:rPr>
      </w:pPr>
      <w:r>
        <w:rPr>
          <w:rFonts w:cs="Times New Roman"/>
          <w:noProof/>
          <w:szCs w:val="24"/>
        </w:rPr>
        <w:drawing>
          <wp:inline distL="0" distT="0" distB="0" distR="0">
            <wp:extent cx="5731510" cy="1443355"/>
            <wp:effectExtent l="0" t="0" r="2540" b="4445"/>
            <wp:docPr id="105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6" name="Picture 1"/>
                    <pic:cNvPicPr/>
                  </pic:nvPicPr>
                  <pic:blipFill>
                    <a:blip r:embed="rId18" cstate="print"/>
                    <a:srcRect l="0" t="0" r="0" b="0"/>
                    <a:stretch/>
                  </pic:blipFill>
                  <pic:spPr>
                    <a:xfrm rot="0">
                      <a:off x="0" y="0"/>
                      <a:ext cx="5731510" cy="1443355"/>
                    </a:xfrm>
                    <a:prstGeom prst="rect"/>
                  </pic:spPr>
                </pic:pic>
              </a:graphicData>
            </a:graphic>
          </wp:inline>
        </w:drawing>
      </w:r>
    </w:p>
    <w:p>
      <w:pPr>
        <w:pStyle w:val="style0"/>
        <w:spacing w:before="240" w:after="240"/>
        <w:rPr>
          <w:rFonts w:cs="Times New Roman"/>
          <w:szCs w:val="24"/>
        </w:rPr>
      </w:pPr>
      <w:r>
        <w:rPr>
          <w:rFonts w:cs="Times New Roman"/>
          <w:noProof/>
          <w:szCs w:val="24"/>
        </w:rPr>
        <mc:AlternateContent>
          <mc:Choice Requires="wps">
            <w:drawing>
              <wp:anchor distT="0" distB="0" distL="114300" distR="114300" simplePos="false" relativeHeight="32" behindDoc="false" locked="false" layoutInCell="true" allowOverlap="true">
                <wp:simplePos x="0" y="0"/>
                <wp:positionH relativeFrom="margin">
                  <wp:align>center</wp:align>
                </wp:positionH>
                <wp:positionV relativeFrom="paragraph">
                  <wp:posOffset>185420</wp:posOffset>
                </wp:positionV>
                <wp:extent cx="4105275" cy="482600"/>
                <wp:effectExtent l="0" t="0" r="9525" b="0"/>
                <wp:wrapSquare wrapText="bothSides"/>
                <wp:docPr id="1058" name="Text Box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4105275" cy="482600"/>
                        </a:xfrm>
                        <a:prstGeom prst="rect"/>
                        <a:solidFill>
                          <a:srgbClr val="ffffff"/>
                        </a:solidFill>
                        <a:ln>
                          <a:noFill/>
                        </a:ln>
                      </wps:spPr>
                      <wps:txbx id="1058">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16</w:t>
                            </w:r>
                            <w:r>
                              <w:rPr>
                                <w:b/>
                                <w:bCs/>
                                <w:color w:val="auto"/>
                                <w:sz w:val="24"/>
                                <w:szCs w:val="32"/>
                              </w:rPr>
                              <w:fldChar w:fldCharType="end"/>
                            </w:r>
                            <w:r>
                              <w:rPr>
                                <w:b/>
                                <w:bCs/>
                                <w:color w:val="auto"/>
                                <w:sz w:val="24"/>
                                <w:szCs w:val="32"/>
                              </w:rPr>
                              <w:t xml:space="preserve">: </w:t>
                            </w:r>
                            <w:r>
                              <w:rPr>
                                <w:b/>
                                <w:bCs/>
                                <w:color w:val="auto"/>
                                <w:sz w:val="24"/>
                                <w:szCs w:val="32"/>
                              </w:rPr>
                              <w:t>Net Present Value</w:t>
                            </w:r>
                            <w:r>
                              <w:rPr>
                                <w:b/>
                                <w:bCs/>
                                <w:color w:val="auto"/>
                                <w:sz w:val="24"/>
                                <w:szCs w:val="32"/>
                              </w:rPr>
                              <w:t xml:space="preserve"> of Project A and B</w:t>
                            </w:r>
                            <w:r>
                              <w:rPr>
                                <w:b/>
                                <w:bCs/>
                                <w:color w:val="auto"/>
                                <w:sz w:val="24"/>
                                <w:szCs w:val="32"/>
                              </w:rPr>
                              <w:br/>
                            </w:r>
                            <w:r>
                              <w:rPr>
                                <w:b/>
                                <w:bCs/>
                                <w:color w:val="auto"/>
                                <w:sz w:val="24"/>
                                <w:szCs w:val="32"/>
                              </w:rPr>
                              <w:t>(Source: Created by Author)</w:t>
                            </w:r>
                          </w:p>
                        </w:txbxContent>
                      </wps:txbx>
                      <wps:bodyPr lIns="0" rIns="0" tIns="0" bIns="0" vert="horz" anchor="t" wrap="square">
                        <a:prstTxWarp prst="textNoShape"/>
                        <a:noAutofit/>
                      </wps:bodyPr>
                    </wps:wsp>
                  </a:graphicData>
                </a:graphic>
                <wp14:sizeRelV relativeFrom="margin">
                  <wp14:pctHeight>0</wp14:pctHeight>
                </wp14:sizeRelV>
              </wp:anchor>
            </w:drawing>
          </mc:Choice>
          <mc:Fallback>
            <w:pict>
              <v:rect id="1058" fillcolor="white" stroked="f" style="position:absolute;margin-left:0.0pt;margin-top:14.6pt;width:323.25pt;height:38.0pt;z-index:32;mso-position-horizontal:center;mso-position-horizontal-relative:margin;mso-position-vertical-relative:text;mso-height-percent:0;mso-width-relative:page;mso-height-relative:margin;visibility:visible;">
                <v:stroke on="f"/>
                <w10:wrap type="square"/>
                <v:fill/>
                <v:textbox inset="0.0pt,0.0pt,0.0pt,0.0pt">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16</w:t>
                      </w:r>
                      <w:r>
                        <w:rPr>
                          <w:b/>
                          <w:bCs/>
                          <w:color w:val="auto"/>
                          <w:sz w:val="24"/>
                          <w:szCs w:val="32"/>
                        </w:rPr>
                        <w:fldChar w:fldCharType="end"/>
                      </w:r>
                      <w:r>
                        <w:rPr>
                          <w:b/>
                          <w:bCs/>
                          <w:color w:val="auto"/>
                          <w:sz w:val="24"/>
                          <w:szCs w:val="32"/>
                        </w:rPr>
                        <w:t xml:space="preserve">: </w:t>
                      </w:r>
                      <w:r>
                        <w:rPr>
                          <w:b/>
                          <w:bCs/>
                          <w:color w:val="auto"/>
                          <w:sz w:val="24"/>
                          <w:szCs w:val="32"/>
                        </w:rPr>
                        <w:t>Net Present Value</w:t>
                      </w:r>
                      <w:r>
                        <w:rPr>
                          <w:b/>
                          <w:bCs/>
                          <w:color w:val="auto"/>
                          <w:sz w:val="24"/>
                          <w:szCs w:val="32"/>
                        </w:rPr>
                        <w:t xml:space="preserve"> of Project A and B</w:t>
                      </w:r>
                      <w:r>
                        <w:rPr>
                          <w:b/>
                          <w:bCs/>
                          <w:color w:val="auto"/>
                          <w:sz w:val="24"/>
                          <w:szCs w:val="32"/>
                        </w:rPr>
                        <w:br/>
                      </w:r>
                      <w:r>
                        <w:rPr>
                          <w:b/>
                          <w:bCs/>
                          <w:color w:val="auto"/>
                          <w:sz w:val="24"/>
                          <w:szCs w:val="32"/>
                        </w:rPr>
                        <w:t>(Source: Created by Author)</w:t>
                      </w:r>
                    </w:p>
                  </w:txbxContent>
                </v:textbox>
              </v:rect>
            </w:pict>
          </mc:Fallback>
        </mc:AlternateContent>
      </w:r>
    </w:p>
    <w:p>
      <w:pPr>
        <w:pStyle w:val="style0"/>
        <w:spacing w:before="240" w:after="240"/>
        <w:rPr>
          <w:rFonts w:cs="Times New Roman"/>
          <w:szCs w:val="24"/>
        </w:rPr>
      </w:pPr>
    </w:p>
    <w:p>
      <w:pPr>
        <w:pStyle w:val="style0"/>
        <w:spacing w:before="240" w:after="240"/>
        <w:rPr>
          <w:rFonts w:cs="Times New Roman"/>
          <w:szCs w:val="24"/>
        </w:rPr>
      </w:pPr>
      <w:r>
        <w:rPr>
          <w:rFonts w:cs="Times New Roman"/>
          <w:szCs w:val="24"/>
        </w:rPr>
        <w:t xml:space="preserve">The above figure represents the </w:t>
      </w:r>
      <w:r>
        <w:rPr>
          <w:rFonts w:cs="Times New Roman"/>
          <w:szCs w:val="24"/>
        </w:rPr>
        <w:t>net present value</w:t>
      </w:r>
      <w:r>
        <w:rPr>
          <w:rFonts w:cs="Times New Roman"/>
          <w:szCs w:val="24"/>
        </w:rPr>
        <w:t xml:space="preserve"> of Project A and Project B as regards the </w:t>
      </w:r>
      <w:r>
        <w:rPr>
          <w:rFonts w:cs="Times New Roman"/>
          <w:szCs w:val="24"/>
        </w:rPr>
        <w:t>projected cash flows in the 4 years for the purpose of investment.</w:t>
      </w:r>
    </w:p>
    <w:p>
      <w:pPr>
        <w:pStyle w:val="style179"/>
        <w:numPr>
          <w:ilvl w:val="0"/>
          <w:numId w:val="25"/>
        </w:numPr>
        <w:spacing w:before="240" w:after="240"/>
        <w:rPr>
          <w:rFonts w:cs="Times New Roman"/>
          <w:szCs w:val="24"/>
        </w:rPr>
      </w:pPr>
      <w:r>
        <w:rPr>
          <w:rFonts w:cs="Times New Roman"/>
          <w:szCs w:val="24"/>
        </w:rPr>
        <w:t xml:space="preserve">The </w:t>
      </w:r>
      <w:r>
        <w:rPr>
          <w:rFonts w:cs="Times New Roman"/>
          <w:szCs w:val="24"/>
        </w:rPr>
        <w:t>net present value</w:t>
      </w:r>
      <w:r>
        <w:rPr>
          <w:rFonts w:cs="Times New Roman"/>
          <w:szCs w:val="24"/>
        </w:rPr>
        <w:t xml:space="preserve"> for Project A is </w:t>
      </w:r>
      <w:r>
        <w:rPr>
          <w:rFonts w:cs="Times New Roman"/>
          <w:szCs w:val="24"/>
        </w:rPr>
        <w:t>GBP 16.57 million</w:t>
      </w:r>
      <w:r>
        <w:rPr>
          <w:rFonts w:cs="Times New Roman"/>
          <w:szCs w:val="24"/>
        </w:rPr>
        <w:t xml:space="preserve"> whereas, for Project B is </w:t>
      </w:r>
      <w:r>
        <w:rPr>
          <w:rFonts w:cs="Times New Roman"/>
          <w:szCs w:val="24"/>
        </w:rPr>
        <w:t>-40.65 million</w:t>
      </w:r>
      <w:r>
        <w:rPr>
          <w:rFonts w:cs="Times New Roman"/>
          <w:szCs w:val="24"/>
        </w:rPr>
        <w:t xml:space="preserve"> as depicted in the above figure.</w:t>
      </w:r>
    </w:p>
    <w:p>
      <w:pPr>
        <w:pStyle w:val="style179"/>
        <w:numPr>
          <w:ilvl w:val="0"/>
          <w:numId w:val="25"/>
        </w:numPr>
        <w:spacing w:before="240" w:after="240"/>
        <w:rPr>
          <w:rFonts w:cs="Times New Roman"/>
          <w:szCs w:val="24"/>
        </w:rPr>
      </w:pPr>
      <w:r>
        <w:rPr>
          <w:rFonts w:cs="Times New Roman"/>
          <w:szCs w:val="24"/>
        </w:rPr>
        <w:t xml:space="preserve">The basic principle to evaluate the project for investment is that if the </w:t>
      </w:r>
      <w:r>
        <w:rPr>
          <w:rFonts w:cs="Times New Roman"/>
          <w:szCs w:val="24"/>
        </w:rPr>
        <w:t>net present value associated with the project is positive</w:t>
      </w:r>
      <w:r>
        <w:rPr>
          <w:rFonts w:cs="Times New Roman"/>
          <w:szCs w:val="24"/>
        </w:rPr>
        <w:t xml:space="preserve">, then the project is suitable and vice versa. </w:t>
      </w:r>
    </w:p>
    <w:p>
      <w:pPr>
        <w:pStyle w:val="style179"/>
        <w:numPr>
          <w:ilvl w:val="0"/>
          <w:numId w:val="25"/>
        </w:numPr>
        <w:spacing w:before="240" w:after="240"/>
        <w:rPr>
          <w:rFonts w:cs="Times New Roman"/>
          <w:szCs w:val="24"/>
        </w:rPr>
      </w:pPr>
      <w:r>
        <w:rPr>
          <w:rFonts w:cs="Times New Roman"/>
          <w:szCs w:val="24"/>
        </w:rPr>
        <w:t xml:space="preserve">However, the </w:t>
      </w:r>
      <w:r>
        <w:rPr>
          <w:rFonts w:cs="Times New Roman"/>
          <w:szCs w:val="24"/>
        </w:rPr>
        <w:t>net present value</w:t>
      </w:r>
      <w:r>
        <w:rPr>
          <w:rFonts w:cs="Times New Roman"/>
          <w:szCs w:val="24"/>
        </w:rPr>
        <w:t xml:space="preserve"> of Project B is </w:t>
      </w:r>
      <w:r>
        <w:rPr>
          <w:rFonts w:cs="Times New Roman"/>
          <w:szCs w:val="24"/>
        </w:rPr>
        <w:t xml:space="preserve">negative indicating non-profitable project for the company while Project A is having positive net present value indicating profitability of project. </w:t>
      </w:r>
      <w:r>
        <w:rPr>
          <w:rFonts w:cs="Times New Roman"/>
          <w:szCs w:val="24"/>
        </w:rPr>
        <w:t xml:space="preserve">Therefore, </w:t>
      </w:r>
      <w:r>
        <w:rPr>
          <w:rFonts w:cs="Times New Roman"/>
          <w:b/>
          <w:bCs/>
          <w:i/>
          <w:iCs/>
          <w:szCs w:val="24"/>
        </w:rPr>
        <w:t xml:space="preserve">Project </w:t>
      </w:r>
      <w:r>
        <w:rPr>
          <w:rFonts w:cs="Times New Roman"/>
          <w:b/>
          <w:bCs/>
          <w:i/>
          <w:iCs/>
          <w:szCs w:val="24"/>
        </w:rPr>
        <w:t>A</w:t>
      </w:r>
      <w:r>
        <w:rPr>
          <w:rFonts w:cs="Times New Roman"/>
          <w:szCs w:val="24"/>
        </w:rPr>
        <w:t xml:space="preserve"> is viable for the company to invest in for more profitabilit</w:t>
      </w:r>
      <w:r>
        <w:rPr>
          <w:rFonts w:cs="Times New Roman"/>
          <w:szCs w:val="24"/>
        </w:rPr>
        <w:t>y in accordance with results derived from net present value technique</w:t>
      </w:r>
      <w:r>
        <w:rPr>
          <w:rFonts w:cs="Times New Roman"/>
          <w:szCs w:val="24"/>
        </w:rPr>
        <w:t xml:space="preserve">.  </w:t>
      </w:r>
    </w:p>
    <w:p>
      <w:pPr>
        <w:pStyle w:val="style0"/>
        <w:spacing w:before="240" w:after="240"/>
        <w:rPr>
          <w:rFonts w:cs="Times New Roman"/>
          <w:szCs w:val="24"/>
        </w:rPr>
      </w:pPr>
      <w:r>
        <w:rPr>
          <w:rFonts w:cs="Times New Roman"/>
          <w:szCs w:val="24"/>
        </w:rPr>
        <w:t xml:space="preserve">In a nutshell, </w:t>
      </w:r>
      <w:r>
        <w:rPr>
          <w:rFonts w:cs="Times New Roman"/>
          <w:b/>
          <w:bCs/>
          <w:i/>
          <w:iCs/>
          <w:szCs w:val="24"/>
        </w:rPr>
        <w:t>Project A</w:t>
      </w:r>
      <w:r>
        <w:rPr>
          <w:rFonts w:cs="Times New Roman"/>
          <w:szCs w:val="24"/>
        </w:rPr>
        <w:t xml:space="preserve"> is viable to invest in by the company based on logical computations using investment appraisal techniques.</w:t>
      </w:r>
    </w:p>
    <w:bookmarkStart w:id="15" w:name="_Toc173489807"/>
    <w:p>
      <w:pPr>
        <w:pStyle w:val="style3"/>
        <w:spacing w:before="240" w:after="240"/>
        <w:rPr>
          <w:rFonts w:cs="Times New Roman"/>
          <w:szCs w:val="24"/>
        </w:rPr>
      </w:pPr>
      <w:r>
        <w:rPr>
          <w:rFonts w:cs="Times New Roman"/>
          <w:szCs w:val="24"/>
        </w:rPr>
        <w:t>Advantages and Shortcomings of the Investment Appraisal Techniques (ARR, PBP, NPV)</w:t>
      </w:r>
      <w:bookmarkEnd w:id="15"/>
    </w:p>
    <w:p>
      <w:pPr>
        <w:pStyle w:val="style0"/>
        <w:spacing w:before="240" w:after="240"/>
        <w:rPr>
          <w:rFonts w:cs="Times New Roman"/>
          <w:b/>
          <w:bCs/>
          <w:szCs w:val="24"/>
        </w:rPr>
      </w:pPr>
      <w:r>
        <w:rPr>
          <w:rFonts w:cs="Times New Roman"/>
          <w:b/>
          <w:bCs/>
          <w:szCs w:val="24"/>
        </w:rPr>
        <w:t>Accounting Rate of Return</w:t>
      </w:r>
    </w:p>
    <w:p>
      <w:pPr>
        <w:pStyle w:val="style0"/>
        <w:spacing w:before="240" w:after="240"/>
        <w:rPr>
          <w:rFonts w:cs="Times New Roman"/>
          <w:b/>
          <w:bCs/>
          <w:szCs w:val="24"/>
        </w:rPr>
      </w:pPr>
      <w:r>
        <w:rPr>
          <w:rFonts w:cs="Times New Roman"/>
          <w:b/>
          <w:bCs/>
          <w:szCs w:val="24"/>
        </w:rPr>
        <w:t>Pros</w:t>
      </w:r>
    </w:p>
    <w:p>
      <w:pPr>
        <w:pStyle w:val="style179"/>
        <w:numPr>
          <w:ilvl w:val="0"/>
          <w:numId w:val="28"/>
        </w:numPr>
        <w:spacing w:before="240" w:after="240"/>
        <w:rPr>
          <w:rFonts w:cs="Times New Roman"/>
          <w:b/>
          <w:bCs/>
          <w:szCs w:val="24"/>
        </w:rPr>
      </w:pPr>
      <w:r>
        <w:rPr>
          <w:rFonts w:cs="Times New Roman"/>
          <w:b/>
          <w:bCs/>
          <w:i/>
          <w:iCs/>
          <w:szCs w:val="24"/>
        </w:rPr>
        <w:t>Interpretational Analysis</w:t>
      </w:r>
      <w:r>
        <w:rPr>
          <w:rFonts w:cs="Times New Roman"/>
          <w:b/>
          <w:bCs/>
          <w:i/>
          <w:iCs/>
          <w:szCs w:val="24"/>
        </w:rPr>
        <w:t xml:space="preserve"> – </w:t>
      </w:r>
      <w:r>
        <w:rPr>
          <w:rFonts w:cs="Times New Roman"/>
          <w:szCs w:val="24"/>
        </w:rPr>
        <w:t>The method is simple to compute and interpret the results, thereafter, thereby assisting the management of the company as regards the investment decision in the project in consideration of the cost of capital (Finance Management, 2024).</w:t>
      </w:r>
    </w:p>
    <w:p>
      <w:pPr>
        <w:pStyle w:val="style179"/>
        <w:numPr>
          <w:ilvl w:val="0"/>
          <w:numId w:val="28"/>
        </w:numPr>
        <w:spacing w:before="240" w:after="240"/>
        <w:rPr>
          <w:rFonts w:cs="Times New Roman"/>
          <w:b/>
          <w:bCs/>
          <w:szCs w:val="24"/>
        </w:rPr>
      </w:pPr>
      <w:r>
        <w:rPr>
          <w:rFonts w:cs="Times New Roman"/>
          <w:b/>
          <w:bCs/>
          <w:i/>
          <w:iCs/>
          <w:szCs w:val="24"/>
        </w:rPr>
        <w:t xml:space="preserve">True representation – </w:t>
      </w:r>
      <w:r>
        <w:rPr>
          <w:rFonts w:cs="Times New Roman"/>
          <w:szCs w:val="24"/>
        </w:rPr>
        <w:t xml:space="preserve">The method considers even the non-cash expenditures such as depreciation and amortisation, thereby representing the true representation of the rate of return </w:t>
      </w:r>
      <w:r>
        <w:rPr>
          <w:rFonts w:cs="Times New Roman"/>
          <w:szCs w:val="24"/>
        </w:rPr>
        <w:t>from</w:t>
      </w:r>
      <w:r>
        <w:rPr>
          <w:rFonts w:cs="Times New Roman"/>
          <w:szCs w:val="24"/>
        </w:rPr>
        <w:t xml:space="preserve"> the capital prospects.</w:t>
      </w:r>
    </w:p>
    <w:p>
      <w:pPr>
        <w:pStyle w:val="style0"/>
        <w:spacing w:before="240" w:after="240"/>
        <w:rPr>
          <w:rFonts w:cs="Times New Roman"/>
          <w:b/>
          <w:bCs/>
          <w:szCs w:val="24"/>
        </w:rPr>
      </w:pPr>
      <w:r>
        <w:rPr>
          <w:rFonts w:cs="Times New Roman"/>
          <w:b/>
          <w:bCs/>
          <w:szCs w:val="24"/>
        </w:rPr>
        <w:t>Cons</w:t>
      </w:r>
    </w:p>
    <w:p>
      <w:pPr>
        <w:pStyle w:val="style179"/>
        <w:numPr>
          <w:ilvl w:val="0"/>
          <w:numId w:val="27"/>
        </w:numPr>
        <w:spacing w:before="240" w:after="240"/>
        <w:rPr>
          <w:rFonts w:cs="Times New Roman"/>
          <w:b/>
          <w:bCs/>
          <w:szCs w:val="24"/>
        </w:rPr>
      </w:pPr>
      <w:r>
        <w:rPr>
          <w:rFonts w:cs="Times New Roman"/>
          <w:b/>
          <w:bCs/>
          <w:i/>
          <w:iCs/>
          <w:szCs w:val="24"/>
        </w:rPr>
        <w:t xml:space="preserve">Time Value of Money – </w:t>
      </w:r>
      <w:r>
        <w:rPr>
          <w:rFonts w:cs="Times New Roman"/>
          <w:szCs w:val="24"/>
        </w:rPr>
        <w:t>The method ignores the fundamental and the most valuable business concept of measuring the time value of the money, thereby impacting the investment decisions as regards the project adoption (</w:t>
      </w:r>
      <w:r>
        <w:rPr>
          <w:rFonts w:cs="Times New Roman"/>
          <w:szCs w:val="24"/>
        </w:rPr>
        <w:t>Knowledgiate</w:t>
      </w:r>
      <w:r>
        <w:rPr>
          <w:rFonts w:cs="Times New Roman"/>
          <w:szCs w:val="24"/>
        </w:rPr>
        <w:t>, 2024).</w:t>
      </w:r>
    </w:p>
    <w:p>
      <w:pPr>
        <w:pStyle w:val="style179"/>
        <w:numPr>
          <w:ilvl w:val="0"/>
          <w:numId w:val="27"/>
        </w:numPr>
        <w:spacing w:before="240" w:after="240"/>
        <w:rPr>
          <w:rFonts w:cs="Times New Roman"/>
          <w:b/>
          <w:bCs/>
          <w:szCs w:val="24"/>
        </w:rPr>
      </w:pPr>
      <w:r>
        <w:rPr>
          <w:rFonts w:cs="Times New Roman"/>
          <w:b/>
          <w:bCs/>
          <w:i/>
          <w:iCs/>
          <w:szCs w:val="24"/>
        </w:rPr>
        <w:t>Risk and Uncertainty –</w:t>
      </w:r>
      <w:r>
        <w:rPr>
          <w:rFonts w:cs="Times New Roman"/>
          <w:szCs w:val="24"/>
        </w:rPr>
        <w:t>. The method considers only the returns as the main factor for investment in the project and does not consider the risk and uncertainty associated with the investment which can have a significant impact on the investors of the project.</w:t>
      </w:r>
    </w:p>
    <w:p>
      <w:pPr>
        <w:pStyle w:val="style0"/>
        <w:spacing w:before="240" w:after="240"/>
        <w:rPr>
          <w:rFonts w:cs="Times New Roman"/>
          <w:b/>
          <w:bCs/>
          <w:szCs w:val="24"/>
        </w:rPr>
      </w:pPr>
      <w:r>
        <w:rPr>
          <w:rFonts w:cs="Times New Roman"/>
          <w:b/>
          <w:bCs/>
          <w:szCs w:val="24"/>
        </w:rPr>
        <w:t>Payback Period</w:t>
      </w:r>
    </w:p>
    <w:p>
      <w:pPr>
        <w:pStyle w:val="style0"/>
        <w:spacing w:before="240" w:after="240"/>
        <w:rPr>
          <w:rFonts w:cs="Times New Roman"/>
          <w:b/>
          <w:bCs/>
          <w:szCs w:val="24"/>
        </w:rPr>
      </w:pPr>
      <w:r>
        <w:rPr>
          <w:rFonts w:cs="Times New Roman"/>
          <w:b/>
          <w:bCs/>
          <w:szCs w:val="24"/>
        </w:rPr>
        <w:t>Pros</w:t>
      </w:r>
    </w:p>
    <w:p>
      <w:pPr>
        <w:pStyle w:val="style179"/>
        <w:numPr>
          <w:ilvl w:val="0"/>
          <w:numId w:val="16"/>
        </w:numPr>
        <w:spacing w:before="240" w:after="240"/>
        <w:rPr>
          <w:rFonts w:cs="Times New Roman"/>
          <w:b/>
          <w:bCs/>
          <w:szCs w:val="24"/>
        </w:rPr>
      </w:pPr>
      <w:r>
        <w:rPr>
          <w:rFonts w:cs="Times New Roman"/>
          <w:b/>
          <w:bCs/>
          <w:i/>
          <w:iCs/>
          <w:szCs w:val="24"/>
        </w:rPr>
        <w:t xml:space="preserve">Risk Factor – </w:t>
      </w:r>
      <w:r>
        <w:rPr>
          <w:rFonts w:cs="Times New Roman"/>
          <w:szCs w:val="24"/>
        </w:rPr>
        <w:t>The method considers the risk factor while computing the payback period of the project. The shorter the payback period, the lower the probability of risk and a higher payback period can have an adverse impact on the operational processes of a company due to a higher probability of the risk associated in the long run (Faster Capital, 2024).</w:t>
      </w:r>
    </w:p>
    <w:p>
      <w:pPr>
        <w:pStyle w:val="style179"/>
        <w:numPr>
          <w:ilvl w:val="0"/>
          <w:numId w:val="16"/>
        </w:numPr>
        <w:spacing w:before="240" w:after="240"/>
        <w:rPr>
          <w:rFonts w:cs="Times New Roman"/>
          <w:b/>
          <w:bCs/>
          <w:szCs w:val="24"/>
        </w:rPr>
      </w:pPr>
      <w:r>
        <w:rPr>
          <w:rFonts w:cs="Times New Roman"/>
          <w:b/>
          <w:bCs/>
          <w:i/>
          <w:iCs/>
          <w:szCs w:val="24"/>
        </w:rPr>
        <w:t xml:space="preserve">Short-term investment decision – </w:t>
      </w:r>
      <w:r>
        <w:rPr>
          <w:rFonts w:cs="Times New Roman"/>
          <w:szCs w:val="24"/>
        </w:rPr>
        <w:t xml:space="preserve">The method is useful for those project evaluations </w:t>
      </w:r>
      <w:r>
        <w:rPr>
          <w:rFonts w:cs="Times New Roman"/>
          <w:szCs w:val="24"/>
        </w:rPr>
        <w:t>that</w:t>
      </w:r>
      <w:r>
        <w:rPr>
          <w:rFonts w:cs="Times New Roman"/>
          <w:szCs w:val="24"/>
        </w:rPr>
        <w:t xml:space="preserve"> are short-term in nature. The method</w:t>
      </w:r>
      <w:r>
        <w:rPr>
          <w:rFonts w:cs="Times New Roman"/>
          <w:szCs w:val="24"/>
        </w:rPr>
        <w:t xml:space="preserve"> can assist the company in identifying the investment projects having shorter paybacks and can recover the investment amount in </w:t>
      </w:r>
      <w:r>
        <w:rPr>
          <w:rFonts w:cs="Times New Roman"/>
          <w:szCs w:val="24"/>
        </w:rPr>
        <w:t xml:space="preserve">a </w:t>
      </w:r>
      <w:r>
        <w:rPr>
          <w:rFonts w:cs="Times New Roman"/>
          <w:szCs w:val="24"/>
        </w:rPr>
        <w:t>short time with further generation of profits.</w:t>
      </w:r>
    </w:p>
    <w:p>
      <w:pPr>
        <w:pStyle w:val="style0"/>
        <w:spacing w:before="240" w:after="240"/>
        <w:rPr>
          <w:rFonts w:cs="Times New Roman"/>
          <w:b/>
          <w:bCs/>
          <w:szCs w:val="24"/>
        </w:rPr>
      </w:pPr>
      <w:r>
        <w:rPr>
          <w:rFonts w:cs="Times New Roman"/>
          <w:b/>
          <w:bCs/>
          <w:szCs w:val="24"/>
        </w:rPr>
        <w:t>Cons</w:t>
      </w:r>
    </w:p>
    <w:p>
      <w:pPr>
        <w:pStyle w:val="style179"/>
        <w:numPr>
          <w:ilvl w:val="0"/>
          <w:numId w:val="29"/>
        </w:numPr>
        <w:spacing w:before="240" w:after="240"/>
        <w:rPr>
          <w:rFonts w:cs="Times New Roman"/>
          <w:b/>
          <w:bCs/>
          <w:szCs w:val="24"/>
        </w:rPr>
      </w:pPr>
      <w:r>
        <w:rPr>
          <w:rFonts w:cs="Times New Roman"/>
          <w:b/>
          <w:bCs/>
          <w:i/>
          <w:iCs/>
          <w:szCs w:val="24"/>
        </w:rPr>
        <w:t xml:space="preserve">Profitability aspect – </w:t>
      </w:r>
      <w:r>
        <w:rPr>
          <w:rFonts w:cs="Times New Roman"/>
          <w:szCs w:val="24"/>
        </w:rPr>
        <w:t>The method does not define the profitability aspect of the project, instead it measures only the duration and the velocity of the recovery of the initial investment amount. Therefore, it poses a risk to generate optimum profits for the company in consideration of the project investment.</w:t>
      </w:r>
    </w:p>
    <w:p>
      <w:pPr>
        <w:pStyle w:val="style179"/>
        <w:numPr>
          <w:ilvl w:val="0"/>
          <w:numId w:val="29"/>
        </w:numPr>
        <w:spacing w:before="240" w:after="240"/>
        <w:rPr>
          <w:rFonts w:cs="Times New Roman"/>
          <w:b/>
          <w:bCs/>
          <w:szCs w:val="24"/>
        </w:rPr>
      </w:pPr>
      <w:r>
        <w:rPr>
          <w:rFonts w:cs="Times New Roman"/>
          <w:b/>
          <w:bCs/>
          <w:i/>
          <w:iCs/>
          <w:szCs w:val="24"/>
        </w:rPr>
        <w:t xml:space="preserve">Exclusion of Cashflows – </w:t>
      </w:r>
      <w:r>
        <w:rPr>
          <w:rFonts w:cs="Times New Roman"/>
          <w:szCs w:val="24"/>
        </w:rPr>
        <w:t>The method considers only those cash flows which are required to recover the initial investment cost an</w:t>
      </w:r>
      <w:r>
        <w:rPr>
          <w:rFonts w:cs="Times New Roman"/>
          <w:szCs w:val="24"/>
        </w:rPr>
        <w:t xml:space="preserve">d excludes those cashflows which are beyond the payback period. Therefore, it can exclude those cashflows also which are </w:t>
      </w:r>
      <w:r>
        <w:rPr>
          <w:rFonts w:cs="Times New Roman"/>
          <w:szCs w:val="24"/>
        </w:rPr>
        <w:t>beneficial and significant for the company and possess the capability to create a substantial impact on the operations of the company (</w:t>
      </w:r>
      <w:r>
        <w:rPr>
          <w:rFonts w:cs="Times New Roman"/>
          <w:szCs w:val="24"/>
        </w:rPr>
        <w:t>Financefied</w:t>
      </w:r>
      <w:r>
        <w:rPr>
          <w:rFonts w:cs="Times New Roman"/>
          <w:szCs w:val="24"/>
        </w:rPr>
        <w:t>, 2023).</w:t>
      </w:r>
    </w:p>
    <w:p>
      <w:pPr>
        <w:pStyle w:val="style0"/>
        <w:spacing w:before="240" w:after="240"/>
        <w:rPr>
          <w:rFonts w:cs="Times New Roman"/>
          <w:b/>
          <w:bCs/>
          <w:szCs w:val="24"/>
        </w:rPr>
      </w:pPr>
      <w:r>
        <w:rPr>
          <w:rFonts w:cs="Times New Roman"/>
          <w:b/>
          <w:bCs/>
          <w:szCs w:val="24"/>
        </w:rPr>
        <w:t>Net Present Value</w:t>
      </w:r>
    </w:p>
    <w:p>
      <w:pPr>
        <w:pStyle w:val="style0"/>
        <w:spacing w:before="240" w:after="240"/>
        <w:rPr>
          <w:rFonts w:cs="Times New Roman"/>
          <w:b/>
          <w:bCs/>
          <w:szCs w:val="24"/>
        </w:rPr>
      </w:pPr>
      <w:r>
        <w:rPr>
          <w:rFonts w:cs="Times New Roman"/>
          <w:b/>
          <w:bCs/>
          <w:szCs w:val="24"/>
        </w:rPr>
        <w:t>Pros</w:t>
      </w:r>
    </w:p>
    <w:p>
      <w:pPr>
        <w:pStyle w:val="style179"/>
        <w:numPr>
          <w:ilvl w:val="0"/>
          <w:numId w:val="33"/>
        </w:numPr>
        <w:spacing w:before="240" w:after="240"/>
        <w:rPr>
          <w:rFonts w:cs="Times New Roman"/>
          <w:b/>
          <w:bCs/>
          <w:szCs w:val="24"/>
        </w:rPr>
      </w:pPr>
      <w:r>
        <w:rPr>
          <w:rFonts w:cs="Times New Roman"/>
          <w:b/>
          <w:bCs/>
          <w:i/>
          <w:iCs/>
          <w:szCs w:val="24"/>
        </w:rPr>
        <w:t xml:space="preserve">Considers the Time value of money – </w:t>
      </w:r>
      <w:r>
        <w:rPr>
          <w:rFonts w:cs="Times New Roman"/>
          <w:szCs w:val="24"/>
        </w:rPr>
        <w:t xml:space="preserve">The method considers the crucial business concept of the time value of money, thereby ensuring the true rate of value at which the present value of cash flows equals the initial investment and </w:t>
      </w:r>
      <w:r>
        <w:rPr>
          <w:rFonts w:cs="Times New Roman"/>
          <w:szCs w:val="24"/>
        </w:rPr>
        <w:t>appropriate</w:t>
      </w:r>
      <w:r>
        <w:rPr>
          <w:rFonts w:cs="Times New Roman"/>
          <w:szCs w:val="24"/>
        </w:rPr>
        <w:t xml:space="preserve"> evaluation of the project for </w:t>
      </w:r>
      <w:r>
        <w:rPr>
          <w:rFonts w:cs="Times New Roman"/>
          <w:szCs w:val="24"/>
        </w:rPr>
        <w:t>investment decisions.</w:t>
      </w:r>
    </w:p>
    <w:p>
      <w:pPr>
        <w:pStyle w:val="style179"/>
        <w:numPr>
          <w:ilvl w:val="0"/>
          <w:numId w:val="33"/>
        </w:numPr>
        <w:spacing w:before="240" w:after="240"/>
        <w:rPr>
          <w:rFonts w:cs="Times New Roman"/>
          <w:b/>
          <w:bCs/>
          <w:szCs w:val="24"/>
        </w:rPr>
      </w:pPr>
      <w:r>
        <w:rPr>
          <w:rFonts w:cs="Times New Roman"/>
          <w:b/>
          <w:bCs/>
          <w:i/>
          <w:iCs/>
          <w:szCs w:val="24"/>
        </w:rPr>
        <w:t>Helps in decision making</w:t>
      </w:r>
      <w:r>
        <w:rPr>
          <w:rFonts w:cs="Times New Roman"/>
          <w:b/>
          <w:bCs/>
          <w:i/>
          <w:iCs/>
          <w:szCs w:val="24"/>
        </w:rPr>
        <w:t>–</w:t>
      </w:r>
      <w:r>
        <w:rPr>
          <w:rFonts w:cs="Times New Roman"/>
          <w:szCs w:val="24"/>
        </w:rPr>
        <w:t xml:space="preserve"> The net present value method contribute towards making decision regarding the investment in effective and viable manner. It </w:t>
      </w:r>
      <w:r>
        <w:rPr>
          <w:rFonts w:cs="Times New Roman"/>
          <w:szCs w:val="24"/>
        </w:rPr>
        <w:t>contribute</w:t>
      </w:r>
      <w:r>
        <w:rPr>
          <w:rFonts w:cs="Times New Roman"/>
          <w:szCs w:val="24"/>
        </w:rPr>
        <w:t xml:space="preserve"> towards making comparison between mutually exclusive projects that help in improving the process of decision making contributing towards attainment of long term goals of the company </w:t>
      </w:r>
      <w:r>
        <w:rPr>
          <w:rFonts w:cs="Times New Roman"/>
          <w:szCs w:val="24"/>
        </w:rPr>
        <w:t>(Analyst Prep, 2019).</w:t>
      </w:r>
    </w:p>
    <w:p>
      <w:pPr>
        <w:pStyle w:val="style0"/>
        <w:spacing w:before="240" w:after="240"/>
        <w:rPr>
          <w:rFonts w:cs="Times New Roman"/>
          <w:b/>
          <w:bCs/>
          <w:szCs w:val="24"/>
        </w:rPr>
      </w:pPr>
      <w:r>
        <w:rPr>
          <w:rFonts w:cs="Times New Roman"/>
          <w:b/>
          <w:bCs/>
          <w:szCs w:val="24"/>
        </w:rPr>
        <w:t>Cons</w:t>
      </w:r>
    </w:p>
    <w:p>
      <w:pPr>
        <w:pStyle w:val="style179"/>
        <w:numPr>
          <w:ilvl w:val="0"/>
          <w:numId w:val="32"/>
        </w:numPr>
        <w:spacing w:before="240" w:after="240"/>
        <w:rPr>
          <w:rFonts w:cs="Times New Roman"/>
          <w:b/>
          <w:bCs/>
          <w:szCs w:val="24"/>
        </w:rPr>
      </w:pPr>
      <w:r>
        <w:rPr>
          <w:rFonts w:cs="Times New Roman"/>
          <w:b/>
          <w:bCs/>
          <w:i/>
          <w:iCs/>
          <w:szCs w:val="24"/>
        </w:rPr>
        <w:t xml:space="preserve">Inappropriate for Long-term </w:t>
      </w:r>
      <w:r>
        <w:rPr>
          <w:rFonts w:cs="Times New Roman"/>
          <w:b/>
          <w:bCs/>
          <w:i/>
          <w:iCs/>
          <w:szCs w:val="24"/>
        </w:rPr>
        <w:t>Projects</w:t>
      </w:r>
      <w:r>
        <w:rPr>
          <w:rFonts w:cs="Times New Roman"/>
          <w:b/>
          <w:bCs/>
          <w:i/>
          <w:iCs/>
          <w:szCs w:val="24"/>
        </w:rPr>
        <w:t xml:space="preserve"> </w:t>
      </w:r>
      <w:r>
        <w:rPr>
          <w:rFonts w:cs="Times New Roman"/>
          <w:b/>
          <w:bCs/>
          <w:i/>
          <w:iCs/>
          <w:szCs w:val="24"/>
        </w:rPr>
        <w:t>–</w:t>
      </w:r>
      <w:r>
        <w:rPr>
          <w:rFonts w:cs="Times New Roman"/>
          <w:b/>
          <w:bCs/>
          <w:i/>
          <w:iCs/>
          <w:szCs w:val="24"/>
        </w:rPr>
        <w:t xml:space="preserve"> </w:t>
      </w:r>
      <w:r>
        <w:rPr>
          <w:rFonts w:cs="Times New Roman"/>
          <w:szCs w:val="24"/>
        </w:rPr>
        <w:t>The method considers only the discount rate for determining the present value of the projected cash flows of projects, which can be fluctuated within a period, thus making it inappropriate for long-term project investment (Magni and Magni, 2020).</w:t>
      </w:r>
    </w:p>
    <w:p>
      <w:pPr>
        <w:pStyle w:val="style179"/>
        <w:numPr>
          <w:ilvl w:val="0"/>
          <w:numId w:val="32"/>
        </w:numPr>
        <w:spacing w:before="240" w:after="240"/>
        <w:rPr>
          <w:rFonts w:cs="Times New Roman"/>
          <w:b/>
          <w:bCs/>
          <w:szCs w:val="24"/>
        </w:rPr>
      </w:pPr>
      <w:r>
        <w:rPr>
          <w:rFonts w:cs="Times New Roman"/>
          <w:b/>
          <w:bCs/>
          <w:i/>
          <w:iCs/>
          <w:szCs w:val="24"/>
        </w:rPr>
        <w:t xml:space="preserve">Problem in comparison with project of different sizes: </w:t>
      </w:r>
      <w:r>
        <w:rPr>
          <w:rFonts w:cs="Times New Roman"/>
          <w:szCs w:val="24"/>
        </w:rPr>
        <w:t xml:space="preserve">The method is not viable for projects that are of different sizes as it can provide incorrect decisions </w:t>
      </w:r>
      <w:r>
        <w:rPr>
          <w:rFonts w:cs="Times New Roman"/>
          <w:szCs w:val="24"/>
        </w:rPr>
        <w:t>and also</w:t>
      </w:r>
      <w:r>
        <w:rPr>
          <w:rFonts w:cs="Times New Roman"/>
          <w:szCs w:val="24"/>
        </w:rPr>
        <w:t xml:space="preserve"> negatively affect the outcomes. </w:t>
      </w:r>
    </w:p>
    <w:p>
      <w:pPr>
        <w:pStyle w:val="style0"/>
        <w:spacing w:before="240" w:after="240"/>
        <w:rPr>
          <w:rFonts w:cs="Times New Roman"/>
          <w:b/>
          <w:bCs/>
          <w:szCs w:val="24"/>
        </w:rPr>
      </w:pPr>
      <w:r>
        <w:rPr>
          <w:rFonts w:cs="Times New Roman"/>
          <w:b/>
          <w:bCs/>
          <w:szCs w:val="24"/>
        </w:rPr>
        <w:t>Non-Financial Factors</w:t>
      </w:r>
    </w:p>
    <w:p>
      <w:pPr>
        <w:pStyle w:val="style179"/>
        <w:numPr>
          <w:ilvl w:val="0"/>
          <w:numId w:val="38"/>
        </w:numPr>
        <w:spacing w:before="240" w:after="240"/>
        <w:rPr>
          <w:rFonts w:cs="Times New Roman"/>
          <w:b/>
          <w:bCs/>
          <w:szCs w:val="24"/>
        </w:rPr>
      </w:pPr>
      <w:r>
        <w:rPr>
          <w:rFonts w:cs="Times New Roman"/>
          <w:b/>
          <w:bCs/>
          <w:i/>
          <w:iCs/>
          <w:szCs w:val="24"/>
        </w:rPr>
        <w:t>Environmental, Social and Governmental (ESG) –</w:t>
      </w:r>
      <w:r>
        <w:rPr>
          <w:rFonts w:cs="Times New Roman"/>
          <w:b/>
          <w:bCs/>
          <w:szCs w:val="24"/>
        </w:rPr>
        <w:t xml:space="preserve"> </w:t>
      </w:r>
      <w:r>
        <w:rPr>
          <w:rFonts w:cs="Times New Roman"/>
          <w:szCs w:val="24"/>
        </w:rPr>
        <w:t>Incorporating the investment method in determining the project viability can assist the company in sustainable investing in those projects based on environmental, social and governmental criteria, thereby enhancing the profits of the company and the reputation in the market in consideration of the ESG investing</w:t>
      </w:r>
      <w:r>
        <w:rPr>
          <w:rFonts w:cs="Times New Roman"/>
          <w:szCs w:val="24"/>
        </w:rPr>
        <w:t>.</w:t>
      </w:r>
    </w:p>
    <w:p>
      <w:pPr>
        <w:pStyle w:val="style179"/>
        <w:numPr>
          <w:ilvl w:val="0"/>
          <w:numId w:val="38"/>
        </w:numPr>
        <w:spacing w:before="240" w:after="240"/>
        <w:rPr>
          <w:rFonts w:cs="Times New Roman"/>
          <w:b/>
          <w:bCs/>
          <w:szCs w:val="24"/>
        </w:rPr>
      </w:pPr>
      <w:r>
        <w:rPr>
          <w:rFonts w:cs="Times New Roman"/>
          <w:b/>
          <w:bCs/>
          <w:i/>
          <w:iCs/>
          <w:szCs w:val="24"/>
        </w:rPr>
        <w:t xml:space="preserve">Meeting Legislation requirements – </w:t>
      </w:r>
      <w:r>
        <w:rPr>
          <w:rFonts w:cs="Times New Roman"/>
          <w:szCs w:val="24"/>
        </w:rPr>
        <w:t xml:space="preserve">For investment decisions, the company’s compliance with current and future legislations provides the authenticity and credibility </w:t>
      </w:r>
      <w:r>
        <w:rPr>
          <w:rFonts w:cs="Times New Roman"/>
          <w:szCs w:val="24"/>
        </w:rPr>
        <w:t>of the company to the investors, thereby ensuring legislative requirements as a key factor (NIBUSINESS, 2024).</w:t>
      </w:r>
    </w:p>
    <w:p>
      <w:pPr>
        <w:pStyle w:val="style179"/>
        <w:numPr>
          <w:ilvl w:val="0"/>
          <w:numId w:val="38"/>
        </w:numPr>
        <w:spacing w:before="240" w:after="240"/>
        <w:rPr>
          <w:rFonts w:cs="Times New Roman"/>
          <w:b/>
          <w:bCs/>
          <w:szCs w:val="24"/>
        </w:rPr>
      </w:pPr>
      <w:r>
        <w:rPr>
          <w:rFonts w:cs="Times New Roman"/>
          <w:b/>
          <w:bCs/>
          <w:i/>
          <w:iCs/>
          <w:szCs w:val="24"/>
        </w:rPr>
        <w:t xml:space="preserve">Management Systems – </w:t>
      </w:r>
      <w:r>
        <w:rPr>
          <w:rFonts w:cs="Times New Roman"/>
          <w:szCs w:val="24"/>
        </w:rPr>
        <w:t>The level of management system of a company provides a base for the investment decisions as the stronger the management system, the stronger the company possesses to generate optimal revenue and profits (NIBUSINESS, 2024).</w:t>
      </w:r>
    </w:p>
    <w:p>
      <w:pPr>
        <w:pStyle w:val="style0"/>
        <w:spacing w:before="240" w:after="240"/>
        <w:jc w:val="left"/>
        <w:rPr>
          <w:rFonts w:cs="Times New Roman"/>
          <w:b/>
          <w:bCs/>
          <w:szCs w:val="24"/>
        </w:rPr>
      </w:pPr>
      <w:r>
        <w:rPr>
          <w:rFonts w:cs="Times New Roman"/>
          <w:b/>
          <w:bCs/>
          <w:szCs w:val="24"/>
        </w:rPr>
        <w:br w:type="page"/>
      </w:r>
    </w:p>
    <w:bookmarkStart w:id="16" w:name="_Toc173489808"/>
    <w:p>
      <w:pPr>
        <w:pStyle w:val="style1"/>
        <w:spacing w:before="240" w:after="240"/>
        <w:rPr>
          <w:rFonts w:cs="Times New Roman"/>
          <w:szCs w:val="24"/>
        </w:rPr>
      </w:pPr>
      <w:r>
        <w:rPr>
          <w:rFonts w:cs="Times New Roman"/>
          <w:szCs w:val="24"/>
        </w:rPr>
        <w:t>Conclusion</w:t>
      </w:r>
      <w:bookmarkEnd w:id="16"/>
    </w:p>
    <w:p>
      <w:pPr>
        <w:pStyle w:val="style0"/>
        <w:spacing w:before="240" w:after="240"/>
        <w:rPr>
          <w:rFonts w:cs="Times New Roman"/>
          <w:b/>
          <w:bCs/>
          <w:szCs w:val="24"/>
        </w:rPr>
      </w:pPr>
      <w:r>
        <w:rPr>
          <w:rFonts w:cs="Times New Roman"/>
          <w:szCs w:val="24"/>
        </w:rPr>
        <w:t xml:space="preserve">Concerned with the given case study </w:t>
      </w:r>
      <w:r>
        <w:rPr>
          <w:rFonts w:cs="Times New Roman"/>
          <w:szCs w:val="24"/>
        </w:rPr>
        <w:t>on Burberry Group Plc,</w:t>
      </w:r>
      <w:r>
        <w:rPr>
          <w:rFonts w:cs="Times New Roman"/>
          <w:szCs w:val="24"/>
        </w:rPr>
        <w:t xml:space="preserve"> </w:t>
      </w:r>
      <w:r>
        <w:rPr>
          <w:rFonts w:cs="Times New Roman"/>
          <w:szCs w:val="24"/>
        </w:rPr>
        <w:t>t</w:t>
      </w:r>
      <w:r>
        <w:rPr>
          <w:rFonts w:cs="Times New Roman"/>
          <w:szCs w:val="24"/>
        </w:rPr>
        <w:t xml:space="preserve">he above business report concludes the management of the financial resources of </w:t>
      </w:r>
      <w:r>
        <w:rPr>
          <w:rFonts w:cs="Times New Roman"/>
          <w:szCs w:val="24"/>
        </w:rPr>
        <w:t>the</w:t>
      </w:r>
      <w:r>
        <w:rPr>
          <w:rFonts w:cs="Times New Roman"/>
          <w:szCs w:val="24"/>
        </w:rPr>
        <w:t xml:space="preserve"> company using various theoretical frameworks</w:t>
      </w:r>
      <w:r>
        <w:rPr>
          <w:rFonts w:cs="Times New Roman"/>
          <w:szCs w:val="24"/>
        </w:rPr>
        <w:t>. The report concludes a brief comparison between Burberry Group Plc and Asos Plc by determining the ratios of the company for the five consecutive financial years from 2019 to 2023. The report further concludes the financial analysis of the companies using Ratio analysis to assess the comparison between various financial items of the company based on profitability, efficiency, liquidity</w:t>
      </w:r>
      <w:r>
        <w:rPr>
          <w:rFonts w:cs="Times New Roman"/>
          <w:szCs w:val="24"/>
        </w:rPr>
        <w:t>,</w:t>
      </w:r>
      <w:r>
        <w:rPr>
          <w:rFonts w:cs="Times New Roman"/>
          <w:szCs w:val="24"/>
        </w:rPr>
        <w:t xml:space="preserve"> and gearing.</w:t>
      </w:r>
      <w:r>
        <w:rPr>
          <w:rFonts w:cs="Times New Roman"/>
          <w:szCs w:val="24"/>
        </w:rPr>
        <w:t xml:space="preserve"> Burberry Group Plc dominates over Asos Plc in terms of profitability, liquidity, and gearing, whereas Asos Plc is much more efficient than Burberry Plc as depicted from the efficiency ratios.</w:t>
      </w:r>
      <w:r>
        <w:rPr>
          <w:rFonts w:cs="Times New Roman"/>
          <w:szCs w:val="24"/>
        </w:rPr>
        <w:t xml:space="preserve"> The report further concludes the application of investment appraisal techniques to the projected cash flows of Project A and Project B to determine the optimal investment using </w:t>
      </w:r>
      <w:r>
        <w:rPr>
          <w:rFonts w:cs="Times New Roman"/>
          <w:szCs w:val="24"/>
        </w:rPr>
        <w:t xml:space="preserve">the </w:t>
      </w:r>
      <w:r>
        <w:rPr>
          <w:rFonts w:cs="Times New Roman"/>
          <w:szCs w:val="24"/>
        </w:rPr>
        <w:t>accounting rate of return, payback period</w:t>
      </w:r>
      <w:r>
        <w:rPr>
          <w:rFonts w:cs="Times New Roman"/>
          <w:szCs w:val="24"/>
        </w:rPr>
        <w:t>,</w:t>
      </w:r>
      <w:r>
        <w:rPr>
          <w:rFonts w:cs="Times New Roman"/>
          <w:szCs w:val="24"/>
        </w:rPr>
        <w:t xml:space="preserve"> and </w:t>
      </w:r>
      <w:r>
        <w:rPr>
          <w:rFonts w:cs="Times New Roman"/>
          <w:szCs w:val="24"/>
        </w:rPr>
        <w:t>net present value</w:t>
      </w:r>
      <w:r>
        <w:rPr>
          <w:rFonts w:cs="Times New Roman"/>
          <w:szCs w:val="24"/>
        </w:rPr>
        <w:t xml:space="preserve"> of which Project A is more viable for the investment.</w:t>
      </w:r>
      <w:r>
        <w:rPr>
          <w:rFonts w:cs="Times New Roman"/>
          <w:szCs w:val="24"/>
        </w:rPr>
        <w:t xml:space="preserve"> </w:t>
      </w: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szCs w:val="24"/>
        </w:rPr>
      </w:pPr>
    </w:p>
    <w:bookmarkStart w:id="17" w:name="_Toc173489809"/>
    <w:p>
      <w:pPr>
        <w:pStyle w:val="style1"/>
        <w:spacing w:before="240" w:after="240"/>
        <w:rPr>
          <w:rFonts w:cs="Times New Roman"/>
          <w:szCs w:val="24"/>
        </w:rPr>
      </w:pPr>
      <w:r>
        <w:rPr>
          <w:rFonts w:cs="Times New Roman"/>
          <w:szCs w:val="24"/>
        </w:rPr>
        <w:t>References</w:t>
      </w:r>
      <w:bookmarkEnd w:id="17"/>
      <w:r>
        <w:rPr>
          <w:rFonts w:cs="Times New Roman"/>
          <w:szCs w:val="24"/>
        </w:rPr>
        <w:t xml:space="preserve"> </w:t>
      </w:r>
    </w:p>
    <w:p>
      <w:pPr>
        <w:pStyle w:val="style0"/>
        <w:spacing w:before="240" w:after="240"/>
        <w:rPr>
          <w:rFonts w:cs="Times New Roman"/>
          <w:szCs w:val="24"/>
        </w:rPr>
      </w:pPr>
      <w:r>
        <w:rPr>
          <w:rFonts w:cs="Times New Roman"/>
          <w:szCs w:val="24"/>
        </w:rPr>
        <w:t>Analyst Prep. (2019) The Internal Rate of Return. [Online]. Available at: https://analystprep.com/cfa-level-1-exam/quantitative-methods/internal-rate-return-example-question/#:~:text=The%20internal%20rate%20of%20return%20is%20usually%20compared,with%20a%20rate%20of%20return%20less%20than%2010%25 [Accessible on: 1st Aug 2024].</w:t>
      </w:r>
    </w:p>
    <w:p>
      <w:pPr>
        <w:pStyle w:val="style0"/>
        <w:spacing w:before="240" w:after="240"/>
        <w:rPr>
          <w:rFonts w:cs="Times New Roman"/>
          <w:szCs w:val="24"/>
        </w:rPr>
      </w:pPr>
      <w:r>
        <w:rPr>
          <w:rFonts w:cs="Times New Roman"/>
          <w:szCs w:val="24"/>
        </w:rPr>
        <w:t>Asos. (2019) Results Centre. [Online]. Available at: https://www.asosplc.com/investor-relations/results-centre/ [Accessible on: 30th July 2024].</w:t>
      </w:r>
    </w:p>
    <w:p>
      <w:pPr>
        <w:pStyle w:val="style0"/>
        <w:spacing w:before="240" w:after="240"/>
        <w:rPr>
          <w:rFonts w:cs="Times New Roman"/>
          <w:szCs w:val="24"/>
        </w:rPr>
      </w:pPr>
      <w:r>
        <w:rPr>
          <w:rFonts w:cs="Times New Roman"/>
          <w:szCs w:val="24"/>
        </w:rPr>
        <w:t>Asos. (2022) Results Centre. [Online]. Available at: https://www.asosplc.com/investor-relations/results-centre/ [Accessible on: 30th July 2024].</w:t>
      </w:r>
    </w:p>
    <w:p>
      <w:pPr>
        <w:pStyle w:val="style0"/>
        <w:spacing w:before="240" w:after="240"/>
        <w:rPr>
          <w:rFonts w:cs="Times New Roman"/>
          <w:szCs w:val="24"/>
        </w:rPr>
      </w:pPr>
      <w:r>
        <w:rPr>
          <w:rFonts w:cs="Times New Roman"/>
          <w:szCs w:val="24"/>
        </w:rPr>
        <w:t>Asos. (2023) Results Centre. [Online]. Available at: https://www.asosplc.com/investor-relations/results-centre/ [Accessible on: 29th July 2024].</w:t>
      </w:r>
    </w:p>
    <w:p>
      <w:pPr>
        <w:pStyle w:val="style0"/>
        <w:spacing w:before="240" w:after="240"/>
        <w:rPr>
          <w:rFonts w:cs="Times New Roman"/>
          <w:szCs w:val="24"/>
        </w:rPr>
      </w:pPr>
      <w:r>
        <w:rPr>
          <w:rFonts w:cs="Times New Roman"/>
          <w:szCs w:val="24"/>
        </w:rPr>
        <w:t>Asos. (2024) Our Footprint. [Online]. Available at: https://www.asosplc.com/this-is-asos/our-footprint/ [Accessible on: 29th July 2024].</w:t>
      </w:r>
    </w:p>
    <w:p>
      <w:pPr>
        <w:pStyle w:val="style0"/>
        <w:spacing w:before="240" w:after="240"/>
        <w:rPr>
          <w:rFonts w:cs="Times New Roman"/>
          <w:szCs w:val="24"/>
        </w:rPr>
      </w:pPr>
      <w:r>
        <w:rPr>
          <w:rFonts w:cs="Times New Roman"/>
          <w:szCs w:val="24"/>
        </w:rPr>
        <w:t>Asos. (2024) Supply Chain. [Online]. Available at: https://www.asosplc.com/fashion-with-integrity/our-supply-chain-1/ [Accessible on: 29th July 2024].</w:t>
      </w:r>
    </w:p>
    <w:p>
      <w:pPr>
        <w:pStyle w:val="style0"/>
        <w:spacing w:before="240" w:after="240"/>
        <w:rPr>
          <w:rFonts w:cs="Times New Roman"/>
          <w:szCs w:val="24"/>
        </w:rPr>
      </w:pPr>
      <w:r>
        <w:rPr>
          <w:rFonts w:cs="Times New Roman"/>
          <w:szCs w:val="24"/>
        </w:rPr>
        <w:t>Asos. (2024) This is ASOS. [Online]. Available at: https://www.asosplc.com/this-is-asos/ [Accessible on: 29th July 2024].</w:t>
      </w:r>
    </w:p>
    <w:p>
      <w:pPr>
        <w:pStyle w:val="style0"/>
        <w:spacing w:before="240" w:after="240"/>
        <w:rPr>
          <w:rFonts w:cs="Times New Roman"/>
          <w:szCs w:val="24"/>
        </w:rPr>
      </w:pPr>
      <w:r>
        <w:rPr>
          <w:rFonts w:cs="Times New Roman"/>
          <w:szCs w:val="24"/>
        </w:rPr>
        <w:t>Burberry. (2019) Annual Report. [Online]. Available at: https://www.burberryplc.com/content/dam/burberry/corporate/Investors/Annual_Report/BURBERRY_Annual_Report_2019_Web.pdf.downloadasset.pdf [</w:t>
      </w:r>
      <w:r>
        <w:rPr>
          <w:rFonts w:cs="Times New Roman"/>
          <w:szCs w:val="24"/>
        </w:rPr>
        <w:t>Acessible</w:t>
      </w:r>
      <w:r>
        <w:rPr>
          <w:rFonts w:cs="Times New Roman"/>
          <w:szCs w:val="24"/>
        </w:rPr>
        <w:t xml:space="preserve"> on: 30th July 2024].</w:t>
      </w:r>
    </w:p>
    <w:p>
      <w:pPr>
        <w:pStyle w:val="style0"/>
        <w:spacing w:before="240" w:after="240"/>
        <w:rPr>
          <w:rFonts w:cs="Times New Roman"/>
          <w:szCs w:val="24"/>
        </w:rPr>
      </w:pPr>
      <w:r>
        <w:rPr>
          <w:rFonts w:cs="Times New Roman"/>
          <w:szCs w:val="24"/>
        </w:rPr>
        <w:t>Burberry. (2020) Results, Reports and Presentations. [Online]. Available at: https://www.burberryplc.com/investors/results-reports-presentations.year2020 [Accessible on: 29th June 2024].</w:t>
      </w:r>
    </w:p>
    <w:p>
      <w:pPr>
        <w:pStyle w:val="style0"/>
        <w:spacing w:before="240" w:after="240"/>
        <w:rPr>
          <w:rFonts w:cs="Times New Roman"/>
          <w:szCs w:val="24"/>
        </w:rPr>
      </w:pPr>
      <w:r>
        <w:rPr>
          <w:rFonts w:cs="Times New Roman"/>
          <w:szCs w:val="24"/>
        </w:rPr>
        <w:t>Burberry. (2021) Burberry to be Climate Positive by 2040. [Online]. Available at: https://www.burberryplc.com/news/sustainability/2021/burberry-to-be-climate-positive-by-2040 [Accessible on: 29th July 2024].</w:t>
      </w:r>
    </w:p>
    <w:p>
      <w:pPr>
        <w:pStyle w:val="style0"/>
        <w:spacing w:before="240" w:after="240"/>
        <w:rPr>
          <w:rFonts w:cs="Times New Roman"/>
          <w:szCs w:val="24"/>
        </w:rPr>
      </w:pPr>
      <w:r>
        <w:rPr>
          <w:rFonts w:cs="Times New Roman"/>
          <w:szCs w:val="24"/>
        </w:rPr>
        <w:t>Burberry. (2023) Burberry acquires business from technical outerwear supplier. [Online]. Available at: https://www.burberryplc.com/news/corporate/2023/burberry-acquires-business-from-technical-outerwear-supplier [Accessible on: 29th July 2024].</w:t>
      </w:r>
    </w:p>
    <w:p>
      <w:pPr>
        <w:pStyle w:val="style0"/>
        <w:spacing w:before="240" w:after="240"/>
        <w:rPr>
          <w:rFonts w:cs="Times New Roman"/>
          <w:szCs w:val="24"/>
        </w:rPr>
      </w:pPr>
      <w:r>
        <w:rPr>
          <w:rFonts w:cs="Times New Roman"/>
          <w:szCs w:val="24"/>
        </w:rPr>
        <w:t>Burberry. (2024) Board Change. [Online]. Available at: https://www.burberryplc.com/news/corporate/2024/burberry-appoints-joshua-schulman-as-chief-executive-officer [Accessible on: 29th July 2024].</w:t>
      </w:r>
    </w:p>
    <w:p>
      <w:pPr>
        <w:pStyle w:val="style0"/>
        <w:spacing w:before="240" w:after="240"/>
        <w:rPr>
          <w:rFonts w:cs="Times New Roman"/>
          <w:szCs w:val="24"/>
        </w:rPr>
      </w:pPr>
      <w:r>
        <w:rPr>
          <w:rFonts w:cs="Times New Roman"/>
          <w:szCs w:val="24"/>
        </w:rPr>
        <w:t>Burberry. (2024) Business Model. [Online]. Available at: https://www.burberryplc.com/company/business-model [Accessible on: 29th July 2024].</w:t>
      </w:r>
    </w:p>
    <w:p>
      <w:pPr>
        <w:pStyle w:val="style0"/>
        <w:spacing w:before="240" w:after="240"/>
        <w:rPr>
          <w:rFonts w:cs="Times New Roman"/>
          <w:szCs w:val="24"/>
        </w:rPr>
      </w:pPr>
      <w:r>
        <w:rPr>
          <w:rFonts w:cs="Times New Roman"/>
          <w:szCs w:val="24"/>
        </w:rPr>
        <w:t>Burberry. (2024) History. [Online]. Available at: https://www.burberryplc.com/company/history [Accessible on: 29th July 2024].</w:t>
      </w:r>
    </w:p>
    <w:p>
      <w:pPr>
        <w:pStyle w:val="style0"/>
        <w:spacing w:before="240" w:after="240"/>
        <w:rPr>
          <w:rFonts w:cs="Times New Roman"/>
          <w:szCs w:val="24"/>
        </w:rPr>
      </w:pPr>
      <w:r>
        <w:rPr>
          <w:rFonts w:cs="Times New Roman"/>
          <w:szCs w:val="24"/>
        </w:rPr>
        <w:t>Burberry. (2024) Modern British Luxury. [Online]. Available at: https://www.burberryplc.com [Accessible on: 29th July 2024].</w:t>
      </w:r>
    </w:p>
    <w:p>
      <w:pPr>
        <w:pStyle w:val="style0"/>
        <w:spacing w:before="240" w:after="240"/>
        <w:rPr>
          <w:rFonts w:cs="Times New Roman"/>
          <w:szCs w:val="24"/>
        </w:rPr>
      </w:pPr>
      <w:r>
        <w:rPr>
          <w:rFonts w:cs="Times New Roman"/>
          <w:szCs w:val="24"/>
        </w:rPr>
        <w:t>CFI. (2024) Interest Coverage Ratio. [Online]. Available at: https://corporatefinanceinstitute.com/resources/commercial-lending/interest-coverage-ratio/ [Accessible on: 1st Aug 2024].</w:t>
      </w:r>
    </w:p>
    <w:p>
      <w:pPr>
        <w:pStyle w:val="style0"/>
        <w:spacing w:before="240" w:after="240"/>
        <w:rPr>
          <w:rFonts w:cs="Times New Roman"/>
          <w:szCs w:val="24"/>
        </w:rPr>
      </w:pPr>
      <w:r>
        <w:rPr>
          <w:rFonts w:cs="Times New Roman"/>
          <w:szCs w:val="24"/>
        </w:rPr>
        <w:t>Dai, H., Li, N., Wang, Y. and Zhao, X. (2022) The analysis of three main investment criteria: NPV IRR and payback period. In </w:t>
      </w:r>
      <w:r>
        <w:rPr>
          <w:rFonts w:cs="Times New Roman"/>
          <w:i/>
          <w:iCs/>
          <w:szCs w:val="24"/>
        </w:rPr>
        <w:t>2022 7th International Conference on Financial Innovation and Economic Development (ICFIED 2022)</w:t>
      </w:r>
      <w:r>
        <w:rPr>
          <w:rFonts w:cs="Times New Roman"/>
          <w:szCs w:val="24"/>
        </w:rPr>
        <w:t> (pp. 185-189). Atlantis Press.</w:t>
      </w:r>
    </w:p>
    <w:p>
      <w:pPr>
        <w:pStyle w:val="style0"/>
        <w:spacing w:before="240" w:after="240"/>
        <w:rPr>
          <w:rFonts w:cs="Times New Roman"/>
          <w:szCs w:val="24"/>
        </w:rPr>
      </w:pPr>
      <w:r>
        <w:rPr>
          <w:rFonts w:cs="Times New Roman"/>
          <w:szCs w:val="24"/>
        </w:rPr>
        <w:t>Faster Capital. (2024) Payback Period: The Pros and Cons of Using Payback Period in ROI Analysis. [Online]. Available at: https://fastercapital.com/content/Payback-Period--The-Pros-and-Cons-of-Using-Payback-Period-in-ROI-Analysis.html [Accessible on: 1st Aug 2024].</w:t>
      </w:r>
    </w:p>
    <w:p>
      <w:pPr>
        <w:pStyle w:val="style0"/>
        <w:spacing w:before="240" w:after="240"/>
        <w:rPr>
          <w:rFonts w:cs="Times New Roman"/>
          <w:szCs w:val="24"/>
        </w:rPr>
      </w:pPr>
      <w:r>
        <w:rPr>
          <w:rFonts w:cs="Times New Roman"/>
          <w:szCs w:val="24"/>
        </w:rPr>
        <w:t>Finance Management. (2024) What is the Accounting Rate of Return? Its Advantages and Disadvantages. [Online]. Available at: https://efinancemanagement.com/investment-decisions/accounting-rate-of-return [Accessible on: 1st Aug 2024].</w:t>
      </w:r>
    </w:p>
    <w:p>
      <w:pPr>
        <w:pStyle w:val="style0"/>
        <w:spacing w:before="240" w:after="240"/>
        <w:rPr>
          <w:rFonts w:cs="Times New Roman"/>
          <w:szCs w:val="24"/>
        </w:rPr>
      </w:pPr>
      <w:r>
        <w:rPr>
          <w:rFonts w:cs="Times New Roman"/>
          <w:szCs w:val="24"/>
        </w:rPr>
        <w:t>Financefied</w:t>
      </w:r>
      <w:r>
        <w:rPr>
          <w:rFonts w:cs="Times New Roman"/>
          <w:szCs w:val="24"/>
        </w:rPr>
        <w:t>. (2024) Payback Period Advantages and Disadvantages. [Online]. Available at: https://www.financefied.com/education/payback-period-advantages-and-disadvantages/ [Accessible on: 1st Aug 2024].</w:t>
      </w:r>
    </w:p>
    <w:p>
      <w:pPr>
        <w:pStyle w:val="style0"/>
        <w:spacing w:before="240" w:after="240"/>
        <w:rPr>
          <w:rFonts w:cs="Times New Roman"/>
          <w:szCs w:val="24"/>
        </w:rPr>
      </w:pPr>
      <w:r>
        <w:rPr>
          <w:rFonts w:cs="Times New Roman"/>
          <w:szCs w:val="24"/>
        </w:rPr>
        <w:t>Fridson</w:t>
      </w:r>
      <w:r>
        <w:rPr>
          <w:rFonts w:cs="Times New Roman"/>
          <w:szCs w:val="24"/>
        </w:rPr>
        <w:t>, M.S. and Alvarez, F. (2022) </w:t>
      </w:r>
      <w:r>
        <w:rPr>
          <w:rFonts w:cs="Times New Roman"/>
          <w:i/>
          <w:iCs/>
          <w:szCs w:val="24"/>
        </w:rPr>
        <w:t>Financial statement analysis: a practitioner's guide</w:t>
      </w:r>
      <w:r>
        <w:rPr>
          <w:rFonts w:cs="Times New Roman"/>
          <w:szCs w:val="24"/>
        </w:rPr>
        <w:t>. John Wiley &amp; Sons.</w:t>
      </w:r>
    </w:p>
    <w:p>
      <w:pPr>
        <w:pStyle w:val="style0"/>
        <w:spacing w:before="240" w:after="240"/>
        <w:rPr>
          <w:rFonts w:cs="Times New Roman"/>
          <w:szCs w:val="24"/>
        </w:rPr>
      </w:pPr>
      <w:r>
        <w:rPr>
          <w:rFonts w:cs="Times New Roman"/>
          <w:szCs w:val="24"/>
        </w:rPr>
        <w:t>Global Ranking. (2024) Market capitalization of ASOS (ASC.L). [Online]. Available at: https://companiesmarketcap.com/asos/marketcap/#:~:text=As%20of%20July%202024%20ASOS%20has%20a%20market,to%20measure%20how%20much%20a%20company%20is%20worth [Accessible on: 29th July 2024].</w:t>
      </w:r>
    </w:p>
    <w:p>
      <w:pPr>
        <w:pStyle w:val="style0"/>
        <w:spacing w:before="240" w:after="240"/>
        <w:rPr>
          <w:rFonts w:cs="Times New Roman"/>
          <w:szCs w:val="24"/>
        </w:rPr>
      </w:pPr>
      <w:r>
        <w:rPr>
          <w:rFonts w:cs="Times New Roman"/>
          <w:szCs w:val="24"/>
        </w:rPr>
        <w:t xml:space="preserve">Husain, T. and </w:t>
      </w:r>
      <w:r>
        <w:rPr>
          <w:rFonts w:cs="Times New Roman"/>
          <w:szCs w:val="24"/>
        </w:rPr>
        <w:t>Sunardi</w:t>
      </w:r>
      <w:r>
        <w:rPr>
          <w:rFonts w:cs="Times New Roman"/>
          <w:szCs w:val="24"/>
        </w:rPr>
        <w:t>, N. (2020) Firm's Value Prediction Based on Profitability Ratios and Dividend Policy. </w:t>
      </w:r>
      <w:r>
        <w:rPr>
          <w:rFonts w:cs="Times New Roman"/>
          <w:i/>
          <w:iCs/>
          <w:szCs w:val="24"/>
        </w:rPr>
        <w:t>Finance &amp; Economics Review</w:t>
      </w:r>
      <w:r>
        <w:rPr>
          <w:rFonts w:cs="Times New Roman"/>
          <w:szCs w:val="24"/>
        </w:rPr>
        <w:t>, </w:t>
      </w:r>
      <w:r>
        <w:rPr>
          <w:rFonts w:cs="Times New Roman"/>
          <w:i/>
          <w:iCs/>
          <w:szCs w:val="24"/>
        </w:rPr>
        <w:t>2</w:t>
      </w:r>
      <w:r>
        <w:rPr>
          <w:rFonts w:cs="Times New Roman"/>
          <w:szCs w:val="24"/>
        </w:rPr>
        <w:t>(2), pp.13-26.</w:t>
      </w:r>
    </w:p>
    <w:p>
      <w:pPr>
        <w:pStyle w:val="style0"/>
        <w:spacing w:before="240" w:after="240"/>
        <w:rPr>
          <w:rFonts w:cs="Times New Roman"/>
          <w:szCs w:val="24"/>
        </w:rPr>
      </w:pPr>
      <w:r>
        <w:rPr>
          <w:rFonts w:cs="Times New Roman"/>
          <w:szCs w:val="24"/>
        </w:rPr>
        <w:t xml:space="preserve">Kasza, D. (2021) What Should A Business Expect From Financial Statement </w:t>
      </w:r>
      <w:r>
        <w:rPr>
          <w:rFonts w:cs="Times New Roman"/>
          <w:szCs w:val="24"/>
        </w:rPr>
        <w:t>Preparation?.</w:t>
      </w:r>
      <w:r>
        <w:rPr>
          <w:rFonts w:cs="Times New Roman"/>
          <w:szCs w:val="24"/>
        </w:rPr>
        <w:t xml:space="preserve"> [Online]. Available at: https://simplycounted.com/financial-statement-preparation/ [Accessible on: 30th July 2024].</w:t>
      </w:r>
    </w:p>
    <w:p>
      <w:pPr>
        <w:pStyle w:val="style0"/>
        <w:spacing w:before="240" w:after="240"/>
        <w:rPr>
          <w:rFonts w:cs="Times New Roman"/>
          <w:szCs w:val="24"/>
        </w:rPr>
      </w:pPr>
      <w:r>
        <w:rPr>
          <w:rFonts w:cs="Times New Roman"/>
          <w:szCs w:val="24"/>
        </w:rPr>
        <w:t>Knowledgiate</w:t>
      </w:r>
      <w:r>
        <w:rPr>
          <w:rFonts w:cs="Times New Roman"/>
          <w:szCs w:val="24"/>
        </w:rPr>
        <w:t>. (2024) Advantages and Disadvantages of Accounting Rate of Return Method. [Online]. Available at: https://www.knowledgiate.com/advantages-disadvantages-accounting-rate-return-method/ [Accessible on: 1st Aug 2024].</w:t>
      </w:r>
    </w:p>
    <w:p>
      <w:pPr>
        <w:pStyle w:val="style0"/>
        <w:spacing w:before="240" w:after="240"/>
        <w:rPr>
          <w:rFonts w:cs="Times New Roman"/>
          <w:szCs w:val="24"/>
        </w:rPr>
      </w:pPr>
      <w:r>
        <w:rPr>
          <w:rFonts w:cs="Times New Roman"/>
          <w:szCs w:val="24"/>
        </w:rPr>
        <w:t>Magni, C.A. and Magni, C.A. (2020) Internal Rate of Return. </w:t>
      </w:r>
      <w:r>
        <w:rPr>
          <w:rFonts w:cs="Times New Roman"/>
          <w:i/>
          <w:iCs/>
          <w:szCs w:val="24"/>
        </w:rPr>
        <w:t>Investment Decisions and the Logic of Valuation: Linking Finance, Accounting, and Engineering</w:t>
      </w:r>
      <w:r>
        <w:rPr>
          <w:rFonts w:cs="Times New Roman"/>
          <w:szCs w:val="24"/>
        </w:rPr>
        <w:t>, pp.487-554.</w:t>
      </w:r>
    </w:p>
    <w:p>
      <w:pPr>
        <w:pStyle w:val="style0"/>
        <w:spacing w:before="240" w:after="240"/>
        <w:rPr>
          <w:rFonts w:cs="Times New Roman"/>
          <w:szCs w:val="24"/>
        </w:rPr>
      </w:pPr>
      <w:r>
        <w:rPr>
          <w:rFonts w:cs="Times New Roman"/>
          <w:szCs w:val="24"/>
        </w:rPr>
        <w:t>Market beat. (2024) Burberry Group (BRBY) Competitors. [Online]. Available at: https://www.marketbeat.com/stocks/LON/BRBY/competitors-and-alternatives/#:~:text=The%20main%20competitors%20of%20Burberry%20Group%20include%20Watches,%28BKG%29%2C%20Howden%20Joinery%20Group%20%28HWDN%29%2C%20and%20Kingfisher%20%28KGF%29. [Accessible on: 29th July 2024].</w:t>
      </w:r>
    </w:p>
    <w:p>
      <w:pPr>
        <w:pStyle w:val="style0"/>
        <w:spacing w:before="240" w:after="240"/>
        <w:rPr>
          <w:rFonts w:cs="Times New Roman"/>
          <w:szCs w:val="24"/>
        </w:rPr>
      </w:pPr>
      <w:r>
        <w:rPr>
          <w:rFonts w:cs="Times New Roman"/>
          <w:szCs w:val="24"/>
        </w:rPr>
        <w:t>Markonah</w:t>
      </w:r>
      <w:r>
        <w:rPr>
          <w:rFonts w:cs="Times New Roman"/>
          <w:szCs w:val="24"/>
        </w:rPr>
        <w:t>, M., Salim, A. and Franciska, J. (2020) Effect of profitability, leverage, and liquidity to the firm value. </w:t>
      </w:r>
      <w:r>
        <w:rPr>
          <w:rFonts w:cs="Times New Roman"/>
          <w:i/>
          <w:iCs/>
          <w:szCs w:val="24"/>
        </w:rPr>
        <w:t>Dinasti International Journal of Economics, Finance &amp; Accounting</w:t>
      </w:r>
      <w:r>
        <w:rPr>
          <w:rFonts w:cs="Times New Roman"/>
          <w:szCs w:val="24"/>
        </w:rPr>
        <w:t>, </w:t>
      </w:r>
      <w:r>
        <w:rPr>
          <w:rFonts w:cs="Times New Roman"/>
          <w:i/>
          <w:iCs/>
          <w:szCs w:val="24"/>
        </w:rPr>
        <w:t>1</w:t>
      </w:r>
      <w:r>
        <w:rPr>
          <w:rFonts w:cs="Times New Roman"/>
          <w:szCs w:val="24"/>
        </w:rPr>
        <w:t>(1), pp.83-94.</w:t>
      </w:r>
    </w:p>
    <w:p>
      <w:pPr>
        <w:pStyle w:val="style0"/>
        <w:spacing w:before="240" w:after="240"/>
        <w:rPr>
          <w:rFonts w:cs="Times New Roman"/>
          <w:b/>
          <w:bCs/>
          <w:szCs w:val="24"/>
        </w:rPr>
      </w:pPr>
      <w:r>
        <w:rPr>
          <w:rFonts w:cs="Times New Roman"/>
          <w:szCs w:val="24"/>
        </w:rPr>
        <w:t xml:space="preserve">NIBUSINESS. (2024) Investment appraisal techniques </w:t>
      </w:r>
      <w:r>
        <w:rPr>
          <w:rFonts w:cs="Times New Roman"/>
          <w:szCs w:val="24"/>
        </w:rPr>
        <w:t>Non-financial</w:t>
      </w:r>
      <w:r>
        <w:rPr>
          <w:rFonts w:cs="Times New Roman"/>
          <w:szCs w:val="24"/>
        </w:rPr>
        <w:t xml:space="preserve"> factors for investment appraisal. [Online]. Available at: https://www.nibusinessinfo.co.uk/content/non-financial-factors-investment-appraisal [Accessible on: 2nd Aug, 2024].</w:t>
      </w:r>
    </w:p>
    <w:p>
      <w:pPr>
        <w:pStyle w:val="style0"/>
        <w:spacing w:before="240" w:after="240"/>
        <w:rPr>
          <w:rFonts w:cs="Times New Roman"/>
          <w:szCs w:val="24"/>
        </w:rPr>
      </w:pPr>
      <w:r>
        <w:rPr>
          <w:rFonts w:cs="Times New Roman"/>
          <w:szCs w:val="24"/>
        </w:rPr>
        <w:t>Nukala, V.B. and Prasada Rao, S.S. (2021) Role of debt-to-equity ratio in project investment valuation, assessing risk and return in capital markets. </w:t>
      </w:r>
      <w:r>
        <w:rPr>
          <w:rFonts w:cs="Times New Roman"/>
          <w:i/>
          <w:iCs/>
          <w:szCs w:val="24"/>
        </w:rPr>
        <w:t>Future Business Journal</w:t>
      </w:r>
      <w:r>
        <w:rPr>
          <w:rFonts w:cs="Times New Roman"/>
          <w:szCs w:val="24"/>
        </w:rPr>
        <w:t>, </w:t>
      </w:r>
      <w:r>
        <w:rPr>
          <w:rFonts w:cs="Times New Roman"/>
          <w:i/>
          <w:iCs/>
          <w:szCs w:val="24"/>
        </w:rPr>
        <w:t>7</w:t>
      </w:r>
      <w:r>
        <w:rPr>
          <w:rFonts w:cs="Times New Roman"/>
          <w:szCs w:val="24"/>
        </w:rPr>
        <w:t>(1), p.13.</w:t>
      </w:r>
    </w:p>
    <w:p>
      <w:pPr>
        <w:pStyle w:val="style0"/>
        <w:spacing w:before="240" w:after="240"/>
        <w:rPr>
          <w:rFonts w:cs="Times New Roman"/>
          <w:szCs w:val="24"/>
        </w:rPr>
      </w:pPr>
      <w:r>
        <w:rPr>
          <w:rFonts w:cs="Times New Roman"/>
          <w:szCs w:val="24"/>
        </w:rPr>
        <w:t>Olayinka, A.A. (2022) Financial statement analysis as a tool for investment decisions and assessment of companies’ performance. </w:t>
      </w:r>
      <w:r>
        <w:rPr>
          <w:rFonts w:cs="Times New Roman"/>
          <w:i/>
          <w:iCs/>
          <w:szCs w:val="24"/>
        </w:rPr>
        <w:t>International Journal of Financial, Accounting, and Management</w:t>
      </w:r>
      <w:r>
        <w:rPr>
          <w:rFonts w:cs="Times New Roman"/>
          <w:szCs w:val="24"/>
        </w:rPr>
        <w:t>, </w:t>
      </w:r>
      <w:r>
        <w:rPr>
          <w:rFonts w:cs="Times New Roman"/>
          <w:i/>
          <w:iCs/>
          <w:szCs w:val="24"/>
        </w:rPr>
        <w:t>4</w:t>
      </w:r>
      <w:r>
        <w:rPr>
          <w:rFonts w:cs="Times New Roman"/>
          <w:szCs w:val="24"/>
        </w:rPr>
        <w:t>(1), pp.49-66.</w:t>
      </w:r>
    </w:p>
    <w:p>
      <w:pPr>
        <w:pStyle w:val="style0"/>
        <w:spacing w:before="240" w:after="240"/>
        <w:rPr>
          <w:rFonts w:cs="Times New Roman"/>
          <w:szCs w:val="24"/>
        </w:rPr>
      </w:pPr>
      <w:r>
        <w:rPr>
          <w:rFonts w:cs="Times New Roman"/>
          <w:szCs w:val="24"/>
        </w:rPr>
        <w:t>Palepu, K.G., Healy, P.M., Wright, S., Bradbury, M. and Coulton, J. (2020) </w:t>
      </w:r>
      <w:r>
        <w:rPr>
          <w:rFonts w:cs="Times New Roman"/>
          <w:i/>
          <w:iCs/>
          <w:szCs w:val="24"/>
        </w:rPr>
        <w:t>Business analysis and valuation: Using financial statements</w:t>
      </w:r>
      <w:r>
        <w:rPr>
          <w:rFonts w:cs="Times New Roman"/>
          <w:szCs w:val="24"/>
        </w:rPr>
        <w:t>. Cengage AU.</w:t>
      </w:r>
    </w:p>
    <w:p>
      <w:pPr>
        <w:pStyle w:val="style0"/>
        <w:spacing w:before="240" w:after="240"/>
        <w:rPr>
          <w:rFonts w:cs="Times New Roman"/>
          <w:szCs w:val="24"/>
        </w:rPr>
      </w:pPr>
      <w:r>
        <w:rPr>
          <w:rFonts w:cs="Times New Roman"/>
          <w:szCs w:val="24"/>
        </w:rPr>
        <w:t>Tamplin, T. (2023) Gross Profit Ratio. [Online]. Available at: https://www.financestrategists.com/accounting/accounting-ratios/gross-profit-ratio/#:~:text=The%20gross%20profit%20ratio%20%28or%20gross%20profit%20margin%29,profit%20percentage%20but%20a%20larger%20volume%20of%20sales [Accessible on: 1st Aug 2024].</w:t>
      </w:r>
    </w:p>
    <w:p>
      <w:pPr>
        <w:pStyle w:val="style0"/>
        <w:spacing w:before="240" w:after="240"/>
        <w:rPr>
          <w:rFonts w:cs="Times New Roman"/>
          <w:szCs w:val="24"/>
        </w:rPr>
      </w:pPr>
      <w:r>
        <w:rPr>
          <w:rFonts w:cs="Times New Roman"/>
          <w:szCs w:val="24"/>
        </w:rPr>
        <w:t>Vipond, T. (2024) Internal Rate of Return. [Online]. Available at: https://corporatefinanceinstitute.com/resources/valuation/internal-rate-return-irr/ [Accessible on: 1st Aug 2024].</w:t>
      </w:r>
    </w:p>
    <w:p>
      <w:pPr>
        <w:pStyle w:val="style0"/>
        <w:spacing w:before="240" w:after="240"/>
        <w:rPr>
          <w:rFonts w:cs="Times New Roman"/>
          <w:szCs w:val="24"/>
        </w:rPr>
      </w:pPr>
      <w:r>
        <w:rPr>
          <w:rFonts w:cs="Times New Roman"/>
          <w:szCs w:val="24"/>
        </w:rPr>
        <w:t xml:space="preserve">Yenni, Y., Arifin, A., Gunawan, E., </w:t>
      </w:r>
      <w:r>
        <w:rPr>
          <w:rFonts w:cs="Times New Roman"/>
          <w:szCs w:val="24"/>
        </w:rPr>
        <w:t>Pakpahan</w:t>
      </w:r>
      <w:r>
        <w:rPr>
          <w:rFonts w:cs="Times New Roman"/>
          <w:szCs w:val="24"/>
        </w:rPr>
        <w:t>, L. and Siregar, H. (2021) The impact of solvency and working capital on profitability. </w:t>
      </w:r>
      <w:r>
        <w:rPr>
          <w:rFonts w:cs="Times New Roman"/>
          <w:i/>
          <w:iCs/>
          <w:szCs w:val="24"/>
        </w:rPr>
        <w:t>Journal of Industrial Engineering &amp; Management Research</w:t>
      </w:r>
      <w:r>
        <w:rPr>
          <w:rFonts w:cs="Times New Roman"/>
          <w:szCs w:val="24"/>
        </w:rPr>
        <w:t>, </w:t>
      </w:r>
      <w:r>
        <w:rPr>
          <w:rFonts w:cs="Times New Roman"/>
          <w:i/>
          <w:iCs/>
          <w:szCs w:val="24"/>
        </w:rPr>
        <w:t>2</w:t>
      </w:r>
      <w:r>
        <w:rPr>
          <w:rFonts w:cs="Times New Roman"/>
          <w:szCs w:val="24"/>
        </w:rPr>
        <w:t>(4), pp.15-38.</w:t>
      </w:r>
    </w:p>
    <w:p>
      <w:pPr>
        <w:pStyle w:val="style0"/>
        <w:spacing w:before="240" w:after="240"/>
        <w:rPr>
          <w:rFonts w:cs="Times New Roman"/>
          <w:szCs w:val="24"/>
        </w:rPr>
      </w:pPr>
      <w:r>
        <w:rPr>
          <w:rFonts w:cs="Times New Roman"/>
          <w:szCs w:val="24"/>
        </w:rPr>
        <w:t>Zhang, T. (2024) Burberry Wins Trademark Infringement Lawsuit in China. [Online]. Available at: https://wwd.com/business-news/legal/burberry-win-trademark-infringement-lawsuit-china-lusheng-1236358457/ [Accessible on: 29th July 2024].</w:t>
      </w: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p>
    <w:p>
      <w:pPr>
        <w:pStyle w:val="style0"/>
        <w:spacing w:before="240" w:after="240"/>
        <w:rPr>
          <w:rFonts w:cs="Times New Roman"/>
          <w:b/>
          <w:bCs/>
          <w:szCs w:val="24"/>
        </w:rPr>
      </w:pPr>
    </w:p>
    <w:sectPr>
      <w:headerReference w:type="default" r:id="rId19"/>
      <w:footerReference w:type="default" r:id="rId20"/>
      <w:pgSz w:w="11906" w:h="16838" w:orient="portrait"/>
      <w:pgMar w:top="1440" w:right="1440" w:bottom="1440" w:left="1440" w:header="708" w:footer="708" w:gutter="0"/>
      <w:pgBorders w:zOrder="front" w:display="allPage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ptos">
    <w:altName w:val="Aptos"/>
    <w:panose1 w:val="00000000000000000000"/>
    <w:charset w:val="00"/>
    <w:family w:val="swiss"/>
    <w:pitch w:val="variable"/>
    <w:sig w:usb0="20000287" w:usb1="00000003" w:usb2="00000000" w:usb3="00000000" w:csb0="0000019F" w:csb1="00000000"/>
  </w:font>
  <w:font w:name="Cordia New">
    <w:altName w:val="Cordia New"/>
    <w:panose1 w:val="020b0304020002020204"/>
    <w:charset w:val="de"/>
    <w:family w:val="swiss"/>
    <w:pitch w:val="variable"/>
    <w:sig w:usb0="81000003" w:usb1="00000000" w:usb2="00000000" w:usb3="00000000" w:csb0="00010001" w:csb1="00000000"/>
  </w:font>
  <w:font w:name="DengXian Light">
    <w:altName w:val="等线 Light"/>
    <w:panose1 w:val="00000000000000000000"/>
    <w:charset w:val="86"/>
    <w:family w:val="auto"/>
    <w:pitch w:val="variable"/>
    <w:sig w:usb0="A00002BF" w:usb1="38CF7CFA" w:usb2="00000016" w:usb3="00000000" w:csb0="0004000F" w:csb1="00000000"/>
  </w:font>
  <w:font w:name="Angsana New">
    <w:altName w:val="Angsana New"/>
    <w:panose1 w:val="02020603050004020304"/>
    <w:charset w:val="de"/>
    <w:family w:val="roman"/>
    <w:pitch w:val="variable"/>
    <w:sig w:usb0="81000003" w:usb1="00000000" w:usb2="00000000" w:usb3="00000000" w:csb0="00010001" w:csb1="00000000"/>
  </w:font>
  <w:font w:name="Aptos Display">
    <w:altName w:val="Aptos Display"/>
    <w:panose1 w:val="00000000000000000000"/>
    <w:charset w:val="00"/>
    <w:family w:val="swiss"/>
    <w:pitch w:val="variable"/>
    <w:sig w:usb0="20000287" w:usb1="00000003" w:usb2="00000000" w:usb3="00000000" w:csb0="0000019F" w:csb1="00000000"/>
  </w:font>
  <w:font w:name="DengXian">
    <w:altName w:val="等线"/>
    <w:panose1 w:val="02010600030001010101"/>
    <w:charset w:val="86"/>
    <w:family w:val="auto"/>
    <w:pitch w:val="variable"/>
    <w:sig w:usb0="A00002BF" w:usb1="38CF7CFA" w:usb2="00000016" w:usb3="00000000" w:csb0="0004000F" w:csb1="00000000"/>
  </w:font>
  <w:font w:name="Arial">
    <w:altName w:val="Arial"/>
    <w:panose1 w:val="020b0604020002020204"/>
    <w:charset w:val="00"/>
    <w:family w:val="swiss"/>
    <w:pitch w:val="variable"/>
    <w:sig w:usb0="E0002EFF" w:usb1="C000785B" w:usb2="00000009" w:usb3="00000000" w:csb0="000001FF" w:csb1="00000000"/>
  </w:font>
  <w:font w:name="等线 Light">
    <w:altName w:val=""/>
    <w:panose1 w:val="00000000000000000000"/>
    <w:charset w:val="00"/>
    <w:family w:val="auto"/>
    <w:pitch w:val="default"/>
    <w:sig w:usb0="E0002AFF" w:usb1="C0007841" w:usb2="00000009" w:usb3="00000000" w:csb0="000001FF" w:csb1="00000000"/>
  </w:font>
  <w:font w:name="等线">
    <w:altName w:val=""/>
    <w:panose1 w:val="00000000000000000000"/>
    <w:charset w:val="00"/>
    <w:family w:val="auto"/>
    <w:pitch w:val="default"/>
    <w:sig w:usb0="E0002AFF" w:usb1="C0007841" w:usb2="00000009" w:usb3="00000000" w:csb0="000001F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b/>
        <w:bCs/>
      </w:rPr>
    </w:pPr>
    <w:r>
      <w:rPr>
        <w:b/>
        <w:bCs/>
      </w:rPr>
      <w:fldChar w:fldCharType="begin"/>
    </w:r>
    <w:r>
      <w:rPr>
        <w:b/>
        <w:bCs/>
      </w:rPr>
      <w:instrText xml:space="preserve"> PAGE   \* MERGEFORMAT </w:instrText>
    </w:r>
    <w:r>
      <w:rPr>
        <w:b/>
        <w:bCs/>
      </w:rPr>
      <w:fldChar w:fldCharType="separate"/>
    </w:r>
    <w:r>
      <w:rPr>
        <w:b/>
        <w:bCs/>
        <w:noProof/>
      </w:rPr>
      <w:t>2</w:t>
    </w:r>
    <w:r>
      <w:rPr>
        <w:b/>
        <w:bCs/>
        <w:noProof/>
      </w:rPr>
      <w:fldChar w:fldCharType="end"/>
    </w:r>
  </w:p>
  <w:p>
    <w:pPr>
      <w:pStyle w:val="style32"/>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rPr/>
    </w:pPr>
    <w:r>
      <w:rPr>
        <w:rFonts w:ascii="Arial" w:cs="Arial" w:hAnsi="Arial"/>
        <w:noProof/>
        <w:color w:val="000000"/>
        <w:sz w:val="22"/>
        <w:szCs w:val="22"/>
        <w:bdr w:val="none" w:sz="0" w:space="0" w:color="auto" w:frame="true"/>
      </w:rPr>
      <w:drawing>
        <wp:anchor distT="0" distB="0" distL="114300" distR="114300" simplePos="false" relativeHeight="2" behindDoc="false" locked="false" layoutInCell="true" allowOverlap="true">
          <wp:simplePos x="0" y="0"/>
          <wp:positionH relativeFrom="column">
            <wp:posOffset>5137785</wp:posOffset>
          </wp:positionH>
          <wp:positionV relativeFrom="paragraph">
            <wp:posOffset>-74295</wp:posOffset>
          </wp:positionV>
          <wp:extent cx="1148080" cy="458470"/>
          <wp:effectExtent l="0" t="0" r="0" b="0"/>
          <wp:wrapSquare wrapText="bothSides"/>
          <wp:docPr id="4097" name="Picture 1" descr="A black and white text&#10;&#10;Description automatically generate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7" name="Picture 1"/>
                  <pic:cNvPicPr/>
                </pic:nvPicPr>
                <pic:blipFill>
                  <a:blip r:embed="rId1" cstate="print"/>
                  <a:srcRect l="0" t="0" r="0" b="0"/>
                  <a:stretch/>
                </pic:blipFill>
                <pic:spPr>
                  <a:xfrm rot="0">
                    <a:off x="0" y="0"/>
                    <a:ext cx="1148080" cy="458470"/>
                  </a:xfrm>
                  <a:prstGeom prst="rect"/>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6FF237C0"/>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cs="Courier New" w:hAnsi="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cs="Courier New" w:hAnsi="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cs="Courier New" w:hAnsi="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1">
    <w:nsid w:val="00000001"/>
    <w:multiLevelType w:val="hybridMultilevel"/>
    <w:tmpl w:val="C85CF1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00000002"/>
    <w:multiLevelType w:val="hybridMultilevel"/>
    <w:tmpl w:val="455A1850"/>
    <w:lvl w:ilvl="0" w:tplc="4009000B">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77A4702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00000004"/>
    <w:multiLevelType w:val="hybridMultilevel"/>
    <w:tmpl w:val="DD4C63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00000005"/>
    <w:multiLevelType w:val="hybridMultilevel"/>
    <w:tmpl w:val="86889768"/>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cs="Courier New" w:hAnsi="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cs="Courier New" w:hAnsi="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cs="Courier New" w:hAnsi="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6">
    <w:nsid w:val="00000006"/>
    <w:multiLevelType w:val="hybridMultilevel"/>
    <w:tmpl w:val="1D72DF0C"/>
    <w:lvl w:ilvl="0" w:tplc="40090001">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7">
    <w:nsid w:val="00000007"/>
    <w:multiLevelType w:val="hybridMultilevel"/>
    <w:tmpl w:val="652E32A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00000008"/>
    <w:multiLevelType w:val="hybridMultilevel"/>
    <w:tmpl w:val="0E7E75F2"/>
    <w:lvl w:ilvl="0" w:tplc="40090001">
      <w:start w:val="1"/>
      <w:numFmt w:val="bullet"/>
      <w:lvlText w:val=""/>
      <w:lvlJc w:val="left"/>
      <w:pPr>
        <w:ind w:left="784" w:hanging="360"/>
      </w:pPr>
      <w:rPr>
        <w:rFonts w:ascii="Symbol" w:hAnsi="Symbol" w:hint="default"/>
      </w:rPr>
    </w:lvl>
    <w:lvl w:ilvl="1" w:tplc="40090003" w:tentative="1">
      <w:start w:val="1"/>
      <w:numFmt w:val="bullet"/>
      <w:lvlText w:val="o"/>
      <w:lvlJc w:val="left"/>
      <w:pPr>
        <w:ind w:left="1504" w:hanging="360"/>
      </w:pPr>
      <w:rPr>
        <w:rFonts w:ascii="Courier New" w:cs="Courier New" w:hAnsi="Courier New" w:hint="default"/>
      </w:rPr>
    </w:lvl>
    <w:lvl w:ilvl="2" w:tplc="40090005" w:tentative="1">
      <w:start w:val="1"/>
      <w:numFmt w:val="bullet"/>
      <w:lvlText w:val=""/>
      <w:lvlJc w:val="left"/>
      <w:pPr>
        <w:ind w:left="2224" w:hanging="360"/>
      </w:pPr>
      <w:rPr>
        <w:rFonts w:ascii="Wingdings" w:hAnsi="Wingdings" w:hint="default"/>
      </w:rPr>
    </w:lvl>
    <w:lvl w:ilvl="3" w:tplc="40090001" w:tentative="1">
      <w:start w:val="1"/>
      <w:numFmt w:val="bullet"/>
      <w:lvlText w:val=""/>
      <w:lvlJc w:val="left"/>
      <w:pPr>
        <w:ind w:left="2944" w:hanging="360"/>
      </w:pPr>
      <w:rPr>
        <w:rFonts w:ascii="Symbol" w:hAnsi="Symbol" w:hint="default"/>
      </w:rPr>
    </w:lvl>
    <w:lvl w:ilvl="4" w:tplc="40090003" w:tentative="1">
      <w:start w:val="1"/>
      <w:numFmt w:val="bullet"/>
      <w:lvlText w:val="o"/>
      <w:lvlJc w:val="left"/>
      <w:pPr>
        <w:ind w:left="3664" w:hanging="360"/>
      </w:pPr>
      <w:rPr>
        <w:rFonts w:ascii="Courier New" w:cs="Courier New" w:hAnsi="Courier New" w:hint="default"/>
      </w:rPr>
    </w:lvl>
    <w:lvl w:ilvl="5" w:tplc="40090005" w:tentative="1">
      <w:start w:val="1"/>
      <w:numFmt w:val="bullet"/>
      <w:lvlText w:val=""/>
      <w:lvlJc w:val="left"/>
      <w:pPr>
        <w:ind w:left="4384" w:hanging="360"/>
      </w:pPr>
      <w:rPr>
        <w:rFonts w:ascii="Wingdings" w:hAnsi="Wingdings" w:hint="default"/>
      </w:rPr>
    </w:lvl>
    <w:lvl w:ilvl="6" w:tplc="40090001" w:tentative="1">
      <w:start w:val="1"/>
      <w:numFmt w:val="bullet"/>
      <w:lvlText w:val=""/>
      <w:lvlJc w:val="left"/>
      <w:pPr>
        <w:ind w:left="5104" w:hanging="360"/>
      </w:pPr>
      <w:rPr>
        <w:rFonts w:ascii="Symbol" w:hAnsi="Symbol" w:hint="default"/>
      </w:rPr>
    </w:lvl>
    <w:lvl w:ilvl="7" w:tplc="40090003" w:tentative="1">
      <w:start w:val="1"/>
      <w:numFmt w:val="bullet"/>
      <w:lvlText w:val="o"/>
      <w:lvlJc w:val="left"/>
      <w:pPr>
        <w:ind w:left="5824" w:hanging="360"/>
      </w:pPr>
      <w:rPr>
        <w:rFonts w:ascii="Courier New" w:cs="Courier New" w:hAnsi="Courier New" w:hint="default"/>
      </w:rPr>
    </w:lvl>
    <w:lvl w:ilvl="8" w:tplc="40090005" w:tentative="1">
      <w:start w:val="1"/>
      <w:numFmt w:val="bullet"/>
      <w:lvlText w:val=""/>
      <w:lvlJc w:val="left"/>
      <w:pPr>
        <w:ind w:left="6544" w:hanging="360"/>
      </w:pPr>
      <w:rPr>
        <w:rFonts w:ascii="Wingdings" w:hAnsi="Wingdings" w:hint="default"/>
      </w:rPr>
    </w:lvl>
  </w:abstractNum>
  <w:abstractNum w:abstractNumId="9">
    <w:nsid w:val="00000009"/>
    <w:multiLevelType w:val="hybridMultilevel"/>
    <w:tmpl w:val="F44A574A"/>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cs="Courier New" w:hAnsi="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cs="Courier New" w:hAnsi="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cs="Courier New" w:hAnsi="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10">
    <w:nsid w:val="0000000A"/>
    <w:multiLevelType w:val="hybridMultilevel"/>
    <w:tmpl w:val="067AC3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0000000B"/>
    <w:multiLevelType w:val="hybridMultilevel"/>
    <w:tmpl w:val="ADC03428"/>
    <w:lvl w:ilvl="0" w:tplc="4009000B">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2">
    <w:nsid w:val="0000000C"/>
    <w:multiLevelType w:val="hybridMultilevel"/>
    <w:tmpl w:val="B0E01B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nsid w:val="0000000D"/>
    <w:multiLevelType w:val="hybridMultilevel"/>
    <w:tmpl w:val="6234C53E"/>
    <w:lvl w:ilvl="0" w:tplc="40090001">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4">
    <w:nsid w:val="0000000E"/>
    <w:multiLevelType w:val="hybridMultilevel"/>
    <w:tmpl w:val="607E23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nsid w:val="0000000F"/>
    <w:multiLevelType w:val="hybridMultilevel"/>
    <w:tmpl w:val="DD523E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nsid w:val="00000010"/>
    <w:multiLevelType w:val="hybridMultilevel"/>
    <w:tmpl w:val="5D04E8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nsid w:val="00000011"/>
    <w:multiLevelType w:val="hybridMultilevel"/>
    <w:tmpl w:val="37225F1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nsid w:val="00000012"/>
    <w:multiLevelType w:val="hybridMultilevel"/>
    <w:tmpl w:val="5CE2E2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nsid w:val="00000013"/>
    <w:multiLevelType w:val="hybridMultilevel"/>
    <w:tmpl w:val="809A34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nsid w:val="00000014"/>
    <w:multiLevelType w:val="hybridMultilevel"/>
    <w:tmpl w:val="EC8098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nsid w:val="00000015"/>
    <w:multiLevelType w:val="hybridMultilevel"/>
    <w:tmpl w:val="B2447F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nsid w:val="00000016"/>
    <w:multiLevelType w:val="hybridMultilevel"/>
    <w:tmpl w:val="3CB20A72"/>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cs="Courier New" w:hAnsi="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cs="Courier New" w:hAnsi="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cs="Courier New" w:hAnsi="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23">
    <w:nsid w:val="00000017"/>
    <w:multiLevelType w:val="hybridMultilevel"/>
    <w:tmpl w:val="1ED06826"/>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cs="Courier New" w:hAnsi="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cs="Courier New" w:hAnsi="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cs="Courier New" w:hAnsi="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24">
    <w:nsid w:val="00000018"/>
    <w:multiLevelType w:val="hybridMultilevel"/>
    <w:tmpl w:val="599C2700"/>
    <w:lvl w:ilvl="0" w:tplc="4009000B">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25">
    <w:nsid w:val="00000019"/>
    <w:multiLevelType w:val="hybridMultilevel"/>
    <w:tmpl w:val="3F04E9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nsid w:val="0000001A"/>
    <w:multiLevelType w:val="hybridMultilevel"/>
    <w:tmpl w:val="E758E2EE"/>
    <w:lvl w:ilvl="0" w:tplc="4009000B">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27">
    <w:nsid w:val="0000001B"/>
    <w:multiLevelType w:val="hybridMultilevel"/>
    <w:tmpl w:val="672ECC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nsid w:val="0000001C"/>
    <w:multiLevelType w:val="hybridMultilevel"/>
    <w:tmpl w:val="503A19D4"/>
    <w:lvl w:ilvl="0" w:tplc="40090001">
      <w:start w:val="1"/>
      <w:numFmt w:val="bullet"/>
      <w:lvlText w:val=""/>
      <w:lvlJc w:val="left"/>
      <w:pPr>
        <w:ind w:left="6480" w:hanging="360"/>
      </w:pPr>
      <w:rPr>
        <w:rFonts w:ascii="Symbol" w:hAnsi="Symbol" w:hint="default"/>
      </w:rPr>
    </w:lvl>
    <w:lvl w:ilvl="1" w:tplc="40090003" w:tentative="1">
      <w:start w:val="1"/>
      <w:numFmt w:val="bullet"/>
      <w:lvlText w:val="o"/>
      <w:lvlJc w:val="left"/>
      <w:pPr>
        <w:ind w:left="7200" w:hanging="360"/>
      </w:pPr>
      <w:rPr>
        <w:rFonts w:ascii="Courier New" w:cs="Courier New" w:hAnsi="Courier New" w:hint="default"/>
      </w:rPr>
    </w:lvl>
    <w:lvl w:ilvl="2" w:tplc="40090005" w:tentative="1">
      <w:start w:val="1"/>
      <w:numFmt w:val="bullet"/>
      <w:lvlText w:val=""/>
      <w:lvlJc w:val="left"/>
      <w:pPr>
        <w:ind w:left="7920" w:hanging="360"/>
      </w:pPr>
      <w:rPr>
        <w:rFonts w:ascii="Wingdings" w:hAnsi="Wingdings" w:hint="default"/>
      </w:rPr>
    </w:lvl>
    <w:lvl w:ilvl="3" w:tplc="40090001" w:tentative="1">
      <w:start w:val="1"/>
      <w:numFmt w:val="bullet"/>
      <w:lvlText w:val=""/>
      <w:lvlJc w:val="left"/>
      <w:pPr>
        <w:ind w:left="8640" w:hanging="360"/>
      </w:pPr>
      <w:rPr>
        <w:rFonts w:ascii="Symbol" w:hAnsi="Symbol" w:hint="default"/>
      </w:rPr>
    </w:lvl>
    <w:lvl w:ilvl="4" w:tplc="40090003" w:tentative="1">
      <w:start w:val="1"/>
      <w:numFmt w:val="bullet"/>
      <w:lvlText w:val="o"/>
      <w:lvlJc w:val="left"/>
      <w:pPr>
        <w:ind w:left="9360" w:hanging="360"/>
      </w:pPr>
      <w:rPr>
        <w:rFonts w:ascii="Courier New" w:cs="Courier New" w:hAnsi="Courier New" w:hint="default"/>
      </w:rPr>
    </w:lvl>
    <w:lvl w:ilvl="5" w:tplc="40090005" w:tentative="1">
      <w:start w:val="1"/>
      <w:numFmt w:val="bullet"/>
      <w:lvlText w:val=""/>
      <w:lvlJc w:val="left"/>
      <w:pPr>
        <w:ind w:left="10080" w:hanging="360"/>
      </w:pPr>
      <w:rPr>
        <w:rFonts w:ascii="Wingdings" w:hAnsi="Wingdings" w:hint="default"/>
      </w:rPr>
    </w:lvl>
    <w:lvl w:ilvl="6" w:tplc="40090001" w:tentative="1">
      <w:start w:val="1"/>
      <w:numFmt w:val="bullet"/>
      <w:lvlText w:val=""/>
      <w:lvlJc w:val="left"/>
      <w:pPr>
        <w:ind w:left="10800" w:hanging="360"/>
      </w:pPr>
      <w:rPr>
        <w:rFonts w:ascii="Symbol" w:hAnsi="Symbol" w:hint="default"/>
      </w:rPr>
    </w:lvl>
    <w:lvl w:ilvl="7" w:tplc="40090003" w:tentative="1">
      <w:start w:val="1"/>
      <w:numFmt w:val="bullet"/>
      <w:lvlText w:val="o"/>
      <w:lvlJc w:val="left"/>
      <w:pPr>
        <w:ind w:left="11520" w:hanging="360"/>
      </w:pPr>
      <w:rPr>
        <w:rFonts w:ascii="Courier New" w:cs="Courier New" w:hAnsi="Courier New" w:hint="default"/>
      </w:rPr>
    </w:lvl>
    <w:lvl w:ilvl="8" w:tplc="40090005" w:tentative="1">
      <w:start w:val="1"/>
      <w:numFmt w:val="bullet"/>
      <w:lvlText w:val=""/>
      <w:lvlJc w:val="left"/>
      <w:pPr>
        <w:ind w:left="12240" w:hanging="360"/>
      </w:pPr>
      <w:rPr>
        <w:rFonts w:ascii="Wingdings" w:hAnsi="Wingdings" w:hint="default"/>
      </w:rPr>
    </w:lvl>
  </w:abstractNum>
  <w:abstractNum w:abstractNumId="29">
    <w:nsid w:val="0000001D"/>
    <w:multiLevelType w:val="hybridMultilevel"/>
    <w:tmpl w:val="74B0F7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nsid w:val="0000001E"/>
    <w:multiLevelType w:val="hybridMultilevel"/>
    <w:tmpl w:val="CFBE3D8E"/>
    <w:lvl w:ilvl="0" w:tplc="40090001">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31">
    <w:nsid w:val="0000001F"/>
    <w:multiLevelType w:val="hybridMultilevel"/>
    <w:tmpl w:val="6C30EB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nsid w:val="00000020"/>
    <w:multiLevelType w:val="hybridMultilevel"/>
    <w:tmpl w:val="4DE84CB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cs="Courier New" w:hAnsi="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cs="Courier New" w:hAnsi="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cs="Courier New" w:hAnsi="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3">
    <w:nsid w:val="00000021"/>
    <w:multiLevelType w:val="hybridMultilevel"/>
    <w:tmpl w:val="C3981D9E"/>
    <w:lvl w:ilvl="0" w:tplc="4009000B">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34">
    <w:nsid w:val="00000022"/>
    <w:multiLevelType w:val="hybridMultilevel"/>
    <w:tmpl w:val="5264439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nsid w:val="00000023"/>
    <w:multiLevelType w:val="hybridMultilevel"/>
    <w:tmpl w:val="417803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nsid w:val="00000024"/>
    <w:multiLevelType w:val="hybridMultilevel"/>
    <w:tmpl w:val="9A6CC7A2"/>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cs="Courier New" w:hAnsi="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cs="Courier New" w:hAnsi="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cs="Courier New" w:hAnsi="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37">
    <w:nsid w:val="00000025"/>
    <w:multiLevelType w:val="hybridMultilevel"/>
    <w:tmpl w:val="F4CA95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6"/>
  </w:num>
  <w:num w:numId="2">
    <w:abstractNumId w:val="16"/>
  </w:num>
  <w:num w:numId="3">
    <w:abstractNumId w:val="9"/>
  </w:num>
  <w:num w:numId="4">
    <w:abstractNumId w:val="12"/>
  </w:num>
  <w:num w:numId="5">
    <w:abstractNumId w:val="7"/>
  </w:num>
  <w:num w:numId="6">
    <w:abstractNumId w:val="0"/>
  </w:num>
  <w:num w:numId="7">
    <w:abstractNumId w:val="20"/>
  </w:num>
  <w:num w:numId="8">
    <w:abstractNumId w:val="22"/>
  </w:num>
  <w:num w:numId="9">
    <w:abstractNumId w:val="17"/>
  </w:num>
  <w:num w:numId="10">
    <w:abstractNumId w:val="27"/>
  </w:num>
  <w:num w:numId="11">
    <w:abstractNumId w:val="34"/>
  </w:num>
  <w:num w:numId="12">
    <w:abstractNumId w:val="4"/>
  </w:num>
  <w:num w:numId="13">
    <w:abstractNumId w:val="3"/>
  </w:num>
  <w:num w:numId="14">
    <w:abstractNumId w:val="29"/>
  </w:num>
  <w:num w:numId="15">
    <w:abstractNumId w:val="15"/>
  </w:num>
  <w:num w:numId="16">
    <w:abstractNumId w:val="35"/>
  </w:num>
  <w:num w:numId="17">
    <w:abstractNumId w:val="19"/>
  </w:num>
  <w:num w:numId="18">
    <w:abstractNumId w:val="5"/>
  </w:num>
  <w:num w:numId="19">
    <w:abstractNumId w:val="28"/>
  </w:num>
  <w:num w:numId="20">
    <w:abstractNumId w:val="14"/>
  </w:num>
  <w:num w:numId="21">
    <w:abstractNumId w:val="23"/>
  </w:num>
  <w:num w:numId="22">
    <w:abstractNumId w:val="37"/>
  </w:num>
  <w:num w:numId="23">
    <w:abstractNumId w:val="18"/>
  </w:num>
  <w:num w:numId="24">
    <w:abstractNumId w:val="8"/>
  </w:num>
  <w:num w:numId="25">
    <w:abstractNumId w:val="10"/>
  </w:num>
  <w:num w:numId="26">
    <w:abstractNumId w:val="32"/>
  </w:num>
  <w:num w:numId="27">
    <w:abstractNumId w:val="21"/>
  </w:num>
  <w:num w:numId="28">
    <w:abstractNumId w:val="31"/>
  </w:num>
  <w:num w:numId="29">
    <w:abstractNumId w:val="1"/>
  </w:num>
  <w:num w:numId="30">
    <w:abstractNumId w:val="6"/>
  </w:num>
  <w:num w:numId="31">
    <w:abstractNumId w:val="26"/>
  </w:num>
  <w:num w:numId="32">
    <w:abstractNumId w:val="30"/>
  </w:num>
  <w:num w:numId="33">
    <w:abstractNumId w:val="13"/>
  </w:num>
  <w:num w:numId="34">
    <w:abstractNumId w:val="33"/>
  </w:num>
  <w:num w:numId="35">
    <w:abstractNumId w:val="24"/>
  </w:num>
  <w:num w:numId="36">
    <w:abstractNumId w:val="2"/>
  </w:num>
  <w:num w:numId="37">
    <w:abstractNumId w:val="11"/>
  </w:num>
  <w:num w:numId="38">
    <w:abstractNumId w:val="25"/>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removePersonalInformation/>
  <w:removeDateAndTime/>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IN" w:bidi="th-TH"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ptos" w:cs="Cordia New" w:eastAsia="Aptos" w:hAnsi="Aptos"/>
        <w:kern w:val="2"/>
        <w:sz w:val="22"/>
        <w:szCs w:val="28"/>
        <w:lang w:val="en-IN" w:bidi="th-TH" w:eastAsia="en-US"/>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spacing w:lineRule="auto" w:line="360"/>
      <w:jc w:val="both"/>
    </w:pPr>
    <w:rPr>
      <w:rFonts w:ascii="Times New Roman" w:hAnsi="Times New Roman"/>
      <w:sz w:val="24"/>
    </w:rPr>
  </w:style>
  <w:style w:type="paragraph" w:styleId="style1">
    <w:name w:val="heading 1"/>
    <w:basedOn w:val="style0"/>
    <w:next w:val="style0"/>
    <w:link w:val="style4097"/>
    <w:qFormat/>
    <w:uiPriority w:val="9"/>
    <w:pPr>
      <w:keepNext/>
      <w:keepLines/>
      <w:spacing w:before="360" w:after="80"/>
      <w:outlineLvl w:val="0"/>
    </w:pPr>
    <w:rPr>
      <w:rFonts w:cs="Angsana New" w:eastAsia="等线 Light"/>
      <w:b/>
      <w:iCs/>
      <w:color w:val="000000"/>
      <w:szCs w:val="50"/>
    </w:rPr>
  </w:style>
  <w:style w:type="paragraph" w:styleId="style2">
    <w:name w:val="heading 2"/>
    <w:basedOn w:val="style0"/>
    <w:next w:val="style0"/>
    <w:link w:val="style4098"/>
    <w:qFormat/>
    <w:uiPriority w:val="9"/>
    <w:pPr>
      <w:keepNext/>
      <w:keepLines/>
      <w:spacing w:before="160" w:after="80"/>
      <w:outlineLvl w:val="1"/>
    </w:pPr>
    <w:rPr>
      <w:rFonts w:cs="Angsana New" w:eastAsia="等线 Light"/>
      <w:b/>
      <w:i/>
      <w:color w:val="000000"/>
      <w:szCs w:val="40"/>
    </w:rPr>
  </w:style>
  <w:style w:type="paragraph" w:styleId="style3">
    <w:name w:val="heading 3"/>
    <w:basedOn w:val="style0"/>
    <w:next w:val="style0"/>
    <w:link w:val="style4099"/>
    <w:qFormat/>
    <w:uiPriority w:val="9"/>
    <w:pPr>
      <w:keepNext/>
      <w:keepLines/>
      <w:spacing w:before="160" w:after="80"/>
      <w:outlineLvl w:val="2"/>
    </w:pPr>
    <w:rPr>
      <w:rFonts w:cs="Angsana New" w:eastAsia="等线 Light"/>
      <w:i/>
      <w:color w:val="000000"/>
      <w:szCs w:val="35"/>
      <w:u w:val="single"/>
    </w:rPr>
  </w:style>
  <w:style w:type="paragraph" w:styleId="style4">
    <w:name w:val="heading 4"/>
    <w:basedOn w:val="style0"/>
    <w:next w:val="style0"/>
    <w:link w:val="style4100"/>
    <w:qFormat/>
    <w:uiPriority w:val="9"/>
    <w:pPr>
      <w:keepNext/>
      <w:keepLines/>
      <w:spacing w:before="80" w:after="40"/>
      <w:outlineLvl w:val="3"/>
    </w:pPr>
    <w:rPr>
      <w:rFonts w:ascii="Aptos" w:cs="Angsana New" w:eastAsia="等线 Light" w:hAnsi="Aptos"/>
      <w:i/>
      <w:iCs/>
      <w:color w:val="0f4761"/>
    </w:rPr>
  </w:style>
  <w:style w:type="paragraph" w:styleId="style5">
    <w:name w:val="heading 5"/>
    <w:basedOn w:val="style0"/>
    <w:next w:val="style0"/>
    <w:link w:val="style4101"/>
    <w:qFormat/>
    <w:uiPriority w:val="9"/>
    <w:pPr>
      <w:keepNext/>
      <w:keepLines/>
      <w:spacing w:before="80" w:after="40"/>
      <w:outlineLvl w:val="4"/>
    </w:pPr>
    <w:rPr>
      <w:rFonts w:ascii="Aptos" w:cs="Angsana New" w:eastAsia="等线 Light" w:hAnsi="Aptos"/>
      <w:color w:val="0f4761"/>
    </w:rPr>
  </w:style>
  <w:style w:type="paragraph" w:styleId="style6">
    <w:name w:val="heading 6"/>
    <w:basedOn w:val="style0"/>
    <w:next w:val="style0"/>
    <w:link w:val="style4102"/>
    <w:qFormat/>
    <w:uiPriority w:val="9"/>
    <w:pPr>
      <w:keepNext/>
      <w:keepLines/>
      <w:spacing w:before="40" w:after="0"/>
      <w:outlineLvl w:val="5"/>
    </w:pPr>
    <w:rPr>
      <w:rFonts w:ascii="Aptos" w:cs="Angsana New" w:eastAsia="等线 Light" w:hAnsi="Aptos"/>
      <w:i/>
      <w:iCs/>
      <w:color w:val="595959"/>
    </w:rPr>
  </w:style>
  <w:style w:type="paragraph" w:styleId="style7">
    <w:name w:val="heading 7"/>
    <w:basedOn w:val="style0"/>
    <w:next w:val="style0"/>
    <w:link w:val="style4103"/>
    <w:qFormat/>
    <w:uiPriority w:val="9"/>
    <w:pPr>
      <w:keepNext/>
      <w:keepLines/>
      <w:spacing w:before="40" w:after="0"/>
      <w:outlineLvl w:val="6"/>
    </w:pPr>
    <w:rPr>
      <w:rFonts w:ascii="Aptos" w:cs="Angsana New" w:eastAsia="等线 Light" w:hAnsi="Aptos"/>
      <w:color w:val="595959"/>
    </w:rPr>
  </w:style>
  <w:style w:type="paragraph" w:styleId="style8">
    <w:name w:val="heading 8"/>
    <w:basedOn w:val="style0"/>
    <w:next w:val="style0"/>
    <w:link w:val="style4104"/>
    <w:qFormat/>
    <w:uiPriority w:val="9"/>
    <w:pPr>
      <w:keepNext/>
      <w:keepLines/>
      <w:spacing w:after="0"/>
      <w:outlineLvl w:val="7"/>
    </w:pPr>
    <w:rPr>
      <w:rFonts w:ascii="Aptos" w:cs="Angsana New" w:eastAsia="等线 Light" w:hAnsi="Aptos"/>
      <w:i/>
      <w:iCs/>
      <w:color w:val="272727"/>
    </w:rPr>
  </w:style>
  <w:style w:type="paragraph" w:styleId="style9">
    <w:name w:val="heading 9"/>
    <w:basedOn w:val="style0"/>
    <w:next w:val="style0"/>
    <w:link w:val="style4105"/>
    <w:qFormat/>
    <w:uiPriority w:val="9"/>
    <w:pPr>
      <w:keepNext/>
      <w:keepLines/>
      <w:spacing w:after="0"/>
      <w:outlineLvl w:val="8"/>
    </w:pPr>
    <w:rPr>
      <w:rFonts w:ascii="Aptos" w:cs="Angsana New" w:eastAsia="等线 Light" w:hAnsi="Aptos"/>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d9d51ac2-d5e1-487d-b382-48754d112250"/>
    <w:basedOn w:val="style65"/>
    <w:next w:val="style4097"/>
    <w:link w:val="style1"/>
    <w:uiPriority w:val="9"/>
    <w:rPr>
      <w:rFonts w:ascii="Times New Roman" w:cs="Angsana New" w:eastAsia="等线 Light" w:hAnsi="Times New Roman"/>
      <w:b/>
      <w:iCs/>
      <w:color w:val="000000"/>
      <w:sz w:val="24"/>
      <w:szCs w:val="50"/>
    </w:rPr>
  </w:style>
  <w:style w:type="character" w:customStyle="1" w:styleId="style4098">
    <w:name w:val="Heading 2 Char_c6553b6b-aca8-4115-a977-3c122530d508"/>
    <w:basedOn w:val="style65"/>
    <w:next w:val="style4098"/>
    <w:link w:val="style2"/>
    <w:uiPriority w:val="9"/>
    <w:rPr>
      <w:rFonts w:ascii="Times New Roman" w:cs="Angsana New" w:eastAsia="等线 Light" w:hAnsi="Times New Roman"/>
      <w:b/>
      <w:i/>
      <w:color w:val="000000"/>
      <w:sz w:val="24"/>
      <w:szCs w:val="40"/>
    </w:rPr>
  </w:style>
  <w:style w:type="character" w:customStyle="1" w:styleId="style4099">
    <w:name w:val="Heading 3 Char_0dca53f8-ad01-4511-9735-f0d8e8b251ef"/>
    <w:basedOn w:val="style65"/>
    <w:next w:val="style4099"/>
    <w:link w:val="style3"/>
    <w:uiPriority w:val="9"/>
    <w:rPr>
      <w:rFonts w:ascii="Times New Roman" w:cs="Angsana New" w:eastAsia="等线 Light" w:hAnsi="Times New Roman"/>
      <w:i/>
      <w:color w:val="000000"/>
      <w:sz w:val="24"/>
      <w:szCs w:val="35"/>
      <w:u w:val="single"/>
    </w:rPr>
  </w:style>
  <w:style w:type="character" w:customStyle="1" w:styleId="style4100">
    <w:name w:val="Heading 4 Char_59593d7c-6886-4cb7-8c94-1ef53e62f61e"/>
    <w:basedOn w:val="style65"/>
    <w:next w:val="style4100"/>
    <w:link w:val="style4"/>
    <w:uiPriority w:val="9"/>
    <w:rPr>
      <w:rFonts w:cs="Angsana New" w:eastAsia="等线 Light"/>
      <w:i/>
      <w:iCs/>
      <w:color w:val="0f4761"/>
      <w:sz w:val="24"/>
    </w:rPr>
  </w:style>
  <w:style w:type="character" w:customStyle="1" w:styleId="style4101">
    <w:name w:val="Heading 5 Char_bc98116e-2d2c-41ac-a0be-f9e55602354e"/>
    <w:basedOn w:val="style65"/>
    <w:next w:val="style4101"/>
    <w:link w:val="style5"/>
    <w:uiPriority w:val="9"/>
    <w:rPr>
      <w:rFonts w:cs="Angsana New" w:eastAsia="等线 Light"/>
      <w:color w:val="0f4761"/>
      <w:sz w:val="24"/>
    </w:rPr>
  </w:style>
  <w:style w:type="character" w:customStyle="1" w:styleId="style4102">
    <w:name w:val="Heading 6 Char_84e507dd-7ad8-44cc-a771-478101fed25c"/>
    <w:basedOn w:val="style65"/>
    <w:next w:val="style4102"/>
    <w:link w:val="style6"/>
    <w:uiPriority w:val="9"/>
    <w:rPr>
      <w:rFonts w:cs="Angsana New" w:eastAsia="等线 Light"/>
      <w:i/>
      <w:iCs/>
      <w:color w:val="595959"/>
      <w:sz w:val="24"/>
    </w:rPr>
  </w:style>
  <w:style w:type="character" w:customStyle="1" w:styleId="style4103">
    <w:name w:val="Heading 7 Char_f136ded0-ae58-44bc-87f8-34a9758b34e6"/>
    <w:basedOn w:val="style65"/>
    <w:next w:val="style4103"/>
    <w:link w:val="style7"/>
    <w:uiPriority w:val="9"/>
    <w:rPr>
      <w:rFonts w:cs="Angsana New" w:eastAsia="等线 Light"/>
      <w:color w:val="595959"/>
      <w:sz w:val="24"/>
    </w:rPr>
  </w:style>
  <w:style w:type="character" w:customStyle="1" w:styleId="style4104">
    <w:name w:val="Heading 8 Char_ff007da2-1752-4336-a19e-b17eca4c596c"/>
    <w:basedOn w:val="style65"/>
    <w:next w:val="style4104"/>
    <w:link w:val="style8"/>
    <w:uiPriority w:val="9"/>
    <w:rPr>
      <w:rFonts w:cs="Angsana New" w:eastAsia="等线 Light"/>
      <w:i/>
      <w:iCs/>
      <w:color w:val="272727"/>
      <w:sz w:val="24"/>
    </w:rPr>
  </w:style>
  <w:style w:type="character" w:customStyle="1" w:styleId="style4105">
    <w:name w:val="Heading 9 Char_3cc650d9-8df4-4a16-93e8-fcc50baad830"/>
    <w:basedOn w:val="style65"/>
    <w:next w:val="style4105"/>
    <w:link w:val="style9"/>
    <w:uiPriority w:val="9"/>
    <w:rPr>
      <w:rFonts w:cs="Angsana New" w:eastAsia="等线 Light"/>
      <w:color w:val="272727"/>
      <w:sz w:val="24"/>
    </w:rPr>
  </w:style>
  <w:style w:type="paragraph" w:styleId="style62">
    <w:name w:val="Title"/>
    <w:basedOn w:val="style0"/>
    <w:next w:val="style0"/>
    <w:link w:val="style4106"/>
    <w:qFormat/>
    <w:uiPriority w:val="10"/>
    <w:pPr>
      <w:spacing w:after="80" w:lineRule="auto" w:line="240"/>
      <w:contextualSpacing/>
    </w:pPr>
    <w:rPr>
      <w:rFonts w:ascii="Aptos Display" w:cs="Angsana New" w:eastAsia="等线 Light" w:hAnsi="Aptos Display"/>
      <w:spacing w:val="-10"/>
      <w:kern w:val="28"/>
      <w:sz w:val="56"/>
      <w:szCs w:val="71"/>
    </w:rPr>
  </w:style>
  <w:style w:type="character" w:customStyle="1" w:styleId="style4106">
    <w:name w:val="Title Char_7629bdc5-d631-4f9f-b15d-4054250141d4"/>
    <w:basedOn w:val="style65"/>
    <w:next w:val="style4106"/>
    <w:link w:val="style62"/>
    <w:uiPriority w:val="10"/>
    <w:rPr>
      <w:rFonts w:ascii="Aptos Display" w:cs="Angsana New" w:eastAsia="等线 Light" w:hAnsi="Aptos Display"/>
      <w:spacing w:val="-10"/>
      <w:kern w:val="28"/>
      <w:sz w:val="56"/>
      <w:szCs w:val="71"/>
    </w:rPr>
  </w:style>
  <w:style w:type="paragraph" w:styleId="style74">
    <w:name w:val="Subtitle"/>
    <w:basedOn w:val="style0"/>
    <w:next w:val="style0"/>
    <w:link w:val="style4107"/>
    <w:qFormat/>
    <w:uiPriority w:val="11"/>
    <w:pPr>
      <w:numPr>
        <w:ilvl w:val="1"/>
        <w:numId w:val="0"/>
      </w:numPr>
    </w:pPr>
    <w:rPr>
      <w:rFonts w:ascii="Aptos" w:cs="Angsana New" w:eastAsia="等线 Light" w:hAnsi="Aptos"/>
      <w:color w:val="595959"/>
      <w:spacing w:val="15"/>
      <w:sz w:val="28"/>
      <w:szCs w:val="35"/>
    </w:rPr>
  </w:style>
  <w:style w:type="character" w:customStyle="1" w:styleId="style4107">
    <w:name w:val="Subtitle Char"/>
    <w:basedOn w:val="style65"/>
    <w:next w:val="style4107"/>
    <w:link w:val="style74"/>
    <w:uiPriority w:val="11"/>
    <w:rPr>
      <w:rFonts w:cs="Angsana New" w:eastAsia="等线 Light"/>
      <w:color w:val="595959"/>
      <w:spacing w:val="15"/>
      <w:sz w:val="28"/>
      <w:szCs w:val="35"/>
    </w:rPr>
  </w:style>
  <w:style w:type="paragraph" w:styleId="style180">
    <w:name w:val="Quote"/>
    <w:basedOn w:val="style0"/>
    <w:next w:val="style0"/>
    <w:link w:val="style4108"/>
    <w:qFormat/>
    <w:uiPriority w:val="29"/>
    <w:pPr>
      <w:spacing w:before="160"/>
      <w:jc w:val="center"/>
    </w:pPr>
    <w:rPr>
      <w:i/>
      <w:iCs/>
      <w:color w:val="404040"/>
    </w:rPr>
  </w:style>
  <w:style w:type="character" w:customStyle="1" w:styleId="style4108">
    <w:name w:val="Quote Char_5e019a9b-5f07-42ea-a16f-3dcfdd12eb15"/>
    <w:basedOn w:val="style65"/>
    <w:next w:val="style4108"/>
    <w:link w:val="style180"/>
    <w:uiPriority w:val="29"/>
    <w:rPr>
      <w:rFonts w:ascii="Times New Roman" w:hAnsi="Times New Roman"/>
      <w:i/>
      <w:iCs/>
      <w:color w:val="404040"/>
      <w:sz w:val="24"/>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0f4761"/>
    </w:rPr>
  </w:style>
  <w:style w:type="paragraph" w:styleId="style181">
    <w:name w:val="Intense Quote"/>
    <w:basedOn w:val="style0"/>
    <w:next w:val="style0"/>
    <w:link w:val="style4109"/>
    <w:qFormat/>
    <w:uiPriority w:val="30"/>
    <w:pPr>
      <w:pBdr>
        <w:top w:val="single" w:sz="4" w:space="10" w:color="0f4761"/>
        <w:bottom w:val="single" w:sz="4" w:space="10" w:color="0f4761"/>
      </w:pBdr>
      <w:spacing w:before="360" w:after="360"/>
      <w:ind w:left="864" w:right="864"/>
      <w:jc w:val="center"/>
    </w:pPr>
    <w:rPr>
      <w:i/>
      <w:iCs/>
      <w:color w:val="0f4761"/>
    </w:rPr>
  </w:style>
  <w:style w:type="character" w:customStyle="1" w:styleId="style4109">
    <w:name w:val="Intense Quote Char_94cb867b-5dec-4523-bcb5-340ec7bbb724"/>
    <w:basedOn w:val="style65"/>
    <w:next w:val="style4109"/>
    <w:link w:val="style181"/>
    <w:uiPriority w:val="30"/>
    <w:rPr>
      <w:rFonts w:ascii="Times New Roman" w:hAnsi="Times New Roman"/>
      <w:i/>
      <w:iCs/>
      <w:color w:val="0f4761"/>
      <w:sz w:val="24"/>
    </w:rPr>
  </w:style>
  <w:style w:type="character" w:styleId="style263">
    <w:name w:val="Intense Reference"/>
    <w:basedOn w:val="style65"/>
    <w:next w:val="style263"/>
    <w:qFormat/>
    <w:uiPriority w:val="32"/>
    <w:rPr>
      <w:b/>
      <w:bCs/>
      <w:smallCaps/>
      <w:color w:val="0f4761"/>
      <w:spacing w:val="5"/>
    </w:rPr>
  </w:style>
  <w:style w:type="paragraph" w:styleId="style31">
    <w:name w:val="header"/>
    <w:basedOn w:val="style0"/>
    <w:next w:val="style31"/>
    <w:link w:val="style4110"/>
    <w:uiPriority w:val="99"/>
    <w:pPr>
      <w:tabs>
        <w:tab w:val="center" w:leader="none" w:pos="4513"/>
        <w:tab w:val="right" w:leader="none" w:pos="9026"/>
      </w:tabs>
      <w:spacing w:after="0" w:lineRule="auto" w:line="240"/>
    </w:pPr>
    <w:rPr/>
  </w:style>
  <w:style w:type="character" w:customStyle="1" w:styleId="style4110">
    <w:name w:val="Header Char_79bf62f8-4829-4f4d-807c-447d460671dc"/>
    <w:basedOn w:val="style65"/>
    <w:next w:val="style4110"/>
    <w:link w:val="style31"/>
    <w:uiPriority w:val="99"/>
    <w:rPr>
      <w:rFonts w:ascii="Times New Roman" w:hAnsi="Times New Roman"/>
      <w:sz w:val="24"/>
    </w:rPr>
  </w:style>
  <w:style w:type="paragraph" w:styleId="style32">
    <w:name w:val="footer"/>
    <w:basedOn w:val="style0"/>
    <w:next w:val="style32"/>
    <w:link w:val="style4111"/>
    <w:uiPriority w:val="99"/>
    <w:pPr>
      <w:tabs>
        <w:tab w:val="center" w:leader="none" w:pos="4513"/>
        <w:tab w:val="right" w:leader="none" w:pos="9026"/>
      </w:tabs>
      <w:spacing w:after="0" w:lineRule="auto" w:line="240"/>
    </w:pPr>
    <w:rPr/>
  </w:style>
  <w:style w:type="character" w:customStyle="1" w:styleId="style4111">
    <w:name w:val="Footer Char_4a1455de-0564-4d77-a4ce-794ebf025317"/>
    <w:basedOn w:val="style65"/>
    <w:next w:val="style4111"/>
    <w:link w:val="style32"/>
    <w:uiPriority w:val="99"/>
    <w:rPr>
      <w:rFonts w:ascii="Times New Roman" w:hAnsi="Times New Roman"/>
      <w:sz w:val="24"/>
    </w:rPr>
  </w:style>
  <w:style w:type="paragraph" w:styleId="style34">
    <w:name w:val="caption"/>
    <w:basedOn w:val="style0"/>
    <w:next w:val="style0"/>
    <w:qFormat/>
    <w:uiPriority w:val="35"/>
    <w:pPr>
      <w:spacing w:after="200" w:lineRule="auto" w:line="240"/>
    </w:pPr>
    <w:rPr>
      <w:i/>
      <w:iCs/>
      <w:color w:val="0e2841"/>
      <w:sz w:val="18"/>
      <w:szCs w:val="22"/>
    </w:rPr>
  </w:style>
  <w:style w:type="character" w:styleId="style39">
    <w:name w:val="annotation reference"/>
    <w:basedOn w:val="style65"/>
    <w:next w:val="style39"/>
    <w:uiPriority w:val="99"/>
    <w:rPr>
      <w:sz w:val="16"/>
      <w:szCs w:val="16"/>
    </w:rPr>
  </w:style>
  <w:style w:type="paragraph" w:styleId="style30">
    <w:name w:val="annotation text"/>
    <w:basedOn w:val="style0"/>
    <w:next w:val="style30"/>
    <w:link w:val="style4112"/>
    <w:uiPriority w:val="99"/>
    <w:pPr>
      <w:spacing w:lineRule="auto" w:line="240"/>
    </w:pPr>
    <w:rPr>
      <w:sz w:val="20"/>
      <w:szCs w:val="25"/>
    </w:rPr>
  </w:style>
  <w:style w:type="character" w:customStyle="1" w:styleId="style4112">
    <w:name w:val="Comment Text Char"/>
    <w:basedOn w:val="style65"/>
    <w:next w:val="style4112"/>
    <w:link w:val="style30"/>
    <w:uiPriority w:val="99"/>
    <w:rPr>
      <w:rFonts w:ascii="Times New Roman" w:hAnsi="Times New Roman"/>
      <w:sz w:val="20"/>
      <w:szCs w:val="25"/>
    </w:rPr>
  </w:style>
  <w:style w:type="paragraph" w:styleId="style106">
    <w:name w:val="annotation subject"/>
    <w:basedOn w:val="style30"/>
    <w:next w:val="style30"/>
    <w:link w:val="style4113"/>
    <w:uiPriority w:val="99"/>
    <w:pPr/>
    <w:rPr>
      <w:b/>
      <w:bCs/>
    </w:rPr>
  </w:style>
  <w:style w:type="character" w:customStyle="1" w:styleId="style4113">
    <w:name w:val="Comment Subject Char"/>
    <w:basedOn w:val="style4112"/>
    <w:next w:val="style4113"/>
    <w:link w:val="style106"/>
    <w:uiPriority w:val="99"/>
    <w:rPr>
      <w:rFonts w:ascii="Times New Roman" w:hAnsi="Times New Roman"/>
      <w:b/>
      <w:bCs/>
      <w:sz w:val="20"/>
      <w:szCs w:val="25"/>
    </w:rPr>
  </w:style>
  <w:style w:type="paragraph" w:styleId="style266">
    <w:name w:val="TOC Heading"/>
    <w:basedOn w:val="style1"/>
    <w:next w:val="style0"/>
    <w:qFormat/>
    <w:uiPriority w:val="39"/>
    <w:pPr>
      <w:spacing w:before="240" w:after="0" w:lineRule="auto" w:line="259"/>
      <w:jc w:val="left"/>
      <w:outlineLvl w:val="9"/>
    </w:pPr>
    <w:rPr>
      <w:rFonts w:ascii="Aptos Display" w:hAnsi="Aptos Display"/>
      <w:b w:val="false"/>
      <w:iCs w:val="false"/>
      <w:color w:val="0f4761"/>
      <w:kern w:val="0"/>
      <w:sz w:val="32"/>
      <w:szCs w:val="32"/>
      <w:lang w:val="en-US" w:bidi="ar-SA"/>
      <w14:ligatures xmlns:w14="http://schemas.microsoft.com/office/word/2010/wordml" w14:val="none"/>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paragraph" w:styleId="style21">
    <w:name w:val="toc 3"/>
    <w:basedOn w:val="style0"/>
    <w:next w:val="style0"/>
    <w:uiPriority w:val="39"/>
    <w:pPr>
      <w:spacing w:after="100"/>
      <w:ind w:left="480"/>
    </w:pPr>
    <w:rPr/>
  </w:style>
  <w:style w:type="character" w:styleId="style85">
    <w:name w:val="Hyperlink"/>
    <w:basedOn w:val="style65"/>
    <w:next w:val="style85"/>
    <w:uiPriority w:val="99"/>
    <w:rPr>
      <w:color w:val="467886"/>
      <w:u w:val="single"/>
    </w:rPr>
  </w:style>
</w:styles>
</file>

<file path=word/_rels/document.xml.rels><?xml version="1.0" encoding="UTF-8"?>
<Relationships xmlns="http://schemas.openxmlformats.org/package/2006/relationships"><Relationship Id="rId20" Type="http://schemas.openxmlformats.org/officeDocument/2006/relationships/footer" Target="footer2.xml"/><Relationship Id="rId22" Type="http://schemas.openxmlformats.org/officeDocument/2006/relationships/fontTable" Target="fontTable.xml"/><Relationship Id="rId21" Type="http://schemas.openxmlformats.org/officeDocument/2006/relationships/styles" Target="styles.xml"/><Relationship Id="rId24" Type="http://schemas.openxmlformats.org/officeDocument/2006/relationships/theme" Target="theme/theme1.xml"/><Relationship Id="rId23" Type="http://schemas.openxmlformats.org/officeDocument/2006/relationships/settings" Target="settings.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25" Type="http://schemas.openxmlformats.org/officeDocument/2006/relationships/customXml" Target="../customXml/item1.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11" Type="http://schemas.openxmlformats.org/officeDocument/2006/relationships/image" Target="media/image10.png"/><Relationship Id="rId10" Type="http://schemas.openxmlformats.org/officeDocument/2006/relationships/image" Target="media/image9.png"/><Relationship Id="rId13" Type="http://schemas.openxmlformats.org/officeDocument/2006/relationships/image" Target="media/image12.png"/><Relationship Id="rId12" Type="http://schemas.openxmlformats.org/officeDocument/2006/relationships/image" Target="media/image11.png"/><Relationship Id="rId15" Type="http://schemas.openxmlformats.org/officeDocument/2006/relationships/image" Target="media/image14.png"/><Relationship Id="rId14" Type="http://schemas.openxmlformats.org/officeDocument/2006/relationships/image" Target="media/image13.png"/><Relationship Id="rId17" Type="http://schemas.openxmlformats.org/officeDocument/2006/relationships/image" Target="media/image16.png"/><Relationship Id="rId16" Type="http://schemas.openxmlformats.org/officeDocument/2006/relationships/image" Target="media/image15.png"/><Relationship Id="rId19" Type="http://schemas.openxmlformats.org/officeDocument/2006/relationships/header" Target="header1.xml"/><Relationship Id="rId18" Type="http://schemas.openxmlformats.org/officeDocument/2006/relationships/image" Target="media/image17.png"/></Relationships>
</file>

<file path=word/_rels/header1.xml.rels><?xml version="1.0" encoding="UTF-8"?>
<Relationships xmlns="http://schemas.openxmlformats.org/package/2006/relationships"><Relationship Id="rId1"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84A556-341D-4BE1-96A9-26B0FD1B38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6010</Words>
  <Pages>28</Pages>
  <Characters>35183</Characters>
  <Application>WPS Office</Application>
  <DocSecurity>0</DocSecurity>
  <Paragraphs>363</Paragraphs>
  <ScaleCrop>false</ScaleCrop>
  <LinksUpToDate>false</LinksUpToDate>
  <CharactersWithSpaces>41051</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2024-08-02T15:18:00Z</dcterms:created>
  <dc:creator>WPS Office</dc:creator>
  <lastModifiedBy>CPH2223</lastModifiedBy>
  <dcterms:modified xsi:type="dcterms:W3CDTF">2024-08-16T19:26:11Z</dcterms:modified>
  <revision>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eeff477de3d046bcb29398ef5192b1d3</vt:lpwstr>
  </property>
</Properties>
</file>