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2C813" w14:textId="603E16C9"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University of Wales Trinity Saint David</w:t>
      </w:r>
    </w:p>
    <w:p w14:paraId="48FD1907" w14:textId="6E43E2BF"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 xml:space="preserve">School of Engineering </w:t>
      </w:r>
    </w:p>
    <w:p w14:paraId="3D5EA9C8" w14:textId="73A422D0" w:rsidR="00D265F3" w:rsidRDefault="00D265F3" w:rsidP="00D265F3">
      <w:pPr>
        <w:pStyle w:val="ListParagraph"/>
        <w:jc w:val="center"/>
        <w:rPr>
          <w:rFonts w:ascii="Arial" w:hAnsi="Arial" w:cs="Arial"/>
          <w:b/>
          <w:bCs/>
          <w:sz w:val="52"/>
          <w:szCs w:val="52"/>
          <w:shd w:val="clear" w:color="auto" w:fill="FAF9F8"/>
        </w:rPr>
      </w:pPr>
    </w:p>
    <w:p w14:paraId="7AD87880" w14:textId="570B99C2"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Quality Tools &amp; Root Cause Analysis</w:t>
      </w:r>
    </w:p>
    <w:p w14:paraId="73168A28" w14:textId="02FF7C2B"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L4 – Quality &amp; Business Improvement ACMA4004</w:t>
      </w:r>
    </w:p>
    <w:p w14:paraId="1E4B2A22" w14:textId="449C09C9" w:rsidR="00D265F3" w:rsidRDefault="00D265F3" w:rsidP="00D265F3">
      <w:pPr>
        <w:pStyle w:val="ListParagraph"/>
        <w:jc w:val="center"/>
        <w:rPr>
          <w:rFonts w:ascii="Arial" w:hAnsi="Arial" w:cs="Arial"/>
          <w:b/>
          <w:bCs/>
          <w:sz w:val="52"/>
          <w:szCs w:val="52"/>
          <w:shd w:val="clear" w:color="auto" w:fill="FAF9F8"/>
        </w:rPr>
      </w:pPr>
    </w:p>
    <w:p w14:paraId="31302DAD" w14:textId="6F56F8E5"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Daniel Lloyd Jenkins</w:t>
      </w:r>
    </w:p>
    <w:p w14:paraId="769763EC" w14:textId="455127E8"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1078894</w:t>
      </w:r>
    </w:p>
    <w:p w14:paraId="5574DB40" w14:textId="1FBA6FDB" w:rsidR="00D265F3" w:rsidRDefault="00D265F3" w:rsidP="00D265F3">
      <w:pPr>
        <w:pStyle w:val="ListParagraph"/>
        <w:jc w:val="center"/>
        <w:rPr>
          <w:rFonts w:ascii="Arial" w:hAnsi="Arial" w:cs="Arial"/>
          <w:b/>
          <w:bCs/>
          <w:sz w:val="52"/>
          <w:szCs w:val="52"/>
          <w:shd w:val="clear" w:color="auto" w:fill="FAF9F8"/>
        </w:rPr>
      </w:pPr>
      <w:r>
        <w:rPr>
          <w:rFonts w:ascii="Arial" w:hAnsi="Arial" w:cs="Arial"/>
          <w:b/>
          <w:bCs/>
          <w:sz w:val="52"/>
          <w:szCs w:val="52"/>
          <w:shd w:val="clear" w:color="auto" w:fill="FAF9F8"/>
        </w:rPr>
        <w:t>30/03/2021</w:t>
      </w:r>
    </w:p>
    <w:p w14:paraId="0729D0F0" w14:textId="1F42A826" w:rsidR="00D265F3" w:rsidRDefault="00D265F3">
      <w:pPr>
        <w:rPr>
          <w:rFonts w:ascii="Arial" w:hAnsi="Arial" w:cs="Arial"/>
          <w:b/>
          <w:bCs/>
          <w:sz w:val="52"/>
          <w:szCs w:val="52"/>
          <w:shd w:val="clear" w:color="auto" w:fill="FAF9F8"/>
        </w:rPr>
      </w:pPr>
      <w:r>
        <w:rPr>
          <w:rFonts w:ascii="Arial" w:hAnsi="Arial" w:cs="Arial"/>
          <w:b/>
          <w:bCs/>
          <w:sz w:val="52"/>
          <w:szCs w:val="52"/>
          <w:shd w:val="clear" w:color="auto" w:fill="FAF9F8"/>
        </w:rPr>
        <w:br w:type="page"/>
      </w:r>
    </w:p>
    <w:sdt>
      <w:sdtPr>
        <w:id w:val="-2975292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AAAABC" w14:textId="7B75F41B" w:rsidR="00517B57" w:rsidRDefault="00517B57">
          <w:pPr>
            <w:pStyle w:val="TOCHeading"/>
          </w:pPr>
          <w:r>
            <w:t>Contents</w:t>
          </w:r>
        </w:p>
        <w:p w14:paraId="761529A3" w14:textId="76D62515" w:rsidR="00517B57" w:rsidRDefault="00517B5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555150" w:history="1">
            <w:r w:rsidRPr="00994D8C">
              <w:rPr>
                <w:rStyle w:val="Hyperlink"/>
                <w:rFonts w:asciiTheme="majorHAnsi" w:eastAsiaTheme="majorEastAsia" w:hAnsiTheme="majorHAnsi" w:cstheme="majorBidi"/>
                <w:noProof/>
                <w:lang w:val="en-US"/>
              </w:rPr>
              <w:t>1.</w:t>
            </w:r>
            <w:r>
              <w:rPr>
                <w:rFonts w:eastAsiaTheme="minorEastAsia"/>
                <w:noProof/>
                <w:lang w:eastAsia="en-GB"/>
              </w:rPr>
              <w:tab/>
            </w:r>
            <w:r w:rsidRPr="00994D8C">
              <w:rPr>
                <w:rStyle w:val="Hyperlink"/>
                <w:rFonts w:asciiTheme="majorHAnsi" w:eastAsiaTheme="majorEastAsia" w:hAnsiTheme="majorHAnsi" w:cstheme="majorBidi"/>
                <w:noProof/>
                <w:lang w:val="en-US"/>
              </w:rPr>
              <w:t>Scope</w:t>
            </w:r>
            <w:r>
              <w:rPr>
                <w:noProof/>
                <w:webHidden/>
              </w:rPr>
              <w:tab/>
            </w:r>
            <w:r>
              <w:rPr>
                <w:noProof/>
                <w:webHidden/>
              </w:rPr>
              <w:fldChar w:fldCharType="begin"/>
            </w:r>
            <w:r>
              <w:rPr>
                <w:noProof/>
                <w:webHidden/>
              </w:rPr>
              <w:instrText xml:space="preserve"> PAGEREF _Toc99555150 \h </w:instrText>
            </w:r>
            <w:r>
              <w:rPr>
                <w:noProof/>
                <w:webHidden/>
              </w:rPr>
            </w:r>
            <w:r>
              <w:rPr>
                <w:noProof/>
                <w:webHidden/>
              </w:rPr>
              <w:fldChar w:fldCharType="separate"/>
            </w:r>
            <w:r w:rsidR="00414660">
              <w:rPr>
                <w:noProof/>
                <w:webHidden/>
              </w:rPr>
              <w:t>3</w:t>
            </w:r>
            <w:r>
              <w:rPr>
                <w:noProof/>
                <w:webHidden/>
              </w:rPr>
              <w:fldChar w:fldCharType="end"/>
            </w:r>
          </w:hyperlink>
        </w:p>
        <w:p w14:paraId="24EB39FE" w14:textId="5555D9A5" w:rsidR="00517B57" w:rsidRDefault="00517B57">
          <w:pPr>
            <w:pStyle w:val="TOC1"/>
            <w:tabs>
              <w:tab w:val="left" w:pos="440"/>
              <w:tab w:val="right" w:leader="dot" w:pos="9016"/>
            </w:tabs>
            <w:rPr>
              <w:rFonts w:eastAsiaTheme="minorEastAsia"/>
              <w:noProof/>
              <w:lang w:eastAsia="en-GB"/>
            </w:rPr>
          </w:pPr>
          <w:hyperlink w:anchor="_Toc99555151" w:history="1">
            <w:r w:rsidRPr="00994D8C">
              <w:rPr>
                <w:rStyle w:val="Hyperlink"/>
                <w:rFonts w:asciiTheme="majorHAnsi" w:eastAsiaTheme="majorEastAsia" w:hAnsiTheme="majorHAnsi" w:cstheme="majorBidi"/>
                <w:noProof/>
                <w:lang w:val="en-US"/>
              </w:rPr>
              <w:t>2.</w:t>
            </w:r>
            <w:r>
              <w:rPr>
                <w:rFonts w:eastAsiaTheme="minorEastAsia"/>
                <w:noProof/>
                <w:lang w:eastAsia="en-GB"/>
              </w:rPr>
              <w:tab/>
            </w:r>
            <w:r w:rsidRPr="00994D8C">
              <w:rPr>
                <w:rStyle w:val="Hyperlink"/>
                <w:rFonts w:asciiTheme="majorHAnsi" w:eastAsiaTheme="majorEastAsia" w:hAnsiTheme="majorHAnsi" w:cstheme="majorBidi"/>
                <w:noProof/>
                <w:lang w:val="en-US"/>
              </w:rPr>
              <w:t>Data Collection/Data Analysis</w:t>
            </w:r>
            <w:r>
              <w:rPr>
                <w:noProof/>
                <w:webHidden/>
              </w:rPr>
              <w:tab/>
            </w:r>
            <w:r>
              <w:rPr>
                <w:noProof/>
                <w:webHidden/>
              </w:rPr>
              <w:fldChar w:fldCharType="begin"/>
            </w:r>
            <w:r>
              <w:rPr>
                <w:noProof/>
                <w:webHidden/>
              </w:rPr>
              <w:instrText xml:space="preserve"> PAGEREF _Toc99555151 \h </w:instrText>
            </w:r>
            <w:r>
              <w:rPr>
                <w:noProof/>
                <w:webHidden/>
              </w:rPr>
            </w:r>
            <w:r>
              <w:rPr>
                <w:noProof/>
                <w:webHidden/>
              </w:rPr>
              <w:fldChar w:fldCharType="separate"/>
            </w:r>
            <w:r w:rsidR="00414660">
              <w:rPr>
                <w:noProof/>
                <w:webHidden/>
              </w:rPr>
              <w:t>4</w:t>
            </w:r>
            <w:r>
              <w:rPr>
                <w:noProof/>
                <w:webHidden/>
              </w:rPr>
              <w:fldChar w:fldCharType="end"/>
            </w:r>
          </w:hyperlink>
        </w:p>
        <w:p w14:paraId="6F1C8EC7" w14:textId="573F0FCC" w:rsidR="00517B57" w:rsidRDefault="00517B57">
          <w:pPr>
            <w:pStyle w:val="TOC1"/>
            <w:tabs>
              <w:tab w:val="left" w:pos="440"/>
              <w:tab w:val="right" w:leader="dot" w:pos="9016"/>
            </w:tabs>
            <w:rPr>
              <w:rFonts w:eastAsiaTheme="minorEastAsia"/>
              <w:noProof/>
              <w:lang w:eastAsia="en-GB"/>
            </w:rPr>
          </w:pPr>
          <w:hyperlink w:anchor="_Toc99555152" w:history="1">
            <w:r w:rsidRPr="00994D8C">
              <w:rPr>
                <w:rStyle w:val="Hyperlink"/>
                <w:rFonts w:asciiTheme="majorHAnsi" w:eastAsiaTheme="majorEastAsia" w:hAnsiTheme="majorHAnsi" w:cstheme="majorBidi"/>
                <w:noProof/>
                <w:lang w:val="en-US"/>
              </w:rPr>
              <w:t>3.</w:t>
            </w:r>
            <w:r>
              <w:rPr>
                <w:rFonts w:eastAsiaTheme="minorEastAsia"/>
                <w:noProof/>
                <w:lang w:eastAsia="en-GB"/>
              </w:rPr>
              <w:tab/>
            </w:r>
            <w:r w:rsidRPr="00994D8C">
              <w:rPr>
                <w:rStyle w:val="Hyperlink"/>
                <w:rFonts w:asciiTheme="majorHAnsi" w:eastAsiaTheme="majorEastAsia" w:hAnsiTheme="majorHAnsi" w:cstheme="majorBidi"/>
                <w:noProof/>
                <w:lang w:val="en-US"/>
              </w:rPr>
              <w:t>Root Cause Analysis</w:t>
            </w:r>
            <w:r>
              <w:rPr>
                <w:noProof/>
                <w:webHidden/>
              </w:rPr>
              <w:tab/>
            </w:r>
            <w:r>
              <w:rPr>
                <w:noProof/>
                <w:webHidden/>
              </w:rPr>
              <w:fldChar w:fldCharType="begin"/>
            </w:r>
            <w:r>
              <w:rPr>
                <w:noProof/>
                <w:webHidden/>
              </w:rPr>
              <w:instrText xml:space="preserve"> PAGEREF _Toc99555152 \h </w:instrText>
            </w:r>
            <w:r>
              <w:rPr>
                <w:noProof/>
                <w:webHidden/>
              </w:rPr>
            </w:r>
            <w:r>
              <w:rPr>
                <w:noProof/>
                <w:webHidden/>
              </w:rPr>
              <w:fldChar w:fldCharType="separate"/>
            </w:r>
            <w:r w:rsidR="00414660">
              <w:rPr>
                <w:noProof/>
                <w:webHidden/>
              </w:rPr>
              <w:t>9</w:t>
            </w:r>
            <w:r>
              <w:rPr>
                <w:noProof/>
                <w:webHidden/>
              </w:rPr>
              <w:fldChar w:fldCharType="end"/>
            </w:r>
          </w:hyperlink>
        </w:p>
        <w:p w14:paraId="359E4967" w14:textId="2D322DA6" w:rsidR="00517B57" w:rsidRDefault="00517B57">
          <w:pPr>
            <w:pStyle w:val="TOC1"/>
            <w:tabs>
              <w:tab w:val="left" w:pos="440"/>
              <w:tab w:val="right" w:leader="dot" w:pos="9016"/>
            </w:tabs>
            <w:rPr>
              <w:rFonts w:eastAsiaTheme="minorEastAsia"/>
              <w:noProof/>
              <w:lang w:eastAsia="en-GB"/>
            </w:rPr>
          </w:pPr>
          <w:hyperlink w:anchor="_Toc99555153" w:history="1">
            <w:r w:rsidRPr="00994D8C">
              <w:rPr>
                <w:rStyle w:val="Hyperlink"/>
                <w:rFonts w:asciiTheme="majorHAnsi" w:eastAsiaTheme="majorEastAsia" w:hAnsiTheme="majorHAnsi" w:cstheme="majorBidi"/>
                <w:noProof/>
                <w:lang w:val="en-US"/>
              </w:rPr>
              <w:t>4.</w:t>
            </w:r>
            <w:r>
              <w:rPr>
                <w:rFonts w:eastAsiaTheme="minorEastAsia"/>
                <w:noProof/>
                <w:lang w:eastAsia="en-GB"/>
              </w:rPr>
              <w:tab/>
            </w:r>
            <w:r w:rsidRPr="00994D8C">
              <w:rPr>
                <w:rStyle w:val="Hyperlink"/>
                <w:rFonts w:asciiTheme="majorHAnsi" w:eastAsiaTheme="majorEastAsia" w:hAnsiTheme="majorHAnsi" w:cstheme="majorBidi"/>
                <w:noProof/>
                <w:lang w:val="en-US"/>
              </w:rPr>
              <w:t>Action Plan</w:t>
            </w:r>
            <w:r>
              <w:rPr>
                <w:noProof/>
                <w:webHidden/>
              </w:rPr>
              <w:tab/>
            </w:r>
            <w:r>
              <w:rPr>
                <w:noProof/>
                <w:webHidden/>
              </w:rPr>
              <w:fldChar w:fldCharType="begin"/>
            </w:r>
            <w:r>
              <w:rPr>
                <w:noProof/>
                <w:webHidden/>
              </w:rPr>
              <w:instrText xml:space="preserve"> PAGEREF _Toc99555153 \h </w:instrText>
            </w:r>
            <w:r>
              <w:rPr>
                <w:noProof/>
                <w:webHidden/>
              </w:rPr>
            </w:r>
            <w:r>
              <w:rPr>
                <w:noProof/>
                <w:webHidden/>
              </w:rPr>
              <w:fldChar w:fldCharType="separate"/>
            </w:r>
            <w:r w:rsidR="00414660">
              <w:rPr>
                <w:noProof/>
                <w:webHidden/>
              </w:rPr>
              <w:t>12</w:t>
            </w:r>
            <w:r>
              <w:rPr>
                <w:noProof/>
                <w:webHidden/>
              </w:rPr>
              <w:fldChar w:fldCharType="end"/>
            </w:r>
          </w:hyperlink>
        </w:p>
        <w:p w14:paraId="1472B77B" w14:textId="26F69E2F" w:rsidR="00517B57" w:rsidRDefault="00517B57">
          <w:pPr>
            <w:pStyle w:val="TOC1"/>
            <w:tabs>
              <w:tab w:val="right" w:leader="dot" w:pos="9016"/>
            </w:tabs>
            <w:rPr>
              <w:rFonts w:eastAsiaTheme="minorEastAsia"/>
              <w:noProof/>
              <w:lang w:eastAsia="en-GB"/>
            </w:rPr>
          </w:pPr>
          <w:hyperlink w:anchor="_Toc99555154" w:history="1">
            <w:r w:rsidRPr="00994D8C">
              <w:rPr>
                <w:rStyle w:val="Hyperlink"/>
                <w:noProof/>
              </w:rPr>
              <w:t>References</w:t>
            </w:r>
            <w:r>
              <w:rPr>
                <w:noProof/>
                <w:webHidden/>
              </w:rPr>
              <w:tab/>
            </w:r>
            <w:r>
              <w:rPr>
                <w:noProof/>
                <w:webHidden/>
              </w:rPr>
              <w:fldChar w:fldCharType="begin"/>
            </w:r>
            <w:r>
              <w:rPr>
                <w:noProof/>
                <w:webHidden/>
              </w:rPr>
              <w:instrText xml:space="preserve"> PAGEREF _Toc99555154 \h </w:instrText>
            </w:r>
            <w:r>
              <w:rPr>
                <w:noProof/>
                <w:webHidden/>
              </w:rPr>
            </w:r>
            <w:r>
              <w:rPr>
                <w:noProof/>
                <w:webHidden/>
              </w:rPr>
              <w:fldChar w:fldCharType="separate"/>
            </w:r>
            <w:r w:rsidR="00414660">
              <w:rPr>
                <w:noProof/>
                <w:webHidden/>
              </w:rPr>
              <w:t>13</w:t>
            </w:r>
            <w:r>
              <w:rPr>
                <w:noProof/>
                <w:webHidden/>
              </w:rPr>
              <w:fldChar w:fldCharType="end"/>
            </w:r>
          </w:hyperlink>
        </w:p>
        <w:p w14:paraId="0864BF86" w14:textId="0FF5B2F7" w:rsidR="00517B57" w:rsidRDefault="00517B57">
          <w:r>
            <w:rPr>
              <w:b/>
              <w:bCs/>
              <w:noProof/>
            </w:rPr>
            <w:fldChar w:fldCharType="end"/>
          </w:r>
        </w:p>
      </w:sdtContent>
    </w:sdt>
    <w:p w14:paraId="5B397632" w14:textId="77777777" w:rsidR="00D265F3" w:rsidRDefault="00D265F3" w:rsidP="00D265F3">
      <w:pPr>
        <w:pStyle w:val="ListParagraph"/>
        <w:jc w:val="center"/>
        <w:rPr>
          <w:rFonts w:ascii="Arial" w:hAnsi="Arial" w:cs="Arial"/>
          <w:b/>
          <w:bCs/>
          <w:sz w:val="52"/>
          <w:szCs w:val="52"/>
          <w:shd w:val="clear" w:color="auto" w:fill="FAF9F8"/>
        </w:rPr>
      </w:pPr>
    </w:p>
    <w:p w14:paraId="448FDA3B" w14:textId="77777777" w:rsidR="00D265F3" w:rsidRPr="00D265F3" w:rsidRDefault="00D265F3" w:rsidP="00D265F3">
      <w:pPr>
        <w:pStyle w:val="ListParagraph"/>
        <w:jc w:val="center"/>
        <w:rPr>
          <w:rFonts w:ascii="Arial" w:hAnsi="Arial" w:cs="Arial"/>
          <w:b/>
          <w:bCs/>
          <w:sz w:val="52"/>
          <w:szCs w:val="52"/>
          <w:shd w:val="clear" w:color="auto" w:fill="FAF9F8"/>
        </w:rPr>
      </w:pPr>
    </w:p>
    <w:p w14:paraId="7EDFFCB1" w14:textId="77777777" w:rsidR="00D265F3" w:rsidRDefault="00D265F3">
      <w:pPr>
        <w:rPr>
          <w:rFonts w:ascii="Arial" w:hAnsi="Arial" w:cs="Arial"/>
          <w:b/>
          <w:bCs/>
          <w:sz w:val="20"/>
          <w:szCs w:val="20"/>
          <w:shd w:val="clear" w:color="auto" w:fill="FAF9F8"/>
        </w:rPr>
      </w:pPr>
      <w:r>
        <w:rPr>
          <w:rFonts w:ascii="Arial" w:hAnsi="Arial" w:cs="Arial"/>
          <w:b/>
          <w:bCs/>
          <w:sz w:val="20"/>
          <w:szCs w:val="20"/>
          <w:shd w:val="clear" w:color="auto" w:fill="FAF9F8"/>
        </w:rPr>
        <w:br w:type="page"/>
      </w:r>
    </w:p>
    <w:p w14:paraId="56BC2A2A" w14:textId="17825ABF" w:rsidR="007C3636" w:rsidRPr="00517B57" w:rsidRDefault="00B07E3A" w:rsidP="00517B57">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0" w:name="_Toc99555150"/>
      <w:r w:rsidRPr="00517B57">
        <w:rPr>
          <w:rFonts w:asciiTheme="majorHAnsi" w:eastAsiaTheme="majorEastAsia" w:hAnsiTheme="majorHAnsi" w:cstheme="majorBidi"/>
          <w:color w:val="2F5496" w:themeColor="accent1" w:themeShade="BF"/>
          <w:sz w:val="32"/>
          <w:szCs w:val="32"/>
          <w:lang w:val="en-US"/>
        </w:rPr>
        <w:t>Scope</w:t>
      </w:r>
      <w:bookmarkEnd w:id="0"/>
    </w:p>
    <w:p w14:paraId="08738664" w14:textId="15EE2E9B" w:rsidR="00B07E3A" w:rsidRDefault="00B07E3A" w:rsidP="00333E1A">
      <w:pPr>
        <w:jc w:val="both"/>
        <w:rPr>
          <w:rFonts w:ascii="Arial" w:hAnsi="Arial" w:cs="Arial"/>
          <w:sz w:val="20"/>
          <w:szCs w:val="20"/>
          <w:shd w:val="clear" w:color="auto" w:fill="FAF9F8"/>
        </w:rPr>
      </w:pPr>
      <w:r w:rsidRPr="00CF6C45">
        <w:rPr>
          <w:rFonts w:ascii="Arial" w:hAnsi="Arial" w:cs="Arial"/>
          <w:sz w:val="20"/>
          <w:szCs w:val="20"/>
          <w:shd w:val="clear" w:color="auto" w:fill="FAF9F8"/>
        </w:rPr>
        <w:t xml:space="preserve">Problem statement: </w:t>
      </w:r>
      <w:r w:rsidR="008F64B4">
        <w:rPr>
          <w:rFonts w:ascii="Arial" w:hAnsi="Arial" w:cs="Arial"/>
          <w:sz w:val="20"/>
          <w:szCs w:val="20"/>
          <w:shd w:val="clear" w:color="auto" w:fill="FAF9F8"/>
        </w:rPr>
        <w:t xml:space="preserve">We must improve the current accuracy of </w:t>
      </w:r>
      <w:r w:rsidRPr="00CF6C45">
        <w:rPr>
          <w:rFonts w:ascii="Arial" w:hAnsi="Arial" w:cs="Arial"/>
          <w:sz w:val="20"/>
          <w:szCs w:val="20"/>
          <w:shd w:val="clear" w:color="auto" w:fill="FAF9F8"/>
        </w:rPr>
        <w:t>Ferro Manganese stock</w:t>
      </w:r>
      <w:r w:rsidR="00AE3927" w:rsidRPr="00CF6C45">
        <w:rPr>
          <w:rFonts w:ascii="Arial" w:hAnsi="Arial" w:cs="Arial"/>
          <w:sz w:val="20"/>
          <w:szCs w:val="20"/>
          <w:shd w:val="clear" w:color="auto" w:fill="FAF9F8"/>
        </w:rPr>
        <w:t xml:space="preserve"> recordin</w:t>
      </w:r>
      <w:r w:rsidR="008F64B4">
        <w:rPr>
          <w:rFonts w:ascii="Arial" w:hAnsi="Arial" w:cs="Arial"/>
          <w:sz w:val="20"/>
          <w:szCs w:val="20"/>
          <w:shd w:val="clear" w:color="auto" w:fill="FAF9F8"/>
        </w:rPr>
        <w:t>g</w:t>
      </w:r>
      <w:r w:rsidR="00AE3927" w:rsidRPr="00CF6C45">
        <w:rPr>
          <w:rFonts w:ascii="Arial" w:hAnsi="Arial" w:cs="Arial"/>
          <w:sz w:val="20"/>
          <w:szCs w:val="20"/>
          <w:shd w:val="clear" w:color="auto" w:fill="FAF9F8"/>
        </w:rPr>
        <w:t>.</w:t>
      </w:r>
      <w:r w:rsidR="008F64B4">
        <w:rPr>
          <w:rFonts w:ascii="Arial" w:hAnsi="Arial" w:cs="Arial"/>
          <w:sz w:val="20"/>
          <w:szCs w:val="20"/>
          <w:shd w:val="clear" w:color="auto" w:fill="FAF9F8"/>
        </w:rPr>
        <w:t xml:space="preserve"> </w:t>
      </w:r>
      <w:r w:rsidR="00AE3927" w:rsidRPr="00CF6C45">
        <w:rPr>
          <w:rFonts w:ascii="Arial" w:hAnsi="Arial" w:cs="Arial"/>
          <w:sz w:val="20"/>
          <w:szCs w:val="20"/>
          <w:shd w:val="clear" w:color="auto" w:fill="FAF9F8"/>
        </w:rPr>
        <w:t>Th</w:t>
      </w:r>
      <w:r w:rsidR="008F64B4">
        <w:rPr>
          <w:rFonts w:ascii="Arial" w:hAnsi="Arial" w:cs="Arial"/>
          <w:sz w:val="20"/>
          <w:szCs w:val="20"/>
          <w:shd w:val="clear" w:color="auto" w:fill="FAF9F8"/>
        </w:rPr>
        <w:t>e current inaccuracy</w:t>
      </w:r>
      <w:r w:rsidR="00AE3927" w:rsidRPr="00CF6C45">
        <w:rPr>
          <w:rFonts w:ascii="Arial" w:hAnsi="Arial" w:cs="Arial"/>
          <w:sz w:val="20"/>
          <w:szCs w:val="20"/>
          <w:shd w:val="clear" w:color="auto" w:fill="FAF9F8"/>
        </w:rPr>
        <w:t xml:space="preserve"> is </w:t>
      </w:r>
      <w:r w:rsidR="006A08F0">
        <w:rPr>
          <w:rFonts w:ascii="Arial" w:hAnsi="Arial" w:cs="Arial"/>
          <w:sz w:val="20"/>
          <w:szCs w:val="20"/>
          <w:shd w:val="clear" w:color="auto" w:fill="FAF9F8"/>
        </w:rPr>
        <w:t>causing</w:t>
      </w:r>
      <w:r w:rsidRPr="00CF6C45">
        <w:rPr>
          <w:rFonts w:ascii="Arial" w:hAnsi="Arial" w:cs="Arial"/>
          <w:sz w:val="20"/>
          <w:szCs w:val="20"/>
          <w:shd w:val="clear" w:color="auto" w:fill="FAF9F8"/>
        </w:rPr>
        <w:t xml:space="preserve"> over</w:t>
      </w:r>
      <w:r w:rsidR="00AE3927" w:rsidRPr="00CF6C45">
        <w:rPr>
          <w:rFonts w:ascii="Arial" w:hAnsi="Arial" w:cs="Arial"/>
          <w:sz w:val="20"/>
          <w:szCs w:val="20"/>
          <w:shd w:val="clear" w:color="auto" w:fill="FAF9F8"/>
        </w:rPr>
        <w:t xml:space="preserve"> purchasing on certain grades and </w:t>
      </w:r>
      <w:r w:rsidR="00845E6E">
        <w:rPr>
          <w:rFonts w:ascii="Arial" w:hAnsi="Arial" w:cs="Arial"/>
          <w:sz w:val="20"/>
          <w:szCs w:val="20"/>
          <w:shd w:val="clear" w:color="auto" w:fill="FAF9F8"/>
        </w:rPr>
        <w:t>early stock outs</w:t>
      </w:r>
      <w:r w:rsidR="00AE3927" w:rsidRPr="00CF6C45">
        <w:rPr>
          <w:rFonts w:ascii="Arial" w:hAnsi="Arial" w:cs="Arial"/>
          <w:sz w:val="20"/>
          <w:szCs w:val="20"/>
          <w:shd w:val="clear" w:color="auto" w:fill="FAF9F8"/>
        </w:rPr>
        <w:t xml:space="preserve"> others.</w:t>
      </w:r>
      <w:r w:rsidR="006A08F0">
        <w:rPr>
          <w:rFonts w:ascii="Arial" w:hAnsi="Arial" w:cs="Arial"/>
          <w:sz w:val="20"/>
          <w:szCs w:val="20"/>
          <w:shd w:val="clear" w:color="auto" w:fill="FAF9F8"/>
        </w:rPr>
        <w:t xml:space="preserve"> This leads to an inefficient materials and production plan. P</w:t>
      </w:r>
      <w:r w:rsidR="00AE3927" w:rsidRPr="00CF6C45">
        <w:rPr>
          <w:rFonts w:ascii="Arial" w:hAnsi="Arial" w:cs="Arial"/>
          <w:sz w:val="20"/>
          <w:szCs w:val="20"/>
          <w:shd w:val="clear" w:color="auto" w:fill="FAF9F8"/>
        </w:rPr>
        <w:t>urchasing price</w:t>
      </w:r>
      <w:r w:rsidR="00ED48BC">
        <w:rPr>
          <w:rFonts w:ascii="Arial" w:hAnsi="Arial" w:cs="Arial"/>
          <w:sz w:val="20"/>
          <w:szCs w:val="20"/>
          <w:shd w:val="clear" w:color="auto" w:fill="FAF9F8"/>
        </w:rPr>
        <w:t xml:space="preserve"> </w:t>
      </w:r>
      <w:r w:rsidR="006A08F0">
        <w:rPr>
          <w:rFonts w:ascii="Arial" w:hAnsi="Arial" w:cs="Arial"/>
          <w:sz w:val="20"/>
          <w:szCs w:val="20"/>
          <w:shd w:val="clear" w:color="auto" w:fill="FAF9F8"/>
        </w:rPr>
        <w:t>increase</w:t>
      </w:r>
      <w:r w:rsidR="00AE3927" w:rsidRPr="00CF6C45">
        <w:rPr>
          <w:rFonts w:ascii="Arial" w:hAnsi="Arial" w:cs="Arial"/>
          <w:sz w:val="20"/>
          <w:szCs w:val="20"/>
          <w:shd w:val="clear" w:color="auto" w:fill="FAF9F8"/>
        </w:rPr>
        <w:t xml:space="preserve"> as material is needed in an emergency </w:t>
      </w:r>
      <w:r w:rsidR="00CF6C45" w:rsidRPr="00CF6C45">
        <w:rPr>
          <w:rFonts w:ascii="Arial" w:hAnsi="Arial" w:cs="Arial"/>
          <w:sz w:val="20"/>
          <w:szCs w:val="20"/>
          <w:shd w:val="clear" w:color="auto" w:fill="FAF9F8"/>
        </w:rPr>
        <w:t>causing it to be bought on the spot market and not against long term fixed price contracts.</w:t>
      </w:r>
      <w:r w:rsidR="00CF6C45">
        <w:rPr>
          <w:rFonts w:ascii="Arial" w:hAnsi="Arial" w:cs="Arial"/>
          <w:sz w:val="20"/>
          <w:szCs w:val="20"/>
          <w:shd w:val="clear" w:color="auto" w:fill="FAF9F8"/>
        </w:rPr>
        <w:t xml:space="preserve"> Another issue is </w:t>
      </w:r>
      <w:r w:rsidR="00845E6E">
        <w:rPr>
          <w:rFonts w:ascii="Arial" w:hAnsi="Arial" w:cs="Arial"/>
          <w:sz w:val="20"/>
          <w:szCs w:val="20"/>
          <w:shd w:val="clear" w:color="auto" w:fill="FAF9F8"/>
        </w:rPr>
        <w:t>working capital</w:t>
      </w:r>
      <w:r w:rsidR="00CF6C45">
        <w:rPr>
          <w:rFonts w:ascii="Arial" w:hAnsi="Arial" w:cs="Arial"/>
          <w:sz w:val="20"/>
          <w:szCs w:val="20"/>
          <w:shd w:val="clear" w:color="auto" w:fill="FAF9F8"/>
        </w:rPr>
        <w:t xml:space="preserve"> is tied up in stock longer than expected.</w:t>
      </w:r>
      <w:r w:rsidR="00FF6C01">
        <w:rPr>
          <w:rFonts w:ascii="Arial" w:hAnsi="Arial" w:cs="Arial"/>
          <w:sz w:val="20"/>
          <w:szCs w:val="20"/>
          <w:shd w:val="clear" w:color="auto" w:fill="FAF9F8"/>
        </w:rPr>
        <w:t xml:space="preserve"> To increase this accuracy a full review of the data flow is needed</w:t>
      </w:r>
      <w:r w:rsidR="00ED48BC">
        <w:rPr>
          <w:rFonts w:ascii="Arial" w:hAnsi="Arial" w:cs="Arial"/>
          <w:sz w:val="20"/>
          <w:szCs w:val="20"/>
          <w:shd w:val="clear" w:color="auto" w:fill="FAF9F8"/>
        </w:rPr>
        <w:t xml:space="preserve">, using </w:t>
      </w:r>
      <w:r w:rsidR="00BD0BA9">
        <w:rPr>
          <w:rFonts w:ascii="Arial" w:hAnsi="Arial" w:cs="Arial"/>
          <w:sz w:val="20"/>
          <w:szCs w:val="20"/>
          <w:shd w:val="clear" w:color="auto" w:fill="FAF9F8"/>
        </w:rPr>
        <w:t>data root cause analysis.</w:t>
      </w:r>
    </w:p>
    <w:p w14:paraId="695159E1" w14:textId="2A23DDEB" w:rsidR="00801CCB" w:rsidRDefault="00AD0A2B" w:rsidP="00333E1A">
      <w:pPr>
        <w:jc w:val="both"/>
        <w:rPr>
          <w:rFonts w:ascii="Arial" w:hAnsi="Arial" w:cs="Arial"/>
          <w:sz w:val="20"/>
          <w:szCs w:val="20"/>
          <w:shd w:val="clear" w:color="auto" w:fill="FAF9F8"/>
        </w:rPr>
      </w:pPr>
      <w:r>
        <w:rPr>
          <w:rFonts w:ascii="Arial" w:hAnsi="Arial" w:cs="Arial"/>
          <w:sz w:val="20"/>
          <w:szCs w:val="20"/>
          <w:shd w:val="clear" w:color="auto" w:fill="FAF9F8"/>
        </w:rPr>
        <w:t>There are currently</w:t>
      </w:r>
      <w:r w:rsidR="00955C15">
        <w:rPr>
          <w:rFonts w:ascii="Arial" w:hAnsi="Arial" w:cs="Arial"/>
          <w:sz w:val="20"/>
          <w:szCs w:val="20"/>
          <w:shd w:val="clear" w:color="auto" w:fill="FAF9F8"/>
        </w:rPr>
        <w:t xml:space="preserve"> four types of Ferro Manganese (FeMn)</w:t>
      </w:r>
      <w:r>
        <w:rPr>
          <w:rFonts w:ascii="Arial" w:hAnsi="Arial" w:cs="Arial"/>
          <w:sz w:val="20"/>
          <w:szCs w:val="20"/>
          <w:shd w:val="clear" w:color="auto" w:fill="FAF9F8"/>
        </w:rPr>
        <w:t xml:space="preserve"> being consumed</w:t>
      </w:r>
      <w:r w:rsidR="00955C15">
        <w:rPr>
          <w:rFonts w:ascii="Arial" w:hAnsi="Arial" w:cs="Arial"/>
          <w:sz w:val="20"/>
          <w:szCs w:val="20"/>
          <w:shd w:val="clear" w:color="auto" w:fill="FAF9F8"/>
        </w:rPr>
        <w:t>, these are HCFeMn Small, HCFeMn Large, MCFeMn Small and MCFeMn Large</w:t>
      </w:r>
      <w:r>
        <w:rPr>
          <w:rFonts w:ascii="Arial" w:hAnsi="Arial" w:cs="Arial"/>
          <w:sz w:val="20"/>
          <w:szCs w:val="20"/>
          <w:shd w:val="clear" w:color="auto" w:fill="FAF9F8"/>
        </w:rPr>
        <w:t>. Each material is brought onto site via lorry, from multiple suppliers. These materials are then stocked in a unique stocking location for each material in the raw mats bays. The material is then</w:t>
      </w:r>
      <w:r w:rsidR="002D0ACE">
        <w:rPr>
          <w:rFonts w:ascii="Arial" w:hAnsi="Arial" w:cs="Arial"/>
          <w:sz w:val="20"/>
          <w:szCs w:val="20"/>
          <w:shd w:val="clear" w:color="auto" w:fill="FAF9F8"/>
        </w:rPr>
        <w:t xml:space="preserve"> called off by the plant and</w:t>
      </w:r>
      <w:r>
        <w:rPr>
          <w:rFonts w:ascii="Arial" w:hAnsi="Arial" w:cs="Arial"/>
          <w:sz w:val="20"/>
          <w:szCs w:val="20"/>
          <w:shd w:val="clear" w:color="auto" w:fill="FAF9F8"/>
        </w:rPr>
        <w:t xml:space="preserve"> moved to a secondary stocking location on plant where the material is loaded into bunkers ready for consumption in the steel making process. </w:t>
      </w:r>
      <w:r w:rsidR="00AA2DAE">
        <w:rPr>
          <w:rFonts w:ascii="Arial" w:hAnsi="Arial" w:cs="Arial"/>
          <w:sz w:val="20"/>
          <w:szCs w:val="20"/>
          <w:shd w:val="clear" w:color="auto" w:fill="FAF9F8"/>
        </w:rPr>
        <w:t>The stock for each location is recorded to give a total stock holding of each material on site</w:t>
      </w:r>
      <w:r w:rsidR="002D0ACE">
        <w:rPr>
          <w:rFonts w:ascii="Arial" w:hAnsi="Arial" w:cs="Arial"/>
          <w:sz w:val="20"/>
          <w:szCs w:val="20"/>
          <w:shd w:val="clear" w:color="auto" w:fill="FAF9F8"/>
        </w:rPr>
        <w:t>.</w:t>
      </w:r>
    </w:p>
    <w:p w14:paraId="47E5A9C7" w14:textId="710C6F6C" w:rsidR="00D265F3" w:rsidRDefault="00D265F3">
      <w:pPr>
        <w:rPr>
          <w:rFonts w:ascii="Arial" w:hAnsi="Arial" w:cs="Arial"/>
          <w:sz w:val="20"/>
          <w:szCs w:val="20"/>
          <w:shd w:val="clear" w:color="auto" w:fill="FAF9F8"/>
        </w:rPr>
      </w:pPr>
      <w:r>
        <w:rPr>
          <w:rFonts w:ascii="Arial" w:hAnsi="Arial" w:cs="Arial"/>
          <w:sz w:val="20"/>
          <w:szCs w:val="20"/>
          <w:shd w:val="clear" w:color="auto" w:fill="FAF9F8"/>
        </w:rPr>
        <w:br w:type="page"/>
      </w:r>
    </w:p>
    <w:p w14:paraId="22705D1F" w14:textId="72DF6928" w:rsidR="00801CCB" w:rsidRPr="00517B57" w:rsidRDefault="00BD0BA9" w:rsidP="00517B57">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1" w:name="_Toc99555151"/>
      <w:r w:rsidRPr="00517B57">
        <w:rPr>
          <w:rFonts w:asciiTheme="majorHAnsi" w:eastAsiaTheme="majorEastAsia" w:hAnsiTheme="majorHAnsi" w:cstheme="majorBidi"/>
          <w:color w:val="2F5496" w:themeColor="accent1" w:themeShade="BF"/>
          <w:sz w:val="32"/>
          <w:szCs w:val="32"/>
          <w:lang w:val="en-US"/>
        </w:rPr>
        <w:t>Data Collection</w:t>
      </w:r>
      <w:r w:rsidR="00E63945" w:rsidRPr="00517B57">
        <w:rPr>
          <w:rFonts w:asciiTheme="majorHAnsi" w:eastAsiaTheme="majorEastAsia" w:hAnsiTheme="majorHAnsi" w:cstheme="majorBidi"/>
          <w:color w:val="2F5496" w:themeColor="accent1" w:themeShade="BF"/>
          <w:sz w:val="32"/>
          <w:szCs w:val="32"/>
          <w:lang w:val="en-US"/>
        </w:rPr>
        <w:t>/Data Analysis</w:t>
      </w:r>
      <w:bookmarkEnd w:id="1"/>
    </w:p>
    <w:p w14:paraId="1036DDB7" w14:textId="4054C220" w:rsidR="000A3C8A" w:rsidRDefault="000A3C8A"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As the issue is covering four separate materials, Pareto Analysis was used to determine which of the four stocks provided the most value. </w:t>
      </w:r>
    </w:p>
    <w:p w14:paraId="0EA822C4" w14:textId="1669635F" w:rsidR="007804FC" w:rsidRDefault="007804FC" w:rsidP="00333E1A">
      <w:pPr>
        <w:jc w:val="both"/>
        <w:rPr>
          <w:rFonts w:ascii="Arial" w:hAnsi="Arial" w:cs="Arial"/>
          <w:i/>
          <w:iCs/>
          <w:sz w:val="20"/>
          <w:szCs w:val="20"/>
          <w:shd w:val="clear" w:color="auto" w:fill="FAF9F8"/>
        </w:rPr>
      </w:pPr>
      <w:r>
        <w:rPr>
          <w:rFonts w:ascii="Arial" w:hAnsi="Arial" w:cs="Arial"/>
          <w:i/>
          <w:iCs/>
          <w:sz w:val="20"/>
          <w:szCs w:val="20"/>
          <w:shd w:val="clear" w:color="auto" w:fill="FAF9F8"/>
        </w:rPr>
        <w:t>“</w:t>
      </w:r>
      <w:r w:rsidRPr="007804FC">
        <w:rPr>
          <w:rFonts w:ascii="Arial" w:hAnsi="Arial" w:cs="Arial"/>
          <w:i/>
          <w:iCs/>
          <w:sz w:val="20"/>
          <w:szCs w:val="20"/>
          <w:shd w:val="clear" w:color="auto" w:fill="FAF9F8"/>
        </w:rPr>
        <w:t>Applying ef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ective control Pareto Analysis is a very ef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ective way to achieve maximum ef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ectiveness with minimum ef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ort. It focuses management time on the most important issues in any part of the business, and it is the basic tool for managing inventory to achieve conflicting objectives of ‘best availability with least inventory and least time controlling it’. In many situations, there are far too many dif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erent products to manage them individually and Pareto Analysis provides the solution. Inventory management is not about the unit cost of items. The aim is to control the stock value (unit cost × quantity in stock) and Pareto Analysis is a direct approach to this. The basic principle for inventory management is therefore to have tight control on the items where the turnover value is high and not to bother too much about the inventory value of low turnover items (still ensuring the same availability). For example, an item where the annual turnover is £104,000 could cause a high stock value if the stock is six weeks’ worth (£12,000), whereas if the turnover is £104, then six weeks’ worth of stock is only £12, which is not a problem (except that there are usually many low turnover items, so the cumulative ef</w:t>
      </w:r>
      <w:r>
        <w:rPr>
          <w:rFonts w:ascii="Arial" w:hAnsi="Arial" w:cs="Arial"/>
          <w:i/>
          <w:iCs/>
          <w:sz w:val="20"/>
          <w:szCs w:val="20"/>
          <w:shd w:val="clear" w:color="auto" w:fill="FAF9F8"/>
        </w:rPr>
        <w:t>f</w:t>
      </w:r>
      <w:r w:rsidRPr="007804FC">
        <w:rPr>
          <w:rFonts w:ascii="Arial" w:hAnsi="Arial" w:cs="Arial"/>
          <w:i/>
          <w:iCs/>
          <w:sz w:val="20"/>
          <w:szCs w:val="20"/>
          <w:shd w:val="clear" w:color="auto" w:fill="FAF9F8"/>
        </w:rPr>
        <w:t>ect is also high inventory value).</w:t>
      </w:r>
      <w:r>
        <w:rPr>
          <w:rFonts w:ascii="Arial" w:hAnsi="Arial" w:cs="Arial"/>
          <w:i/>
          <w:iCs/>
          <w:sz w:val="20"/>
          <w:szCs w:val="20"/>
          <w:shd w:val="clear" w:color="auto" w:fill="FAF9F8"/>
        </w:rPr>
        <w:t>”</w:t>
      </w:r>
      <w:sdt>
        <w:sdtPr>
          <w:rPr>
            <w:rFonts w:ascii="Arial" w:hAnsi="Arial" w:cs="Arial"/>
            <w:i/>
            <w:iCs/>
            <w:sz w:val="20"/>
            <w:szCs w:val="20"/>
            <w:shd w:val="clear" w:color="auto" w:fill="FAF9F8"/>
          </w:rPr>
          <w:id w:val="55451789"/>
          <w:citation/>
        </w:sdtPr>
        <w:sdtEndPr/>
        <w:sdtContent>
          <w:r>
            <w:rPr>
              <w:rFonts w:ascii="Arial" w:hAnsi="Arial" w:cs="Arial"/>
              <w:i/>
              <w:iCs/>
              <w:sz w:val="20"/>
              <w:szCs w:val="20"/>
              <w:shd w:val="clear" w:color="auto" w:fill="FAF9F8"/>
            </w:rPr>
            <w:fldChar w:fldCharType="begin"/>
          </w:r>
          <w:r>
            <w:rPr>
              <w:rFonts w:ascii="Arial" w:hAnsi="Arial" w:cs="Arial"/>
              <w:i/>
              <w:iCs/>
              <w:sz w:val="20"/>
              <w:szCs w:val="20"/>
              <w:shd w:val="clear" w:color="auto" w:fill="FAF9F8"/>
            </w:rPr>
            <w:instrText xml:space="preserve"> CITATION Ton17 \l 2057 </w:instrText>
          </w:r>
          <w:r>
            <w:rPr>
              <w:rFonts w:ascii="Arial" w:hAnsi="Arial" w:cs="Arial"/>
              <w:i/>
              <w:iCs/>
              <w:sz w:val="20"/>
              <w:szCs w:val="20"/>
              <w:shd w:val="clear" w:color="auto" w:fill="FAF9F8"/>
            </w:rPr>
            <w:fldChar w:fldCharType="separate"/>
          </w:r>
          <w:r>
            <w:rPr>
              <w:rFonts w:ascii="Arial" w:hAnsi="Arial" w:cs="Arial"/>
              <w:i/>
              <w:iCs/>
              <w:noProof/>
              <w:sz w:val="20"/>
              <w:szCs w:val="20"/>
              <w:shd w:val="clear" w:color="auto" w:fill="FAF9F8"/>
            </w:rPr>
            <w:t xml:space="preserve"> </w:t>
          </w:r>
          <w:r w:rsidRPr="007804FC">
            <w:rPr>
              <w:rFonts w:ascii="Arial" w:hAnsi="Arial" w:cs="Arial"/>
              <w:noProof/>
              <w:sz w:val="20"/>
              <w:szCs w:val="20"/>
              <w:shd w:val="clear" w:color="auto" w:fill="FAF9F8"/>
            </w:rPr>
            <w:t>(Wild, 2017)</w:t>
          </w:r>
          <w:r>
            <w:rPr>
              <w:rFonts w:ascii="Arial" w:hAnsi="Arial" w:cs="Arial"/>
              <w:i/>
              <w:iCs/>
              <w:sz w:val="20"/>
              <w:szCs w:val="20"/>
              <w:shd w:val="clear" w:color="auto" w:fill="FAF9F8"/>
            </w:rPr>
            <w:fldChar w:fldCharType="end"/>
          </w:r>
        </w:sdtContent>
      </w:sdt>
    </w:p>
    <w:p w14:paraId="468BB83D" w14:textId="2271F3F7" w:rsidR="007804FC" w:rsidRDefault="00984892" w:rsidP="00897F9D">
      <w:pPr>
        <w:jc w:val="center"/>
        <w:rPr>
          <w:rFonts w:ascii="Arial" w:hAnsi="Arial" w:cs="Arial"/>
          <w:sz w:val="20"/>
          <w:szCs w:val="20"/>
          <w:shd w:val="clear" w:color="auto" w:fill="FAF9F8"/>
        </w:rPr>
      </w:pPr>
      <w:r>
        <w:rPr>
          <w:rFonts w:ascii="Arial" w:hAnsi="Arial" w:cs="Arial"/>
          <w:noProof/>
          <w:sz w:val="20"/>
          <w:szCs w:val="20"/>
          <w:shd w:val="clear" w:color="auto" w:fill="FAF9F8"/>
        </w:rPr>
        <w:drawing>
          <wp:inline distT="0" distB="0" distL="0" distR="0" wp14:anchorId="7EBD56A9" wp14:editId="40C3947A">
            <wp:extent cx="4320540" cy="2588729"/>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8814" cy="2605670"/>
                    </a:xfrm>
                    <a:prstGeom prst="rect">
                      <a:avLst/>
                    </a:prstGeom>
                    <a:noFill/>
                  </pic:spPr>
                </pic:pic>
              </a:graphicData>
            </a:graphic>
          </wp:inline>
        </w:drawing>
      </w:r>
    </w:p>
    <w:p w14:paraId="58F0291C" w14:textId="77777777" w:rsidR="00517B57" w:rsidRDefault="00517B57" w:rsidP="00517B57">
      <w:pPr>
        <w:jc w:val="center"/>
        <w:rPr>
          <w:rFonts w:ascii="Arial" w:hAnsi="Arial" w:cs="Arial"/>
          <w:sz w:val="16"/>
          <w:szCs w:val="16"/>
          <w:shd w:val="clear" w:color="auto" w:fill="FAF9F8"/>
        </w:rPr>
      </w:pPr>
      <w:r w:rsidRPr="00984892">
        <w:rPr>
          <w:rFonts w:ascii="Arial" w:hAnsi="Arial" w:cs="Arial"/>
          <w:sz w:val="16"/>
          <w:szCs w:val="16"/>
          <w:shd w:val="clear" w:color="auto" w:fill="FAF9F8"/>
        </w:rPr>
        <w:t>Figure 1 – Pareto Analysis of Stock Value</w:t>
      </w:r>
    </w:p>
    <w:p w14:paraId="39FDCD16" w14:textId="109BABFD" w:rsidR="00984892" w:rsidRPr="00984892" w:rsidRDefault="00984892" w:rsidP="00333E1A">
      <w:pPr>
        <w:jc w:val="both"/>
        <w:rPr>
          <w:rFonts w:ascii="Arial" w:hAnsi="Arial" w:cs="Arial"/>
          <w:sz w:val="20"/>
          <w:szCs w:val="20"/>
          <w:shd w:val="clear" w:color="auto" w:fill="FAF9F8"/>
        </w:rPr>
      </w:pPr>
      <w:r>
        <w:rPr>
          <w:rFonts w:ascii="Arial" w:hAnsi="Arial" w:cs="Arial"/>
          <w:sz w:val="20"/>
          <w:szCs w:val="20"/>
          <w:shd w:val="clear" w:color="auto" w:fill="FAF9F8"/>
        </w:rPr>
        <w:t>The Pareto analysis showed that 67% of the stock val</w:t>
      </w:r>
      <w:r w:rsidR="00FB1A46">
        <w:rPr>
          <w:rFonts w:ascii="Arial" w:hAnsi="Arial" w:cs="Arial"/>
          <w:sz w:val="20"/>
          <w:szCs w:val="20"/>
          <w:shd w:val="clear" w:color="auto" w:fill="FAF9F8"/>
        </w:rPr>
        <w:t>u</w:t>
      </w:r>
      <w:r>
        <w:rPr>
          <w:rFonts w:ascii="Arial" w:hAnsi="Arial" w:cs="Arial"/>
          <w:sz w:val="20"/>
          <w:szCs w:val="20"/>
          <w:shd w:val="clear" w:color="auto" w:fill="FAF9F8"/>
        </w:rPr>
        <w:t>e was in HCFeMn Small</w:t>
      </w:r>
      <w:r w:rsidR="00FB1A46">
        <w:rPr>
          <w:rFonts w:ascii="Arial" w:hAnsi="Arial" w:cs="Arial"/>
          <w:sz w:val="20"/>
          <w:szCs w:val="20"/>
          <w:shd w:val="clear" w:color="auto" w:fill="FAF9F8"/>
        </w:rPr>
        <w:t>, therefore we will concentrate on that material first</w:t>
      </w:r>
      <w:r w:rsidR="00E9273A">
        <w:rPr>
          <w:rFonts w:ascii="Arial" w:hAnsi="Arial" w:cs="Arial"/>
          <w:sz w:val="20"/>
          <w:szCs w:val="20"/>
          <w:shd w:val="clear" w:color="auto" w:fill="FAF9F8"/>
        </w:rPr>
        <w:t xml:space="preserve"> as it is the biggest financial contributor. </w:t>
      </w:r>
    </w:p>
    <w:p w14:paraId="329933D7" w14:textId="5CA7B9D0" w:rsidR="00DF2654" w:rsidRDefault="00DF2654" w:rsidP="00333E1A">
      <w:pPr>
        <w:jc w:val="both"/>
        <w:rPr>
          <w:rFonts w:ascii="Arial" w:hAnsi="Arial" w:cs="Arial"/>
          <w:sz w:val="20"/>
          <w:szCs w:val="20"/>
          <w:shd w:val="clear" w:color="auto" w:fill="FAF9F8"/>
        </w:rPr>
      </w:pPr>
      <w:r w:rsidRPr="007804FC">
        <w:rPr>
          <w:rFonts w:ascii="Arial" w:hAnsi="Arial" w:cs="Arial"/>
          <w:sz w:val="20"/>
          <w:szCs w:val="20"/>
          <w:shd w:val="clear" w:color="auto" w:fill="FAF9F8"/>
        </w:rPr>
        <w:t xml:space="preserve">One of the best ways to represent stock holding visually is via </w:t>
      </w:r>
      <w:r w:rsidR="0094261C" w:rsidRPr="007804FC">
        <w:rPr>
          <w:rFonts w:ascii="Arial" w:hAnsi="Arial" w:cs="Arial"/>
          <w:sz w:val="20"/>
          <w:szCs w:val="20"/>
          <w:shd w:val="clear" w:color="auto" w:fill="FAF9F8"/>
        </w:rPr>
        <w:t>s</w:t>
      </w:r>
      <w:r w:rsidRPr="007804FC">
        <w:rPr>
          <w:rFonts w:ascii="Arial" w:hAnsi="Arial" w:cs="Arial"/>
          <w:sz w:val="20"/>
          <w:szCs w:val="20"/>
          <w:shd w:val="clear" w:color="auto" w:fill="FAF9F8"/>
        </w:rPr>
        <w:t xml:space="preserve">tock control charts. </w:t>
      </w:r>
      <w:r w:rsidR="001952C0">
        <w:rPr>
          <w:rFonts w:ascii="Arial" w:hAnsi="Arial" w:cs="Arial"/>
          <w:sz w:val="20"/>
          <w:szCs w:val="20"/>
          <w:shd w:val="clear" w:color="auto" w:fill="FAF9F8"/>
        </w:rPr>
        <w:t xml:space="preserve">With the use of upper and lower control limits you can see if you process is in control and can be used for data analysis on your process. </w:t>
      </w:r>
    </w:p>
    <w:p w14:paraId="6D8952CC" w14:textId="000F8480" w:rsidR="00FF6ADA" w:rsidRDefault="00FF6ADA" w:rsidP="00333E1A">
      <w:pPr>
        <w:jc w:val="both"/>
        <w:rPr>
          <w:rFonts w:ascii="Arial" w:hAnsi="Arial" w:cs="Arial"/>
          <w:i/>
          <w:iCs/>
          <w:sz w:val="20"/>
          <w:szCs w:val="20"/>
          <w:shd w:val="clear" w:color="auto" w:fill="FAF9F8"/>
        </w:rPr>
      </w:pPr>
      <w:r w:rsidRPr="00FF6ADA">
        <w:rPr>
          <w:rFonts w:ascii="Arial" w:hAnsi="Arial" w:cs="Arial"/>
          <w:i/>
          <w:iCs/>
          <w:sz w:val="20"/>
          <w:szCs w:val="20"/>
          <w:shd w:val="clear" w:color="auto" w:fill="FAF9F8"/>
        </w:rPr>
        <w:t>“First, the system tests if the demand and inventory processes are in control or out of control. This indicates whether the system can handle the processes or if there are statistical abnormalities in past demand and inventory curves that would make it difficult to make a safe reorder quantity decision using SPC. If the processes are in control, the SPC decision approach can be applied.”</w:t>
      </w:r>
      <w:r>
        <w:rPr>
          <w:rFonts w:ascii="Arial" w:hAnsi="Arial" w:cs="Arial"/>
          <w:i/>
          <w:iCs/>
          <w:sz w:val="20"/>
          <w:szCs w:val="20"/>
          <w:shd w:val="clear" w:color="auto" w:fill="FAF9F8"/>
        </w:rPr>
        <w:t xml:space="preserve"> </w:t>
      </w:r>
      <w:sdt>
        <w:sdtPr>
          <w:rPr>
            <w:rFonts w:ascii="Arial" w:hAnsi="Arial" w:cs="Arial"/>
            <w:i/>
            <w:iCs/>
            <w:sz w:val="20"/>
            <w:szCs w:val="20"/>
            <w:shd w:val="clear" w:color="auto" w:fill="FAF9F8"/>
          </w:rPr>
          <w:id w:val="1742207796"/>
          <w:citation/>
        </w:sdtPr>
        <w:sdtEndPr/>
        <w:sdtContent>
          <w:r>
            <w:rPr>
              <w:rFonts w:ascii="Arial" w:hAnsi="Arial" w:cs="Arial"/>
              <w:i/>
              <w:iCs/>
              <w:sz w:val="20"/>
              <w:szCs w:val="20"/>
              <w:shd w:val="clear" w:color="auto" w:fill="FAF9F8"/>
            </w:rPr>
            <w:fldChar w:fldCharType="begin"/>
          </w:r>
          <w:r>
            <w:rPr>
              <w:rFonts w:ascii="Arial" w:hAnsi="Arial" w:cs="Arial"/>
              <w:i/>
              <w:iCs/>
              <w:sz w:val="20"/>
              <w:szCs w:val="20"/>
              <w:shd w:val="clear" w:color="auto" w:fill="FAF9F8"/>
            </w:rPr>
            <w:instrText xml:space="preserve"> CITATION Pfo99 \l 2057 </w:instrText>
          </w:r>
          <w:r>
            <w:rPr>
              <w:rFonts w:ascii="Arial" w:hAnsi="Arial" w:cs="Arial"/>
              <w:i/>
              <w:iCs/>
              <w:sz w:val="20"/>
              <w:szCs w:val="20"/>
              <w:shd w:val="clear" w:color="auto" w:fill="FAF9F8"/>
            </w:rPr>
            <w:fldChar w:fldCharType="separate"/>
          </w:r>
          <w:r w:rsidRPr="00FF6ADA">
            <w:rPr>
              <w:rFonts w:ascii="Arial" w:hAnsi="Arial" w:cs="Arial"/>
              <w:noProof/>
              <w:sz w:val="20"/>
              <w:szCs w:val="20"/>
              <w:shd w:val="clear" w:color="auto" w:fill="FAF9F8"/>
            </w:rPr>
            <w:t>(Pfohl, et al., 1999)</w:t>
          </w:r>
          <w:r>
            <w:rPr>
              <w:rFonts w:ascii="Arial" w:hAnsi="Arial" w:cs="Arial"/>
              <w:i/>
              <w:iCs/>
              <w:sz w:val="20"/>
              <w:szCs w:val="20"/>
              <w:shd w:val="clear" w:color="auto" w:fill="FAF9F8"/>
            </w:rPr>
            <w:fldChar w:fldCharType="end"/>
          </w:r>
        </w:sdtContent>
      </w:sdt>
    </w:p>
    <w:p w14:paraId="6E5ACE68" w14:textId="2CAD568F" w:rsidR="00333E1A" w:rsidRDefault="00333E1A" w:rsidP="00333E1A">
      <w:pPr>
        <w:jc w:val="both"/>
        <w:rPr>
          <w:rFonts w:ascii="Arial" w:hAnsi="Arial" w:cs="Arial"/>
          <w:i/>
          <w:iCs/>
          <w:sz w:val="20"/>
          <w:szCs w:val="20"/>
          <w:shd w:val="clear" w:color="auto" w:fill="FAF9F8"/>
        </w:rPr>
      </w:pPr>
    </w:p>
    <w:p w14:paraId="10DE66EC" w14:textId="3F1F1D56" w:rsidR="00333E1A" w:rsidRDefault="00333E1A" w:rsidP="00333E1A">
      <w:pPr>
        <w:jc w:val="both"/>
        <w:rPr>
          <w:rFonts w:ascii="Arial" w:hAnsi="Arial" w:cs="Arial"/>
          <w:i/>
          <w:iCs/>
          <w:sz w:val="20"/>
          <w:szCs w:val="20"/>
          <w:shd w:val="clear" w:color="auto" w:fill="FAF9F8"/>
        </w:rPr>
      </w:pPr>
    </w:p>
    <w:p w14:paraId="27B54F86" w14:textId="71B89501" w:rsidR="00333E1A" w:rsidRDefault="00333E1A">
      <w:pPr>
        <w:rPr>
          <w:rFonts w:ascii="Arial" w:hAnsi="Arial" w:cs="Arial"/>
          <w:i/>
          <w:iCs/>
          <w:sz w:val="20"/>
          <w:szCs w:val="20"/>
          <w:shd w:val="clear" w:color="auto" w:fill="FAF9F8"/>
        </w:rPr>
      </w:pPr>
    </w:p>
    <w:p w14:paraId="51393296" w14:textId="1A567BA3" w:rsidR="00333E1A" w:rsidRDefault="00333E1A">
      <w:pPr>
        <w:rPr>
          <w:rFonts w:ascii="Arial" w:hAnsi="Arial" w:cs="Arial"/>
          <w:i/>
          <w:iCs/>
          <w:sz w:val="20"/>
          <w:szCs w:val="20"/>
          <w:shd w:val="clear" w:color="auto" w:fill="FAF9F8"/>
        </w:rPr>
      </w:pPr>
    </w:p>
    <w:p w14:paraId="073A9CE6" w14:textId="4BC8830E" w:rsidR="0093527C" w:rsidRDefault="0093527C">
      <w:pPr>
        <w:rPr>
          <w:rFonts w:ascii="Arial" w:hAnsi="Arial" w:cs="Arial"/>
          <w:sz w:val="20"/>
          <w:szCs w:val="20"/>
          <w:shd w:val="clear" w:color="auto" w:fill="FAF9F8"/>
        </w:rPr>
      </w:pPr>
      <w:r>
        <w:rPr>
          <w:noProof/>
        </w:rPr>
        <w:drawing>
          <wp:inline distT="0" distB="0" distL="0" distR="0" wp14:anchorId="5463C151" wp14:editId="00030F86">
            <wp:extent cx="5731510" cy="2839720"/>
            <wp:effectExtent l="0" t="0" r="2540" b="0"/>
            <wp:docPr id="5" name="Picture 5" descr="Diagram,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atter chart&#10;&#10;Description automatically generated"/>
                    <pic:cNvPicPr/>
                  </pic:nvPicPr>
                  <pic:blipFill>
                    <a:blip r:embed="rId9"/>
                    <a:stretch>
                      <a:fillRect/>
                    </a:stretch>
                  </pic:blipFill>
                  <pic:spPr>
                    <a:xfrm>
                      <a:off x="0" y="0"/>
                      <a:ext cx="5731510" cy="2839720"/>
                    </a:xfrm>
                    <a:prstGeom prst="rect">
                      <a:avLst/>
                    </a:prstGeom>
                  </pic:spPr>
                </pic:pic>
              </a:graphicData>
            </a:graphic>
          </wp:inline>
        </w:drawing>
      </w:r>
    </w:p>
    <w:p w14:paraId="6ECF8DD6" w14:textId="77777777" w:rsidR="00517B57" w:rsidRPr="00333E1A" w:rsidRDefault="00517B57" w:rsidP="00517B57">
      <w:pPr>
        <w:jc w:val="center"/>
        <w:rPr>
          <w:rFonts w:ascii="Arial" w:hAnsi="Arial" w:cs="Arial"/>
          <w:sz w:val="16"/>
          <w:szCs w:val="16"/>
          <w:shd w:val="clear" w:color="auto" w:fill="FAF9F8"/>
        </w:rPr>
      </w:pPr>
      <w:r w:rsidRPr="00006FEA">
        <w:rPr>
          <w:rFonts w:ascii="Arial" w:hAnsi="Arial" w:cs="Arial"/>
          <w:sz w:val="16"/>
          <w:szCs w:val="16"/>
          <w:shd w:val="clear" w:color="auto" w:fill="FAF9F8"/>
        </w:rPr>
        <w:t xml:space="preserve">Figure 2 – Process control charts </w:t>
      </w:r>
      <w:sdt>
        <w:sdtPr>
          <w:rPr>
            <w:rFonts w:ascii="Arial" w:hAnsi="Arial" w:cs="Arial"/>
            <w:sz w:val="16"/>
            <w:szCs w:val="16"/>
            <w:shd w:val="clear" w:color="auto" w:fill="FAF9F8"/>
          </w:rPr>
          <w:id w:val="-291751852"/>
          <w:citation/>
        </w:sdtPr>
        <w:sdtContent>
          <w:r w:rsidRPr="00006FEA">
            <w:rPr>
              <w:rFonts w:ascii="Arial" w:hAnsi="Arial" w:cs="Arial"/>
              <w:sz w:val="16"/>
              <w:szCs w:val="16"/>
              <w:shd w:val="clear" w:color="auto" w:fill="FAF9F8"/>
            </w:rPr>
            <w:fldChar w:fldCharType="begin"/>
          </w:r>
          <w:r w:rsidRPr="00006FEA">
            <w:rPr>
              <w:rFonts w:ascii="Arial" w:hAnsi="Arial" w:cs="Arial"/>
              <w:sz w:val="16"/>
              <w:szCs w:val="16"/>
              <w:shd w:val="clear" w:color="auto" w:fill="FAF9F8"/>
            </w:rPr>
            <w:instrText xml:space="preserve"> CITATION Pfo99 \l 2057 </w:instrText>
          </w:r>
          <w:r w:rsidRPr="00006FEA">
            <w:rPr>
              <w:rFonts w:ascii="Arial" w:hAnsi="Arial" w:cs="Arial"/>
              <w:sz w:val="16"/>
              <w:szCs w:val="16"/>
              <w:shd w:val="clear" w:color="auto" w:fill="FAF9F8"/>
            </w:rPr>
            <w:fldChar w:fldCharType="separate"/>
          </w:r>
          <w:r w:rsidRPr="00006FEA">
            <w:rPr>
              <w:rFonts w:ascii="Arial" w:hAnsi="Arial" w:cs="Arial"/>
              <w:noProof/>
              <w:sz w:val="16"/>
              <w:szCs w:val="16"/>
              <w:shd w:val="clear" w:color="auto" w:fill="FAF9F8"/>
            </w:rPr>
            <w:t>(Pfohl, et al., 1999)</w:t>
          </w:r>
          <w:r w:rsidRPr="00006FEA">
            <w:rPr>
              <w:rFonts w:ascii="Arial" w:hAnsi="Arial" w:cs="Arial"/>
              <w:sz w:val="16"/>
              <w:szCs w:val="16"/>
              <w:shd w:val="clear" w:color="auto" w:fill="FAF9F8"/>
            </w:rPr>
            <w:fldChar w:fldCharType="end"/>
          </w:r>
        </w:sdtContent>
      </w:sdt>
    </w:p>
    <w:p w14:paraId="0ED4487A" w14:textId="6C4772CF" w:rsidR="000977D3" w:rsidRDefault="00857B99" w:rsidP="00333E1A">
      <w:pPr>
        <w:jc w:val="both"/>
        <w:rPr>
          <w:rFonts w:ascii="Arial" w:hAnsi="Arial" w:cs="Arial"/>
          <w:sz w:val="20"/>
          <w:szCs w:val="20"/>
          <w:shd w:val="clear" w:color="auto" w:fill="FAF9F8"/>
        </w:rPr>
      </w:pPr>
      <w:r w:rsidRPr="007804FC">
        <w:rPr>
          <w:rFonts w:ascii="Arial" w:hAnsi="Arial" w:cs="Arial"/>
          <w:sz w:val="20"/>
          <w:szCs w:val="20"/>
          <w:shd w:val="clear" w:color="auto" w:fill="FAF9F8"/>
        </w:rPr>
        <w:t xml:space="preserve">The data collected </w:t>
      </w:r>
      <w:r w:rsidR="000D69D9" w:rsidRPr="007804FC">
        <w:rPr>
          <w:rFonts w:ascii="Arial" w:hAnsi="Arial" w:cs="Arial"/>
          <w:sz w:val="20"/>
          <w:szCs w:val="20"/>
          <w:shd w:val="clear" w:color="auto" w:fill="FAF9F8"/>
        </w:rPr>
        <w:t>was from secondary sources</w:t>
      </w:r>
      <w:r w:rsidR="00A6448C">
        <w:rPr>
          <w:rFonts w:ascii="Arial" w:hAnsi="Arial" w:cs="Arial"/>
          <w:sz w:val="20"/>
          <w:szCs w:val="20"/>
          <w:shd w:val="clear" w:color="auto" w:fill="FAF9F8"/>
        </w:rPr>
        <w:t xml:space="preserve"> and starting from the first week of this financial year</w:t>
      </w:r>
      <w:r w:rsidR="000D69D9" w:rsidRPr="007804FC">
        <w:rPr>
          <w:rFonts w:ascii="Arial" w:hAnsi="Arial" w:cs="Arial"/>
          <w:sz w:val="20"/>
          <w:szCs w:val="20"/>
          <w:shd w:val="clear" w:color="auto" w:fill="FAF9F8"/>
        </w:rPr>
        <w:t xml:space="preserve">. Delivery data comes from the weighbridge computer system, each lorry is weighed in and out, with the net difference being the amount delivered. The loaded out data, this is the movement from the Raw Mats Bays to the </w:t>
      </w:r>
      <w:r w:rsidR="001F2F93" w:rsidRPr="007804FC">
        <w:rPr>
          <w:rFonts w:ascii="Arial" w:hAnsi="Arial" w:cs="Arial"/>
          <w:sz w:val="20"/>
          <w:szCs w:val="20"/>
          <w:shd w:val="clear" w:color="auto" w:fill="FAF9F8"/>
        </w:rPr>
        <w:t>Plant, comes from the local intranet, when the material is loaded out of the bay into a hopper it is then recorded on the intranet by the operator. Consumption of the material also come from the local intranet</w:t>
      </w:r>
      <w:r w:rsidR="00496502" w:rsidRPr="007804FC">
        <w:rPr>
          <w:rFonts w:ascii="Arial" w:hAnsi="Arial" w:cs="Arial"/>
          <w:sz w:val="20"/>
          <w:szCs w:val="20"/>
          <w:shd w:val="clear" w:color="auto" w:fill="FAF9F8"/>
        </w:rPr>
        <w:t>, this is an automated system that allocates a set amount of material per grade made and then is error checked by an operator on a daily basis. This data can then be used to create stock figures for the two stocking areas and will give a total stock figure</w:t>
      </w:r>
      <w:r w:rsidR="007804FC" w:rsidRPr="007804FC">
        <w:rPr>
          <w:rFonts w:ascii="Arial" w:hAnsi="Arial" w:cs="Arial"/>
          <w:sz w:val="20"/>
          <w:szCs w:val="20"/>
          <w:shd w:val="clear" w:color="auto" w:fill="FAF9F8"/>
        </w:rPr>
        <w:t>.</w:t>
      </w:r>
      <w:r w:rsidR="000977D3">
        <w:rPr>
          <w:rFonts w:ascii="Arial" w:hAnsi="Arial" w:cs="Arial"/>
          <w:sz w:val="20"/>
          <w:szCs w:val="20"/>
          <w:shd w:val="clear" w:color="auto" w:fill="FAF9F8"/>
        </w:rPr>
        <w:t xml:space="preserve"> Stock figures for the Raw Mats Bay and Plant are provide</w:t>
      </w:r>
      <w:r w:rsidR="006750E4">
        <w:rPr>
          <w:rFonts w:ascii="Arial" w:hAnsi="Arial" w:cs="Arial"/>
          <w:sz w:val="20"/>
          <w:szCs w:val="20"/>
          <w:shd w:val="clear" w:color="auto" w:fill="FAF9F8"/>
        </w:rPr>
        <w:t xml:space="preserve"> by the operators in a weekly excel file.</w:t>
      </w:r>
    </w:p>
    <w:p w14:paraId="0D3B3CFE" w14:textId="15CF6995" w:rsidR="00DD1065" w:rsidRDefault="00DD1065" w:rsidP="00897F9D">
      <w:pPr>
        <w:jc w:val="center"/>
        <w:rPr>
          <w:rFonts w:ascii="Arial" w:hAnsi="Arial" w:cs="Arial"/>
          <w:sz w:val="20"/>
          <w:szCs w:val="20"/>
          <w:shd w:val="clear" w:color="auto" w:fill="FAF9F8"/>
        </w:rPr>
      </w:pPr>
      <w:r w:rsidRPr="00DD1065">
        <w:rPr>
          <w:noProof/>
        </w:rPr>
        <w:drawing>
          <wp:inline distT="0" distB="0" distL="0" distR="0" wp14:anchorId="64E1F82C" wp14:editId="0EB20F0B">
            <wp:extent cx="2583711" cy="3823391"/>
            <wp:effectExtent l="0" t="0" r="762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8575" cy="3860185"/>
                    </a:xfrm>
                    <a:prstGeom prst="rect">
                      <a:avLst/>
                    </a:prstGeom>
                    <a:noFill/>
                    <a:ln>
                      <a:noFill/>
                    </a:ln>
                  </pic:spPr>
                </pic:pic>
              </a:graphicData>
            </a:graphic>
          </wp:inline>
        </w:drawing>
      </w:r>
    </w:p>
    <w:p w14:paraId="44EC3DF3" w14:textId="77777777" w:rsidR="00517B57" w:rsidRPr="00DD1065" w:rsidRDefault="00517B57" w:rsidP="00517B57">
      <w:pPr>
        <w:jc w:val="center"/>
        <w:rPr>
          <w:rFonts w:ascii="Arial" w:hAnsi="Arial" w:cs="Arial"/>
          <w:sz w:val="16"/>
          <w:szCs w:val="16"/>
          <w:shd w:val="clear" w:color="auto" w:fill="FAF9F8"/>
        </w:rPr>
      </w:pPr>
      <w:r>
        <w:rPr>
          <w:rFonts w:ascii="Arial" w:hAnsi="Arial" w:cs="Arial"/>
          <w:sz w:val="16"/>
          <w:szCs w:val="16"/>
          <w:shd w:val="clear" w:color="auto" w:fill="FAF9F8"/>
        </w:rPr>
        <w:t>Figure 3 – data table HCFeMn Small</w:t>
      </w:r>
    </w:p>
    <w:p w14:paraId="511244F5" w14:textId="77777777" w:rsidR="00517B57" w:rsidRDefault="00517B57" w:rsidP="00897F9D">
      <w:pPr>
        <w:jc w:val="center"/>
        <w:rPr>
          <w:rFonts w:ascii="Arial" w:hAnsi="Arial" w:cs="Arial"/>
          <w:sz w:val="20"/>
          <w:szCs w:val="20"/>
          <w:shd w:val="clear" w:color="auto" w:fill="FAF9F8"/>
        </w:rPr>
      </w:pPr>
    </w:p>
    <w:p w14:paraId="1B64AFB3" w14:textId="5FF7DFBA" w:rsidR="0093527C" w:rsidRDefault="009336CF"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A control limit was created basis 1 weeks </w:t>
      </w:r>
      <w:r w:rsidR="006750E4">
        <w:rPr>
          <w:rFonts w:ascii="Arial" w:hAnsi="Arial" w:cs="Arial"/>
          <w:sz w:val="20"/>
          <w:szCs w:val="20"/>
          <w:shd w:val="clear" w:color="auto" w:fill="FAF9F8"/>
        </w:rPr>
        <w:t xml:space="preserve">average </w:t>
      </w:r>
      <w:r>
        <w:rPr>
          <w:rFonts w:ascii="Arial" w:hAnsi="Arial" w:cs="Arial"/>
          <w:sz w:val="20"/>
          <w:szCs w:val="20"/>
          <w:shd w:val="clear" w:color="auto" w:fill="FAF9F8"/>
        </w:rPr>
        <w:t xml:space="preserve">consumption </w:t>
      </w:r>
      <w:r w:rsidR="001B16D3">
        <w:rPr>
          <w:rFonts w:ascii="Arial" w:hAnsi="Arial" w:cs="Arial"/>
          <w:sz w:val="20"/>
          <w:szCs w:val="20"/>
          <w:shd w:val="clear" w:color="auto" w:fill="FAF9F8"/>
        </w:rPr>
        <w:t>plus 3.5 days (this is the standard deviation of the current</w:t>
      </w:r>
      <w:r w:rsidR="006750E4">
        <w:rPr>
          <w:rFonts w:ascii="Arial" w:hAnsi="Arial" w:cs="Arial"/>
          <w:sz w:val="20"/>
          <w:szCs w:val="20"/>
          <w:shd w:val="clear" w:color="auto" w:fill="FAF9F8"/>
        </w:rPr>
        <w:t xml:space="preserve"> delivery</w:t>
      </w:r>
      <w:r w:rsidR="001B16D3">
        <w:rPr>
          <w:rFonts w:ascii="Arial" w:hAnsi="Arial" w:cs="Arial"/>
          <w:sz w:val="20"/>
          <w:szCs w:val="20"/>
          <w:shd w:val="clear" w:color="auto" w:fill="FAF9F8"/>
        </w:rPr>
        <w:t xml:space="preserve"> lead times)</w:t>
      </w:r>
      <w:r w:rsidR="00DD1065">
        <w:rPr>
          <w:rFonts w:ascii="Arial" w:hAnsi="Arial" w:cs="Arial"/>
          <w:sz w:val="20"/>
          <w:szCs w:val="20"/>
          <w:shd w:val="clear" w:color="auto" w:fill="FAF9F8"/>
        </w:rPr>
        <w:t>,</w:t>
      </w:r>
      <w:r w:rsidR="00A6448C">
        <w:rPr>
          <w:rFonts w:ascii="Arial" w:hAnsi="Arial" w:cs="Arial"/>
          <w:sz w:val="20"/>
          <w:szCs w:val="20"/>
          <w:shd w:val="clear" w:color="auto" w:fill="FAF9F8"/>
        </w:rPr>
        <w:t xml:space="preserve"> </w:t>
      </w:r>
      <w:r w:rsidR="00DD1065">
        <w:rPr>
          <w:rFonts w:ascii="Arial" w:hAnsi="Arial" w:cs="Arial"/>
          <w:sz w:val="20"/>
          <w:szCs w:val="20"/>
          <w:shd w:val="clear" w:color="auto" w:fill="FAF9F8"/>
        </w:rPr>
        <w:t>this give a control limit of 300t. An upper and lower control limit was created to be within 2</w:t>
      </w:r>
      <w:r w:rsidR="00AC17DF">
        <w:rPr>
          <w:rFonts w:ascii="Arial" w:hAnsi="Arial" w:cs="Arial"/>
          <w:sz w:val="20"/>
          <w:szCs w:val="20"/>
          <w:shd w:val="clear" w:color="auto" w:fill="FAF9F8"/>
        </w:rPr>
        <w:t>5</w:t>
      </w:r>
      <w:r w:rsidR="00DD1065">
        <w:rPr>
          <w:rFonts w:ascii="Arial" w:hAnsi="Arial" w:cs="Arial"/>
          <w:sz w:val="20"/>
          <w:szCs w:val="20"/>
          <w:shd w:val="clear" w:color="auto" w:fill="FAF9F8"/>
        </w:rPr>
        <w:t>% of the control limit. UCL = 3</w:t>
      </w:r>
      <w:r w:rsidR="00AC17DF">
        <w:rPr>
          <w:rFonts w:ascii="Arial" w:hAnsi="Arial" w:cs="Arial"/>
          <w:sz w:val="20"/>
          <w:szCs w:val="20"/>
          <w:shd w:val="clear" w:color="auto" w:fill="FAF9F8"/>
        </w:rPr>
        <w:t>75</w:t>
      </w:r>
      <w:r w:rsidR="00DD1065">
        <w:rPr>
          <w:rFonts w:ascii="Arial" w:hAnsi="Arial" w:cs="Arial"/>
          <w:sz w:val="20"/>
          <w:szCs w:val="20"/>
          <w:shd w:val="clear" w:color="auto" w:fill="FAF9F8"/>
        </w:rPr>
        <w:t>t and LCL = 2</w:t>
      </w:r>
      <w:r w:rsidR="00AC17DF">
        <w:rPr>
          <w:rFonts w:ascii="Arial" w:hAnsi="Arial" w:cs="Arial"/>
          <w:sz w:val="20"/>
          <w:szCs w:val="20"/>
          <w:shd w:val="clear" w:color="auto" w:fill="FAF9F8"/>
        </w:rPr>
        <w:t>25</w:t>
      </w:r>
      <w:r w:rsidR="00DD1065">
        <w:rPr>
          <w:rFonts w:ascii="Arial" w:hAnsi="Arial" w:cs="Arial"/>
          <w:sz w:val="20"/>
          <w:szCs w:val="20"/>
          <w:shd w:val="clear" w:color="auto" w:fill="FAF9F8"/>
        </w:rPr>
        <w:t>t.</w:t>
      </w:r>
    </w:p>
    <w:p w14:paraId="511A4613" w14:textId="77777777" w:rsidR="00333E1A" w:rsidRDefault="00333E1A" w:rsidP="00333E1A">
      <w:pPr>
        <w:rPr>
          <w:sz w:val="16"/>
          <w:szCs w:val="16"/>
        </w:rPr>
      </w:pPr>
      <w:r w:rsidRPr="00006FEA">
        <w:rPr>
          <w:sz w:val="16"/>
          <w:szCs w:val="16"/>
        </w:rPr>
        <w:t>Figure 3 – Stock control chart HCFeMn Small</w:t>
      </w:r>
      <w:r>
        <w:rPr>
          <w:sz w:val="16"/>
          <w:szCs w:val="16"/>
        </w:rPr>
        <w:t xml:space="preserve"> Total Stock by Week</w:t>
      </w:r>
    </w:p>
    <w:p w14:paraId="7434881A" w14:textId="3958372F" w:rsidR="00FF6C01" w:rsidRDefault="00AC17DF" w:rsidP="00897F9D">
      <w:pPr>
        <w:jc w:val="center"/>
        <w:rPr>
          <w:sz w:val="20"/>
          <w:szCs w:val="20"/>
        </w:rPr>
      </w:pPr>
      <w:r>
        <w:rPr>
          <w:noProof/>
          <w:sz w:val="20"/>
          <w:szCs w:val="20"/>
        </w:rPr>
        <w:drawing>
          <wp:inline distT="0" distB="0" distL="0" distR="0" wp14:anchorId="1F0BD5C2" wp14:editId="5B75C44C">
            <wp:extent cx="4488180" cy="26352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0039" cy="2642213"/>
                    </a:xfrm>
                    <a:prstGeom prst="rect">
                      <a:avLst/>
                    </a:prstGeom>
                    <a:noFill/>
                  </pic:spPr>
                </pic:pic>
              </a:graphicData>
            </a:graphic>
          </wp:inline>
        </w:drawing>
      </w:r>
    </w:p>
    <w:p w14:paraId="71A54FD5" w14:textId="38F372CF" w:rsidR="00006FEA" w:rsidRDefault="00006FEA" w:rsidP="00333E1A">
      <w:pPr>
        <w:jc w:val="both"/>
        <w:rPr>
          <w:rFonts w:ascii="Arial" w:hAnsi="Arial" w:cs="Arial"/>
          <w:sz w:val="20"/>
          <w:szCs w:val="20"/>
        </w:rPr>
      </w:pPr>
      <w:r w:rsidRPr="006750E4">
        <w:rPr>
          <w:rFonts w:ascii="Arial" w:hAnsi="Arial" w:cs="Arial"/>
          <w:sz w:val="20"/>
          <w:szCs w:val="20"/>
        </w:rPr>
        <w:t xml:space="preserve">The control chart showed that </w:t>
      </w:r>
      <w:r w:rsidR="0063451E">
        <w:rPr>
          <w:rFonts w:ascii="Arial" w:hAnsi="Arial" w:cs="Arial"/>
          <w:sz w:val="20"/>
          <w:szCs w:val="20"/>
        </w:rPr>
        <w:t>2</w:t>
      </w:r>
      <w:r w:rsidR="00AC17DF">
        <w:rPr>
          <w:rFonts w:ascii="Arial" w:hAnsi="Arial" w:cs="Arial"/>
          <w:sz w:val="20"/>
          <w:szCs w:val="20"/>
        </w:rPr>
        <w:t>9</w:t>
      </w:r>
      <w:r w:rsidR="0063451E">
        <w:rPr>
          <w:rFonts w:ascii="Arial" w:hAnsi="Arial" w:cs="Arial"/>
          <w:sz w:val="20"/>
          <w:szCs w:val="20"/>
        </w:rPr>
        <w:t xml:space="preserve"> weeks out 50 were not within the control limits</w:t>
      </w:r>
      <w:r w:rsidR="005A3DB0">
        <w:rPr>
          <w:rFonts w:ascii="Arial" w:hAnsi="Arial" w:cs="Arial"/>
          <w:sz w:val="20"/>
          <w:szCs w:val="20"/>
        </w:rPr>
        <w:t>. The control chart shows</w:t>
      </w:r>
      <w:r w:rsidR="00E327AF">
        <w:rPr>
          <w:rFonts w:ascii="Arial" w:hAnsi="Arial" w:cs="Arial"/>
          <w:sz w:val="20"/>
          <w:szCs w:val="20"/>
        </w:rPr>
        <w:t xml:space="preserve"> the process is out of control and </w:t>
      </w:r>
      <w:r w:rsidR="005A3DB0">
        <w:rPr>
          <w:rFonts w:ascii="Arial" w:hAnsi="Arial" w:cs="Arial"/>
          <w:sz w:val="20"/>
          <w:szCs w:val="20"/>
        </w:rPr>
        <w:t xml:space="preserve">has unstable variation. </w:t>
      </w:r>
    </w:p>
    <w:p w14:paraId="4042A730" w14:textId="11D447FC" w:rsidR="005A3DB0" w:rsidRDefault="005A3DB0" w:rsidP="00333E1A">
      <w:pPr>
        <w:jc w:val="both"/>
        <w:rPr>
          <w:rFonts w:ascii="Arial" w:hAnsi="Arial" w:cs="Arial"/>
          <w:sz w:val="20"/>
          <w:szCs w:val="20"/>
        </w:rPr>
      </w:pPr>
      <w:r>
        <w:rPr>
          <w:rFonts w:ascii="Arial" w:hAnsi="Arial" w:cs="Arial"/>
          <w:sz w:val="20"/>
          <w:szCs w:val="20"/>
        </w:rPr>
        <w:t xml:space="preserve">One thing was noted at this stage was that if we used the stock data from the operators this could be masking an issue and we should just use the other secondary data sources to calculate a stock level. </w:t>
      </w:r>
      <w:r w:rsidR="00824378">
        <w:rPr>
          <w:rFonts w:ascii="Arial" w:hAnsi="Arial" w:cs="Arial"/>
          <w:sz w:val="20"/>
          <w:szCs w:val="20"/>
        </w:rPr>
        <w:t xml:space="preserve">Also this chart is showing actual data that has already effected by changes made to orders and has been manually brought back into a more controlled state. </w:t>
      </w:r>
      <w:r w:rsidR="001555DC">
        <w:rPr>
          <w:rFonts w:ascii="Arial" w:hAnsi="Arial" w:cs="Arial"/>
          <w:sz w:val="20"/>
          <w:szCs w:val="20"/>
        </w:rPr>
        <w:t xml:space="preserve">A new data table was created with calculated stock. </w:t>
      </w:r>
    </w:p>
    <w:p w14:paraId="106E4355" w14:textId="56040487" w:rsidR="001555DC" w:rsidRDefault="001555DC" w:rsidP="00897F9D">
      <w:pPr>
        <w:jc w:val="center"/>
        <w:rPr>
          <w:rFonts w:ascii="Arial" w:hAnsi="Arial" w:cs="Arial"/>
          <w:sz w:val="20"/>
          <w:szCs w:val="20"/>
        </w:rPr>
      </w:pPr>
      <w:r w:rsidRPr="001555DC">
        <w:rPr>
          <w:noProof/>
        </w:rPr>
        <w:drawing>
          <wp:inline distT="0" distB="0" distL="0" distR="0" wp14:anchorId="43F66A35" wp14:editId="45B62FBD">
            <wp:extent cx="2105247" cy="3465699"/>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50829" cy="3540737"/>
                    </a:xfrm>
                    <a:prstGeom prst="rect">
                      <a:avLst/>
                    </a:prstGeom>
                    <a:noFill/>
                    <a:ln>
                      <a:noFill/>
                    </a:ln>
                  </pic:spPr>
                </pic:pic>
              </a:graphicData>
            </a:graphic>
          </wp:inline>
        </w:drawing>
      </w:r>
    </w:p>
    <w:p w14:paraId="5A1E0518" w14:textId="77777777" w:rsidR="00517B57" w:rsidRDefault="00517B57" w:rsidP="00517B57">
      <w:pPr>
        <w:jc w:val="center"/>
        <w:rPr>
          <w:rFonts w:ascii="Arial" w:hAnsi="Arial" w:cs="Arial"/>
          <w:sz w:val="16"/>
          <w:szCs w:val="16"/>
        </w:rPr>
      </w:pPr>
      <w:r w:rsidRPr="001555DC">
        <w:rPr>
          <w:rFonts w:ascii="Arial" w:hAnsi="Arial" w:cs="Arial"/>
          <w:sz w:val="16"/>
          <w:szCs w:val="16"/>
        </w:rPr>
        <w:t xml:space="preserve">Figure 4 - </w:t>
      </w:r>
      <w:r w:rsidRPr="001555DC">
        <w:rPr>
          <w:rFonts w:ascii="Arial" w:hAnsi="Arial" w:cs="Arial"/>
          <w:sz w:val="16"/>
          <w:szCs w:val="16"/>
          <w:shd w:val="clear" w:color="auto" w:fill="FAF9F8"/>
        </w:rPr>
        <w:t>data table HCFeMn Small calculated stock</w:t>
      </w:r>
    </w:p>
    <w:p w14:paraId="732E8129" w14:textId="77777777" w:rsidR="00517B57" w:rsidRDefault="00517B57" w:rsidP="00897F9D">
      <w:pPr>
        <w:jc w:val="center"/>
        <w:rPr>
          <w:rFonts w:ascii="Arial" w:hAnsi="Arial" w:cs="Arial"/>
          <w:sz w:val="20"/>
          <w:szCs w:val="20"/>
        </w:rPr>
      </w:pPr>
    </w:p>
    <w:p w14:paraId="04B92D6C" w14:textId="16D58B3A" w:rsidR="001555DC" w:rsidRDefault="001555DC"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This data was then reapplied to the </w:t>
      </w:r>
      <w:r w:rsidR="0032616A">
        <w:rPr>
          <w:rFonts w:ascii="Arial" w:hAnsi="Arial" w:cs="Arial"/>
          <w:sz w:val="20"/>
          <w:szCs w:val="20"/>
          <w:shd w:val="clear" w:color="auto" w:fill="FAF9F8"/>
        </w:rPr>
        <w:t xml:space="preserve">stock </w:t>
      </w:r>
      <w:r>
        <w:rPr>
          <w:rFonts w:ascii="Arial" w:hAnsi="Arial" w:cs="Arial"/>
          <w:sz w:val="20"/>
          <w:szCs w:val="20"/>
          <w:shd w:val="clear" w:color="auto" w:fill="FAF9F8"/>
        </w:rPr>
        <w:t xml:space="preserve">control chart. </w:t>
      </w:r>
    </w:p>
    <w:p w14:paraId="060BD61F" w14:textId="6440D8D3" w:rsidR="001555DC" w:rsidRDefault="001555DC" w:rsidP="00897F9D">
      <w:pPr>
        <w:jc w:val="center"/>
        <w:rPr>
          <w:rFonts w:ascii="Arial" w:hAnsi="Arial" w:cs="Arial"/>
          <w:sz w:val="20"/>
          <w:szCs w:val="20"/>
          <w:shd w:val="clear" w:color="auto" w:fill="FAF9F8"/>
        </w:rPr>
      </w:pPr>
      <w:r>
        <w:rPr>
          <w:rFonts w:ascii="Arial" w:hAnsi="Arial" w:cs="Arial"/>
          <w:noProof/>
          <w:sz w:val="20"/>
          <w:szCs w:val="20"/>
          <w:shd w:val="clear" w:color="auto" w:fill="FAF9F8"/>
        </w:rPr>
        <w:drawing>
          <wp:inline distT="0" distB="0" distL="0" distR="0" wp14:anchorId="5F08171C" wp14:editId="60F1AF79">
            <wp:extent cx="4344654" cy="2804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57711" cy="2812587"/>
                    </a:xfrm>
                    <a:prstGeom prst="rect">
                      <a:avLst/>
                    </a:prstGeom>
                    <a:noFill/>
                  </pic:spPr>
                </pic:pic>
              </a:graphicData>
            </a:graphic>
          </wp:inline>
        </w:drawing>
      </w:r>
    </w:p>
    <w:p w14:paraId="54C34910" w14:textId="77777777" w:rsidR="00517B57" w:rsidRPr="0032616A" w:rsidRDefault="00517B57" w:rsidP="00517B57">
      <w:pPr>
        <w:jc w:val="center"/>
        <w:rPr>
          <w:rFonts w:ascii="Arial" w:hAnsi="Arial" w:cs="Arial"/>
          <w:sz w:val="16"/>
          <w:szCs w:val="16"/>
          <w:shd w:val="clear" w:color="auto" w:fill="FAF9F8"/>
        </w:rPr>
      </w:pPr>
      <w:r w:rsidRPr="0032616A">
        <w:rPr>
          <w:rFonts w:ascii="Arial" w:hAnsi="Arial" w:cs="Arial"/>
          <w:sz w:val="16"/>
          <w:szCs w:val="16"/>
          <w:shd w:val="clear" w:color="auto" w:fill="FAF9F8"/>
        </w:rPr>
        <w:t xml:space="preserve">Figure 5 - </w:t>
      </w:r>
      <w:r w:rsidRPr="0032616A">
        <w:rPr>
          <w:rFonts w:ascii="Arial" w:hAnsi="Arial" w:cs="Arial"/>
          <w:sz w:val="16"/>
          <w:szCs w:val="16"/>
        </w:rPr>
        <w:t>Stock control chart HCFeMn Small Total Stock by Week</w:t>
      </w:r>
      <w:r>
        <w:rPr>
          <w:rFonts w:ascii="Arial" w:hAnsi="Arial" w:cs="Arial"/>
          <w:sz w:val="16"/>
          <w:szCs w:val="16"/>
        </w:rPr>
        <w:t xml:space="preserve"> with calculated stock figures</w:t>
      </w:r>
    </w:p>
    <w:p w14:paraId="3AA1DFE1" w14:textId="6A7124DB" w:rsidR="001555DC" w:rsidRDefault="0032616A"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This now shows that process is still out of control, but there is a more natural </w:t>
      </w:r>
      <w:r w:rsidR="00E63945">
        <w:rPr>
          <w:rFonts w:ascii="Arial" w:hAnsi="Arial" w:cs="Arial"/>
          <w:sz w:val="20"/>
          <w:szCs w:val="20"/>
          <w:shd w:val="clear" w:color="auto" w:fill="FAF9F8"/>
        </w:rPr>
        <w:t xml:space="preserve">variation and it is systemic. </w:t>
      </w:r>
    </w:p>
    <w:p w14:paraId="3F0C3591" w14:textId="025BAB98" w:rsidR="00E63945" w:rsidRDefault="00E63945"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The data provided </w:t>
      </w:r>
      <w:r w:rsidR="00A9300C">
        <w:rPr>
          <w:rFonts w:ascii="Arial" w:hAnsi="Arial" w:cs="Arial"/>
          <w:sz w:val="20"/>
          <w:szCs w:val="20"/>
          <w:shd w:val="clear" w:color="auto" w:fill="FAF9F8"/>
        </w:rPr>
        <w:t>shows that the trend is downwards, showing that if you used data only to control your stock figures your stock would be coming down each week. As shown in the control chart when you add a trend line for the total stock.</w:t>
      </w:r>
      <w:r w:rsidR="00FF6ADA">
        <w:rPr>
          <w:rFonts w:ascii="Arial" w:hAnsi="Arial" w:cs="Arial"/>
          <w:sz w:val="20"/>
          <w:szCs w:val="20"/>
          <w:shd w:val="clear" w:color="auto" w:fill="FAF9F8"/>
        </w:rPr>
        <w:t xml:space="preserve"> We are unable to use the SPC approach to automatically make the calls offs until the process is brought into control.</w:t>
      </w:r>
    </w:p>
    <w:p w14:paraId="45EFE05C" w14:textId="64B0476C" w:rsidR="00A9300C" w:rsidRDefault="00A9300C" w:rsidP="00897F9D">
      <w:pPr>
        <w:jc w:val="center"/>
        <w:rPr>
          <w:rFonts w:ascii="Arial" w:hAnsi="Arial" w:cs="Arial"/>
          <w:sz w:val="20"/>
          <w:szCs w:val="20"/>
          <w:shd w:val="clear" w:color="auto" w:fill="FAF9F8"/>
        </w:rPr>
      </w:pPr>
      <w:r>
        <w:rPr>
          <w:rFonts w:ascii="Arial" w:hAnsi="Arial" w:cs="Arial"/>
          <w:noProof/>
          <w:sz w:val="20"/>
          <w:szCs w:val="20"/>
          <w:shd w:val="clear" w:color="auto" w:fill="FAF9F8"/>
        </w:rPr>
        <w:drawing>
          <wp:inline distT="0" distB="0" distL="0" distR="0" wp14:anchorId="7DF909AA" wp14:editId="662051B5">
            <wp:extent cx="4328160" cy="2912392"/>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41985" cy="2921695"/>
                    </a:xfrm>
                    <a:prstGeom prst="rect">
                      <a:avLst/>
                    </a:prstGeom>
                    <a:noFill/>
                  </pic:spPr>
                </pic:pic>
              </a:graphicData>
            </a:graphic>
          </wp:inline>
        </w:drawing>
      </w:r>
    </w:p>
    <w:p w14:paraId="74FA7290" w14:textId="77777777" w:rsidR="00517B57" w:rsidRPr="001952C0" w:rsidRDefault="00517B57" w:rsidP="00517B57">
      <w:pPr>
        <w:jc w:val="center"/>
        <w:rPr>
          <w:rFonts w:ascii="Arial" w:hAnsi="Arial" w:cs="Arial"/>
          <w:sz w:val="16"/>
          <w:szCs w:val="16"/>
          <w:shd w:val="clear" w:color="auto" w:fill="FAF9F8"/>
        </w:rPr>
      </w:pPr>
      <w:r w:rsidRPr="001952C0">
        <w:rPr>
          <w:rFonts w:ascii="Arial" w:hAnsi="Arial" w:cs="Arial"/>
          <w:sz w:val="16"/>
          <w:szCs w:val="16"/>
          <w:shd w:val="clear" w:color="auto" w:fill="FAF9F8"/>
        </w:rPr>
        <w:t xml:space="preserve">Figure 6 - </w:t>
      </w:r>
      <w:r w:rsidRPr="001952C0">
        <w:rPr>
          <w:rFonts w:ascii="Arial" w:hAnsi="Arial" w:cs="Arial"/>
          <w:sz w:val="16"/>
          <w:szCs w:val="16"/>
        </w:rPr>
        <w:t>Stock control chart HCFeMn Small Total Stock by Week with calculated stock figures and trendline on total stock</w:t>
      </w:r>
    </w:p>
    <w:p w14:paraId="4F51CED1" w14:textId="77357A55" w:rsidR="001555DC" w:rsidRDefault="00A9300C" w:rsidP="00333E1A">
      <w:pPr>
        <w:jc w:val="both"/>
        <w:rPr>
          <w:rFonts w:ascii="Arial" w:hAnsi="Arial" w:cs="Arial"/>
          <w:sz w:val="20"/>
          <w:szCs w:val="20"/>
          <w:shd w:val="clear" w:color="auto" w:fill="FAF9F8"/>
        </w:rPr>
      </w:pPr>
      <w:r>
        <w:rPr>
          <w:rFonts w:ascii="Arial" w:hAnsi="Arial" w:cs="Arial"/>
          <w:sz w:val="20"/>
          <w:szCs w:val="20"/>
          <w:shd w:val="clear" w:color="auto" w:fill="FAF9F8"/>
        </w:rPr>
        <w:t>This shows that process data is either over declaring the consumption of HCFeMn Small or the delivery data is missing</w:t>
      </w:r>
      <w:r w:rsidR="00251267">
        <w:rPr>
          <w:rFonts w:ascii="Arial" w:hAnsi="Arial" w:cs="Arial"/>
          <w:sz w:val="20"/>
          <w:szCs w:val="20"/>
          <w:shd w:val="clear" w:color="auto" w:fill="FAF9F8"/>
        </w:rPr>
        <w:t>/incorrect.</w:t>
      </w:r>
    </w:p>
    <w:p w14:paraId="59A3141A" w14:textId="7DFBDDBD" w:rsidR="00251267" w:rsidRDefault="00251267" w:rsidP="00333E1A">
      <w:pPr>
        <w:jc w:val="both"/>
        <w:rPr>
          <w:rFonts w:ascii="Arial" w:hAnsi="Arial" w:cs="Arial"/>
          <w:sz w:val="20"/>
          <w:szCs w:val="20"/>
          <w:shd w:val="clear" w:color="auto" w:fill="FAF9F8"/>
        </w:rPr>
      </w:pPr>
      <w:r>
        <w:rPr>
          <w:rFonts w:ascii="Arial" w:hAnsi="Arial" w:cs="Arial"/>
          <w:sz w:val="20"/>
          <w:szCs w:val="20"/>
          <w:shd w:val="clear" w:color="auto" w:fill="FAF9F8"/>
        </w:rPr>
        <w:t>This data is used to predict forward call</w:t>
      </w:r>
      <w:r w:rsidR="00CE0BD7">
        <w:rPr>
          <w:rFonts w:ascii="Arial" w:hAnsi="Arial" w:cs="Arial"/>
          <w:sz w:val="20"/>
          <w:szCs w:val="20"/>
          <w:shd w:val="clear" w:color="auto" w:fill="FAF9F8"/>
        </w:rPr>
        <w:t xml:space="preserve"> offs</w:t>
      </w:r>
      <w:r>
        <w:rPr>
          <w:rFonts w:ascii="Arial" w:hAnsi="Arial" w:cs="Arial"/>
          <w:sz w:val="20"/>
          <w:szCs w:val="20"/>
          <w:shd w:val="clear" w:color="auto" w:fill="FAF9F8"/>
        </w:rPr>
        <w:t xml:space="preserve"> to suppliers and </w:t>
      </w:r>
      <w:r w:rsidR="00CE0BD7">
        <w:rPr>
          <w:rFonts w:ascii="Arial" w:hAnsi="Arial" w:cs="Arial"/>
          <w:sz w:val="20"/>
          <w:szCs w:val="20"/>
          <w:shd w:val="clear" w:color="auto" w:fill="FAF9F8"/>
        </w:rPr>
        <w:t>matches the issue that we are over ordering this material</w:t>
      </w:r>
    </w:p>
    <w:p w14:paraId="34BABE65" w14:textId="42B58D69" w:rsidR="00F434CB" w:rsidRDefault="001952C0" w:rsidP="00333E1A">
      <w:pPr>
        <w:jc w:val="both"/>
        <w:rPr>
          <w:rFonts w:ascii="Arial" w:hAnsi="Arial" w:cs="Arial"/>
          <w:sz w:val="20"/>
          <w:szCs w:val="20"/>
          <w:shd w:val="clear" w:color="auto" w:fill="FAF9F8"/>
        </w:rPr>
      </w:pPr>
      <w:r>
        <w:rPr>
          <w:rFonts w:ascii="Arial" w:hAnsi="Arial" w:cs="Arial"/>
          <w:sz w:val="20"/>
          <w:szCs w:val="20"/>
          <w:shd w:val="clear" w:color="auto" w:fill="FAF9F8"/>
        </w:rPr>
        <w:t xml:space="preserve">To further improve the data analysis, the data for the RMB stock and Plant stock was also put into Stock Control Charts. </w:t>
      </w:r>
    </w:p>
    <w:p w14:paraId="7C8F5DA9" w14:textId="664A9621" w:rsidR="001952C0" w:rsidRDefault="001952C0" w:rsidP="00897F9D">
      <w:pPr>
        <w:jc w:val="center"/>
        <w:rPr>
          <w:rFonts w:ascii="Arial" w:hAnsi="Arial" w:cs="Arial"/>
          <w:sz w:val="20"/>
          <w:szCs w:val="20"/>
          <w:shd w:val="clear" w:color="auto" w:fill="FAF9F8"/>
        </w:rPr>
      </w:pPr>
      <w:r>
        <w:rPr>
          <w:noProof/>
        </w:rPr>
        <w:drawing>
          <wp:inline distT="0" distB="0" distL="0" distR="0" wp14:anchorId="30EAD46D" wp14:editId="380E725B">
            <wp:extent cx="4312920" cy="2788920"/>
            <wp:effectExtent l="0" t="0" r="11430" b="11430"/>
            <wp:docPr id="10" name="Chart 10">
              <a:extLst xmlns:a="http://schemas.openxmlformats.org/drawingml/2006/main">
                <a:ext uri="{FF2B5EF4-FFF2-40B4-BE49-F238E27FC236}">
                  <a16:creationId xmlns:a16="http://schemas.microsoft.com/office/drawing/2014/main" id="{7FFDCA22-9B14-4F0D-AC3B-4DBA887FE3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157ED12" w14:textId="052EC5FA" w:rsidR="00517B57" w:rsidRDefault="00517B57" w:rsidP="00517B57">
      <w:pPr>
        <w:jc w:val="center"/>
        <w:rPr>
          <w:rFonts w:ascii="Arial" w:hAnsi="Arial" w:cs="Arial"/>
          <w:sz w:val="16"/>
          <w:szCs w:val="16"/>
        </w:rPr>
      </w:pPr>
      <w:r w:rsidRPr="00E15992">
        <w:rPr>
          <w:rFonts w:ascii="Arial" w:hAnsi="Arial" w:cs="Arial"/>
          <w:sz w:val="16"/>
          <w:szCs w:val="16"/>
          <w:shd w:val="clear" w:color="auto" w:fill="FAF9F8"/>
        </w:rPr>
        <w:t xml:space="preserve">Figure 7 - </w:t>
      </w:r>
      <w:r w:rsidRPr="00E15992">
        <w:rPr>
          <w:rFonts w:ascii="Arial" w:hAnsi="Arial" w:cs="Arial"/>
          <w:sz w:val="16"/>
          <w:szCs w:val="16"/>
        </w:rPr>
        <w:t>Stock</w:t>
      </w:r>
      <w:r w:rsidRPr="001952C0">
        <w:rPr>
          <w:rFonts w:ascii="Arial" w:hAnsi="Arial" w:cs="Arial"/>
          <w:sz w:val="16"/>
          <w:szCs w:val="16"/>
        </w:rPr>
        <w:t xml:space="preserve"> control chart HCFeMn Small </w:t>
      </w:r>
      <w:r>
        <w:rPr>
          <w:rFonts w:ascii="Arial" w:hAnsi="Arial" w:cs="Arial"/>
          <w:sz w:val="16"/>
          <w:szCs w:val="16"/>
        </w:rPr>
        <w:t xml:space="preserve">RMB </w:t>
      </w:r>
      <w:r w:rsidRPr="001952C0">
        <w:rPr>
          <w:rFonts w:ascii="Arial" w:hAnsi="Arial" w:cs="Arial"/>
          <w:sz w:val="16"/>
          <w:szCs w:val="16"/>
        </w:rPr>
        <w:t>Stock by Week</w:t>
      </w:r>
    </w:p>
    <w:p w14:paraId="642544AA" w14:textId="0191F17A" w:rsidR="00897F9D" w:rsidRDefault="00897F9D" w:rsidP="00897F9D">
      <w:pPr>
        <w:jc w:val="center"/>
        <w:rPr>
          <w:rFonts w:ascii="Arial" w:hAnsi="Arial" w:cs="Arial"/>
          <w:sz w:val="16"/>
          <w:szCs w:val="16"/>
          <w:shd w:val="clear" w:color="auto" w:fill="FAF9F8"/>
        </w:rPr>
      </w:pPr>
      <w:r>
        <w:rPr>
          <w:rFonts w:ascii="Arial" w:hAnsi="Arial" w:cs="Arial"/>
          <w:noProof/>
          <w:sz w:val="16"/>
          <w:szCs w:val="16"/>
          <w:shd w:val="clear" w:color="auto" w:fill="FAF9F8"/>
        </w:rPr>
        <w:drawing>
          <wp:inline distT="0" distB="0" distL="0" distR="0" wp14:anchorId="0BC3A8A2" wp14:editId="3CC36120">
            <wp:extent cx="4212611" cy="28346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31453" cy="2847319"/>
                    </a:xfrm>
                    <a:prstGeom prst="rect">
                      <a:avLst/>
                    </a:prstGeom>
                    <a:noFill/>
                  </pic:spPr>
                </pic:pic>
              </a:graphicData>
            </a:graphic>
          </wp:inline>
        </w:drawing>
      </w:r>
    </w:p>
    <w:p w14:paraId="57E14F67" w14:textId="77777777" w:rsidR="00517B57" w:rsidRDefault="00517B57" w:rsidP="00517B57">
      <w:pPr>
        <w:jc w:val="center"/>
        <w:rPr>
          <w:rFonts w:ascii="Arial" w:hAnsi="Arial" w:cs="Arial"/>
          <w:sz w:val="16"/>
          <w:szCs w:val="16"/>
        </w:rPr>
      </w:pPr>
      <w:r>
        <w:rPr>
          <w:rFonts w:ascii="Arial" w:hAnsi="Arial" w:cs="Arial"/>
          <w:sz w:val="16"/>
          <w:szCs w:val="16"/>
          <w:shd w:val="clear" w:color="auto" w:fill="FAF9F8"/>
        </w:rPr>
        <w:t xml:space="preserve">Figure 8 - </w:t>
      </w:r>
      <w:r w:rsidRPr="001952C0">
        <w:rPr>
          <w:rFonts w:ascii="Arial" w:hAnsi="Arial" w:cs="Arial"/>
          <w:sz w:val="16"/>
          <w:szCs w:val="16"/>
        </w:rPr>
        <w:t>Stock control chart HCFeMn Small</w:t>
      </w:r>
      <w:r>
        <w:rPr>
          <w:rFonts w:ascii="Arial" w:hAnsi="Arial" w:cs="Arial"/>
          <w:sz w:val="16"/>
          <w:szCs w:val="16"/>
        </w:rPr>
        <w:t xml:space="preserve"> Plant </w:t>
      </w:r>
      <w:r w:rsidRPr="001952C0">
        <w:rPr>
          <w:rFonts w:ascii="Arial" w:hAnsi="Arial" w:cs="Arial"/>
          <w:sz w:val="16"/>
          <w:szCs w:val="16"/>
        </w:rPr>
        <w:t>Stock by Week</w:t>
      </w:r>
    </w:p>
    <w:p w14:paraId="54F0530B" w14:textId="3B14DD16" w:rsidR="00E15992" w:rsidRPr="00333E1A" w:rsidRDefault="00C14F4B" w:rsidP="00333E1A">
      <w:pPr>
        <w:jc w:val="both"/>
        <w:rPr>
          <w:rFonts w:ascii="Arial" w:hAnsi="Arial" w:cs="Arial"/>
          <w:sz w:val="20"/>
          <w:szCs w:val="20"/>
          <w:shd w:val="clear" w:color="auto" w:fill="FAF9F8"/>
        </w:rPr>
      </w:pPr>
      <w:r w:rsidRPr="00333E1A">
        <w:rPr>
          <w:rFonts w:ascii="Arial" w:hAnsi="Arial" w:cs="Arial"/>
          <w:sz w:val="20"/>
          <w:szCs w:val="20"/>
          <w:shd w:val="clear" w:color="auto" w:fill="FAF9F8"/>
        </w:rPr>
        <w:t xml:space="preserve">These two graphs show there is also an issue in the recording of data between the two stocking locations. This would indicate that the load out data is missing movements between the stocking areas as the fist stocking location is holding too much stock and the second location is in negative stock. </w:t>
      </w:r>
    </w:p>
    <w:p w14:paraId="7B498868" w14:textId="29160A8B" w:rsidR="001952C0" w:rsidRDefault="00C14F4B" w:rsidP="00333E1A">
      <w:pPr>
        <w:jc w:val="both"/>
        <w:rPr>
          <w:rFonts w:ascii="Arial" w:hAnsi="Arial" w:cs="Arial"/>
          <w:sz w:val="20"/>
          <w:szCs w:val="20"/>
          <w:shd w:val="clear" w:color="auto" w:fill="FAF9F8"/>
        </w:rPr>
      </w:pPr>
      <w:r w:rsidRPr="00333E1A">
        <w:rPr>
          <w:rFonts w:ascii="Arial" w:hAnsi="Arial" w:cs="Arial"/>
          <w:sz w:val="20"/>
          <w:szCs w:val="20"/>
          <w:shd w:val="clear" w:color="auto" w:fill="FAF9F8"/>
        </w:rPr>
        <w:t xml:space="preserve">The data analysis </w:t>
      </w:r>
      <w:r w:rsidR="00DD683D" w:rsidRPr="00333E1A">
        <w:rPr>
          <w:rFonts w:ascii="Arial" w:hAnsi="Arial" w:cs="Arial"/>
          <w:sz w:val="20"/>
          <w:szCs w:val="20"/>
          <w:shd w:val="clear" w:color="auto" w:fill="FAF9F8"/>
        </w:rPr>
        <w:t xml:space="preserve">has shown there are potential errors in all the secondary data used in for the charts. </w:t>
      </w:r>
    </w:p>
    <w:p w14:paraId="4D9F300A" w14:textId="0D71C4CF" w:rsidR="00D265F3" w:rsidRDefault="00D265F3">
      <w:pPr>
        <w:rPr>
          <w:rFonts w:ascii="Arial" w:hAnsi="Arial" w:cs="Arial"/>
          <w:sz w:val="20"/>
          <w:szCs w:val="20"/>
          <w:shd w:val="clear" w:color="auto" w:fill="FAF9F8"/>
        </w:rPr>
      </w:pPr>
      <w:r>
        <w:rPr>
          <w:rFonts w:ascii="Arial" w:hAnsi="Arial" w:cs="Arial"/>
          <w:sz w:val="20"/>
          <w:szCs w:val="20"/>
          <w:shd w:val="clear" w:color="auto" w:fill="FAF9F8"/>
        </w:rPr>
        <w:br w:type="page"/>
      </w:r>
    </w:p>
    <w:p w14:paraId="2B76097D" w14:textId="74F66F56" w:rsidR="00A9300C" w:rsidRPr="00517B57" w:rsidRDefault="00433845" w:rsidP="00517B57">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2" w:name="_Toc99555152"/>
      <w:r w:rsidRPr="00517B57">
        <w:rPr>
          <w:rFonts w:asciiTheme="majorHAnsi" w:eastAsiaTheme="majorEastAsia" w:hAnsiTheme="majorHAnsi" w:cstheme="majorBidi"/>
          <w:color w:val="2F5496" w:themeColor="accent1" w:themeShade="BF"/>
          <w:sz w:val="32"/>
          <w:szCs w:val="32"/>
          <w:lang w:val="en-US"/>
        </w:rPr>
        <w:t>R</w:t>
      </w:r>
      <w:r w:rsidR="00251267" w:rsidRPr="00517B57">
        <w:rPr>
          <w:rFonts w:asciiTheme="majorHAnsi" w:eastAsiaTheme="majorEastAsia" w:hAnsiTheme="majorHAnsi" w:cstheme="majorBidi"/>
          <w:color w:val="2F5496" w:themeColor="accent1" w:themeShade="BF"/>
          <w:sz w:val="32"/>
          <w:szCs w:val="32"/>
          <w:lang w:val="en-US"/>
        </w:rPr>
        <w:t>oot Cause Analysis</w:t>
      </w:r>
      <w:bookmarkEnd w:id="2"/>
    </w:p>
    <w:p w14:paraId="0F59F588" w14:textId="03331781" w:rsidR="00251267" w:rsidRDefault="00CA05CB" w:rsidP="00D265F3">
      <w:pPr>
        <w:jc w:val="both"/>
        <w:rPr>
          <w:rFonts w:ascii="Arial" w:hAnsi="Arial" w:cs="Arial"/>
          <w:sz w:val="20"/>
          <w:szCs w:val="20"/>
          <w:shd w:val="clear" w:color="auto" w:fill="FAF9F8"/>
        </w:rPr>
      </w:pPr>
      <w:r>
        <w:rPr>
          <w:rFonts w:ascii="Arial" w:hAnsi="Arial" w:cs="Arial"/>
          <w:sz w:val="20"/>
          <w:szCs w:val="20"/>
          <w:shd w:val="clear" w:color="auto" w:fill="FAF9F8"/>
        </w:rPr>
        <w:t>T</w:t>
      </w:r>
      <w:r w:rsidR="00DD683D">
        <w:rPr>
          <w:rFonts w:ascii="Arial" w:hAnsi="Arial" w:cs="Arial"/>
          <w:sz w:val="20"/>
          <w:szCs w:val="20"/>
          <w:shd w:val="clear" w:color="auto" w:fill="FAF9F8"/>
        </w:rPr>
        <w:t xml:space="preserve">here are potential errors in all the data sources being used in this process, it was decided to </w:t>
      </w:r>
      <w:r w:rsidR="00884167">
        <w:rPr>
          <w:rFonts w:ascii="Arial" w:hAnsi="Arial" w:cs="Arial"/>
          <w:sz w:val="20"/>
          <w:szCs w:val="20"/>
          <w:shd w:val="clear" w:color="auto" w:fill="FAF9F8"/>
        </w:rPr>
        <w:t xml:space="preserve">use processing mapping to help with the root cause analysis and also map the data stream along side it. </w:t>
      </w:r>
      <w:r>
        <w:rPr>
          <w:rFonts w:ascii="Arial" w:hAnsi="Arial" w:cs="Arial"/>
          <w:sz w:val="20"/>
          <w:szCs w:val="20"/>
          <w:shd w:val="clear" w:color="auto" w:fill="FAF9F8"/>
        </w:rPr>
        <w:t xml:space="preserve">When doing a process map it’s also very important to </w:t>
      </w:r>
      <w:r w:rsidR="00A26F96">
        <w:rPr>
          <w:rFonts w:ascii="Arial" w:hAnsi="Arial" w:cs="Arial"/>
          <w:sz w:val="20"/>
          <w:szCs w:val="20"/>
          <w:shd w:val="clear" w:color="auto" w:fill="FAF9F8"/>
        </w:rPr>
        <w:t xml:space="preserve">map the transactional side of the process and especially when we are looking at potential data issues. </w:t>
      </w:r>
    </w:p>
    <w:p w14:paraId="69919FE9" w14:textId="66F0554E" w:rsidR="00CA05CB" w:rsidRDefault="00A26F96" w:rsidP="00D265F3">
      <w:pPr>
        <w:jc w:val="both"/>
        <w:rPr>
          <w:rFonts w:ascii="Arial" w:hAnsi="Arial" w:cs="Arial"/>
          <w:sz w:val="20"/>
          <w:szCs w:val="20"/>
          <w:shd w:val="clear" w:color="auto" w:fill="FAF9F8"/>
        </w:rPr>
      </w:pPr>
      <w:r w:rsidRPr="00D265F3">
        <w:rPr>
          <w:rFonts w:ascii="Arial" w:hAnsi="Arial" w:cs="Arial"/>
          <w:sz w:val="20"/>
          <w:szCs w:val="20"/>
          <w:shd w:val="clear" w:color="auto" w:fill="FAF9F8"/>
        </w:rPr>
        <w:t>“</w:t>
      </w:r>
      <w:r w:rsidR="00CA05CB" w:rsidRPr="00D265F3">
        <w:rPr>
          <w:rFonts w:ascii="Arial" w:hAnsi="Arial" w:cs="Arial"/>
          <w:i/>
          <w:iCs/>
          <w:sz w:val="20"/>
          <w:szCs w:val="20"/>
          <w:shd w:val="clear" w:color="auto" w:fill="FAF9F8"/>
        </w:rPr>
        <w:t>Manufacturing value streams do not operate without support from transactional processes. From the sales order process to the purchasing of raw materials to the shipping of finished goods, transactional processes are intertwined with the production floor.</w:t>
      </w:r>
      <w:r w:rsidRPr="00D265F3">
        <w:rPr>
          <w:rFonts w:ascii="Arial" w:hAnsi="Arial" w:cs="Arial"/>
          <w:i/>
          <w:iCs/>
          <w:sz w:val="20"/>
          <w:szCs w:val="20"/>
          <w:shd w:val="clear" w:color="auto" w:fill="FAF9F8"/>
        </w:rPr>
        <w:t>”</w:t>
      </w:r>
      <w:r w:rsidR="00077C20" w:rsidRPr="00D265F3">
        <w:rPr>
          <w:rFonts w:ascii="Arial" w:hAnsi="Arial" w:cs="Arial"/>
          <w:i/>
          <w:iCs/>
          <w:sz w:val="20"/>
          <w:szCs w:val="20"/>
          <w:shd w:val="clear" w:color="auto" w:fill="FAF9F8"/>
        </w:rPr>
        <w:t xml:space="preserve"> </w:t>
      </w:r>
      <w:sdt>
        <w:sdtPr>
          <w:rPr>
            <w:rFonts w:ascii="Arial" w:hAnsi="Arial" w:cs="Arial"/>
            <w:i/>
            <w:iCs/>
            <w:sz w:val="20"/>
            <w:szCs w:val="20"/>
            <w:shd w:val="clear" w:color="auto" w:fill="FAF9F8"/>
          </w:rPr>
          <w:id w:val="1925372974"/>
          <w:citation/>
        </w:sdtPr>
        <w:sdtEndPr/>
        <w:sdtContent>
          <w:r w:rsidR="00077C20" w:rsidRPr="00D265F3">
            <w:rPr>
              <w:rFonts w:ascii="Arial" w:hAnsi="Arial" w:cs="Arial"/>
              <w:i/>
              <w:iCs/>
              <w:sz w:val="20"/>
              <w:szCs w:val="20"/>
              <w:shd w:val="clear" w:color="auto" w:fill="FAF9F8"/>
            </w:rPr>
            <w:fldChar w:fldCharType="begin"/>
          </w:r>
          <w:r w:rsidR="00077C20" w:rsidRPr="00D265F3">
            <w:rPr>
              <w:rFonts w:ascii="Arial" w:hAnsi="Arial" w:cs="Arial"/>
              <w:i/>
              <w:iCs/>
              <w:sz w:val="20"/>
              <w:szCs w:val="20"/>
              <w:shd w:val="clear" w:color="auto" w:fill="FAF9F8"/>
            </w:rPr>
            <w:instrText xml:space="preserve"> CITATION Nas08 \l 2057 </w:instrText>
          </w:r>
          <w:r w:rsidR="00077C20" w:rsidRPr="00D265F3">
            <w:rPr>
              <w:rFonts w:ascii="Arial" w:hAnsi="Arial" w:cs="Arial"/>
              <w:i/>
              <w:iCs/>
              <w:sz w:val="20"/>
              <w:szCs w:val="20"/>
              <w:shd w:val="clear" w:color="auto" w:fill="FAF9F8"/>
            </w:rPr>
            <w:fldChar w:fldCharType="separate"/>
          </w:r>
          <w:r w:rsidR="00077C20" w:rsidRPr="00D265F3">
            <w:rPr>
              <w:rFonts w:ascii="Arial" w:hAnsi="Arial" w:cs="Arial"/>
              <w:i/>
              <w:iCs/>
              <w:sz w:val="20"/>
              <w:szCs w:val="20"/>
              <w:shd w:val="clear" w:color="auto" w:fill="FAF9F8"/>
            </w:rPr>
            <w:t>(Nash, 2008)</w:t>
          </w:r>
          <w:r w:rsidR="00077C20" w:rsidRPr="00D265F3">
            <w:rPr>
              <w:rFonts w:ascii="Arial" w:hAnsi="Arial" w:cs="Arial"/>
              <w:i/>
              <w:iCs/>
              <w:sz w:val="20"/>
              <w:szCs w:val="20"/>
              <w:shd w:val="clear" w:color="auto" w:fill="FAF9F8"/>
            </w:rPr>
            <w:fldChar w:fldCharType="end"/>
          </w:r>
        </w:sdtContent>
      </w:sdt>
    </w:p>
    <w:p w14:paraId="7B5D636C" w14:textId="65E523C9" w:rsidR="00307530" w:rsidRDefault="00307530" w:rsidP="00307530">
      <w:pPr>
        <w:jc w:val="center"/>
        <w:rPr>
          <w:rFonts w:ascii="Arial" w:hAnsi="Arial" w:cs="Arial"/>
          <w:sz w:val="20"/>
          <w:szCs w:val="20"/>
          <w:shd w:val="clear" w:color="auto" w:fill="FAF9F8"/>
        </w:rPr>
      </w:pPr>
      <w:r>
        <w:rPr>
          <w:noProof/>
        </w:rPr>
        <w:drawing>
          <wp:inline distT="0" distB="0" distL="0" distR="0" wp14:anchorId="6A35B29B" wp14:editId="19CC7150">
            <wp:extent cx="3136604" cy="6763006"/>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7939" cy="6895253"/>
                    </a:xfrm>
                    <a:prstGeom prst="rect">
                      <a:avLst/>
                    </a:prstGeom>
                  </pic:spPr>
                </pic:pic>
              </a:graphicData>
            </a:graphic>
          </wp:inline>
        </w:drawing>
      </w:r>
    </w:p>
    <w:p w14:paraId="711F4E1E" w14:textId="5904CC42" w:rsidR="00517B57" w:rsidRDefault="00517B57" w:rsidP="00517B57">
      <w:pPr>
        <w:jc w:val="center"/>
        <w:rPr>
          <w:rFonts w:ascii="Arial" w:hAnsi="Arial" w:cs="Arial"/>
          <w:sz w:val="16"/>
          <w:szCs w:val="16"/>
        </w:rPr>
      </w:pPr>
      <w:r w:rsidRPr="00E15992">
        <w:rPr>
          <w:rFonts w:ascii="Arial" w:hAnsi="Arial" w:cs="Arial"/>
          <w:sz w:val="16"/>
          <w:szCs w:val="16"/>
          <w:shd w:val="clear" w:color="auto" w:fill="FAF9F8"/>
        </w:rPr>
        <w:t xml:space="preserve">Figure </w:t>
      </w:r>
      <w:r>
        <w:rPr>
          <w:rFonts w:ascii="Arial" w:hAnsi="Arial" w:cs="Arial"/>
          <w:sz w:val="16"/>
          <w:szCs w:val="16"/>
          <w:shd w:val="clear" w:color="auto" w:fill="FAF9F8"/>
        </w:rPr>
        <w:t>8</w:t>
      </w:r>
      <w:r w:rsidRPr="00E15992">
        <w:rPr>
          <w:rFonts w:ascii="Arial" w:hAnsi="Arial" w:cs="Arial"/>
          <w:sz w:val="16"/>
          <w:szCs w:val="16"/>
          <w:shd w:val="clear" w:color="auto" w:fill="FAF9F8"/>
        </w:rPr>
        <w:t xml:space="preserve"> </w:t>
      </w:r>
      <w:r>
        <w:rPr>
          <w:rFonts w:ascii="Arial" w:hAnsi="Arial" w:cs="Arial"/>
          <w:sz w:val="16"/>
          <w:szCs w:val="16"/>
          <w:shd w:val="clear" w:color="auto" w:fill="FAF9F8"/>
        </w:rPr>
        <w:t>–</w:t>
      </w:r>
      <w:r w:rsidRPr="00E15992">
        <w:rPr>
          <w:rFonts w:ascii="Arial" w:hAnsi="Arial" w:cs="Arial"/>
          <w:sz w:val="16"/>
          <w:szCs w:val="16"/>
          <w:shd w:val="clear" w:color="auto" w:fill="FAF9F8"/>
        </w:rPr>
        <w:t xml:space="preserve"> </w:t>
      </w:r>
      <w:r>
        <w:rPr>
          <w:rFonts w:ascii="Arial" w:hAnsi="Arial" w:cs="Arial"/>
          <w:sz w:val="16"/>
          <w:szCs w:val="16"/>
        </w:rPr>
        <w:t>Process Map FeMn Process</w:t>
      </w:r>
    </w:p>
    <w:p w14:paraId="229AC37E" w14:textId="5FFF2E47" w:rsidR="00E633F9" w:rsidRDefault="00E633F9" w:rsidP="00307530">
      <w:pPr>
        <w:jc w:val="center"/>
        <w:rPr>
          <w:rFonts w:ascii="Arial" w:hAnsi="Arial" w:cs="Arial"/>
          <w:sz w:val="20"/>
          <w:szCs w:val="20"/>
          <w:shd w:val="clear" w:color="auto" w:fill="FAF9F8"/>
        </w:rPr>
      </w:pPr>
    </w:p>
    <w:p w14:paraId="5B9F465D" w14:textId="3D966F15" w:rsidR="002459A6" w:rsidRDefault="00DA4F9C" w:rsidP="00D265F3">
      <w:pPr>
        <w:jc w:val="both"/>
        <w:rPr>
          <w:rFonts w:ascii="Arial" w:hAnsi="Arial" w:cs="Arial"/>
          <w:sz w:val="20"/>
          <w:szCs w:val="20"/>
          <w:shd w:val="clear" w:color="auto" w:fill="FAF9F8"/>
        </w:rPr>
      </w:pPr>
      <w:r>
        <w:rPr>
          <w:rFonts w:ascii="Arial" w:hAnsi="Arial" w:cs="Arial"/>
          <w:sz w:val="20"/>
          <w:szCs w:val="20"/>
          <w:shd w:val="clear" w:color="auto" w:fill="FAF9F8"/>
        </w:rPr>
        <w:t>A multi-disciplined team was put together, compromising of technical, planning, finance, process control and operations (Raw Materials &amp; Plant), to bring together a comprehensive process flow map.</w:t>
      </w:r>
    </w:p>
    <w:p w14:paraId="05105E52" w14:textId="3E55ABD7" w:rsidR="002459A6" w:rsidRDefault="00DA4F9C" w:rsidP="00D265F3">
      <w:pPr>
        <w:jc w:val="both"/>
        <w:rPr>
          <w:rFonts w:ascii="Arial" w:hAnsi="Arial" w:cs="Arial"/>
          <w:sz w:val="20"/>
          <w:szCs w:val="20"/>
          <w:shd w:val="clear" w:color="auto" w:fill="FAF9F8"/>
        </w:rPr>
      </w:pPr>
      <w:r>
        <w:rPr>
          <w:rFonts w:ascii="Arial" w:hAnsi="Arial" w:cs="Arial"/>
          <w:sz w:val="20"/>
          <w:szCs w:val="20"/>
          <w:shd w:val="clear" w:color="auto" w:fill="FAF9F8"/>
        </w:rPr>
        <w:t xml:space="preserve">From this process 23 areas of concern were raised </w:t>
      </w:r>
      <w:r w:rsidR="0088599B">
        <w:rPr>
          <w:rFonts w:ascii="Arial" w:hAnsi="Arial" w:cs="Arial"/>
          <w:sz w:val="20"/>
          <w:szCs w:val="20"/>
          <w:shd w:val="clear" w:color="auto" w:fill="FAF9F8"/>
        </w:rPr>
        <w:t>and documented, these are some of larger issues.</w:t>
      </w:r>
    </w:p>
    <w:p w14:paraId="6B134080" w14:textId="4F305517" w:rsidR="00B84610" w:rsidRDefault="00B84610" w:rsidP="00D265F3">
      <w:pPr>
        <w:jc w:val="both"/>
        <w:rPr>
          <w:rFonts w:ascii="Arial" w:hAnsi="Arial" w:cs="Arial"/>
          <w:sz w:val="20"/>
          <w:szCs w:val="20"/>
          <w:shd w:val="clear" w:color="auto" w:fill="FAF9F8"/>
        </w:rPr>
      </w:pPr>
      <w:r>
        <w:rPr>
          <w:rFonts w:ascii="Arial" w:hAnsi="Arial" w:cs="Arial"/>
          <w:sz w:val="20"/>
          <w:szCs w:val="20"/>
          <w:shd w:val="clear" w:color="auto" w:fill="FAF9F8"/>
        </w:rPr>
        <w:t xml:space="preserve">Product ID </w:t>
      </w:r>
      <w:r w:rsidR="0088599B">
        <w:rPr>
          <w:rFonts w:ascii="Arial" w:hAnsi="Arial" w:cs="Arial"/>
          <w:sz w:val="20"/>
          <w:szCs w:val="20"/>
          <w:shd w:val="clear" w:color="auto" w:fill="FAF9F8"/>
        </w:rPr>
        <w:t xml:space="preserve">- </w:t>
      </w:r>
      <w:r w:rsidR="00CD4B62">
        <w:rPr>
          <w:rFonts w:ascii="Arial" w:hAnsi="Arial" w:cs="Arial"/>
          <w:sz w:val="20"/>
          <w:szCs w:val="20"/>
          <w:shd w:val="clear" w:color="auto" w:fill="FAF9F8"/>
        </w:rPr>
        <w:t xml:space="preserve">Each material has a unique </w:t>
      </w:r>
      <w:r>
        <w:rPr>
          <w:rFonts w:ascii="Arial" w:hAnsi="Arial" w:cs="Arial"/>
          <w:sz w:val="20"/>
          <w:szCs w:val="20"/>
          <w:shd w:val="clear" w:color="auto" w:fill="FAF9F8"/>
        </w:rPr>
        <w:t>material master number</w:t>
      </w:r>
      <w:r w:rsidR="00CD4B62">
        <w:rPr>
          <w:rFonts w:ascii="Arial" w:hAnsi="Arial" w:cs="Arial"/>
          <w:sz w:val="20"/>
          <w:szCs w:val="20"/>
          <w:shd w:val="clear" w:color="auto" w:fill="FAF9F8"/>
        </w:rPr>
        <w:t xml:space="preserve">, for HCFeMn Small </w:t>
      </w:r>
      <w:r w:rsidR="0088599B">
        <w:rPr>
          <w:rFonts w:ascii="Arial" w:hAnsi="Arial" w:cs="Arial"/>
          <w:sz w:val="20"/>
          <w:szCs w:val="20"/>
          <w:shd w:val="clear" w:color="auto" w:fill="FAF9F8"/>
        </w:rPr>
        <w:t xml:space="preserve">it is </w:t>
      </w:r>
      <w:r w:rsidR="00CD4B62">
        <w:rPr>
          <w:rFonts w:ascii="Arial" w:hAnsi="Arial" w:cs="Arial"/>
          <w:sz w:val="20"/>
          <w:szCs w:val="20"/>
          <w:shd w:val="clear" w:color="auto" w:fill="FAF9F8"/>
        </w:rPr>
        <w:t>70000101</w:t>
      </w:r>
      <w:r w:rsidR="0088599B">
        <w:rPr>
          <w:rFonts w:ascii="Arial" w:hAnsi="Arial" w:cs="Arial"/>
          <w:sz w:val="20"/>
          <w:szCs w:val="20"/>
          <w:shd w:val="clear" w:color="auto" w:fill="FAF9F8"/>
        </w:rPr>
        <w:t>.</w:t>
      </w:r>
      <w:r w:rsidR="00CD4B62">
        <w:rPr>
          <w:rFonts w:ascii="Arial" w:hAnsi="Arial" w:cs="Arial"/>
          <w:sz w:val="20"/>
          <w:szCs w:val="20"/>
          <w:shd w:val="clear" w:color="auto" w:fill="FAF9F8"/>
        </w:rPr>
        <w:t xml:space="preserve"> </w:t>
      </w:r>
      <w:r w:rsidR="0088599B">
        <w:rPr>
          <w:rFonts w:ascii="Arial" w:hAnsi="Arial" w:cs="Arial"/>
          <w:sz w:val="20"/>
          <w:szCs w:val="20"/>
          <w:shd w:val="clear" w:color="auto" w:fill="FAF9F8"/>
        </w:rPr>
        <w:t>T</w:t>
      </w:r>
      <w:r w:rsidR="00CD4B62">
        <w:rPr>
          <w:rFonts w:ascii="Arial" w:hAnsi="Arial" w:cs="Arial"/>
          <w:sz w:val="20"/>
          <w:szCs w:val="20"/>
          <w:shd w:val="clear" w:color="auto" w:fill="FAF9F8"/>
        </w:rPr>
        <w:t xml:space="preserve">his material master was used throughout the process, except for the load out section. On the operators system </w:t>
      </w:r>
      <w:r w:rsidR="004304BE">
        <w:rPr>
          <w:rFonts w:ascii="Arial" w:hAnsi="Arial" w:cs="Arial"/>
          <w:sz w:val="20"/>
          <w:szCs w:val="20"/>
          <w:shd w:val="clear" w:color="auto" w:fill="FAF9F8"/>
        </w:rPr>
        <w:t>that record</w:t>
      </w:r>
      <w:r w:rsidR="0088599B">
        <w:rPr>
          <w:rFonts w:ascii="Arial" w:hAnsi="Arial" w:cs="Arial"/>
          <w:sz w:val="20"/>
          <w:szCs w:val="20"/>
          <w:shd w:val="clear" w:color="auto" w:fill="FAF9F8"/>
        </w:rPr>
        <w:t>s</w:t>
      </w:r>
      <w:r w:rsidR="004304BE">
        <w:rPr>
          <w:rFonts w:ascii="Arial" w:hAnsi="Arial" w:cs="Arial"/>
          <w:sz w:val="20"/>
          <w:szCs w:val="20"/>
          <w:shd w:val="clear" w:color="auto" w:fill="FAF9F8"/>
        </w:rPr>
        <w:t xml:space="preserve"> the load out figures </w:t>
      </w:r>
      <w:r w:rsidR="00CD4B62">
        <w:rPr>
          <w:rFonts w:ascii="Arial" w:hAnsi="Arial" w:cs="Arial"/>
          <w:sz w:val="20"/>
          <w:szCs w:val="20"/>
          <w:shd w:val="clear" w:color="auto" w:fill="FAF9F8"/>
        </w:rPr>
        <w:t xml:space="preserve">it </w:t>
      </w:r>
      <w:r w:rsidR="004304BE">
        <w:rPr>
          <w:rFonts w:ascii="Arial" w:hAnsi="Arial" w:cs="Arial"/>
          <w:sz w:val="20"/>
          <w:szCs w:val="20"/>
          <w:shd w:val="clear" w:color="auto" w:fill="FAF9F8"/>
        </w:rPr>
        <w:t xml:space="preserve">only shows a </w:t>
      </w:r>
      <w:r>
        <w:rPr>
          <w:rFonts w:ascii="Arial" w:hAnsi="Arial" w:cs="Arial"/>
          <w:sz w:val="20"/>
          <w:szCs w:val="20"/>
          <w:shd w:val="clear" w:color="auto" w:fill="FAF9F8"/>
        </w:rPr>
        <w:t>general material master for both HCFeMn Small and Large</w:t>
      </w:r>
      <w:r w:rsidR="004304BE">
        <w:rPr>
          <w:rFonts w:ascii="Arial" w:hAnsi="Arial" w:cs="Arial"/>
          <w:sz w:val="20"/>
          <w:szCs w:val="20"/>
          <w:shd w:val="clear" w:color="auto" w:fill="FAF9F8"/>
        </w:rPr>
        <w:t>, the</w:t>
      </w:r>
      <w:r w:rsidR="0088599B">
        <w:rPr>
          <w:rFonts w:ascii="Arial" w:hAnsi="Arial" w:cs="Arial"/>
          <w:sz w:val="20"/>
          <w:szCs w:val="20"/>
          <w:shd w:val="clear" w:color="auto" w:fill="FAF9F8"/>
        </w:rPr>
        <w:t>n</w:t>
      </w:r>
      <w:r w:rsidR="004304BE">
        <w:rPr>
          <w:rFonts w:ascii="Arial" w:hAnsi="Arial" w:cs="Arial"/>
          <w:sz w:val="20"/>
          <w:szCs w:val="20"/>
          <w:shd w:val="clear" w:color="auto" w:fill="FAF9F8"/>
        </w:rPr>
        <w:t xml:space="preserve"> provides a drop down menu to select the material by name</w:t>
      </w:r>
      <w:r w:rsidR="00CD4B62">
        <w:rPr>
          <w:rFonts w:ascii="Arial" w:hAnsi="Arial" w:cs="Arial"/>
          <w:sz w:val="20"/>
          <w:szCs w:val="20"/>
          <w:shd w:val="clear" w:color="auto" w:fill="FAF9F8"/>
        </w:rPr>
        <w:t xml:space="preserve">. This meant operators could </w:t>
      </w:r>
      <w:r w:rsidR="004304BE">
        <w:rPr>
          <w:rFonts w:ascii="Arial" w:hAnsi="Arial" w:cs="Arial"/>
          <w:sz w:val="20"/>
          <w:szCs w:val="20"/>
          <w:shd w:val="clear" w:color="auto" w:fill="FAF9F8"/>
        </w:rPr>
        <w:t>easily pick the wrong material when entering the detail.</w:t>
      </w:r>
    </w:p>
    <w:p w14:paraId="4F36071C" w14:textId="0C3D32BE" w:rsidR="0088599B" w:rsidRDefault="0088599B" w:rsidP="00D265F3">
      <w:pPr>
        <w:jc w:val="both"/>
        <w:rPr>
          <w:rFonts w:ascii="Arial" w:hAnsi="Arial" w:cs="Arial"/>
          <w:sz w:val="20"/>
          <w:szCs w:val="20"/>
          <w:shd w:val="clear" w:color="auto" w:fill="FAF9F8"/>
        </w:rPr>
      </w:pPr>
      <w:r>
        <w:rPr>
          <w:rFonts w:ascii="Arial" w:hAnsi="Arial" w:cs="Arial"/>
          <w:sz w:val="20"/>
          <w:szCs w:val="20"/>
          <w:shd w:val="clear" w:color="auto" w:fill="FAF9F8"/>
        </w:rPr>
        <w:t xml:space="preserve">Consumption Data – the consumption data on the intranet is uploaded on a Monday morning and is then validated by a team member of process control to make sure the materials consumed match the bill of materials for each steel grade made. </w:t>
      </w:r>
      <w:r w:rsidR="00053F6D">
        <w:rPr>
          <w:rFonts w:ascii="Arial" w:hAnsi="Arial" w:cs="Arial"/>
          <w:sz w:val="20"/>
          <w:szCs w:val="20"/>
          <w:shd w:val="clear" w:color="auto" w:fill="FAF9F8"/>
        </w:rPr>
        <w:t>The new validated data is uploaded into the finance software system but the intranet is not updated. Process control make changes to the data every week due to errors and the fresh data is not being used by the planning or operations team as they both use the intranet data.</w:t>
      </w:r>
    </w:p>
    <w:p w14:paraId="6E63F8D7" w14:textId="77E8210F" w:rsidR="003B7AA8" w:rsidRDefault="003B7AA8" w:rsidP="003B7AA8">
      <w:pPr>
        <w:jc w:val="center"/>
        <w:rPr>
          <w:rFonts w:ascii="Arial" w:hAnsi="Arial" w:cs="Arial"/>
          <w:sz w:val="20"/>
          <w:szCs w:val="20"/>
          <w:shd w:val="clear" w:color="auto" w:fill="FAF9F8"/>
        </w:rPr>
      </w:pPr>
      <w:r>
        <w:rPr>
          <w:noProof/>
        </w:rPr>
        <w:drawing>
          <wp:inline distT="0" distB="0" distL="0" distR="0" wp14:anchorId="3CF01451" wp14:editId="7229AB95">
            <wp:extent cx="3390900" cy="34915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99941" cy="3500893"/>
                    </a:xfrm>
                    <a:prstGeom prst="rect">
                      <a:avLst/>
                    </a:prstGeom>
                  </pic:spPr>
                </pic:pic>
              </a:graphicData>
            </a:graphic>
          </wp:inline>
        </w:drawing>
      </w:r>
    </w:p>
    <w:p w14:paraId="546CC9A9" w14:textId="77777777" w:rsidR="00517B57" w:rsidRDefault="00517B57" w:rsidP="00517B57">
      <w:pPr>
        <w:jc w:val="center"/>
        <w:rPr>
          <w:rFonts w:ascii="Arial" w:hAnsi="Arial" w:cs="Arial"/>
          <w:sz w:val="16"/>
          <w:szCs w:val="16"/>
        </w:rPr>
      </w:pPr>
      <w:r w:rsidRPr="00E15992">
        <w:rPr>
          <w:rFonts w:ascii="Arial" w:hAnsi="Arial" w:cs="Arial"/>
          <w:sz w:val="16"/>
          <w:szCs w:val="16"/>
          <w:shd w:val="clear" w:color="auto" w:fill="FAF9F8"/>
        </w:rPr>
        <w:t xml:space="preserve">Figure </w:t>
      </w:r>
      <w:r>
        <w:rPr>
          <w:rFonts w:ascii="Arial" w:hAnsi="Arial" w:cs="Arial"/>
          <w:sz w:val="16"/>
          <w:szCs w:val="16"/>
          <w:shd w:val="clear" w:color="auto" w:fill="FAF9F8"/>
        </w:rPr>
        <w:t>9</w:t>
      </w:r>
      <w:r w:rsidRPr="00E15992">
        <w:rPr>
          <w:rFonts w:ascii="Arial" w:hAnsi="Arial" w:cs="Arial"/>
          <w:sz w:val="16"/>
          <w:szCs w:val="16"/>
          <w:shd w:val="clear" w:color="auto" w:fill="FAF9F8"/>
        </w:rPr>
        <w:t xml:space="preserve"> </w:t>
      </w:r>
      <w:r>
        <w:rPr>
          <w:rFonts w:ascii="Arial" w:hAnsi="Arial" w:cs="Arial"/>
          <w:sz w:val="16"/>
          <w:szCs w:val="16"/>
          <w:shd w:val="clear" w:color="auto" w:fill="FAF9F8"/>
        </w:rPr>
        <w:t>–</w:t>
      </w:r>
      <w:r w:rsidRPr="00E15992">
        <w:rPr>
          <w:rFonts w:ascii="Arial" w:hAnsi="Arial" w:cs="Arial"/>
          <w:sz w:val="16"/>
          <w:szCs w:val="16"/>
          <w:shd w:val="clear" w:color="auto" w:fill="FAF9F8"/>
        </w:rPr>
        <w:t xml:space="preserve"> </w:t>
      </w:r>
      <w:r>
        <w:rPr>
          <w:rFonts w:ascii="Arial" w:hAnsi="Arial" w:cs="Arial"/>
          <w:sz w:val="16"/>
          <w:szCs w:val="16"/>
        </w:rPr>
        <w:t>Process map extract showing the consumption data validation process missed by the planning team</w:t>
      </w:r>
    </w:p>
    <w:p w14:paraId="1C668CB6" w14:textId="7B97138D" w:rsidR="00053F6D" w:rsidRDefault="00053F6D" w:rsidP="00D265F3">
      <w:pPr>
        <w:jc w:val="both"/>
        <w:rPr>
          <w:rFonts w:ascii="Arial" w:hAnsi="Arial" w:cs="Arial"/>
          <w:sz w:val="20"/>
          <w:szCs w:val="20"/>
          <w:shd w:val="clear" w:color="auto" w:fill="FAF9F8"/>
        </w:rPr>
      </w:pPr>
      <w:r>
        <w:rPr>
          <w:rFonts w:ascii="Arial" w:hAnsi="Arial" w:cs="Arial"/>
          <w:sz w:val="20"/>
          <w:szCs w:val="20"/>
          <w:shd w:val="clear" w:color="auto" w:fill="FAF9F8"/>
        </w:rPr>
        <w:t xml:space="preserve">Delivery Data –The operator enters the </w:t>
      </w:r>
      <w:r w:rsidR="00077BAD">
        <w:rPr>
          <w:rFonts w:ascii="Arial" w:hAnsi="Arial" w:cs="Arial"/>
          <w:sz w:val="20"/>
          <w:szCs w:val="20"/>
          <w:shd w:val="clear" w:color="auto" w:fill="FAF9F8"/>
        </w:rPr>
        <w:t xml:space="preserve">delivery </w:t>
      </w:r>
      <w:r>
        <w:rPr>
          <w:rFonts w:ascii="Arial" w:hAnsi="Arial" w:cs="Arial"/>
          <w:sz w:val="20"/>
          <w:szCs w:val="20"/>
          <w:shd w:val="clear" w:color="auto" w:fill="FAF9F8"/>
        </w:rPr>
        <w:t xml:space="preserve">data in SAP, the intranet and Excel. The excel report is then sent out to the teams. Each report is </w:t>
      </w:r>
      <w:r w:rsidR="00433845">
        <w:rPr>
          <w:rFonts w:ascii="Arial" w:hAnsi="Arial" w:cs="Arial"/>
          <w:sz w:val="20"/>
          <w:szCs w:val="20"/>
          <w:shd w:val="clear" w:color="auto" w:fill="FAF9F8"/>
        </w:rPr>
        <w:t xml:space="preserve">a </w:t>
      </w:r>
      <w:r>
        <w:rPr>
          <w:rFonts w:ascii="Arial" w:hAnsi="Arial" w:cs="Arial"/>
          <w:sz w:val="20"/>
          <w:szCs w:val="20"/>
          <w:shd w:val="clear" w:color="auto" w:fill="FAF9F8"/>
        </w:rPr>
        <w:t xml:space="preserve">manual process and is open to human error. </w:t>
      </w:r>
      <w:r w:rsidR="00433845">
        <w:rPr>
          <w:rFonts w:ascii="Arial" w:hAnsi="Arial" w:cs="Arial"/>
          <w:sz w:val="20"/>
          <w:szCs w:val="20"/>
          <w:shd w:val="clear" w:color="auto" w:fill="FAF9F8"/>
        </w:rPr>
        <w:t>O</w:t>
      </w:r>
      <w:r>
        <w:rPr>
          <w:rFonts w:ascii="Arial" w:hAnsi="Arial" w:cs="Arial"/>
          <w:sz w:val="20"/>
          <w:szCs w:val="20"/>
          <w:shd w:val="clear" w:color="auto" w:fill="FAF9F8"/>
        </w:rPr>
        <w:t xml:space="preserve">n review </w:t>
      </w:r>
      <w:r w:rsidR="00433845">
        <w:rPr>
          <w:rFonts w:ascii="Arial" w:hAnsi="Arial" w:cs="Arial"/>
          <w:sz w:val="20"/>
          <w:szCs w:val="20"/>
          <w:shd w:val="clear" w:color="auto" w:fill="FAF9F8"/>
        </w:rPr>
        <w:t xml:space="preserve">of the data after this was realised there are quite often differences depending on which version of the data you have. Also when a delivery is received </w:t>
      </w:r>
      <w:r w:rsidR="003B7AA8">
        <w:rPr>
          <w:rFonts w:ascii="Arial" w:hAnsi="Arial" w:cs="Arial"/>
          <w:sz w:val="20"/>
          <w:szCs w:val="20"/>
          <w:shd w:val="clear" w:color="auto" w:fill="FAF9F8"/>
        </w:rPr>
        <w:t xml:space="preserve">at the Raw Mats Bays, </w:t>
      </w:r>
      <w:r w:rsidR="00433845">
        <w:rPr>
          <w:rFonts w:ascii="Arial" w:hAnsi="Arial" w:cs="Arial"/>
          <w:sz w:val="20"/>
          <w:szCs w:val="20"/>
          <w:shd w:val="clear" w:color="auto" w:fill="FAF9F8"/>
        </w:rPr>
        <w:t xml:space="preserve">the operator </w:t>
      </w:r>
      <w:r w:rsidR="003B7AA8">
        <w:rPr>
          <w:rFonts w:ascii="Arial" w:hAnsi="Arial" w:cs="Arial"/>
          <w:sz w:val="20"/>
          <w:szCs w:val="20"/>
          <w:shd w:val="clear" w:color="auto" w:fill="FAF9F8"/>
        </w:rPr>
        <w:t>receives the delivery note from the supplier with the</w:t>
      </w:r>
      <w:r w:rsidR="00CE0802">
        <w:rPr>
          <w:rFonts w:ascii="Arial" w:hAnsi="Arial" w:cs="Arial"/>
          <w:sz w:val="20"/>
          <w:szCs w:val="20"/>
          <w:shd w:val="clear" w:color="auto" w:fill="FAF9F8"/>
        </w:rPr>
        <w:t xml:space="preserve"> supplier weight on it and an internal weighbridge ticket. But the internal weighbridge ticket only shows the gross weight of the lorry as the lorry has been reweighed at that point with out the load on it. The </w:t>
      </w:r>
      <w:r w:rsidR="00FB6D2F">
        <w:rPr>
          <w:rFonts w:ascii="Arial" w:hAnsi="Arial" w:cs="Arial"/>
          <w:sz w:val="20"/>
          <w:szCs w:val="20"/>
          <w:shd w:val="clear" w:color="auto" w:fill="FAF9F8"/>
        </w:rPr>
        <w:t xml:space="preserve">suppliers weight is booked into the three systems and is not checked against the internal net weight once it is known. This check between the two weights is done when the invoice is received from the supplier and is only updated if there is an issue in the finance systems. </w:t>
      </w:r>
    </w:p>
    <w:p w14:paraId="6DD5F41E" w14:textId="44031251" w:rsidR="00333E1A" w:rsidRDefault="00333E1A" w:rsidP="00984892">
      <w:pPr>
        <w:rPr>
          <w:rFonts w:ascii="Arial" w:hAnsi="Arial" w:cs="Arial"/>
          <w:sz w:val="20"/>
          <w:szCs w:val="20"/>
          <w:shd w:val="clear" w:color="auto" w:fill="FAF9F8"/>
        </w:rPr>
      </w:pPr>
    </w:p>
    <w:p w14:paraId="44E28B29" w14:textId="420186A6" w:rsidR="00333E1A" w:rsidRDefault="00333E1A" w:rsidP="00984892">
      <w:pPr>
        <w:rPr>
          <w:rFonts w:ascii="Arial" w:hAnsi="Arial" w:cs="Arial"/>
          <w:sz w:val="20"/>
          <w:szCs w:val="20"/>
          <w:shd w:val="clear" w:color="auto" w:fill="FAF9F8"/>
        </w:rPr>
      </w:pPr>
    </w:p>
    <w:p w14:paraId="4F977794" w14:textId="00D34A7A" w:rsidR="00333E1A" w:rsidRDefault="00333E1A" w:rsidP="00984892">
      <w:pPr>
        <w:rPr>
          <w:rFonts w:ascii="Arial" w:hAnsi="Arial" w:cs="Arial"/>
          <w:sz w:val="20"/>
          <w:szCs w:val="20"/>
          <w:shd w:val="clear" w:color="auto" w:fill="FAF9F8"/>
        </w:rPr>
      </w:pPr>
    </w:p>
    <w:p w14:paraId="56CD3615" w14:textId="340F125B" w:rsidR="00053F6D" w:rsidRDefault="003B7AA8" w:rsidP="00053F6D">
      <w:pPr>
        <w:jc w:val="center"/>
        <w:rPr>
          <w:rFonts w:ascii="Arial" w:hAnsi="Arial" w:cs="Arial"/>
          <w:sz w:val="20"/>
          <w:szCs w:val="20"/>
          <w:shd w:val="clear" w:color="auto" w:fill="FAF9F8"/>
        </w:rPr>
      </w:pPr>
      <w:r>
        <w:rPr>
          <w:noProof/>
        </w:rPr>
        <w:drawing>
          <wp:inline distT="0" distB="0" distL="0" distR="0" wp14:anchorId="258EE710" wp14:editId="6987E337">
            <wp:extent cx="3105150" cy="280262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18484" cy="2814662"/>
                    </a:xfrm>
                    <a:prstGeom prst="rect">
                      <a:avLst/>
                    </a:prstGeom>
                  </pic:spPr>
                </pic:pic>
              </a:graphicData>
            </a:graphic>
          </wp:inline>
        </w:drawing>
      </w:r>
    </w:p>
    <w:p w14:paraId="50CE31CB" w14:textId="77777777" w:rsidR="00517B57" w:rsidRDefault="00517B57" w:rsidP="00517B57">
      <w:pPr>
        <w:jc w:val="center"/>
        <w:rPr>
          <w:rFonts w:ascii="Arial" w:hAnsi="Arial" w:cs="Arial"/>
          <w:sz w:val="16"/>
          <w:szCs w:val="16"/>
        </w:rPr>
      </w:pPr>
      <w:r w:rsidRPr="00E15992">
        <w:rPr>
          <w:rFonts w:ascii="Arial" w:hAnsi="Arial" w:cs="Arial"/>
          <w:sz w:val="16"/>
          <w:szCs w:val="16"/>
          <w:shd w:val="clear" w:color="auto" w:fill="FAF9F8"/>
        </w:rPr>
        <w:t xml:space="preserve">Figure </w:t>
      </w:r>
      <w:r>
        <w:rPr>
          <w:rFonts w:ascii="Arial" w:hAnsi="Arial" w:cs="Arial"/>
          <w:sz w:val="16"/>
          <w:szCs w:val="16"/>
          <w:shd w:val="clear" w:color="auto" w:fill="FAF9F8"/>
        </w:rPr>
        <w:t>9</w:t>
      </w:r>
      <w:r w:rsidRPr="00E15992">
        <w:rPr>
          <w:rFonts w:ascii="Arial" w:hAnsi="Arial" w:cs="Arial"/>
          <w:sz w:val="16"/>
          <w:szCs w:val="16"/>
          <w:shd w:val="clear" w:color="auto" w:fill="FAF9F8"/>
        </w:rPr>
        <w:t xml:space="preserve"> </w:t>
      </w:r>
      <w:r>
        <w:rPr>
          <w:rFonts w:ascii="Arial" w:hAnsi="Arial" w:cs="Arial"/>
          <w:sz w:val="16"/>
          <w:szCs w:val="16"/>
          <w:shd w:val="clear" w:color="auto" w:fill="FAF9F8"/>
        </w:rPr>
        <w:t>–</w:t>
      </w:r>
      <w:r w:rsidRPr="00E15992">
        <w:rPr>
          <w:rFonts w:ascii="Arial" w:hAnsi="Arial" w:cs="Arial"/>
          <w:sz w:val="16"/>
          <w:szCs w:val="16"/>
          <w:shd w:val="clear" w:color="auto" w:fill="FAF9F8"/>
        </w:rPr>
        <w:t xml:space="preserve"> </w:t>
      </w:r>
      <w:r>
        <w:rPr>
          <w:rFonts w:ascii="Arial" w:hAnsi="Arial" w:cs="Arial"/>
          <w:sz w:val="16"/>
          <w:szCs w:val="16"/>
        </w:rPr>
        <w:t>Process map extract showing delivery data being entered three times</w:t>
      </w:r>
    </w:p>
    <w:p w14:paraId="78810A46" w14:textId="2F2A2E33" w:rsidR="00433845" w:rsidRDefault="003B7AA8" w:rsidP="00D265F3">
      <w:pPr>
        <w:tabs>
          <w:tab w:val="left" w:pos="3180"/>
        </w:tabs>
        <w:jc w:val="both"/>
        <w:rPr>
          <w:rFonts w:ascii="Arial" w:hAnsi="Arial" w:cs="Arial"/>
          <w:sz w:val="20"/>
          <w:szCs w:val="20"/>
          <w:shd w:val="clear" w:color="auto" w:fill="FAF9F8"/>
        </w:rPr>
      </w:pPr>
      <w:r>
        <w:rPr>
          <w:rFonts w:ascii="Arial" w:hAnsi="Arial" w:cs="Arial"/>
          <w:sz w:val="20"/>
          <w:szCs w:val="20"/>
          <w:shd w:val="clear" w:color="auto" w:fill="FAF9F8"/>
        </w:rPr>
        <w:t>Material abortion</w:t>
      </w:r>
      <w:r w:rsidR="00161958">
        <w:rPr>
          <w:rFonts w:ascii="Arial" w:hAnsi="Arial" w:cs="Arial"/>
          <w:sz w:val="20"/>
          <w:szCs w:val="20"/>
          <w:shd w:val="clear" w:color="auto" w:fill="FAF9F8"/>
        </w:rPr>
        <w:t xml:space="preserve"> from bunkers</w:t>
      </w:r>
      <w:r>
        <w:rPr>
          <w:rFonts w:ascii="Arial" w:hAnsi="Arial" w:cs="Arial"/>
          <w:sz w:val="20"/>
          <w:szCs w:val="20"/>
          <w:shd w:val="clear" w:color="auto" w:fill="FAF9F8"/>
        </w:rPr>
        <w:t xml:space="preserve"> – if the material </w:t>
      </w:r>
      <w:r w:rsidR="00161958">
        <w:rPr>
          <w:rFonts w:ascii="Arial" w:hAnsi="Arial" w:cs="Arial"/>
          <w:sz w:val="20"/>
          <w:szCs w:val="20"/>
          <w:shd w:val="clear" w:color="auto" w:fill="FAF9F8"/>
        </w:rPr>
        <w:t xml:space="preserve">needs to be removed from the bunker in the plant without being consumed due to a last minute grade change, this is not recorded depending on what part of plant it happened on. If the abortion of material happens in </w:t>
      </w:r>
      <w:r w:rsidR="007E71D4">
        <w:rPr>
          <w:rFonts w:ascii="Arial" w:hAnsi="Arial" w:cs="Arial"/>
          <w:sz w:val="20"/>
          <w:szCs w:val="20"/>
          <w:shd w:val="clear" w:color="auto" w:fill="FAF9F8"/>
        </w:rPr>
        <w:t>the vessel,</w:t>
      </w:r>
      <w:r w:rsidR="00161958">
        <w:rPr>
          <w:rFonts w:ascii="Arial" w:hAnsi="Arial" w:cs="Arial"/>
          <w:sz w:val="20"/>
          <w:szCs w:val="20"/>
          <w:shd w:val="clear" w:color="auto" w:fill="FAF9F8"/>
        </w:rPr>
        <w:t xml:space="preserve"> th</w:t>
      </w:r>
      <w:r w:rsidR="007E71D4">
        <w:rPr>
          <w:rFonts w:ascii="Arial" w:hAnsi="Arial" w:cs="Arial"/>
          <w:sz w:val="20"/>
          <w:szCs w:val="20"/>
          <w:shd w:val="clear" w:color="auto" w:fill="FAF9F8"/>
        </w:rPr>
        <w:t>e</w:t>
      </w:r>
      <w:r w:rsidR="00161958">
        <w:rPr>
          <w:rFonts w:ascii="Arial" w:hAnsi="Arial" w:cs="Arial"/>
          <w:sz w:val="20"/>
          <w:szCs w:val="20"/>
          <w:shd w:val="clear" w:color="auto" w:fill="FAF9F8"/>
        </w:rPr>
        <w:t xml:space="preserve"> material is </w:t>
      </w:r>
      <w:r w:rsidR="007E71D4">
        <w:rPr>
          <w:rFonts w:ascii="Arial" w:hAnsi="Arial" w:cs="Arial"/>
          <w:sz w:val="20"/>
          <w:szCs w:val="20"/>
          <w:shd w:val="clear" w:color="auto" w:fill="FAF9F8"/>
        </w:rPr>
        <w:t xml:space="preserve">put into a mixed pile of material. The mixed pile of material is then </w:t>
      </w:r>
      <w:r w:rsidR="00161958">
        <w:rPr>
          <w:rFonts w:ascii="Arial" w:hAnsi="Arial" w:cs="Arial"/>
          <w:sz w:val="20"/>
          <w:szCs w:val="20"/>
          <w:shd w:val="clear" w:color="auto" w:fill="FAF9F8"/>
        </w:rPr>
        <w:t xml:space="preserve">collected by a contractor and is taken </w:t>
      </w:r>
      <w:r w:rsidR="007E71D4">
        <w:rPr>
          <w:rFonts w:ascii="Arial" w:hAnsi="Arial" w:cs="Arial"/>
          <w:sz w:val="20"/>
          <w:szCs w:val="20"/>
          <w:shd w:val="clear" w:color="auto" w:fill="FAF9F8"/>
        </w:rPr>
        <w:t xml:space="preserve">to their ring fenced site for reprocessing. But this process is not recorded in any way, we are not aware of when a bunker is aborted and the movement of material to the ring fenced site in also not recoded. </w:t>
      </w:r>
    </w:p>
    <w:p w14:paraId="54252268" w14:textId="0052CCC4" w:rsidR="00161958" w:rsidRDefault="00161958" w:rsidP="00414660">
      <w:pPr>
        <w:tabs>
          <w:tab w:val="left" w:pos="3180"/>
        </w:tabs>
        <w:jc w:val="center"/>
        <w:rPr>
          <w:rFonts w:ascii="Arial" w:hAnsi="Arial" w:cs="Arial"/>
          <w:sz w:val="20"/>
          <w:szCs w:val="20"/>
          <w:shd w:val="clear" w:color="auto" w:fill="FAF9F8"/>
        </w:rPr>
      </w:pPr>
      <w:r>
        <w:rPr>
          <w:noProof/>
        </w:rPr>
        <w:drawing>
          <wp:inline distT="0" distB="0" distL="0" distR="0" wp14:anchorId="03862B89" wp14:editId="48111A73">
            <wp:extent cx="3091940" cy="3810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98468" cy="3818044"/>
                    </a:xfrm>
                    <a:prstGeom prst="rect">
                      <a:avLst/>
                    </a:prstGeom>
                  </pic:spPr>
                </pic:pic>
              </a:graphicData>
            </a:graphic>
          </wp:inline>
        </w:drawing>
      </w:r>
    </w:p>
    <w:p w14:paraId="7310B180" w14:textId="1947DC31" w:rsidR="00414660" w:rsidRDefault="00414660" w:rsidP="00414660">
      <w:pPr>
        <w:jc w:val="center"/>
        <w:rPr>
          <w:rFonts w:ascii="Arial" w:hAnsi="Arial" w:cs="Arial"/>
          <w:sz w:val="16"/>
          <w:szCs w:val="16"/>
        </w:rPr>
      </w:pPr>
      <w:r w:rsidRPr="00E15992">
        <w:rPr>
          <w:rFonts w:ascii="Arial" w:hAnsi="Arial" w:cs="Arial"/>
          <w:sz w:val="16"/>
          <w:szCs w:val="16"/>
          <w:shd w:val="clear" w:color="auto" w:fill="FAF9F8"/>
        </w:rPr>
        <w:t xml:space="preserve">Figure </w:t>
      </w:r>
      <w:r>
        <w:rPr>
          <w:rFonts w:ascii="Arial" w:hAnsi="Arial" w:cs="Arial"/>
          <w:sz w:val="16"/>
          <w:szCs w:val="16"/>
          <w:shd w:val="clear" w:color="auto" w:fill="FAF9F8"/>
        </w:rPr>
        <w:t>10</w:t>
      </w:r>
      <w:r w:rsidRPr="00E15992">
        <w:rPr>
          <w:rFonts w:ascii="Arial" w:hAnsi="Arial" w:cs="Arial"/>
          <w:sz w:val="16"/>
          <w:szCs w:val="16"/>
          <w:shd w:val="clear" w:color="auto" w:fill="FAF9F8"/>
        </w:rPr>
        <w:t xml:space="preserve"> </w:t>
      </w:r>
      <w:r>
        <w:rPr>
          <w:rFonts w:ascii="Arial" w:hAnsi="Arial" w:cs="Arial"/>
          <w:sz w:val="16"/>
          <w:szCs w:val="16"/>
          <w:shd w:val="clear" w:color="auto" w:fill="FAF9F8"/>
        </w:rPr>
        <w:t>–</w:t>
      </w:r>
      <w:r w:rsidRPr="00E15992">
        <w:rPr>
          <w:rFonts w:ascii="Arial" w:hAnsi="Arial" w:cs="Arial"/>
          <w:sz w:val="16"/>
          <w:szCs w:val="16"/>
          <w:shd w:val="clear" w:color="auto" w:fill="FAF9F8"/>
        </w:rPr>
        <w:t xml:space="preserve"> </w:t>
      </w:r>
      <w:r>
        <w:rPr>
          <w:rFonts w:ascii="Arial" w:hAnsi="Arial" w:cs="Arial"/>
          <w:sz w:val="16"/>
          <w:szCs w:val="16"/>
        </w:rPr>
        <w:t>Process map extract showing the flow around if a material is aborted or not</w:t>
      </w:r>
    </w:p>
    <w:p w14:paraId="7614274B" w14:textId="77777777" w:rsidR="00D265F3" w:rsidRDefault="00D265F3">
      <w:pPr>
        <w:rPr>
          <w:rFonts w:ascii="Arial" w:hAnsi="Arial" w:cs="Arial"/>
          <w:sz w:val="20"/>
          <w:szCs w:val="20"/>
          <w:shd w:val="clear" w:color="auto" w:fill="FAF9F8"/>
        </w:rPr>
      </w:pPr>
      <w:r>
        <w:rPr>
          <w:rFonts w:ascii="Arial" w:hAnsi="Arial" w:cs="Arial"/>
          <w:sz w:val="20"/>
          <w:szCs w:val="20"/>
          <w:shd w:val="clear" w:color="auto" w:fill="FAF9F8"/>
        </w:rPr>
        <w:br w:type="page"/>
      </w:r>
    </w:p>
    <w:p w14:paraId="5DBFE69E" w14:textId="367991BA" w:rsidR="00984892" w:rsidRPr="00517B57" w:rsidRDefault="007E71D4" w:rsidP="00517B57">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3" w:name="_Toc99555153"/>
      <w:r w:rsidRPr="00517B57">
        <w:rPr>
          <w:rFonts w:asciiTheme="majorHAnsi" w:eastAsiaTheme="majorEastAsia" w:hAnsiTheme="majorHAnsi" w:cstheme="majorBidi"/>
          <w:color w:val="2F5496" w:themeColor="accent1" w:themeShade="BF"/>
          <w:sz w:val="32"/>
          <w:szCs w:val="32"/>
          <w:lang w:val="en-US"/>
        </w:rPr>
        <w:t>Action Plan</w:t>
      </w:r>
      <w:bookmarkEnd w:id="3"/>
    </w:p>
    <w:p w14:paraId="2B510D06" w14:textId="1A59D2A7" w:rsidR="007E71D4" w:rsidRPr="009D5803" w:rsidRDefault="007E71D4" w:rsidP="00D265F3">
      <w:pPr>
        <w:jc w:val="both"/>
        <w:rPr>
          <w:rFonts w:ascii="Arial" w:hAnsi="Arial" w:cs="Arial"/>
          <w:sz w:val="20"/>
          <w:szCs w:val="20"/>
          <w:shd w:val="clear" w:color="auto" w:fill="FAF9F8"/>
        </w:rPr>
      </w:pPr>
      <w:r w:rsidRPr="009D5803">
        <w:rPr>
          <w:rFonts w:ascii="Arial" w:hAnsi="Arial" w:cs="Arial"/>
          <w:sz w:val="20"/>
          <w:szCs w:val="20"/>
          <w:shd w:val="clear" w:color="auto" w:fill="FAF9F8"/>
        </w:rPr>
        <w:t xml:space="preserve">Product ID - </w:t>
      </w:r>
      <w:r w:rsidR="009B4016" w:rsidRPr="009D5803">
        <w:rPr>
          <w:rFonts w:ascii="Arial" w:hAnsi="Arial" w:cs="Arial"/>
          <w:sz w:val="20"/>
          <w:szCs w:val="20"/>
          <w:shd w:val="clear" w:color="auto" w:fill="FAF9F8"/>
        </w:rPr>
        <w:t xml:space="preserve"> Rewrite of the intranet is needed so all the latest material masters are available for selection, this can fix the issue in the short term. A long term fix to the issue is automating the system of recording the load out data. Currently the material is loaded out of the bay by a front loaded shovel that weighs the material </w:t>
      </w:r>
      <w:r w:rsidR="0057579B" w:rsidRPr="009D5803">
        <w:rPr>
          <w:rFonts w:ascii="Arial" w:hAnsi="Arial" w:cs="Arial"/>
          <w:sz w:val="20"/>
          <w:szCs w:val="20"/>
          <w:shd w:val="clear" w:color="auto" w:fill="FAF9F8"/>
        </w:rPr>
        <w:t xml:space="preserve">this data could be automatically loaded into the intra net rather than the operator manually typing in this data from ticket. </w:t>
      </w:r>
    </w:p>
    <w:p w14:paraId="5C68FFB2" w14:textId="77777777" w:rsidR="00077BAD" w:rsidRPr="009D5803" w:rsidRDefault="0057579B" w:rsidP="00D265F3">
      <w:pPr>
        <w:jc w:val="both"/>
        <w:rPr>
          <w:rFonts w:ascii="Arial" w:hAnsi="Arial" w:cs="Arial"/>
          <w:sz w:val="20"/>
          <w:szCs w:val="20"/>
          <w:shd w:val="clear" w:color="auto" w:fill="FAF9F8"/>
        </w:rPr>
      </w:pPr>
      <w:r w:rsidRPr="009D5803">
        <w:rPr>
          <w:rFonts w:ascii="Arial" w:hAnsi="Arial" w:cs="Arial"/>
          <w:sz w:val="20"/>
          <w:szCs w:val="20"/>
          <w:shd w:val="clear" w:color="auto" w:fill="FAF9F8"/>
        </w:rPr>
        <w:t>Consumption Data – All works areas should be using the validated data published by process control. But the process control data is currently released too late in the week for the planning team to use as business decisions and call offs to supplier are made on Tuesday. In the short term, process control should validate the data on a Monday as soon as it is available</w:t>
      </w:r>
      <w:r w:rsidR="00077BAD" w:rsidRPr="009D5803">
        <w:rPr>
          <w:rFonts w:ascii="Arial" w:hAnsi="Arial" w:cs="Arial"/>
          <w:sz w:val="20"/>
          <w:szCs w:val="20"/>
          <w:shd w:val="clear" w:color="auto" w:fill="FAF9F8"/>
        </w:rPr>
        <w:t xml:space="preserve"> and then sending out the data to all relevant teams rather than just sending to finance. Further root cause analysis is needed on this area to work out why the data needs validating as it should be correct first time around. </w:t>
      </w:r>
    </w:p>
    <w:p w14:paraId="70C279A6" w14:textId="540FB400" w:rsidR="0057579B" w:rsidRPr="009D5803" w:rsidRDefault="00077BAD" w:rsidP="00D265F3">
      <w:pPr>
        <w:jc w:val="both"/>
        <w:rPr>
          <w:rFonts w:ascii="Arial" w:hAnsi="Arial" w:cs="Arial"/>
          <w:sz w:val="20"/>
          <w:szCs w:val="20"/>
          <w:shd w:val="clear" w:color="auto" w:fill="FAF9F8"/>
        </w:rPr>
      </w:pPr>
      <w:r w:rsidRPr="009D5803">
        <w:rPr>
          <w:rFonts w:ascii="Arial" w:hAnsi="Arial" w:cs="Arial"/>
          <w:sz w:val="20"/>
          <w:szCs w:val="20"/>
          <w:shd w:val="clear" w:color="auto" w:fill="FAF9F8"/>
        </w:rPr>
        <w:t>Delivery Data -  Remove the need for the data to be entered three times</w:t>
      </w:r>
      <w:r w:rsidR="00CE0802" w:rsidRPr="009D5803">
        <w:rPr>
          <w:rFonts w:ascii="Arial" w:hAnsi="Arial" w:cs="Arial"/>
          <w:sz w:val="20"/>
          <w:szCs w:val="20"/>
          <w:shd w:val="clear" w:color="auto" w:fill="FAF9F8"/>
        </w:rPr>
        <w:t xml:space="preserve"> into separate reports. SAP is the only system that has further business functions associated with it, being finance and invoicing. Going forward only enter the data into SAP and then have a report created from there to end out to the other business units. </w:t>
      </w:r>
      <w:r w:rsidR="00FB6D2F" w:rsidRPr="009D5803">
        <w:rPr>
          <w:rFonts w:ascii="Arial" w:hAnsi="Arial" w:cs="Arial"/>
          <w:sz w:val="20"/>
          <w:szCs w:val="20"/>
          <w:shd w:val="clear" w:color="auto" w:fill="FAF9F8"/>
        </w:rPr>
        <w:t>In regards to booking in the supplier weights into the system before checking against the internal weighbridge figures</w:t>
      </w:r>
      <w:r w:rsidR="000650ED" w:rsidRPr="009D5803">
        <w:rPr>
          <w:rFonts w:ascii="Arial" w:hAnsi="Arial" w:cs="Arial"/>
          <w:sz w:val="20"/>
          <w:szCs w:val="20"/>
          <w:shd w:val="clear" w:color="auto" w:fill="FAF9F8"/>
        </w:rPr>
        <w:t>, the operator should wait for the lorry to leave site so the net weight is known and validate before booking into SAP.</w:t>
      </w:r>
    </w:p>
    <w:p w14:paraId="44C824D1" w14:textId="4D394C21" w:rsidR="007E71D4" w:rsidRDefault="007E71D4">
      <w:pPr>
        <w:rPr>
          <w:sz w:val="20"/>
          <w:szCs w:val="20"/>
        </w:rPr>
      </w:pPr>
    </w:p>
    <w:p w14:paraId="2A2A5E8A" w14:textId="09489DD0" w:rsidR="00517B57" w:rsidRDefault="00517B57">
      <w:pPr>
        <w:rPr>
          <w:sz w:val="20"/>
          <w:szCs w:val="20"/>
        </w:rPr>
      </w:pPr>
      <w:r>
        <w:rPr>
          <w:sz w:val="20"/>
          <w:szCs w:val="20"/>
        </w:rPr>
        <w:br w:type="page"/>
      </w:r>
    </w:p>
    <w:bookmarkStart w:id="4" w:name="_Toc99555154" w:displacedByCustomXml="next"/>
    <w:sdt>
      <w:sdtPr>
        <w:id w:val="-16868156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466596" w14:textId="47276784" w:rsidR="00517B57" w:rsidRDefault="00517B57">
          <w:pPr>
            <w:pStyle w:val="Heading1"/>
          </w:pPr>
          <w:r>
            <w:t>References</w:t>
          </w:r>
          <w:bookmarkEnd w:id="4"/>
        </w:p>
        <w:sdt>
          <w:sdtPr>
            <w:id w:val="-573587230"/>
            <w:bibliography/>
          </w:sdtPr>
          <w:sdtContent>
            <w:p w14:paraId="2F6F51B1" w14:textId="77777777" w:rsidR="00517B57" w:rsidRDefault="00517B57" w:rsidP="00517B57">
              <w:pPr>
                <w:pStyle w:val="Bibliography"/>
                <w:rPr>
                  <w:noProof/>
                  <w:sz w:val="24"/>
                  <w:szCs w:val="24"/>
                  <w:lang w:val="en-US"/>
                </w:rPr>
              </w:pPr>
              <w:r>
                <w:fldChar w:fldCharType="begin"/>
              </w:r>
              <w:r>
                <w:instrText xml:space="preserve"> BIBLIOGRAPHY </w:instrText>
              </w:r>
              <w:r>
                <w:fldChar w:fldCharType="separate"/>
              </w:r>
              <w:r>
                <w:rPr>
                  <w:noProof/>
                  <w:lang w:val="en-US"/>
                </w:rPr>
                <w:t xml:space="preserve">Nash, M. A. a. S. R. P., 2008. Intoduction. In: T. &amp;. Francis, ed. </w:t>
              </w:r>
              <w:r>
                <w:rPr>
                  <w:i/>
                  <w:iCs/>
                  <w:noProof/>
                  <w:lang w:val="en-US"/>
                </w:rPr>
                <w:t xml:space="preserve">Mapping the Total Value Stream : A Comprehensive Guide for Production and Transactional Processes. </w:t>
              </w:r>
              <w:r>
                <w:rPr>
                  <w:noProof/>
                  <w:lang w:val="en-US"/>
                </w:rPr>
                <w:t>s.l.:CRC Press, p. xvii.</w:t>
              </w:r>
            </w:p>
            <w:p w14:paraId="5C9DB35D" w14:textId="77777777" w:rsidR="00517B57" w:rsidRDefault="00517B57" w:rsidP="00517B57">
              <w:pPr>
                <w:pStyle w:val="Bibliography"/>
                <w:rPr>
                  <w:noProof/>
                  <w:lang w:val="en-US"/>
                </w:rPr>
              </w:pPr>
              <w:r w:rsidRPr="00517B57">
                <w:rPr>
                  <w:noProof/>
                  <w:lang w:val="de-DE"/>
                </w:rPr>
                <w:t xml:space="preserve">Pfohl, H.-C., Cullmann, O. &amp; Stolzle, W., 1999. </w:t>
              </w:r>
              <w:r>
                <w:rPr>
                  <w:noProof/>
                  <w:lang w:val="en-US"/>
                </w:rPr>
                <w:t xml:space="preserve">Process Control Charts. </w:t>
              </w:r>
              <w:r>
                <w:rPr>
                  <w:i/>
                  <w:iCs/>
                  <w:noProof/>
                  <w:lang w:val="en-US"/>
                </w:rPr>
                <w:t xml:space="preserve">Inventory management with statistical process control: Simulation and evaluation, </w:t>
              </w:r>
              <w:r>
                <w:rPr>
                  <w:noProof/>
                  <w:lang w:val="en-US"/>
                </w:rPr>
                <w:t>20(1), p. 103.</w:t>
              </w:r>
            </w:p>
            <w:p w14:paraId="28F6DC3D" w14:textId="77777777" w:rsidR="00517B57" w:rsidRDefault="00517B57" w:rsidP="00517B57">
              <w:pPr>
                <w:pStyle w:val="Bibliography"/>
                <w:rPr>
                  <w:noProof/>
                </w:rPr>
              </w:pPr>
              <w:r>
                <w:rPr>
                  <w:noProof/>
                </w:rPr>
                <w:t xml:space="preserve">Wild, T., 2017. Shaping Inventory - Using Pareto Analysis for Control. In: </w:t>
              </w:r>
              <w:r>
                <w:rPr>
                  <w:i/>
                  <w:iCs/>
                  <w:noProof/>
                </w:rPr>
                <w:t xml:space="preserve">Best Practice in Inventory Management. </w:t>
              </w:r>
              <w:r>
                <w:rPr>
                  <w:noProof/>
                </w:rPr>
                <w:t>s.l.:Routledge, p. 33.</w:t>
              </w:r>
            </w:p>
            <w:p w14:paraId="39B400B0" w14:textId="6910DE27" w:rsidR="00517B57" w:rsidRDefault="00517B57" w:rsidP="00517B57">
              <w:r>
                <w:rPr>
                  <w:b/>
                  <w:bCs/>
                  <w:noProof/>
                </w:rPr>
                <w:fldChar w:fldCharType="end"/>
              </w:r>
            </w:p>
          </w:sdtContent>
        </w:sdt>
      </w:sdtContent>
    </w:sdt>
    <w:p w14:paraId="41DADB9A" w14:textId="77777777" w:rsidR="007E71D4" w:rsidRPr="00CF6C45" w:rsidRDefault="007E71D4">
      <w:pPr>
        <w:rPr>
          <w:sz w:val="20"/>
          <w:szCs w:val="20"/>
        </w:rPr>
      </w:pPr>
    </w:p>
    <w:sectPr w:rsidR="007E71D4" w:rsidRPr="00CF6C45">
      <w:footerReference w:type="even" r:id="rId21"/>
      <w:footerReference w:type="defaul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5FECC" w14:textId="77777777" w:rsidR="007E6361" w:rsidRDefault="007E6361" w:rsidP="00172E21">
      <w:pPr>
        <w:spacing w:after="0" w:line="240" w:lineRule="auto"/>
      </w:pPr>
      <w:r>
        <w:separator/>
      </w:r>
    </w:p>
  </w:endnote>
  <w:endnote w:type="continuationSeparator" w:id="0">
    <w:p w14:paraId="6114A710" w14:textId="77777777" w:rsidR="007E6361" w:rsidRDefault="007E6361" w:rsidP="00172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245ED" w14:textId="600640E3" w:rsidR="00172E21" w:rsidRDefault="00172E21">
    <w:pPr>
      <w:pStyle w:val="Footer"/>
    </w:pPr>
    <w:r>
      <w:rPr>
        <w:noProof/>
      </w:rPr>
      <mc:AlternateContent>
        <mc:Choice Requires="wps">
          <w:drawing>
            <wp:anchor distT="0" distB="0" distL="0" distR="0" simplePos="0" relativeHeight="251659264" behindDoc="0" locked="0" layoutInCell="1" allowOverlap="1" wp14:anchorId="6AF42964" wp14:editId="75FD3DBC">
              <wp:simplePos x="635" y="635"/>
              <wp:positionH relativeFrom="leftMargin">
                <wp:align>left</wp:align>
              </wp:positionH>
              <wp:positionV relativeFrom="paragraph">
                <wp:posOffset>635</wp:posOffset>
              </wp:positionV>
              <wp:extent cx="443865" cy="443865"/>
              <wp:effectExtent l="0" t="0" r="635" b="12065"/>
              <wp:wrapSquare wrapText="bothSides"/>
              <wp:docPr id="4" name="Text Box 4"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F0CE0E0" w14:textId="1C1BC4EC" w:rsidR="00172E21" w:rsidRPr="00172E21" w:rsidRDefault="00172E21">
                          <w:pPr>
                            <w:rPr>
                              <w:rFonts w:ascii="Calibri" w:eastAsia="Calibri" w:hAnsi="Calibri" w:cs="Calibri"/>
                              <w:color w:val="000000"/>
                              <w:sz w:val="16"/>
                              <w:szCs w:val="16"/>
                            </w:rPr>
                          </w:pPr>
                          <w:r w:rsidRPr="00172E21">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AF42964" id="_x0000_t202" coordsize="21600,21600" o:spt="202" path="m,l,21600r21600,l21600,xe">
              <v:stroke joinstyle="miter"/>
              <v:path gradientshapeok="t" o:connecttype="rect"/>
            </v:shapetype>
            <v:shape id="Text Box 4"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Da2IrnLwIAAFcEAAAOAAAAAAAAAAAAAAAAAC4CAABkcnMvZTJv&#10;RG9jLnhtbFBLAQItABQABgAIAAAAIQB1UHbA1wAAAAMBAAAPAAAAAAAAAAAAAAAAAIkEAABkcnMv&#10;ZG93bnJldi54bWxQSwUGAAAAAAQABADzAAAAjQUAAAAA&#10;" filled="f" stroked="f">
              <v:fill o:detectmouseclick="t"/>
              <v:textbox style="mso-fit-shape-to-text:t" inset="15pt,0,0,0">
                <w:txbxContent>
                  <w:p w14:paraId="2F0CE0E0" w14:textId="1C1BC4EC" w:rsidR="00172E21" w:rsidRPr="00172E21" w:rsidRDefault="00172E21">
                    <w:pPr>
                      <w:rPr>
                        <w:rFonts w:ascii="Calibri" w:eastAsia="Calibri" w:hAnsi="Calibri" w:cs="Calibri"/>
                        <w:color w:val="000000"/>
                        <w:sz w:val="16"/>
                        <w:szCs w:val="16"/>
                      </w:rPr>
                    </w:pPr>
                    <w:r w:rsidRPr="00172E21">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300418"/>
      <w:docPartObj>
        <w:docPartGallery w:val="Page Numbers (Bottom of Page)"/>
        <w:docPartUnique/>
      </w:docPartObj>
    </w:sdtPr>
    <w:sdtEndPr>
      <w:rPr>
        <w:noProof/>
      </w:rPr>
    </w:sdtEndPr>
    <w:sdtContent>
      <w:p w14:paraId="6E6F6435" w14:textId="77777777" w:rsidR="00D265F3" w:rsidRDefault="00D265F3">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F039DB3" w14:textId="2FF1E874" w:rsidR="00172E21" w:rsidRDefault="00172E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C93A1" w14:textId="0E012DE7" w:rsidR="00172E21" w:rsidRDefault="00172E21">
    <w:pPr>
      <w:pStyle w:val="Footer"/>
    </w:pPr>
    <w:r>
      <w:rPr>
        <w:noProof/>
      </w:rPr>
      <mc:AlternateContent>
        <mc:Choice Requires="wps">
          <w:drawing>
            <wp:anchor distT="0" distB="0" distL="0" distR="0" simplePos="0" relativeHeight="251658240" behindDoc="0" locked="0" layoutInCell="1" allowOverlap="1" wp14:anchorId="5E4AB46F" wp14:editId="062FBAE7">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F272D1" w14:textId="152BA979" w:rsidR="00172E21" w:rsidRPr="00172E21" w:rsidRDefault="00172E21">
                          <w:pPr>
                            <w:rPr>
                              <w:rFonts w:ascii="Calibri" w:eastAsia="Calibri" w:hAnsi="Calibri" w:cs="Calibri"/>
                              <w:color w:val="000000"/>
                              <w:sz w:val="16"/>
                              <w:szCs w:val="16"/>
                            </w:rPr>
                          </w:pPr>
                          <w:r w:rsidRPr="00172E21">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E4AB46F" id="_x0000_t202" coordsize="21600,21600" o:spt="202" path="m,l,21600r21600,l21600,xe">
              <v:stroke joinstyle="miter"/>
              <v:path gradientshapeok="t" o:connecttype="rect"/>
            </v:shapetype>
            <v:shape id="Text Box 2"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MkFANcxAgAAXgQAAA4AAAAAAAAAAAAAAAAALgIAAGRycy9l&#10;Mm9Eb2MueG1sUEsBAi0AFAAGAAgAAAAhAHVQdsDXAAAAAwEAAA8AAAAAAAAAAAAAAAAAiwQAAGRy&#10;cy9kb3ducmV2LnhtbFBLBQYAAAAABAAEAPMAAACPBQAAAAA=&#10;" filled="f" stroked="f">
              <v:fill o:detectmouseclick="t"/>
              <v:textbox style="mso-fit-shape-to-text:t" inset="15pt,0,0,0">
                <w:txbxContent>
                  <w:p w14:paraId="69F272D1" w14:textId="152BA979" w:rsidR="00172E21" w:rsidRPr="00172E21" w:rsidRDefault="00172E21">
                    <w:pPr>
                      <w:rPr>
                        <w:rFonts w:ascii="Calibri" w:eastAsia="Calibri" w:hAnsi="Calibri" w:cs="Calibri"/>
                        <w:color w:val="000000"/>
                        <w:sz w:val="16"/>
                        <w:szCs w:val="16"/>
                      </w:rPr>
                    </w:pPr>
                    <w:r w:rsidRPr="00172E21">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78182" w14:textId="77777777" w:rsidR="007E6361" w:rsidRDefault="007E6361" w:rsidP="00172E21">
      <w:pPr>
        <w:spacing w:after="0" w:line="240" w:lineRule="auto"/>
      </w:pPr>
      <w:r>
        <w:separator/>
      </w:r>
    </w:p>
  </w:footnote>
  <w:footnote w:type="continuationSeparator" w:id="0">
    <w:p w14:paraId="103248AF" w14:textId="77777777" w:rsidR="007E6361" w:rsidRDefault="007E6361" w:rsidP="00172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039CA"/>
    <w:multiLevelType w:val="hybridMultilevel"/>
    <w:tmpl w:val="7EDE9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B31"/>
    <w:rsid w:val="00006FEA"/>
    <w:rsid w:val="0002634E"/>
    <w:rsid w:val="00052668"/>
    <w:rsid w:val="00053F6D"/>
    <w:rsid w:val="000650ED"/>
    <w:rsid w:val="00065A1E"/>
    <w:rsid w:val="00077BAD"/>
    <w:rsid w:val="00077C20"/>
    <w:rsid w:val="000977D3"/>
    <w:rsid w:val="000A3164"/>
    <w:rsid w:val="000A3C8A"/>
    <w:rsid w:val="000D4907"/>
    <w:rsid w:val="000D64DD"/>
    <w:rsid w:val="000D69D9"/>
    <w:rsid w:val="001555DC"/>
    <w:rsid w:val="00161958"/>
    <w:rsid w:val="00172E21"/>
    <w:rsid w:val="001952C0"/>
    <w:rsid w:val="001963ED"/>
    <w:rsid w:val="001B16D3"/>
    <w:rsid w:val="001F2F93"/>
    <w:rsid w:val="002459A6"/>
    <w:rsid w:val="00251267"/>
    <w:rsid w:val="002D0ACE"/>
    <w:rsid w:val="00307530"/>
    <w:rsid w:val="0032616A"/>
    <w:rsid w:val="00333E1A"/>
    <w:rsid w:val="003A06C6"/>
    <w:rsid w:val="003B7AA8"/>
    <w:rsid w:val="00414660"/>
    <w:rsid w:val="004304BE"/>
    <w:rsid w:val="00433845"/>
    <w:rsid w:val="00465108"/>
    <w:rsid w:val="00496502"/>
    <w:rsid w:val="00517B57"/>
    <w:rsid w:val="00551EB7"/>
    <w:rsid w:val="0057579B"/>
    <w:rsid w:val="00596B31"/>
    <w:rsid w:val="005A3DB0"/>
    <w:rsid w:val="005B334C"/>
    <w:rsid w:val="0063451E"/>
    <w:rsid w:val="006628D8"/>
    <w:rsid w:val="006750E4"/>
    <w:rsid w:val="006A08F0"/>
    <w:rsid w:val="006E1BCF"/>
    <w:rsid w:val="006E2796"/>
    <w:rsid w:val="00735A64"/>
    <w:rsid w:val="00757E3E"/>
    <w:rsid w:val="007804FC"/>
    <w:rsid w:val="007C3636"/>
    <w:rsid w:val="007E6361"/>
    <w:rsid w:val="007E71D4"/>
    <w:rsid w:val="00801CCB"/>
    <w:rsid w:val="00824378"/>
    <w:rsid w:val="00845E6E"/>
    <w:rsid w:val="00857B99"/>
    <w:rsid w:val="00884167"/>
    <w:rsid w:val="0088599B"/>
    <w:rsid w:val="00897F9D"/>
    <w:rsid w:val="008D6CF3"/>
    <w:rsid w:val="008F64B4"/>
    <w:rsid w:val="009336CF"/>
    <w:rsid w:val="0093527C"/>
    <w:rsid w:val="0094261C"/>
    <w:rsid w:val="00955C15"/>
    <w:rsid w:val="00984892"/>
    <w:rsid w:val="009B4016"/>
    <w:rsid w:val="009D5803"/>
    <w:rsid w:val="00A26F96"/>
    <w:rsid w:val="00A6448C"/>
    <w:rsid w:val="00A9300C"/>
    <w:rsid w:val="00AA2DAE"/>
    <w:rsid w:val="00AC17DF"/>
    <w:rsid w:val="00AD0A2B"/>
    <w:rsid w:val="00AE3927"/>
    <w:rsid w:val="00B07E3A"/>
    <w:rsid w:val="00B67CF5"/>
    <w:rsid w:val="00B84610"/>
    <w:rsid w:val="00BB7EB6"/>
    <w:rsid w:val="00BD0BA9"/>
    <w:rsid w:val="00C14F4B"/>
    <w:rsid w:val="00C166FE"/>
    <w:rsid w:val="00CA05CB"/>
    <w:rsid w:val="00CD4B62"/>
    <w:rsid w:val="00CE0802"/>
    <w:rsid w:val="00CE0BD7"/>
    <w:rsid w:val="00CF6C45"/>
    <w:rsid w:val="00D265F3"/>
    <w:rsid w:val="00DA4F9C"/>
    <w:rsid w:val="00DD1065"/>
    <w:rsid w:val="00DD683D"/>
    <w:rsid w:val="00DF2654"/>
    <w:rsid w:val="00E15992"/>
    <w:rsid w:val="00E327AF"/>
    <w:rsid w:val="00E633F9"/>
    <w:rsid w:val="00E63945"/>
    <w:rsid w:val="00E9273A"/>
    <w:rsid w:val="00ED48BC"/>
    <w:rsid w:val="00F434CB"/>
    <w:rsid w:val="00FB1A46"/>
    <w:rsid w:val="00FB6D2F"/>
    <w:rsid w:val="00FF6ADA"/>
    <w:rsid w:val="00FF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BA129"/>
  <w15:chartTrackingRefBased/>
  <w15:docId w15:val="{C8D3354C-49EB-42C9-B7E0-814500DA7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5F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E21"/>
  </w:style>
  <w:style w:type="paragraph" w:styleId="Footer">
    <w:name w:val="footer"/>
    <w:basedOn w:val="Normal"/>
    <w:link w:val="FooterChar"/>
    <w:uiPriority w:val="99"/>
    <w:unhideWhenUsed/>
    <w:rsid w:val="00172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E21"/>
  </w:style>
  <w:style w:type="paragraph" w:styleId="ListParagraph">
    <w:name w:val="List Paragraph"/>
    <w:basedOn w:val="Normal"/>
    <w:uiPriority w:val="34"/>
    <w:qFormat/>
    <w:rsid w:val="00333E1A"/>
    <w:pPr>
      <w:ind w:left="720"/>
      <w:contextualSpacing/>
    </w:pPr>
  </w:style>
  <w:style w:type="character" w:customStyle="1" w:styleId="Heading1Char">
    <w:name w:val="Heading 1 Char"/>
    <w:basedOn w:val="DefaultParagraphFont"/>
    <w:link w:val="Heading1"/>
    <w:uiPriority w:val="9"/>
    <w:rsid w:val="00D265F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65F3"/>
  </w:style>
  <w:style w:type="paragraph" w:styleId="TOCHeading">
    <w:name w:val="TOC Heading"/>
    <w:basedOn w:val="Heading1"/>
    <w:next w:val="Normal"/>
    <w:uiPriority w:val="39"/>
    <w:unhideWhenUsed/>
    <w:qFormat/>
    <w:rsid w:val="00D265F3"/>
    <w:pPr>
      <w:outlineLvl w:val="9"/>
    </w:pPr>
  </w:style>
  <w:style w:type="paragraph" w:styleId="TOC1">
    <w:name w:val="toc 1"/>
    <w:basedOn w:val="Normal"/>
    <w:next w:val="Normal"/>
    <w:autoRedefine/>
    <w:uiPriority w:val="39"/>
    <w:unhideWhenUsed/>
    <w:rsid w:val="00517B57"/>
    <w:pPr>
      <w:spacing w:after="100"/>
    </w:pPr>
  </w:style>
  <w:style w:type="character" w:styleId="Hyperlink">
    <w:name w:val="Hyperlink"/>
    <w:basedOn w:val="DefaultParagraphFont"/>
    <w:uiPriority w:val="99"/>
    <w:unhideWhenUsed/>
    <w:rsid w:val="00517B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46282">
      <w:bodyDiv w:val="1"/>
      <w:marLeft w:val="0"/>
      <w:marRight w:val="0"/>
      <w:marTop w:val="0"/>
      <w:marBottom w:val="0"/>
      <w:divBdr>
        <w:top w:val="none" w:sz="0" w:space="0" w:color="auto"/>
        <w:left w:val="none" w:sz="0" w:space="0" w:color="auto"/>
        <w:bottom w:val="none" w:sz="0" w:space="0" w:color="auto"/>
        <w:right w:val="none" w:sz="0" w:space="0" w:color="auto"/>
      </w:divBdr>
    </w:div>
    <w:div w:id="398408602">
      <w:bodyDiv w:val="1"/>
      <w:marLeft w:val="0"/>
      <w:marRight w:val="0"/>
      <w:marTop w:val="0"/>
      <w:marBottom w:val="0"/>
      <w:divBdr>
        <w:top w:val="none" w:sz="0" w:space="0" w:color="auto"/>
        <w:left w:val="none" w:sz="0" w:space="0" w:color="auto"/>
        <w:bottom w:val="none" w:sz="0" w:space="0" w:color="auto"/>
        <w:right w:val="none" w:sz="0" w:space="0" w:color="auto"/>
      </w:divBdr>
    </w:div>
    <w:div w:id="959453224">
      <w:bodyDiv w:val="1"/>
      <w:marLeft w:val="0"/>
      <w:marRight w:val="0"/>
      <w:marTop w:val="0"/>
      <w:marBottom w:val="0"/>
      <w:divBdr>
        <w:top w:val="none" w:sz="0" w:space="0" w:color="auto"/>
        <w:left w:val="none" w:sz="0" w:space="0" w:color="auto"/>
        <w:bottom w:val="none" w:sz="0" w:space="0" w:color="auto"/>
        <w:right w:val="none" w:sz="0" w:space="0" w:color="auto"/>
      </w:divBdr>
    </w:div>
    <w:div w:id="1232615228">
      <w:bodyDiv w:val="1"/>
      <w:marLeft w:val="0"/>
      <w:marRight w:val="0"/>
      <w:marTop w:val="0"/>
      <w:marBottom w:val="0"/>
      <w:divBdr>
        <w:top w:val="none" w:sz="0" w:space="0" w:color="auto"/>
        <w:left w:val="none" w:sz="0" w:space="0" w:color="auto"/>
        <w:bottom w:val="none" w:sz="0" w:space="0" w:color="auto"/>
        <w:right w:val="none" w:sz="0" w:space="0" w:color="auto"/>
      </w:divBdr>
    </w:div>
    <w:div w:id="1232738027">
      <w:bodyDiv w:val="1"/>
      <w:marLeft w:val="0"/>
      <w:marRight w:val="0"/>
      <w:marTop w:val="0"/>
      <w:marBottom w:val="0"/>
      <w:divBdr>
        <w:top w:val="none" w:sz="0" w:space="0" w:color="auto"/>
        <w:left w:val="none" w:sz="0" w:space="0" w:color="auto"/>
        <w:bottom w:val="none" w:sz="0" w:space="0" w:color="auto"/>
        <w:right w:val="none" w:sz="0" w:space="0" w:color="auto"/>
      </w:divBdr>
    </w:div>
    <w:div w:id="1233812089">
      <w:bodyDiv w:val="1"/>
      <w:marLeft w:val="0"/>
      <w:marRight w:val="0"/>
      <w:marTop w:val="0"/>
      <w:marBottom w:val="0"/>
      <w:divBdr>
        <w:top w:val="none" w:sz="0" w:space="0" w:color="auto"/>
        <w:left w:val="none" w:sz="0" w:space="0" w:color="auto"/>
        <w:bottom w:val="none" w:sz="0" w:space="0" w:color="auto"/>
        <w:right w:val="none" w:sz="0" w:space="0" w:color="auto"/>
      </w:divBdr>
    </w:div>
    <w:div w:id="1378313410">
      <w:bodyDiv w:val="1"/>
      <w:marLeft w:val="0"/>
      <w:marRight w:val="0"/>
      <w:marTop w:val="0"/>
      <w:marBottom w:val="0"/>
      <w:divBdr>
        <w:top w:val="none" w:sz="0" w:space="0" w:color="auto"/>
        <w:left w:val="none" w:sz="0" w:space="0" w:color="auto"/>
        <w:bottom w:val="none" w:sz="0" w:space="0" w:color="auto"/>
        <w:right w:val="none" w:sz="0" w:space="0" w:color="auto"/>
      </w:divBdr>
    </w:div>
    <w:div w:id="1553350024">
      <w:bodyDiv w:val="1"/>
      <w:marLeft w:val="0"/>
      <w:marRight w:val="0"/>
      <w:marTop w:val="0"/>
      <w:marBottom w:val="0"/>
      <w:divBdr>
        <w:top w:val="none" w:sz="0" w:space="0" w:color="auto"/>
        <w:left w:val="none" w:sz="0" w:space="0" w:color="auto"/>
        <w:bottom w:val="none" w:sz="0" w:space="0" w:color="auto"/>
        <w:right w:val="none" w:sz="0" w:space="0" w:color="auto"/>
      </w:divBdr>
    </w:div>
    <w:div w:id="1714229264">
      <w:bodyDiv w:val="1"/>
      <w:marLeft w:val="0"/>
      <w:marRight w:val="0"/>
      <w:marTop w:val="0"/>
      <w:marBottom w:val="0"/>
      <w:divBdr>
        <w:top w:val="none" w:sz="0" w:space="0" w:color="auto"/>
        <w:left w:val="none" w:sz="0" w:space="0" w:color="auto"/>
        <w:bottom w:val="none" w:sz="0" w:space="0" w:color="auto"/>
        <w:right w:val="none" w:sz="0" w:space="0" w:color="auto"/>
      </w:divBdr>
    </w:div>
    <w:div w:id="1930189645">
      <w:bodyDiv w:val="1"/>
      <w:marLeft w:val="0"/>
      <w:marRight w:val="0"/>
      <w:marTop w:val="0"/>
      <w:marBottom w:val="0"/>
      <w:divBdr>
        <w:top w:val="none" w:sz="0" w:space="0" w:color="auto"/>
        <w:left w:val="none" w:sz="0" w:space="0" w:color="auto"/>
        <w:bottom w:val="none" w:sz="0" w:space="0" w:color="auto"/>
        <w:right w:val="none" w:sz="0" w:space="0" w:color="auto"/>
      </w:divBdr>
    </w:div>
    <w:div w:id="2121143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footer" Target="footer3.xml"/><Relationship Id="rId10" Type="http://schemas.openxmlformats.org/officeDocument/2006/relationships/image" Target="media/image3.emf"/><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HCFeMn</a:t>
            </a:r>
            <a:r>
              <a:rPr lang="en-GB" baseline="0"/>
              <a:t> Small RMB Stock</a:t>
            </a:r>
            <a:endParaRPr lang="en-GB"/>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Sheet3!$K$3</c:f>
              <c:strCache>
                <c:ptCount val="1"/>
                <c:pt idx="0">
                  <c:v>rmb stock</c:v>
                </c:pt>
              </c:strCache>
            </c:strRef>
          </c:tx>
          <c:spPr>
            <a:ln w="28575" cap="rnd">
              <a:solidFill>
                <a:schemeClr val="accent1"/>
              </a:solidFill>
              <a:round/>
            </a:ln>
            <a:effectLst/>
          </c:spPr>
          <c:marker>
            <c:symbol val="none"/>
          </c:marker>
          <c:cat>
            <c:numRef>
              <c:f>Sheet1!$J$4:$J$53</c:f>
              <c:numCache>
                <c:formatCode>d\ mmm\ yy</c:formatCode>
                <c:ptCount val="50"/>
                <c:pt idx="0">
                  <c:v>44296</c:v>
                </c:pt>
                <c:pt idx="1">
                  <c:v>44303</c:v>
                </c:pt>
                <c:pt idx="2">
                  <c:v>44310</c:v>
                </c:pt>
                <c:pt idx="3">
                  <c:v>44317</c:v>
                </c:pt>
                <c:pt idx="4">
                  <c:v>44324</c:v>
                </c:pt>
                <c:pt idx="5">
                  <c:v>44331</c:v>
                </c:pt>
                <c:pt idx="6">
                  <c:v>44338</c:v>
                </c:pt>
                <c:pt idx="7">
                  <c:v>44345</c:v>
                </c:pt>
                <c:pt idx="8">
                  <c:v>44352</c:v>
                </c:pt>
                <c:pt idx="9">
                  <c:v>44359</c:v>
                </c:pt>
                <c:pt idx="10">
                  <c:v>44366</c:v>
                </c:pt>
                <c:pt idx="11">
                  <c:v>44373</c:v>
                </c:pt>
                <c:pt idx="12">
                  <c:v>44380</c:v>
                </c:pt>
                <c:pt idx="13">
                  <c:v>44387</c:v>
                </c:pt>
                <c:pt idx="14">
                  <c:v>44394</c:v>
                </c:pt>
                <c:pt idx="15">
                  <c:v>44401</c:v>
                </c:pt>
                <c:pt idx="16">
                  <c:v>44408</c:v>
                </c:pt>
                <c:pt idx="17">
                  <c:v>44415</c:v>
                </c:pt>
                <c:pt idx="18">
                  <c:v>44422</c:v>
                </c:pt>
                <c:pt idx="19">
                  <c:v>44429</c:v>
                </c:pt>
                <c:pt idx="20">
                  <c:v>44436</c:v>
                </c:pt>
                <c:pt idx="21">
                  <c:v>44443</c:v>
                </c:pt>
                <c:pt idx="22">
                  <c:v>44450</c:v>
                </c:pt>
                <c:pt idx="23">
                  <c:v>44457</c:v>
                </c:pt>
                <c:pt idx="24">
                  <c:v>44464</c:v>
                </c:pt>
                <c:pt idx="25">
                  <c:v>44471</c:v>
                </c:pt>
                <c:pt idx="26">
                  <c:v>44478</c:v>
                </c:pt>
                <c:pt idx="27">
                  <c:v>44485</c:v>
                </c:pt>
                <c:pt idx="28">
                  <c:v>44492</c:v>
                </c:pt>
                <c:pt idx="29">
                  <c:v>44499</c:v>
                </c:pt>
                <c:pt idx="30">
                  <c:v>44506</c:v>
                </c:pt>
                <c:pt idx="31">
                  <c:v>44513</c:v>
                </c:pt>
                <c:pt idx="32">
                  <c:v>44520</c:v>
                </c:pt>
                <c:pt idx="33">
                  <c:v>44527</c:v>
                </c:pt>
                <c:pt idx="34">
                  <c:v>44534</c:v>
                </c:pt>
                <c:pt idx="35">
                  <c:v>44541</c:v>
                </c:pt>
                <c:pt idx="36">
                  <c:v>44548</c:v>
                </c:pt>
                <c:pt idx="37">
                  <c:v>44555</c:v>
                </c:pt>
                <c:pt idx="38">
                  <c:v>44562</c:v>
                </c:pt>
                <c:pt idx="39">
                  <c:v>44569</c:v>
                </c:pt>
                <c:pt idx="40">
                  <c:v>44576</c:v>
                </c:pt>
                <c:pt idx="41">
                  <c:v>44583</c:v>
                </c:pt>
                <c:pt idx="42">
                  <c:v>44590</c:v>
                </c:pt>
                <c:pt idx="43">
                  <c:v>44597</c:v>
                </c:pt>
                <c:pt idx="44">
                  <c:v>44604</c:v>
                </c:pt>
                <c:pt idx="45">
                  <c:v>44611</c:v>
                </c:pt>
                <c:pt idx="46">
                  <c:v>44618</c:v>
                </c:pt>
                <c:pt idx="47">
                  <c:v>44625</c:v>
                </c:pt>
                <c:pt idx="48">
                  <c:v>44632</c:v>
                </c:pt>
                <c:pt idx="49">
                  <c:v>44639</c:v>
                </c:pt>
              </c:numCache>
            </c:numRef>
          </c:cat>
          <c:val>
            <c:numRef>
              <c:f>Sheet3!$K$4:$K$53</c:f>
              <c:numCache>
                <c:formatCode>0.0</c:formatCode>
                <c:ptCount val="50"/>
                <c:pt idx="0">
                  <c:v>188.21</c:v>
                </c:pt>
                <c:pt idx="1">
                  <c:v>274.95</c:v>
                </c:pt>
                <c:pt idx="2">
                  <c:v>388.12</c:v>
                </c:pt>
                <c:pt idx="3">
                  <c:v>368.88</c:v>
                </c:pt>
                <c:pt idx="4">
                  <c:v>261.63</c:v>
                </c:pt>
                <c:pt idx="5">
                  <c:v>238.57</c:v>
                </c:pt>
                <c:pt idx="6">
                  <c:v>232.18</c:v>
                </c:pt>
                <c:pt idx="7">
                  <c:v>103.69000000000001</c:v>
                </c:pt>
                <c:pt idx="8">
                  <c:v>120.65000000000002</c:v>
                </c:pt>
                <c:pt idx="9">
                  <c:v>276.8523511127907</c:v>
                </c:pt>
                <c:pt idx="10">
                  <c:v>374.33235111279066</c:v>
                </c:pt>
                <c:pt idx="11">
                  <c:v>316.95235111279067</c:v>
                </c:pt>
                <c:pt idx="12">
                  <c:v>283.44235111279067</c:v>
                </c:pt>
                <c:pt idx="13">
                  <c:v>405.61870222558133</c:v>
                </c:pt>
                <c:pt idx="14">
                  <c:v>553.45870222558131</c:v>
                </c:pt>
                <c:pt idx="15">
                  <c:v>574.70870222558131</c:v>
                </c:pt>
                <c:pt idx="16">
                  <c:v>571.39870222558125</c:v>
                </c:pt>
                <c:pt idx="17">
                  <c:v>506.75870222558126</c:v>
                </c:pt>
                <c:pt idx="18">
                  <c:v>479.22870222558129</c:v>
                </c:pt>
                <c:pt idx="19">
                  <c:v>552.36870222558127</c:v>
                </c:pt>
                <c:pt idx="20">
                  <c:v>573.92870222558122</c:v>
                </c:pt>
                <c:pt idx="21">
                  <c:v>587.65870222558124</c:v>
                </c:pt>
                <c:pt idx="22">
                  <c:v>585.00870222558126</c:v>
                </c:pt>
                <c:pt idx="23">
                  <c:v>594.88870222558126</c:v>
                </c:pt>
                <c:pt idx="24">
                  <c:v>474.66870222558123</c:v>
                </c:pt>
                <c:pt idx="25">
                  <c:v>589.36505333837181</c:v>
                </c:pt>
                <c:pt idx="26">
                  <c:v>678.2450533383718</c:v>
                </c:pt>
                <c:pt idx="27">
                  <c:v>646.14505333837178</c:v>
                </c:pt>
                <c:pt idx="28">
                  <c:v>687.50505333837179</c:v>
                </c:pt>
                <c:pt idx="29">
                  <c:v>711.50505333837179</c:v>
                </c:pt>
                <c:pt idx="30">
                  <c:v>742.46505333837172</c:v>
                </c:pt>
                <c:pt idx="31">
                  <c:v>791.25505333837168</c:v>
                </c:pt>
                <c:pt idx="32">
                  <c:v>762.13505333837168</c:v>
                </c:pt>
                <c:pt idx="33">
                  <c:v>686.56505333837163</c:v>
                </c:pt>
                <c:pt idx="34">
                  <c:v>762.02505333837166</c:v>
                </c:pt>
                <c:pt idx="35">
                  <c:v>700.35505333837159</c:v>
                </c:pt>
                <c:pt idx="36">
                  <c:v>774.55505333837152</c:v>
                </c:pt>
                <c:pt idx="37">
                  <c:v>772.01505333837144</c:v>
                </c:pt>
                <c:pt idx="38">
                  <c:v>681.14505333837144</c:v>
                </c:pt>
                <c:pt idx="39">
                  <c:v>669.49505333837135</c:v>
                </c:pt>
                <c:pt idx="40">
                  <c:v>600.61505333837135</c:v>
                </c:pt>
                <c:pt idx="41">
                  <c:v>551.3150533383714</c:v>
                </c:pt>
                <c:pt idx="42">
                  <c:v>675.19140445116204</c:v>
                </c:pt>
                <c:pt idx="43">
                  <c:v>675.19140445116204</c:v>
                </c:pt>
                <c:pt idx="44">
                  <c:v>775.23140445116212</c:v>
                </c:pt>
                <c:pt idx="45">
                  <c:v>743.67140445116206</c:v>
                </c:pt>
                <c:pt idx="46">
                  <c:v>718.10140445116213</c:v>
                </c:pt>
                <c:pt idx="47">
                  <c:v>679.80140445116217</c:v>
                </c:pt>
                <c:pt idx="48">
                  <c:v>699.21140445116214</c:v>
                </c:pt>
                <c:pt idx="49">
                  <c:v>731.49140445116211</c:v>
                </c:pt>
              </c:numCache>
            </c:numRef>
          </c:val>
          <c:smooth val="0"/>
          <c:extLst>
            <c:ext xmlns:c16="http://schemas.microsoft.com/office/drawing/2014/chart" uri="{C3380CC4-5D6E-409C-BE32-E72D297353CC}">
              <c16:uniqueId val="{00000000-0B62-461C-B863-4195EF08BD7C}"/>
            </c:ext>
          </c:extLst>
        </c:ser>
        <c:ser>
          <c:idx val="1"/>
          <c:order val="1"/>
          <c:tx>
            <c:strRef>
              <c:f>Sheet3!$L$3</c:f>
              <c:strCache>
                <c:ptCount val="1"/>
                <c:pt idx="0">
                  <c:v>CL</c:v>
                </c:pt>
              </c:strCache>
            </c:strRef>
          </c:tx>
          <c:spPr>
            <a:ln w="28575" cap="rnd">
              <a:solidFill>
                <a:schemeClr val="accent2">
                  <a:lumMod val="40000"/>
                  <a:lumOff val="60000"/>
                </a:schemeClr>
              </a:solidFill>
              <a:prstDash val="sysDash"/>
              <a:round/>
            </a:ln>
            <a:effectLst/>
          </c:spPr>
          <c:marker>
            <c:symbol val="none"/>
          </c:marker>
          <c:cat>
            <c:numRef>
              <c:f>Sheet1!$J$4:$J$53</c:f>
              <c:numCache>
                <c:formatCode>d\ mmm\ yy</c:formatCode>
                <c:ptCount val="50"/>
                <c:pt idx="0">
                  <c:v>44296</c:v>
                </c:pt>
                <c:pt idx="1">
                  <c:v>44303</c:v>
                </c:pt>
                <c:pt idx="2">
                  <c:v>44310</c:v>
                </c:pt>
                <c:pt idx="3">
                  <c:v>44317</c:v>
                </c:pt>
                <c:pt idx="4">
                  <c:v>44324</c:v>
                </c:pt>
                <c:pt idx="5">
                  <c:v>44331</c:v>
                </c:pt>
                <c:pt idx="6">
                  <c:v>44338</c:v>
                </c:pt>
                <c:pt idx="7">
                  <c:v>44345</c:v>
                </c:pt>
                <c:pt idx="8">
                  <c:v>44352</c:v>
                </c:pt>
                <c:pt idx="9">
                  <c:v>44359</c:v>
                </c:pt>
                <c:pt idx="10">
                  <c:v>44366</c:v>
                </c:pt>
                <c:pt idx="11">
                  <c:v>44373</c:v>
                </c:pt>
                <c:pt idx="12">
                  <c:v>44380</c:v>
                </c:pt>
                <c:pt idx="13">
                  <c:v>44387</c:v>
                </c:pt>
                <c:pt idx="14">
                  <c:v>44394</c:v>
                </c:pt>
                <c:pt idx="15">
                  <c:v>44401</c:v>
                </c:pt>
                <c:pt idx="16">
                  <c:v>44408</c:v>
                </c:pt>
                <c:pt idx="17">
                  <c:v>44415</c:v>
                </c:pt>
                <c:pt idx="18">
                  <c:v>44422</c:v>
                </c:pt>
                <c:pt idx="19">
                  <c:v>44429</c:v>
                </c:pt>
                <c:pt idx="20">
                  <c:v>44436</c:v>
                </c:pt>
                <c:pt idx="21">
                  <c:v>44443</c:v>
                </c:pt>
                <c:pt idx="22">
                  <c:v>44450</c:v>
                </c:pt>
                <c:pt idx="23">
                  <c:v>44457</c:v>
                </c:pt>
                <c:pt idx="24">
                  <c:v>44464</c:v>
                </c:pt>
                <c:pt idx="25">
                  <c:v>44471</c:v>
                </c:pt>
                <c:pt idx="26">
                  <c:v>44478</c:v>
                </c:pt>
                <c:pt idx="27">
                  <c:v>44485</c:v>
                </c:pt>
                <c:pt idx="28">
                  <c:v>44492</c:v>
                </c:pt>
                <c:pt idx="29">
                  <c:v>44499</c:v>
                </c:pt>
                <c:pt idx="30">
                  <c:v>44506</c:v>
                </c:pt>
                <c:pt idx="31">
                  <c:v>44513</c:v>
                </c:pt>
                <c:pt idx="32">
                  <c:v>44520</c:v>
                </c:pt>
                <c:pt idx="33">
                  <c:v>44527</c:v>
                </c:pt>
                <c:pt idx="34">
                  <c:v>44534</c:v>
                </c:pt>
                <c:pt idx="35">
                  <c:v>44541</c:v>
                </c:pt>
                <c:pt idx="36">
                  <c:v>44548</c:v>
                </c:pt>
                <c:pt idx="37">
                  <c:v>44555</c:v>
                </c:pt>
                <c:pt idx="38">
                  <c:v>44562</c:v>
                </c:pt>
                <c:pt idx="39">
                  <c:v>44569</c:v>
                </c:pt>
                <c:pt idx="40">
                  <c:v>44576</c:v>
                </c:pt>
                <c:pt idx="41">
                  <c:v>44583</c:v>
                </c:pt>
                <c:pt idx="42">
                  <c:v>44590</c:v>
                </c:pt>
                <c:pt idx="43">
                  <c:v>44597</c:v>
                </c:pt>
                <c:pt idx="44">
                  <c:v>44604</c:v>
                </c:pt>
                <c:pt idx="45">
                  <c:v>44611</c:v>
                </c:pt>
                <c:pt idx="46">
                  <c:v>44618</c:v>
                </c:pt>
                <c:pt idx="47">
                  <c:v>44625</c:v>
                </c:pt>
                <c:pt idx="48">
                  <c:v>44632</c:v>
                </c:pt>
                <c:pt idx="49">
                  <c:v>44639</c:v>
                </c:pt>
              </c:numCache>
            </c:numRef>
          </c:cat>
          <c:val>
            <c:numRef>
              <c:f>Sheet3!$L$4:$L$53</c:f>
              <c:numCache>
                <c:formatCode>0.0</c:formatCode>
                <c:ptCount val="50"/>
                <c:pt idx="0">
                  <c:v>180</c:v>
                </c:pt>
                <c:pt idx="1">
                  <c:v>180</c:v>
                </c:pt>
                <c:pt idx="2">
                  <c:v>180</c:v>
                </c:pt>
                <c:pt idx="3">
                  <c:v>180</c:v>
                </c:pt>
                <c:pt idx="4">
                  <c:v>180</c:v>
                </c:pt>
                <c:pt idx="5">
                  <c:v>180</c:v>
                </c:pt>
                <c:pt idx="6">
                  <c:v>180</c:v>
                </c:pt>
                <c:pt idx="7">
                  <c:v>180</c:v>
                </c:pt>
                <c:pt idx="8">
                  <c:v>180</c:v>
                </c:pt>
                <c:pt idx="9">
                  <c:v>180</c:v>
                </c:pt>
                <c:pt idx="10">
                  <c:v>180</c:v>
                </c:pt>
                <c:pt idx="11">
                  <c:v>180</c:v>
                </c:pt>
                <c:pt idx="12">
                  <c:v>180</c:v>
                </c:pt>
                <c:pt idx="13">
                  <c:v>180</c:v>
                </c:pt>
                <c:pt idx="14">
                  <c:v>180</c:v>
                </c:pt>
                <c:pt idx="15">
                  <c:v>180</c:v>
                </c:pt>
                <c:pt idx="16">
                  <c:v>180</c:v>
                </c:pt>
                <c:pt idx="17">
                  <c:v>180</c:v>
                </c:pt>
                <c:pt idx="18">
                  <c:v>180</c:v>
                </c:pt>
                <c:pt idx="19">
                  <c:v>180</c:v>
                </c:pt>
                <c:pt idx="20">
                  <c:v>180</c:v>
                </c:pt>
                <c:pt idx="21">
                  <c:v>180</c:v>
                </c:pt>
                <c:pt idx="22">
                  <c:v>180</c:v>
                </c:pt>
                <c:pt idx="23">
                  <c:v>180</c:v>
                </c:pt>
                <c:pt idx="24">
                  <c:v>180</c:v>
                </c:pt>
                <c:pt idx="25">
                  <c:v>180</c:v>
                </c:pt>
                <c:pt idx="26">
                  <c:v>180</c:v>
                </c:pt>
                <c:pt idx="27">
                  <c:v>180</c:v>
                </c:pt>
                <c:pt idx="28">
                  <c:v>180</c:v>
                </c:pt>
                <c:pt idx="29">
                  <c:v>180</c:v>
                </c:pt>
                <c:pt idx="30">
                  <c:v>180</c:v>
                </c:pt>
                <c:pt idx="31">
                  <c:v>180</c:v>
                </c:pt>
                <c:pt idx="32">
                  <c:v>180</c:v>
                </c:pt>
                <c:pt idx="33">
                  <c:v>180</c:v>
                </c:pt>
                <c:pt idx="34">
                  <c:v>180</c:v>
                </c:pt>
                <c:pt idx="35">
                  <c:v>180</c:v>
                </c:pt>
                <c:pt idx="36">
                  <c:v>180</c:v>
                </c:pt>
                <c:pt idx="37">
                  <c:v>180</c:v>
                </c:pt>
                <c:pt idx="38">
                  <c:v>180</c:v>
                </c:pt>
                <c:pt idx="39">
                  <c:v>180</c:v>
                </c:pt>
                <c:pt idx="40">
                  <c:v>180</c:v>
                </c:pt>
                <c:pt idx="41">
                  <c:v>180</c:v>
                </c:pt>
                <c:pt idx="42">
                  <c:v>180</c:v>
                </c:pt>
                <c:pt idx="43">
                  <c:v>180</c:v>
                </c:pt>
                <c:pt idx="44">
                  <c:v>180</c:v>
                </c:pt>
                <c:pt idx="45">
                  <c:v>180</c:v>
                </c:pt>
                <c:pt idx="46">
                  <c:v>180</c:v>
                </c:pt>
                <c:pt idx="47">
                  <c:v>180</c:v>
                </c:pt>
                <c:pt idx="48">
                  <c:v>180</c:v>
                </c:pt>
                <c:pt idx="49">
                  <c:v>180</c:v>
                </c:pt>
              </c:numCache>
            </c:numRef>
          </c:val>
          <c:smooth val="0"/>
          <c:extLst>
            <c:ext xmlns:c16="http://schemas.microsoft.com/office/drawing/2014/chart" uri="{C3380CC4-5D6E-409C-BE32-E72D297353CC}">
              <c16:uniqueId val="{00000001-0B62-461C-B863-4195EF08BD7C}"/>
            </c:ext>
          </c:extLst>
        </c:ser>
        <c:ser>
          <c:idx val="2"/>
          <c:order val="2"/>
          <c:tx>
            <c:strRef>
              <c:f>Sheet3!$M$3</c:f>
              <c:strCache>
                <c:ptCount val="1"/>
                <c:pt idx="0">
                  <c:v>UCL</c:v>
                </c:pt>
              </c:strCache>
            </c:strRef>
          </c:tx>
          <c:spPr>
            <a:ln w="28575" cap="rnd">
              <a:solidFill>
                <a:schemeClr val="accent3"/>
              </a:solidFill>
              <a:round/>
            </a:ln>
            <a:effectLst/>
          </c:spPr>
          <c:marker>
            <c:symbol val="none"/>
          </c:marker>
          <c:cat>
            <c:numRef>
              <c:f>Sheet1!$J$4:$J$53</c:f>
              <c:numCache>
                <c:formatCode>d\ mmm\ yy</c:formatCode>
                <c:ptCount val="50"/>
                <c:pt idx="0">
                  <c:v>44296</c:v>
                </c:pt>
                <c:pt idx="1">
                  <c:v>44303</c:v>
                </c:pt>
                <c:pt idx="2">
                  <c:v>44310</c:v>
                </c:pt>
                <c:pt idx="3">
                  <c:v>44317</c:v>
                </c:pt>
                <c:pt idx="4">
                  <c:v>44324</c:v>
                </c:pt>
                <c:pt idx="5">
                  <c:v>44331</c:v>
                </c:pt>
                <c:pt idx="6">
                  <c:v>44338</c:v>
                </c:pt>
                <c:pt idx="7">
                  <c:v>44345</c:v>
                </c:pt>
                <c:pt idx="8">
                  <c:v>44352</c:v>
                </c:pt>
                <c:pt idx="9">
                  <c:v>44359</c:v>
                </c:pt>
                <c:pt idx="10">
                  <c:v>44366</c:v>
                </c:pt>
                <c:pt idx="11">
                  <c:v>44373</c:v>
                </c:pt>
                <c:pt idx="12">
                  <c:v>44380</c:v>
                </c:pt>
                <c:pt idx="13">
                  <c:v>44387</c:v>
                </c:pt>
                <c:pt idx="14">
                  <c:v>44394</c:v>
                </c:pt>
                <c:pt idx="15">
                  <c:v>44401</c:v>
                </c:pt>
                <c:pt idx="16">
                  <c:v>44408</c:v>
                </c:pt>
                <c:pt idx="17">
                  <c:v>44415</c:v>
                </c:pt>
                <c:pt idx="18">
                  <c:v>44422</c:v>
                </c:pt>
                <c:pt idx="19">
                  <c:v>44429</c:v>
                </c:pt>
                <c:pt idx="20">
                  <c:v>44436</c:v>
                </c:pt>
                <c:pt idx="21">
                  <c:v>44443</c:v>
                </c:pt>
                <c:pt idx="22">
                  <c:v>44450</c:v>
                </c:pt>
                <c:pt idx="23">
                  <c:v>44457</c:v>
                </c:pt>
                <c:pt idx="24">
                  <c:v>44464</c:v>
                </c:pt>
                <c:pt idx="25">
                  <c:v>44471</c:v>
                </c:pt>
                <c:pt idx="26">
                  <c:v>44478</c:v>
                </c:pt>
                <c:pt idx="27">
                  <c:v>44485</c:v>
                </c:pt>
                <c:pt idx="28">
                  <c:v>44492</c:v>
                </c:pt>
                <c:pt idx="29">
                  <c:v>44499</c:v>
                </c:pt>
                <c:pt idx="30">
                  <c:v>44506</c:v>
                </c:pt>
                <c:pt idx="31">
                  <c:v>44513</c:v>
                </c:pt>
                <c:pt idx="32">
                  <c:v>44520</c:v>
                </c:pt>
                <c:pt idx="33">
                  <c:v>44527</c:v>
                </c:pt>
                <c:pt idx="34">
                  <c:v>44534</c:v>
                </c:pt>
                <c:pt idx="35">
                  <c:v>44541</c:v>
                </c:pt>
                <c:pt idx="36">
                  <c:v>44548</c:v>
                </c:pt>
                <c:pt idx="37">
                  <c:v>44555</c:v>
                </c:pt>
                <c:pt idx="38">
                  <c:v>44562</c:v>
                </c:pt>
                <c:pt idx="39">
                  <c:v>44569</c:v>
                </c:pt>
                <c:pt idx="40">
                  <c:v>44576</c:v>
                </c:pt>
                <c:pt idx="41">
                  <c:v>44583</c:v>
                </c:pt>
                <c:pt idx="42">
                  <c:v>44590</c:v>
                </c:pt>
                <c:pt idx="43">
                  <c:v>44597</c:v>
                </c:pt>
                <c:pt idx="44">
                  <c:v>44604</c:v>
                </c:pt>
                <c:pt idx="45">
                  <c:v>44611</c:v>
                </c:pt>
                <c:pt idx="46">
                  <c:v>44618</c:v>
                </c:pt>
                <c:pt idx="47">
                  <c:v>44625</c:v>
                </c:pt>
                <c:pt idx="48">
                  <c:v>44632</c:v>
                </c:pt>
                <c:pt idx="49">
                  <c:v>44639</c:v>
                </c:pt>
              </c:numCache>
            </c:numRef>
          </c:cat>
          <c:val>
            <c:numRef>
              <c:f>Sheet3!$M$4:$M$53</c:f>
              <c:numCache>
                <c:formatCode>0.0</c:formatCode>
                <c:ptCount val="50"/>
                <c:pt idx="0">
                  <c:v>225</c:v>
                </c:pt>
                <c:pt idx="1">
                  <c:v>225</c:v>
                </c:pt>
                <c:pt idx="2">
                  <c:v>225</c:v>
                </c:pt>
                <c:pt idx="3">
                  <c:v>225</c:v>
                </c:pt>
                <c:pt idx="4">
                  <c:v>225</c:v>
                </c:pt>
                <c:pt idx="5">
                  <c:v>225</c:v>
                </c:pt>
                <c:pt idx="6">
                  <c:v>225</c:v>
                </c:pt>
                <c:pt idx="7">
                  <c:v>225</c:v>
                </c:pt>
                <c:pt idx="8">
                  <c:v>225</c:v>
                </c:pt>
                <c:pt idx="9">
                  <c:v>225</c:v>
                </c:pt>
                <c:pt idx="10">
                  <c:v>225</c:v>
                </c:pt>
                <c:pt idx="11">
                  <c:v>225</c:v>
                </c:pt>
                <c:pt idx="12">
                  <c:v>225</c:v>
                </c:pt>
                <c:pt idx="13">
                  <c:v>225</c:v>
                </c:pt>
                <c:pt idx="14">
                  <c:v>225</c:v>
                </c:pt>
                <c:pt idx="15">
                  <c:v>225</c:v>
                </c:pt>
                <c:pt idx="16">
                  <c:v>225</c:v>
                </c:pt>
                <c:pt idx="17">
                  <c:v>225</c:v>
                </c:pt>
                <c:pt idx="18">
                  <c:v>225</c:v>
                </c:pt>
                <c:pt idx="19">
                  <c:v>225</c:v>
                </c:pt>
                <c:pt idx="20">
                  <c:v>225</c:v>
                </c:pt>
                <c:pt idx="21">
                  <c:v>225</c:v>
                </c:pt>
                <c:pt idx="22">
                  <c:v>225</c:v>
                </c:pt>
                <c:pt idx="23">
                  <c:v>225</c:v>
                </c:pt>
                <c:pt idx="24">
                  <c:v>225</c:v>
                </c:pt>
                <c:pt idx="25">
                  <c:v>225</c:v>
                </c:pt>
                <c:pt idx="26">
                  <c:v>225</c:v>
                </c:pt>
                <c:pt idx="27">
                  <c:v>225</c:v>
                </c:pt>
                <c:pt idx="28">
                  <c:v>225</c:v>
                </c:pt>
                <c:pt idx="29">
                  <c:v>225</c:v>
                </c:pt>
                <c:pt idx="30">
                  <c:v>225</c:v>
                </c:pt>
                <c:pt idx="31">
                  <c:v>225</c:v>
                </c:pt>
                <c:pt idx="32">
                  <c:v>225</c:v>
                </c:pt>
                <c:pt idx="33">
                  <c:v>225</c:v>
                </c:pt>
                <c:pt idx="34">
                  <c:v>225</c:v>
                </c:pt>
                <c:pt idx="35">
                  <c:v>225</c:v>
                </c:pt>
                <c:pt idx="36">
                  <c:v>225</c:v>
                </c:pt>
                <c:pt idx="37">
                  <c:v>225</c:v>
                </c:pt>
                <c:pt idx="38">
                  <c:v>225</c:v>
                </c:pt>
                <c:pt idx="39">
                  <c:v>225</c:v>
                </c:pt>
                <c:pt idx="40">
                  <c:v>225</c:v>
                </c:pt>
                <c:pt idx="41">
                  <c:v>225</c:v>
                </c:pt>
                <c:pt idx="42">
                  <c:v>225</c:v>
                </c:pt>
                <c:pt idx="43">
                  <c:v>225</c:v>
                </c:pt>
                <c:pt idx="44">
                  <c:v>225</c:v>
                </c:pt>
                <c:pt idx="45">
                  <c:v>225</c:v>
                </c:pt>
                <c:pt idx="46">
                  <c:v>225</c:v>
                </c:pt>
                <c:pt idx="47">
                  <c:v>225</c:v>
                </c:pt>
                <c:pt idx="48">
                  <c:v>225</c:v>
                </c:pt>
                <c:pt idx="49">
                  <c:v>225</c:v>
                </c:pt>
              </c:numCache>
            </c:numRef>
          </c:val>
          <c:smooth val="0"/>
          <c:extLst>
            <c:ext xmlns:c16="http://schemas.microsoft.com/office/drawing/2014/chart" uri="{C3380CC4-5D6E-409C-BE32-E72D297353CC}">
              <c16:uniqueId val="{00000002-0B62-461C-B863-4195EF08BD7C}"/>
            </c:ext>
          </c:extLst>
        </c:ser>
        <c:ser>
          <c:idx val="3"/>
          <c:order val="3"/>
          <c:tx>
            <c:strRef>
              <c:f>Sheet3!$N$3</c:f>
              <c:strCache>
                <c:ptCount val="1"/>
                <c:pt idx="0">
                  <c:v>LCL</c:v>
                </c:pt>
              </c:strCache>
            </c:strRef>
          </c:tx>
          <c:spPr>
            <a:ln w="28575" cap="rnd">
              <a:solidFill>
                <a:schemeClr val="accent4"/>
              </a:solidFill>
              <a:round/>
            </a:ln>
            <a:effectLst/>
          </c:spPr>
          <c:marker>
            <c:symbol val="none"/>
          </c:marker>
          <c:cat>
            <c:numRef>
              <c:f>Sheet1!$J$4:$J$53</c:f>
              <c:numCache>
                <c:formatCode>d\ mmm\ yy</c:formatCode>
                <c:ptCount val="50"/>
                <c:pt idx="0">
                  <c:v>44296</c:v>
                </c:pt>
                <c:pt idx="1">
                  <c:v>44303</c:v>
                </c:pt>
                <c:pt idx="2">
                  <c:v>44310</c:v>
                </c:pt>
                <c:pt idx="3">
                  <c:v>44317</c:v>
                </c:pt>
                <c:pt idx="4">
                  <c:v>44324</c:v>
                </c:pt>
                <c:pt idx="5">
                  <c:v>44331</c:v>
                </c:pt>
                <c:pt idx="6">
                  <c:v>44338</c:v>
                </c:pt>
                <c:pt idx="7">
                  <c:v>44345</c:v>
                </c:pt>
                <c:pt idx="8">
                  <c:v>44352</c:v>
                </c:pt>
                <c:pt idx="9">
                  <c:v>44359</c:v>
                </c:pt>
                <c:pt idx="10">
                  <c:v>44366</c:v>
                </c:pt>
                <c:pt idx="11">
                  <c:v>44373</c:v>
                </c:pt>
                <c:pt idx="12">
                  <c:v>44380</c:v>
                </c:pt>
                <c:pt idx="13">
                  <c:v>44387</c:v>
                </c:pt>
                <c:pt idx="14">
                  <c:v>44394</c:v>
                </c:pt>
                <c:pt idx="15">
                  <c:v>44401</c:v>
                </c:pt>
                <c:pt idx="16">
                  <c:v>44408</c:v>
                </c:pt>
                <c:pt idx="17">
                  <c:v>44415</c:v>
                </c:pt>
                <c:pt idx="18">
                  <c:v>44422</c:v>
                </c:pt>
                <c:pt idx="19">
                  <c:v>44429</c:v>
                </c:pt>
                <c:pt idx="20">
                  <c:v>44436</c:v>
                </c:pt>
                <c:pt idx="21">
                  <c:v>44443</c:v>
                </c:pt>
                <c:pt idx="22">
                  <c:v>44450</c:v>
                </c:pt>
                <c:pt idx="23">
                  <c:v>44457</c:v>
                </c:pt>
                <c:pt idx="24">
                  <c:v>44464</c:v>
                </c:pt>
                <c:pt idx="25">
                  <c:v>44471</c:v>
                </c:pt>
                <c:pt idx="26">
                  <c:v>44478</c:v>
                </c:pt>
                <c:pt idx="27">
                  <c:v>44485</c:v>
                </c:pt>
                <c:pt idx="28">
                  <c:v>44492</c:v>
                </c:pt>
                <c:pt idx="29">
                  <c:v>44499</c:v>
                </c:pt>
                <c:pt idx="30">
                  <c:v>44506</c:v>
                </c:pt>
                <c:pt idx="31">
                  <c:v>44513</c:v>
                </c:pt>
                <c:pt idx="32">
                  <c:v>44520</c:v>
                </c:pt>
                <c:pt idx="33">
                  <c:v>44527</c:v>
                </c:pt>
                <c:pt idx="34">
                  <c:v>44534</c:v>
                </c:pt>
                <c:pt idx="35">
                  <c:v>44541</c:v>
                </c:pt>
                <c:pt idx="36">
                  <c:v>44548</c:v>
                </c:pt>
                <c:pt idx="37">
                  <c:v>44555</c:v>
                </c:pt>
                <c:pt idx="38">
                  <c:v>44562</c:v>
                </c:pt>
                <c:pt idx="39">
                  <c:v>44569</c:v>
                </c:pt>
                <c:pt idx="40">
                  <c:v>44576</c:v>
                </c:pt>
                <c:pt idx="41">
                  <c:v>44583</c:v>
                </c:pt>
                <c:pt idx="42">
                  <c:v>44590</c:v>
                </c:pt>
                <c:pt idx="43">
                  <c:v>44597</c:v>
                </c:pt>
                <c:pt idx="44">
                  <c:v>44604</c:v>
                </c:pt>
                <c:pt idx="45">
                  <c:v>44611</c:v>
                </c:pt>
                <c:pt idx="46">
                  <c:v>44618</c:v>
                </c:pt>
                <c:pt idx="47">
                  <c:v>44625</c:v>
                </c:pt>
                <c:pt idx="48">
                  <c:v>44632</c:v>
                </c:pt>
                <c:pt idx="49">
                  <c:v>44639</c:v>
                </c:pt>
              </c:numCache>
            </c:numRef>
          </c:cat>
          <c:val>
            <c:numRef>
              <c:f>Sheet3!$N$4:$N$53</c:f>
              <c:numCache>
                <c:formatCode>0.0</c:formatCode>
                <c:ptCount val="50"/>
                <c:pt idx="0">
                  <c:v>135</c:v>
                </c:pt>
                <c:pt idx="1">
                  <c:v>135</c:v>
                </c:pt>
                <c:pt idx="2">
                  <c:v>135</c:v>
                </c:pt>
                <c:pt idx="3">
                  <c:v>135</c:v>
                </c:pt>
                <c:pt idx="4">
                  <c:v>135</c:v>
                </c:pt>
                <c:pt idx="5">
                  <c:v>135</c:v>
                </c:pt>
                <c:pt idx="6">
                  <c:v>135</c:v>
                </c:pt>
                <c:pt idx="7">
                  <c:v>135</c:v>
                </c:pt>
                <c:pt idx="8">
                  <c:v>135</c:v>
                </c:pt>
                <c:pt idx="9">
                  <c:v>135</c:v>
                </c:pt>
                <c:pt idx="10">
                  <c:v>135</c:v>
                </c:pt>
                <c:pt idx="11">
                  <c:v>135</c:v>
                </c:pt>
                <c:pt idx="12">
                  <c:v>135</c:v>
                </c:pt>
                <c:pt idx="13">
                  <c:v>135</c:v>
                </c:pt>
                <c:pt idx="14">
                  <c:v>135</c:v>
                </c:pt>
                <c:pt idx="15">
                  <c:v>135</c:v>
                </c:pt>
                <c:pt idx="16">
                  <c:v>135</c:v>
                </c:pt>
                <c:pt idx="17">
                  <c:v>135</c:v>
                </c:pt>
                <c:pt idx="18">
                  <c:v>135</c:v>
                </c:pt>
                <c:pt idx="19">
                  <c:v>135</c:v>
                </c:pt>
                <c:pt idx="20">
                  <c:v>135</c:v>
                </c:pt>
                <c:pt idx="21">
                  <c:v>135</c:v>
                </c:pt>
                <c:pt idx="22">
                  <c:v>135</c:v>
                </c:pt>
                <c:pt idx="23">
                  <c:v>135</c:v>
                </c:pt>
                <c:pt idx="24">
                  <c:v>135</c:v>
                </c:pt>
                <c:pt idx="25">
                  <c:v>135</c:v>
                </c:pt>
                <c:pt idx="26">
                  <c:v>135</c:v>
                </c:pt>
                <c:pt idx="27">
                  <c:v>135</c:v>
                </c:pt>
                <c:pt idx="28">
                  <c:v>135</c:v>
                </c:pt>
                <c:pt idx="29">
                  <c:v>135</c:v>
                </c:pt>
                <c:pt idx="30">
                  <c:v>135</c:v>
                </c:pt>
                <c:pt idx="31">
                  <c:v>135</c:v>
                </c:pt>
                <c:pt idx="32">
                  <c:v>135</c:v>
                </c:pt>
                <c:pt idx="33">
                  <c:v>135</c:v>
                </c:pt>
                <c:pt idx="34">
                  <c:v>135</c:v>
                </c:pt>
                <c:pt idx="35">
                  <c:v>135</c:v>
                </c:pt>
                <c:pt idx="36">
                  <c:v>135</c:v>
                </c:pt>
                <c:pt idx="37">
                  <c:v>135</c:v>
                </c:pt>
                <c:pt idx="38">
                  <c:v>135</c:v>
                </c:pt>
                <c:pt idx="39">
                  <c:v>135</c:v>
                </c:pt>
                <c:pt idx="40">
                  <c:v>135</c:v>
                </c:pt>
                <c:pt idx="41">
                  <c:v>135</c:v>
                </c:pt>
                <c:pt idx="42">
                  <c:v>135</c:v>
                </c:pt>
                <c:pt idx="43">
                  <c:v>135</c:v>
                </c:pt>
                <c:pt idx="44">
                  <c:v>135</c:v>
                </c:pt>
                <c:pt idx="45">
                  <c:v>135</c:v>
                </c:pt>
                <c:pt idx="46">
                  <c:v>135</c:v>
                </c:pt>
                <c:pt idx="47">
                  <c:v>135</c:v>
                </c:pt>
                <c:pt idx="48">
                  <c:v>135</c:v>
                </c:pt>
                <c:pt idx="49">
                  <c:v>135</c:v>
                </c:pt>
              </c:numCache>
            </c:numRef>
          </c:val>
          <c:smooth val="0"/>
          <c:extLst>
            <c:ext xmlns:c16="http://schemas.microsoft.com/office/drawing/2014/chart" uri="{C3380CC4-5D6E-409C-BE32-E72D297353CC}">
              <c16:uniqueId val="{00000003-0B62-461C-B863-4195EF08BD7C}"/>
            </c:ext>
          </c:extLst>
        </c:ser>
        <c:dLbls>
          <c:showLegendKey val="0"/>
          <c:showVal val="0"/>
          <c:showCatName val="0"/>
          <c:showSerName val="0"/>
          <c:showPercent val="0"/>
          <c:showBubbleSize val="0"/>
        </c:dLbls>
        <c:smooth val="0"/>
        <c:axId val="656995999"/>
        <c:axId val="656993503"/>
      </c:lineChart>
      <c:dateAx>
        <c:axId val="656995999"/>
        <c:scaling>
          <c:orientation val="minMax"/>
        </c:scaling>
        <c:delete val="0"/>
        <c:axPos val="b"/>
        <c:numFmt formatCode="d\ mmm\ 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993503"/>
        <c:crosses val="autoZero"/>
        <c:auto val="1"/>
        <c:lblOffset val="100"/>
        <c:baseTimeUnit val="days"/>
      </c:dateAx>
      <c:valAx>
        <c:axId val="656993503"/>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9959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Ton17</b:Tag>
    <b:SourceType>BookSection</b:SourceType>
    <b:Guid>{17BA292C-6930-47D1-9260-8F3C0E32EA23}</b:Guid>
    <b:Title>Shaping Inventory - Using Pareto Analysis for Control</b:Title>
    <b:Year>2017</b:Year>
    <b:LCID>en-GB</b:LCID>
    <b:Author>
      <b:Author>
        <b:NameList>
          <b:Person>
            <b:Last>Wild</b:Last>
            <b:First>Tony</b:First>
          </b:Person>
        </b:NameList>
      </b:Author>
    </b:Author>
    <b:BookTitle>Best Practice in Inventory Management</b:BookTitle>
    <b:Pages>33</b:Pages>
    <b:Publisher>Routledge</b:Publisher>
    <b:RefOrder>1</b:RefOrder>
  </b:Source>
  <b:Source>
    <b:Tag>Pfo99</b:Tag>
    <b:SourceType>JournalArticle</b:SourceType>
    <b:Guid>{F0218AB9-2CDD-4F44-BBC3-FA16B98E75C1}</b:Guid>
    <b:Title>Process Control Charts</b:Title>
    <b:Year>1999</b:Year>
    <b:Pages>103</b:Pages>
    <b:Author>
      <b:Author>
        <b:NameList>
          <b:Person>
            <b:Last>Pfohl</b:Last>
            <b:First>Hans-Christian</b:First>
          </b:Person>
          <b:Person>
            <b:Last>Cullmann</b:Last>
            <b:First>Oliver</b:First>
          </b:Person>
          <b:Person>
            <b:Last>Stolzle</b:Last>
            <b:First>Wolfgang.</b:First>
          </b:Person>
        </b:NameList>
      </b:Author>
    </b:Author>
    <b:JournalName>Inventory management with statistical process control: Simulation and evaluation</b:JournalName>
    <b:Volume>20</b:Volume>
    <b:Issue>1</b:Issue>
    <b:RefOrder>2</b:RefOrder>
  </b:Source>
  <b:Source>
    <b:Tag>Nas08</b:Tag>
    <b:SourceType>BookSection</b:SourceType>
    <b:Guid>{6E72C545-0526-4C88-8254-F681F799EE5E}</b:Guid>
    <b:Year>2008</b:Year>
    <b:Author>
      <b:Author>
        <b:NameList>
          <b:Person>
            <b:Last>Nash</b:Last>
            <b:First>Mark</b:First>
            <b:Middle>A., and Sheila R. Poling</b:Middle>
          </b:Person>
        </b:NameList>
      </b:Author>
      <b:Editor>
        <b:NameList>
          <b:Person>
            <b:Last>Francis</b:Last>
            <b:First>Taylor</b:First>
            <b:Middle>&amp;</b:Middle>
          </b:Person>
        </b:NameList>
      </b:Editor>
    </b:Author>
    <b:Publisher>CRC Press</b:Publisher>
    <b:BookTitle>Mapping the Total Value Stream : A Comprehensive Guide for Production and Transactional Processes</b:BookTitle>
    <b:Title>Intoduction</b:Title>
    <b:Pages>xvii</b:Pages>
    <b:RefOrder>3</b:RefOrder>
  </b:Source>
</b:Sources>
</file>

<file path=customXml/itemProps1.xml><?xml version="1.0" encoding="utf-8"?>
<ds:datastoreItem xmlns:ds="http://schemas.openxmlformats.org/officeDocument/2006/customXml" ds:itemID="{86F3D910-7A2A-42E3-82DD-D0D4E1676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2064</Words>
  <Characters>11771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Lloyd Jenkins (1708894)</dc:creator>
  <cp:keywords/>
  <dc:description/>
  <cp:lastModifiedBy>Jenkins, Daniel</cp:lastModifiedBy>
  <cp:revision>2</cp:revision>
  <dcterms:created xsi:type="dcterms:W3CDTF">2022-03-30T17:00:00Z</dcterms:created>
  <dcterms:modified xsi:type="dcterms:W3CDTF">2022-03-30T17:00:00Z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2,4,c</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2022-03-30T10:27:35Z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d564f8a0-adb1-42ba-9fd6-113ceddd9522</vt:lpwstr>
  </property>
  <property fmtid="{D5CDD505-2E9C-101B-9397-08002B2CF9AE}" pid="11" name="MSIP_Label_73aa366c-74b9-492b-a1b9-5472c41e7d31_ContentBits">
    <vt:lpwstr>2</vt:lpwstr>
  </property>
</Properties>
</file>