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0EA59" w14:textId="6C6ADA55" w:rsidR="00F01FBC" w:rsidRPr="007E5EC1" w:rsidRDefault="00D213B4" w:rsidP="007E5EC1">
      <w:pPr>
        <w:jc w:val="center"/>
        <w:rPr>
          <w:rFonts w:ascii="Calibri" w:hAnsi="Calibri" w:cs="Calibri"/>
          <w:b/>
          <w:bCs/>
          <w:u w:val="single"/>
        </w:rPr>
      </w:pPr>
      <w:r>
        <w:rPr>
          <w:rFonts w:ascii="Calibri" w:hAnsi="Calibri" w:cs="Calibri"/>
          <w:b/>
          <w:bCs/>
          <w:u w:val="single"/>
        </w:rPr>
        <w:t xml:space="preserve">HPHE7002 </w:t>
      </w:r>
      <w:r w:rsidR="00AF0BC1" w:rsidRPr="00D213B4">
        <w:rPr>
          <w:rFonts w:ascii="Calibri" w:hAnsi="Calibri" w:cs="Calibri"/>
          <w:b/>
          <w:bCs/>
          <w:u w:val="single"/>
        </w:rPr>
        <w:t>Article Review</w:t>
      </w:r>
    </w:p>
    <w:p w14:paraId="76105357" w14:textId="6357F360" w:rsidR="00F01FBC" w:rsidRPr="00D213B4" w:rsidRDefault="00F01FBC">
      <w:pPr>
        <w:rPr>
          <w:rFonts w:ascii="Calibri" w:hAnsi="Calibri" w:cs="Calibri"/>
        </w:rPr>
      </w:pPr>
      <w:r w:rsidRPr="00D213B4">
        <w:rPr>
          <w:rFonts w:ascii="Calibri" w:hAnsi="Calibri" w:cs="Calibri"/>
        </w:rPr>
        <w:t>This essay is a review of Anastasiya Fiadotava’s ‘Humour as Cultural Heritage’.</w:t>
      </w:r>
      <w:r w:rsidRPr="00D213B4">
        <w:rPr>
          <w:rStyle w:val="FootnoteReference"/>
          <w:rFonts w:ascii="Calibri" w:hAnsi="Calibri" w:cs="Calibri"/>
        </w:rPr>
        <w:footnoteReference w:id="1"/>
      </w:r>
      <w:r w:rsidRPr="00D213B4">
        <w:rPr>
          <w:rFonts w:ascii="Calibri" w:hAnsi="Calibri" w:cs="Calibri"/>
        </w:rPr>
        <w:t xml:space="preserve"> Therefore, it will firstly look at the overall argument proposed by Fiadotava, the three research questions they propose to answer:</w:t>
      </w:r>
    </w:p>
    <w:p w14:paraId="60F047D9" w14:textId="77777777" w:rsidR="00F01FBC" w:rsidRPr="00D213B4" w:rsidRDefault="00F01FBC">
      <w:pPr>
        <w:rPr>
          <w:rFonts w:ascii="Calibri" w:hAnsi="Calibri" w:cs="Calibri"/>
        </w:rPr>
      </w:pPr>
      <w:r w:rsidRPr="00D213B4">
        <w:rPr>
          <w:rFonts w:ascii="Calibri" w:hAnsi="Calibri" w:cs="Calibri"/>
          <w:b/>
          <w:bCs/>
        </w:rPr>
        <w:t>1.</w:t>
      </w:r>
      <w:r w:rsidRPr="00D213B4">
        <w:rPr>
          <w:rFonts w:ascii="Calibri" w:hAnsi="Calibri" w:cs="Calibri"/>
        </w:rPr>
        <w:t xml:space="preserve"> ‘What forms does the institutionalisation of humorous heritage take?</w:t>
      </w:r>
      <w:proofErr w:type="gramStart"/>
      <w:r w:rsidRPr="00D213B4">
        <w:rPr>
          <w:rFonts w:ascii="Calibri" w:hAnsi="Calibri" w:cs="Calibri"/>
        </w:rPr>
        <w:t>’;</w:t>
      </w:r>
      <w:proofErr w:type="gramEnd"/>
    </w:p>
    <w:p w14:paraId="33D1EC12" w14:textId="77777777" w:rsidR="00F01FBC" w:rsidRPr="00D213B4" w:rsidRDefault="00F01FBC">
      <w:pPr>
        <w:rPr>
          <w:rFonts w:ascii="Calibri" w:hAnsi="Calibri" w:cs="Calibri"/>
          <w:b/>
          <w:bCs/>
        </w:rPr>
      </w:pPr>
      <w:r w:rsidRPr="00D213B4">
        <w:rPr>
          <w:rFonts w:ascii="Calibri" w:hAnsi="Calibri" w:cs="Calibri"/>
          <w:b/>
          <w:bCs/>
        </w:rPr>
        <w:t>2.</w:t>
      </w:r>
      <w:r w:rsidRPr="00D213B4">
        <w:rPr>
          <w:rFonts w:ascii="Calibri" w:hAnsi="Calibri" w:cs="Calibri"/>
        </w:rPr>
        <w:t xml:space="preserve"> ‘What are the challenges faced by humorous heritage preservation and showcasing, and how can these challenges be mitigated?</w:t>
      </w:r>
      <w:proofErr w:type="gramStart"/>
      <w:r w:rsidRPr="00D213B4">
        <w:rPr>
          <w:rFonts w:ascii="Calibri" w:hAnsi="Calibri" w:cs="Calibri"/>
        </w:rPr>
        <w:t>’;</w:t>
      </w:r>
      <w:proofErr w:type="gramEnd"/>
    </w:p>
    <w:p w14:paraId="7CBB96F1" w14:textId="175A4D2D" w:rsidR="00F01FBC" w:rsidRPr="00D213B4" w:rsidRDefault="00F01FBC">
      <w:pPr>
        <w:rPr>
          <w:rFonts w:ascii="Calibri" w:hAnsi="Calibri" w:cs="Calibri"/>
        </w:rPr>
      </w:pPr>
      <w:r w:rsidRPr="00D213B4">
        <w:rPr>
          <w:rFonts w:ascii="Calibri" w:hAnsi="Calibri" w:cs="Calibri"/>
          <w:b/>
          <w:bCs/>
        </w:rPr>
        <w:t>3.</w:t>
      </w:r>
      <w:r w:rsidRPr="00D213B4">
        <w:rPr>
          <w:rFonts w:ascii="Calibri" w:hAnsi="Calibri" w:cs="Calibri"/>
        </w:rPr>
        <w:t xml:space="preserve"> ‘In what ways can humorous heritage stand out among other cultural heritage?’.</w:t>
      </w:r>
      <w:r w:rsidRPr="00D213B4">
        <w:rPr>
          <w:rStyle w:val="FootnoteReference"/>
          <w:rFonts w:ascii="Calibri" w:hAnsi="Calibri" w:cs="Calibri"/>
        </w:rPr>
        <w:footnoteReference w:id="2"/>
      </w:r>
    </w:p>
    <w:p w14:paraId="64E54308" w14:textId="043A98F2" w:rsidR="00F01FBC" w:rsidRPr="00D213B4" w:rsidRDefault="00F01FBC">
      <w:pPr>
        <w:rPr>
          <w:rFonts w:ascii="Calibri" w:hAnsi="Calibri" w:cs="Calibri"/>
        </w:rPr>
      </w:pPr>
      <w:r w:rsidRPr="00D213B4">
        <w:rPr>
          <w:rFonts w:ascii="Calibri" w:hAnsi="Calibri" w:cs="Calibri"/>
        </w:rPr>
        <w:t xml:space="preserve">As well as interweaving an analysis of their theoretical perspective, the formation of their argument, and the evaluation of the conclusion drawn. This will lead to the understanding that the article from Fiadotava highlights </w:t>
      </w:r>
      <w:r w:rsidR="00764402" w:rsidRPr="00D213B4">
        <w:rPr>
          <w:rFonts w:ascii="Calibri" w:hAnsi="Calibri" w:cs="Calibri"/>
        </w:rPr>
        <w:t xml:space="preserve">an </w:t>
      </w:r>
      <w:r w:rsidRPr="00D213B4">
        <w:rPr>
          <w:rFonts w:ascii="Calibri" w:hAnsi="Calibri" w:cs="Calibri"/>
        </w:rPr>
        <w:t xml:space="preserve">important perspective on </w:t>
      </w:r>
      <w:r w:rsidR="00DB45EE" w:rsidRPr="00D213B4">
        <w:rPr>
          <w:rFonts w:ascii="Calibri" w:hAnsi="Calibri" w:cs="Calibri"/>
        </w:rPr>
        <w:t xml:space="preserve">using humorous </w:t>
      </w:r>
      <w:r w:rsidRPr="00D213B4">
        <w:rPr>
          <w:rFonts w:ascii="Calibri" w:hAnsi="Calibri" w:cs="Calibri"/>
        </w:rPr>
        <w:t xml:space="preserve">heritage to capture the cultural zeitgeist, as well as highlighting issues facing </w:t>
      </w:r>
      <w:r w:rsidR="00764402" w:rsidRPr="00D213B4">
        <w:rPr>
          <w:rFonts w:ascii="Calibri" w:hAnsi="Calibri" w:cs="Calibri"/>
        </w:rPr>
        <w:t>it, by building on already established notions of heritage studies</w:t>
      </w:r>
      <w:r w:rsidRPr="00D213B4">
        <w:rPr>
          <w:rFonts w:ascii="Calibri" w:hAnsi="Calibri" w:cs="Calibri"/>
        </w:rPr>
        <w:t>.</w:t>
      </w:r>
    </w:p>
    <w:p w14:paraId="6EF6C48F" w14:textId="1F16C676" w:rsidR="0025009D" w:rsidRPr="00D213B4" w:rsidRDefault="00F01FBC" w:rsidP="0025009D">
      <w:pPr>
        <w:rPr>
          <w:rFonts w:ascii="Calibri" w:hAnsi="Calibri" w:cs="Calibri"/>
        </w:rPr>
      </w:pPr>
      <w:r w:rsidRPr="00D213B4">
        <w:rPr>
          <w:rFonts w:ascii="Calibri" w:hAnsi="Calibri" w:cs="Calibri"/>
        </w:rPr>
        <w:tab/>
        <w:t xml:space="preserve">Therefore, the overall argument put forward by </w:t>
      </w:r>
      <w:r w:rsidR="0025009D" w:rsidRPr="00D213B4">
        <w:rPr>
          <w:rFonts w:ascii="Calibri" w:hAnsi="Calibri" w:cs="Calibri"/>
        </w:rPr>
        <w:t>Fiadotava is that heritage is identity-forming, and using humour can help people feel safe and involved through a sense of community.</w:t>
      </w:r>
      <w:r w:rsidR="0025009D" w:rsidRPr="00D213B4">
        <w:rPr>
          <w:rStyle w:val="FootnoteReference"/>
          <w:rFonts w:ascii="Calibri" w:hAnsi="Calibri" w:cs="Calibri"/>
        </w:rPr>
        <w:footnoteReference w:id="3"/>
      </w:r>
      <w:r w:rsidR="0025009D" w:rsidRPr="00D213B4">
        <w:rPr>
          <w:rFonts w:ascii="Calibri" w:hAnsi="Calibri" w:cs="Calibri"/>
        </w:rPr>
        <w:t xml:space="preserve"> This is because heritage is a representation of ‘our everyday life and social interactions’; therefore, humour will naturally underpin this.</w:t>
      </w:r>
      <w:r w:rsidR="0025009D" w:rsidRPr="00D213B4">
        <w:rPr>
          <w:rStyle w:val="FootnoteReference"/>
          <w:rFonts w:ascii="Calibri" w:hAnsi="Calibri" w:cs="Calibri"/>
        </w:rPr>
        <w:footnoteReference w:id="4"/>
      </w:r>
      <w:r w:rsidR="0025009D" w:rsidRPr="00D213B4">
        <w:rPr>
          <w:rFonts w:ascii="Calibri" w:hAnsi="Calibri" w:cs="Calibri"/>
        </w:rPr>
        <w:t xml:space="preserve"> This theory, proposed by Fiadotava, is well balanced within the heritage studies field of identity and memory and how this forms heritage that is preserved. Assman has long argued that identity is what makes memories intense and helps us to belong, and the forgetting of these memories is seen as something to be feared.</w:t>
      </w:r>
      <w:r w:rsidR="0025009D" w:rsidRPr="00D213B4">
        <w:rPr>
          <w:rStyle w:val="FootnoteReference"/>
          <w:rFonts w:ascii="Calibri" w:hAnsi="Calibri" w:cs="Calibri"/>
        </w:rPr>
        <w:footnoteReference w:id="5"/>
      </w:r>
      <w:r w:rsidR="0034643B" w:rsidRPr="00D213B4">
        <w:rPr>
          <w:rFonts w:ascii="Calibri" w:hAnsi="Calibri" w:cs="Calibri"/>
        </w:rPr>
        <w:t xml:space="preserve"> Thus</w:t>
      </w:r>
      <w:r w:rsidR="00EA291B">
        <w:rPr>
          <w:rFonts w:ascii="Calibri" w:hAnsi="Calibri" w:cs="Calibri"/>
        </w:rPr>
        <w:t>,</w:t>
      </w:r>
      <w:r w:rsidR="0034643B" w:rsidRPr="00D213B4">
        <w:rPr>
          <w:rFonts w:ascii="Calibri" w:hAnsi="Calibri" w:cs="Calibri"/>
        </w:rPr>
        <w:t xml:space="preserve"> you can see key links between the article and heritage theories, this is argued further by Fiadotava in that we can overcome the fear of forgetting by understanding that humour can be used as a tool to interpret heritage and preserve it but also by recognising it as cultural heritage in itself to be ‘proudly displayed and passed </w:t>
      </w:r>
      <w:r w:rsidR="0034643B" w:rsidRPr="007E19F9">
        <w:rPr>
          <w:rFonts w:ascii="Calibri" w:hAnsi="Calibri" w:cs="Calibri"/>
        </w:rPr>
        <w:t>on</w:t>
      </w:r>
      <w:r w:rsidR="007E19F9" w:rsidRPr="007E19F9">
        <w:rPr>
          <w:rFonts w:ascii="Calibri" w:hAnsi="Calibri" w:cs="Calibri"/>
        </w:rPr>
        <w:t xml:space="preserve"> </w:t>
      </w:r>
      <w:r w:rsidR="0034643B" w:rsidRPr="007E19F9">
        <w:rPr>
          <w:rFonts w:ascii="Calibri" w:hAnsi="Calibri" w:cs="Calibri"/>
        </w:rPr>
        <w:t>to</w:t>
      </w:r>
      <w:r w:rsidR="0034643B" w:rsidRPr="00D213B4">
        <w:rPr>
          <w:rFonts w:ascii="Calibri" w:hAnsi="Calibri" w:cs="Calibri"/>
        </w:rPr>
        <w:t xml:space="preserve"> the next generations’ – negating the risk of losing it.</w:t>
      </w:r>
      <w:r w:rsidR="0034643B" w:rsidRPr="00D213B4">
        <w:rPr>
          <w:rStyle w:val="FootnoteReference"/>
          <w:rFonts w:ascii="Calibri" w:hAnsi="Calibri" w:cs="Calibri"/>
        </w:rPr>
        <w:footnoteReference w:id="6"/>
      </w:r>
    </w:p>
    <w:p w14:paraId="720035FC" w14:textId="3C95C24A" w:rsidR="00743E49" w:rsidRPr="00D213B4" w:rsidRDefault="0034643B" w:rsidP="0025009D">
      <w:pPr>
        <w:rPr>
          <w:rFonts w:ascii="Calibri" w:hAnsi="Calibri" w:cs="Calibri"/>
        </w:rPr>
      </w:pPr>
      <w:r w:rsidRPr="00D213B4">
        <w:rPr>
          <w:rFonts w:ascii="Calibri" w:hAnsi="Calibri" w:cs="Calibri"/>
        </w:rPr>
        <w:tab/>
        <w:t xml:space="preserve">Moreover, </w:t>
      </w:r>
      <w:r w:rsidR="00FD54D6" w:rsidRPr="00D213B4">
        <w:rPr>
          <w:rFonts w:ascii="Calibri" w:hAnsi="Calibri" w:cs="Calibri"/>
        </w:rPr>
        <w:t>when analysing the article against heritage theories, we must look at the first research question approached by Fiadotava. They attempt to answer ‘What forms does the institutionalisation of humorous heritage take?’.</w:t>
      </w:r>
      <w:r w:rsidR="00FD54D6" w:rsidRPr="00D213B4">
        <w:rPr>
          <w:rStyle w:val="FootnoteReference"/>
          <w:rFonts w:ascii="Calibri" w:hAnsi="Calibri" w:cs="Calibri"/>
        </w:rPr>
        <w:footnoteReference w:id="7"/>
      </w:r>
      <w:r w:rsidR="00FD54D6" w:rsidRPr="00D213B4">
        <w:rPr>
          <w:rFonts w:ascii="Calibri" w:hAnsi="Calibri" w:cs="Calibri"/>
        </w:rPr>
        <w:t xml:space="preserve"> This is achieved successfully by separating humorous heritage into two approaches: static, which looks at the preservation of heritage, and dynamic, which looks at the performance of heritage.</w:t>
      </w:r>
      <w:r w:rsidR="00FD54D6" w:rsidRPr="00D213B4">
        <w:rPr>
          <w:rStyle w:val="FootnoteReference"/>
          <w:rFonts w:ascii="Calibri" w:hAnsi="Calibri" w:cs="Calibri"/>
        </w:rPr>
        <w:footnoteReference w:id="8"/>
      </w:r>
      <w:r w:rsidR="00FD54D6" w:rsidRPr="00D213B4">
        <w:rPr>
          <w:rFonts w:ascii="Calibri" w:hAnsi="Calibri" w:cs="Calibri"/>
        </w:rPr>
        <w:t xml:space="preserve"> They have created their own framework to analyse humorous heritage, which works and builds on already established heritage practices of tangible and intangible heritage. For example, it can be seen to build on Harrison’s definition of heritage, which is that it is both a physical embodiment and a practice.</w:t>
      </w:r>
      <w:r w:rsidR="00FD54D6" w:rsidRPr="00D213B4">
        <w:rPr>
          <w:rStyle w:val="FootnoteReference"/>
          <w:rFonts w:ascii="Calibri" w:hAnsi="Calibri" w:cs="Calibri"/>
        </w:rPr>
        <w:footnoteReference w:id="9"/>
      </w:r>
      <w:r w:rsidR="00743E49" w:rsidRPr="00D213B4">
        <w:rPr>
          <w:rFonts w:ascii="Calibri" w:hAnsi="Calibri" w:cs="Calibri"/>
        </w:rPr>
        <w:t xml:space="preserve"> </w:t>
      </w:r>
    </w:p>
    <w:p w14:paraId="77ABDD6C" w14:textId="584B7164" w:rsidR="0034643B" w:rsidRPr="00D213B4" w:rsidRDefault="00743E49" w:rsidP="00743E49">
      <w:pPr>
        <w:ind w:firstLine="720"/>
        <w:rPr>
          <w:rFonts w:ascii="Calibri" w:hAnsi="Calibri" w:cs="Calibri"/>
        </w:rPr>
      </w:pPr>
      <w:r w:rsidRPr="00D213B4">
        <w:rPr>
          <w:rFonts w:ascii="Calibri" w:hAnsi="Calibri" w:cs="Calibri"/>
        </w:rPr>
        <w:lastRenderedPageBreak/>
        <w:t xml:space="preserve">This is furthered by Fiadotava in their explanation of the static approach to humorous heritage, which is where institutions such as the Cartoon Museum in London, </w:t>
      </w:r>
      <w:r w:rsidR="00711EF8">
        <w:rPr>
          <w:rFonts w:ascii="Calibri" w:hAnsi="Calibri" w:cs="Calibri"/>
        </w:rPr>
        <w:t>a</w:t>
      </w:r>
      <w:r w:rsidRPr="00D213B4">
        <w:rPr>
          <w:rFonts w:ascii="Calibri" w:hAnsi="Calibri" w:cs="Calibri"/>
        </w:rPr>
        <w:t>rchives or libraries hold physical items to showcase particular humour or comedy from the past.</w:t>
      </w:r>
      <w:r w:rsidRPr="00D213B4">
        <w:rPr>
          <w:rStyle w:val="FootnoteReference"/>
          <w:rFonts w:ascii="Calibri" w:hAnsi="Calibri" w:cs="Calibri"/>
        </w:rPr>
        <w:footnoteReference w:id="10"/>
      </w:r>
      <w:r w:rsidRPr="00D213B4">
        <w:rPr>
          <w:rFonts w:ascii="Calibri" w:hAnsi="Calibri" w:cs="Calibri"/>
        </w:rPr>
        <w:t xml:space="preserve"> This is a valid point to highlight</w:t>
      </w:r>
      <w:r w:rsidR="00EA291B">
        <w:rPr>
          <w:rFonts w:ascii="Calibri" w:hAnsi="Calibri" w:cs="Calibri"/>
        </w:rPr>
        <w:t>,</w:t>
      </w:r>
      <w:r w:rsidRPr="00D213B4">
        <w:rPr>
          <w:rFonts w:ascii="Calibri" w:hAnsi="Calibri" w:cs="Calibri"/>
        </w:rPr>
        <w:t xml:space="preserve"> that humo</w:t>
      </w:r>
      <w:r w:rsidR="004A27AA" w:rsidRPr="00D213B4">
        <w:rPr>
          <w:rFonts w:ascii="Calibri" w:hAnsi="Calibri" w:cs="Calibri"/>
        </w:rPr>
        <w:t>rous</w:t>
      </w:r>
      <w:r w:rsidRPr="00D213B4">
        <w:rPr>
          <w:rFonts w:ascii="Calibri" w:hAnsi="Calibri" w:cs="Calibri"/>
        </w:rPr>
        <w:t xml:space="preserve"> heritage exists and has always been there</w:t>
      </w:r>
      <w:r w:rsidR="004A27AA" w:rsidRPr="00D213B4">
        <w:rPr>
          <w:rFonts w:ascii="Calibri" w:hAnsi="Calibri" w:cs="Calibri"/>
        </w:rPr>
        <w:t>,</w:t>
      </w:r>
      <w:r w:rsidRPr="00D213B4">
        <w:rPr>
          <w:rFonts w:ascii="Calibri" w:hAnsi="Calibri" w:cs="Calibri"/>
        </w:rPr>
        <w:t xml:space="preserve"> but it does just further add to </w:t>
      </w:r>
      <w:r w:rsidR="004A27AA" w:rsidRPr="00D213B4">
        <w:rPr>
          <w:rFonts w:ascii="Calibri" w:hAnsi="Calibri" w:cs="Calibri"/>
        </w:rPr>
        <w:t xml:space="preserve">the </w:t>
      </w:r>
      <w:r w:rsidRPr="00D213B4">
        <w:rPr>
          <w:rFonts w:ascii="Calibri" w:hAnsi="Calibri" w:cs="Calibri"/>
        </w:rPr>
        <w:t>already established issue related to heritage. For example</w:t>
      </w:r>
      <w:r w:rsidR="004A27AA" w:rsidRPr="00D213B4">
        <w:rPr>
          <w:rFonts w:ascii="Calibri" w:hAnsi="Calibri" w:cs="Calibri"/>
        </w:rPr>
        <w:t>,</w:t>
      </w:r>
      <w:r w:rsidRPr="00D213B4">
        <w:rPr>
          <w:rFonts w:ascii="Calibri" w:hAnsi="Calibri" w:cs="Calibri"/>
        </w:rPr>
        <w:t xml:space="preserve"> </w:t>
      </w:r>
      <w:r w:rsidR="004A27AA" w:rsidRPr="00D213B4">
        <w:rPr>
          <w:rFonts w:ascii="Calibri" w:hAnsi="Calibri" w:cs="Calibri"/>
        </w:rPr>
        <w:t>these</w:t>
      </w:r>
      <w:r w:rsidRPr="00D213B4">
        <w:rPr>
          <w:rFonts w:ascii="Calibri" w:hAnsi="Calibri" w:cs="Calibri"/>
        </w:rPr>
        <w:t xml:space="preserve"> institutions are usually directed by governments and become a site of economic activity. Again</w:t>
      </w:r>
      <w:r w:rsidR="004A27AA" w:rsidRPr="00D213B4">
        <w:rPr>
          <w:rFonts w:ascii="Calibri" w:hAnsi="Calibri" w:cs="Calibri"/>
        </w:rPr>
        <w:t>,</w:t>
      </w:r>
      <w:r w:rsidRPr="00D213B4">
        <w:rPr>
          <w:rFonts w:ascii="Calibri" w:hAnsi="Calibri" w:cs="Calibri"/>
        </w:rPr>
        <w:t xml:space="preserve"> this is already recognised in the field</w:t>
      </w:r>
      <w:r w:rsidR="00711EF8">
        <w:rPr>
          <w:rFonts w:ascii="Calibri" w:hAnsi="Calibri" w:cs="Calibri"/>
        </w:rPr>
        <w:t>,</w:t>
      </w:r>
      <w:r w:rsidRPr="00D213B4">
        <w:rPr>
          <w:rFonts w:ascii="Calibri" w:hAnsi="Calibri" w:cs="Calibri"/>
        </w:rPr>
        <w:t xml:space="preserve"> where heritage is </w:t>
      </w:r>
      <w:r w:rsidR="004A27AA" w:rsidRPr="00D213B4">
        <w:rPr>
          <w:rFonts w:ascii="Calibri" w:hAnsi="Calibri" w:cs="Calibri"/>
        </w:rPr>
        <w:t>intrinsically</w:t>
      </w:r>
      <w:r w:rsidRPr="00D213B4">
        <w:rPr>
          <w:rFonts w:ascii="Calibri" w:hAnsi="Calibri" w:cs="Calibri"/>
        </w:rPr>
        <w:t xml:space="preserve"> linked to governments</w:t>
      </w:r>
      <w:r w:rsidR="004A27AA" w:rsidRPr="00D213B4">
        <w:rPr>
          <w:rFonts w:ascii="Calibri" w:hAnsi="Calibri" w:cs="Calibri"/>
        </w:rPr>
        <w:t>,</w:t>
      </w:r>
      <w:r w:rsidRPr="00D213B4">
        <w:rPr>
          <w:rFonts w:ascii="Calibri" w:hAnsi="Calibri" w:cs="Calibri"/>
        </w:rPr>
        <w:t xml:space="preserve"> and they create and maintain the ‘official lists’.</w:t>
      </w:r>
      <w:r w:rsidRPr="00D213B4">
        <w:rPr>
          <w:rStyle w:val="FootnoteReference"/>
          <w:rFonts w:ascii="Calibri" w:hAnsi="Calibri" w:cs="Calibri"/>
        </w:rPr>
        <w:footnoteReference w:id="11"/>
      </w:r>
      <w:r w:rsidRPr="00D213B4">
        <w:rPr>
          <w:rFonts w:ascii="Calibri" w:hAnsi="Calibri" w:cs="Calibri"/>
        </w:rPr>
        <w:t xml:space="preserve"> Unfortunately</w:t>
      </w:r>
      <w:r w:rsidR="004A27AA" w:rsidRPr="00D213B4">
        <w:rPr>
          <w:rFonts w:ascii="Calibri" w:hAnsi="Calibri" w:cs="Calibri"/>
        </w:rPr>
        <w:t>,</w:t>
      </w:r>
      <w:r w:rsidRPr="00D213B4">
        <w:rPr>
          <w:rFonts w:ascii="Calibri" w:hAnsi="Calibri" w:cs="Calibri"/>
        </w:rPr>
        <w:t xml:space="preserve"> Fiad</w:t>
      </w:r>
      <w:r w:rsidR="004A27AA" w:rsidRPr="00D213B4">
        <w:rPr>
          <w:rFonts w:ascii="Calibri" w:hAnsi="Calibri" w:cs="Calibri"/>
        </w:rPr>
        <w:t xml:space="preserve">otava does not even approach this notion that heritage, even more so when linked to humour, is political, and governments can choose what or what not to preserve. Rather, the article lists types of static humorous heritage, but </w:t>
      </w:r>
      <w:r w:rsidR="00822AEB" w:rsidRPr="00D213B4">
        <w:rPr>
          <w:rFonts w:ascii="Calibri" w:hAnsi="Calibri" w:cs="Calibri"/>
        </w:rPr>
        <w:t>it</w:t>
      </w:r>
      <w:r w:rsidR="004A27AA" w:rsidRPr="00D213B4">
        <w:rPr>
          <w:rFonts w:ascii="Calibri" w:hAnsi="Calibri" w:cs="Calibri"/>
        </w:rPr>
        <w:t xml:space="preserve"> missed the opportunity to add more to the current discourse and debates in heritage studies. This is also the same when they discuss the types of dynamic humorous heritage by mentioning the UNESCO Cultural Heritage list</w:t>
      </w:r>
      <w:r w:rsidR="00822AEB" w:rsidRPr="00D213B4">
        <w:rPr>
          <w:rFonts w:ascii="Calibri" w:hAnsi="Calibri" w:cs="Calibri"/>
        </w:rPr>
        <w:t>;</w:t>
      </w:r>
      <w:r w:rsidR="004A27AA" w:rsidRPr="00D213B4">
        <w:rPr>
          <w:rFonts w:ascii="Calibri" w:hAnsi="Calibri" w:cs="Calibri"/>
        </w:rPr>
        <w:t xml:space="preserve"> however, they do also recognise that the official list is not the only humorous heritage to exist.</w:t>
      </w:r>
      <w:r w:rsidR="004A27AA" w:rsidRPr="00D213B4">
        <w:rPr>
          <w:rStyle w:val="FootnoteReference"/>
          <w:rFonts w:ascii="Calibri" w:hAnsi="Calibri" w:cs="Calibri"/>
        </w:rPr>
        <w:footnoteReference w:id="12"/>
      </w:r>
    </w:p>
    <w:p w14:paraId="3E697693" w14:textId="6149E15E" w:rsidR="0025009D" w:rsidRPr="00D213B4" w:rsidRDefault="004A27AA">
      <w:pPr>
        <w:rPr>
          <w:rFonts w:ascii="Calibri" w:hAnsi="Calibri" w:cs="Calibri"/>
        </w:rPr>
      </w:pPr>
      <w:r w:rsidRPr="00D213B4">
        <w:rPr>
          <w:rFonts w:ascii="Calibri" w:hAnsi="Calibri" w:cs="Calibri"/>
        </w:rPr>
        <w:tab/>
        <w:t xml:space="preserve">However, when Fiadotava goes into discussing the case studies chosen to express </w:t>
      </w:r>
      <w:r w:rsidR="00822AEB" w:rsidRPr="00D213B4">
        <w:rPr>
          <w:rFonts w:ascii="Calibri" w:hAnsi="Calibri" w:cs="Calibri"/>
        </w:rPr>
        <w:t>their</w:t>
      </w:r>
      <w:r w:rsidRPr="00D213B4">
        <w:rPr>
          <w:rFonts w:ascii="Calibri" w:hAnsi="Calibri" w:cs="Calibri"/>
        </w:rPr>
        <w:t xml:space="preserve"> points, they do look at more </w:t>
      </w:r>
      <w:r w:rsidR="00822AEB" w:rsidRPr="00D213B4">
        <w:rPr>
          <w:rFonts w:ascii="Calibri" w:hAnsi="Calibri" w:cs="Calibri"/>
        </w:rPr>
        <w:t>grassroots</w:t>
      </w:r>
      <w:r w:rsidRPr="00D213B4">
        <w:rPr>
          <w:rFonts w:ascii="Calibri" w:hAnsi="Calibri" w:cs="Calibri"/>
        </w:rPr>
        <w:t xml:space="preserve"> initiatives. The Estonian Humour Museum</w:t>
      </w:r>
      <w:r w:rsidR="00822AEB" w:rsidRPr="00D213B4">
        <w:rPr>
          <w:rFonts w:ascii="Calibri" w:hAnsi="Calibri" w:cs="Calibri"/>
        </w:rPr>
        <w:t>,</w:t>
      </w:r>
      <w:r w:rsidRPr="00D213B4">
        <w:rPr>
          <w:rFonts w:ascii="Calibri" w:hAnsi="Calibri" w:cs="Calibri"/>
        </w:rPr>
        <w:t xml:space="preserve"> which is run by volunteers with only some municipal support and the Folk Humour </w:t>
      </w:r>
      <w:r w:rsidR="00822AEB" w:rsidRPr="00D213B4">
        <w:rPr>
          <w:rFonts w:ascii="Calibri" w:hAnsi="Calibri" w:cs="Calibri"/>
        </w:rPr>
        <w:t>Festival</w:t>
      </w:r>
      <w:r w:rsidRPr="00D213B4">
        <w:rPr>
          <w:rFonts w:ascii="Calibri" w:hAnsi="Calibri" w:cs="Calibri"/>
        </w:rPr>
        <w:t xml:space="preserve"> ‘Auciuki’</w:t>
      </w:r>
      <w:r w:rsidR="00822AEB" w:rsidRPr="00D213B4">
        <w:rPr>
          <w:rFonts w:ascii="Calibri" w:hAnsi="Calibri" w:cs="Calibri"/>
        </w:rPr>
        <w:t>,</w:t>
      </w:r>
      <w:r w:rsidRPr="00D213B4">
        <w:rPr>
          <w:rFonts w:ascii="Calibri" w:hAnsi="Calibri" w:cs="Calibri"/>
        </w:rPr>
        <w:t xml:space="preserve"> which is a festival that fosters community pride and </w:t>
      </w:r>
      <w:r w:rsidR="00822AEB" w:rsidRPr="00D213B4">
        <w:rPr>
          <w:rFonts w:ascii="Calibri" w:hAnsi="Calibri" w:cs="Calibri"/>
        </w:rPr>
        <w:t>creates</w:t>
      </w:r>
      <w:r w:rsidRPr="00D213B4">
        <w:rPr>
          <w:rFonts w:ascii="Calibri" w:hAnsi="Calibri" w:cs="Calibri"/>
        </w:rPr>
        <w:t xml:space="preserve"> a new tradition in Belarus.</w:t>
      </w:r>
      <w:r w:rsidRPr="00D213B4">
        <w:rPr>
          <w:rStyle w:val="FootnoteReference"/>
          <w:rFonts w:ascii="Calibri" w:hAnsi="Calibri" w:cs="Calibri"/>
        </w:rPr>
        <w:footnoteReference w:id="13"/>
      </w:r>
      <w:r w:rsidRPr="00D213B4">
        <w:rPr>
          <w:rFonts w:ascii="Calibri" w:hAnsi="Calibri" w:cs="Calibri"/>
        </w:rPr>
        <w:t xml:space="preserve"> These examples show a more diverse </w:t>
      </w:r>
      <w:r w:rsidR="00822AEB" w:rsidRPr="00D213B4">
        <w:rPr>
          <w:rFonts w:ascii="Calibri" w:hAnsi="Calibri" w:cs="Calibri"/>
        </w:rPr>
        <w:t>sample</w:t>
      </w:r>
      <w:r w:rsidRPr="00D213B4">
        <w:rPr>
          <w:rFonts w:ascii="Calibri" w:hAnsi="Calibri" w:cs="Calibri"/>
        </w:rPr>
        <w:t xml:space="preserve"> of what humorous heritage can be</w:t>
      </w:r>
      <w:r w:rsidR="00822AEB" w:rsidRPr="00D213B4">
        <w:rPr>
          <w:rFonts w:ascii="Calibri" w:hAnsi="Calibri" w:cs="Calibri"/>
        </w:rPr>
        <w:t>,</w:t>
      </w:r>
      <w:r w:rsidRPr="00D213B4">
        <w:rPr>
          <w:rFonts w:ascii="Calibri" w:hAnsi="Calibri" w:cs="Calibri"/>
        </w:rPr>
        <w:t xml:space="preserve"> showing that conservation can help to show ‘collective forms of diversity’.</w:t>
      </w:r>
      <w:r w:rsidRPr="00D213B4">
        <w:rPr>
          <w:rStyle w:val="FootnoteReference"/>
          <w:rFonts w:ascii="Calibri" w:hAnsi="Calibri" w:cs="Calibri"/>
        </w:rPr>
        <w:footnoteReference w:id="14"/>
      </w:r>
      <w:r w:rsidR="00822AEB" w:rsidRPr="00D213B4">
        <w:rPr>
          <w:rFonts w:ascii="Calibri" w:hAnsi="Calibri" w:cs="Calibri"/>
        </w:rPr>
        <w:t xml:space="preserve"> So</w:t>
      </w:r>
      <w:r w:rsidR="00EA291B">
        <w:rPr>
          <w:rFonts w:ascii="Calibri" w:hAnsi="Calibri" w:cs="Calibri"/>
        </w:rPr>
        <w:t>,</w:t>
      </w:r>
      <w:r w:rsidR="00822AEB" w:rsidRPr="00D213B4">
        <w:rPr>
          <w:rFonts w:ascii="Calibri" w:hAnsi="Calibri" w:cs="Calibri"/>
        </w:rPr>
        <w:t xml:space="preserve"> while the article does show this, it could be more overt in stating this to be able to strengthen their argument that humorous heritage can be diverse and help pave the way for heritage in general to become diversified and community-driven.</w:t>
      </w:r>
    </w:p>
    <w:p w14:paraId="3CBC5456" w14:textId="4DF289F3" w:rsidR="00822AEB" w:rsidRPr="00D213B4" w:rsidRDefault="00822AEB">
      <w:pPr>
        <w:rPr>
          <w:rFonts w:ascii="Calibri" w:hAnsi="Calibri" w:cs="Calibri"/>
        </w:rPr>
      </w:pPr>
      <w:r w:rsidRPr="00D213B4">
        <w:rPr>
          <w:rFonts w:ascii="Calibri" w:hAnsi="Calibri" w:cs="Calibri"/>
        </w:rPr>
        <w:tab/>
        <w:t>Nevertheless, Fiadotava continues to approach their second question: ‘What are the challenges faced by humorous heritage preservation and showcasing, and how can these challenges be mitigated?’.</w:t>
      </w:r>
      <w:r w:rsidRPr="00D213B4">
        <w:rPr>
          <w:rStyle w:val="FootnoteReference"/>
          <w:rFonts w:ascii="Calibri" w:hAnsi="Calibri" w:cs="Calibri"/>
        </w:rPr>
        <w:footnoteReference w:id="15"/>
      </w:r>
      <w:r w:rsidRPr="00D213B4">
        <w:rPr>
          <w:rFonts w:ascii="Calibri" w:hAnsi="Calibri" w:cs="Calibri"/>
        </w:rPr>
        <w:t xml:space="preserve"> They answer this by stating </w:t>
      </w:r>
      <w:r w:rsidR="00EA291B">
        <w:rPr>
          <w:rFonts w:ascii="Calibri" w:hAnsi="Calibri" w:cs="Calibri"/>
        </w:rPr>
        <w:t xml:space="preserve">that </w:t>
      </w:r>
      <w:r w:rsidRPr="00D213B4">
        <w:rPr>
          <w:rFonts w:ascii="Calibri" w:hAnsi="Calibri" w:cs="Calibri"/>
        </w:rPr>
        <w:t>there are four challenges: firstly</w:t>
      </w:r>
      <w:r w:rsidR="00EA291B">
        <w:rPr>
          <w:rFonts w:ascii="Calibri" w:hAnsi="Calibri" w:cs="Calibri"/>
        </w:rPr>
        <w:t>,</w:t>
      </w:r>
      <w:r w:rsidRPr="00D213B4">
        <w:rPr>
          <w:rFonts w:ascii="Calibri" w:hAnsi="Calibri" w:cs="Calibri"/>
        </w:rPr>
        <w:t xml:space="preserve"> there is a constant need to justify the need for it; secondly</w:t>
      </w:r>
      <w:r w:rsidR="00EA291B">
        <w:rPr>
          <w:rFonts w:ascii="Calibri" w:hAnsi="Calibri" w:cs="Calibri"/>
        </w:rPr>
        <w:t>,</w:t>
      </w:r>
      <w:r w:rsidRPr="00D213B4">
        <w:rPr>
          <w:rFonts w:ascii="Calibri" w:hAnsi="Calibri" w:cs="Calibri"/>
        </w:rPr>
        <w:t xml:space="preserve"> humour is wide spread and varied – this brings a </w:t>
      </w:r>
      <w:r w:rsidR="00DB45EE" w:rsidRPr="00D213B4">
        <w:rPr>
          <w:rFonts w:ascii="Calibri" w:hAnsi="Calibri" w:cs="Calibri"/>
        </w:rPr>
        <w:t>difficulty</w:t>
      </w:r>
      <w:r w:rsidRPr="00D213B4">
        <w:rPr>
          <w:rFonts w:ascii="Calibri" w:hAnsi="Calibri" w:cs="Calibri"/>
        </w:rPr>
        <w:t xml:space="preserve"> in how to collect and store it; thirdly</w:t>
      </w:r>
      <w:r w:rsidR="00EA291B">
        <w:rPr>
          <w:rFonts w:ascii="Calibri" w:hAnsi="Calibri" w:cs="Calibri"/>
        </w:rPr>
        <w:t>,</w:t>
      </w:r>
      <w:r w:rsidRPr="00D213B4">
        <w:rPr>
          <w:rFonts w:ascii="Calibri" w:hAnsi="Calibri" w:cs="Calibri"/>
        </w:rPr>
        <w:t xml:space="preserve"> humour is always linked to a particular context or reaction – which means the need for mass accompanying data alongside it; and lastly</w:t>
      </w:r>
      <w:r w:rsidR="00EA291B">
        <w:rPr>
          <w:rFonts w:ascii="Calibri" w:hAnsi="Calibri" w:cs="Calibri"/>
        </w:rPr>
        <w:t>,</w:t>
      </w:r>
      <w:r w:rsidRPr="00D213B4">
        <w:rPr>
          <w:rFonts w:ascii="Calibri" w:hAnsi="Calibri" w:cs="Calibri"/>
        </w:rPr>
        <w:t xml:space="preserve"> humour is fleeting</w:t>
      </w:r>
      <w:r w:rsidR="00EA291B">
        <w:rPr>
          <w:rFonts w:ascii="Calibri" w:hAnsi="Calibri" w:cs="Calibri"/>
        </w:rPr>
        <w:t>;</w:t>
      </w:r>
      <w:r w:rsidRPr="00D213B4">
        <w:rPr>
          <w:rFonts w:ascii="Calibri" w:hAnsi="Calibri" w:cs="Calibri"/>
        </w:rPr>
        <w:t xml:space="preserve"> it is often ad hoc and spontaneous.</w:t>
      </w:r>
      <w:r w:rsidRPr="00D213B4">
        <w:rPr>
          <w:rStyle w:val="FootnoteReference"/>
          <w:rFonts w:ascii="Calibri" w:hAnsi="Calibri" w:cs="Calibri"/>
        </w:rPr>
        <w:footnoteReference w:id="16"/>
      </w:r>
      <w:r w:rsidR="00DB45EE" w:rsidRPr="00D213B4">
        <w:rPr>
          <w:rFonts w:ascii="Calibri" w:hAnsi="Calibri" w:cs="Calibri"/>
        </w:rPr>
        <w:t xml:space="preserve"> The article does not provide a strong solution to all of the challenges, but it does identify the need to preserve the system in which the humour is created rather than each individual joke.</w:t>
      </w:r>
      <w:r w:rsidR="00DB45EE" w:rsidRPr="00D213B4">
        <w:rPr>
          <w:rStyle w:val="FootnoteReference"/>
          <w:rFonts w:ascii="Calibri" w:hAnsi="Calibri" w:cs="Calibri"/>
        </w:rPr>
        <w:footnoteReference w:id="17"/>
      </w:r>
      <w:r w:rsidR="00DB45EE" w:rsidRPr="00D213B4">
        <w:rPr>
          <w:rFonts w:ascii="Calibri" w:hAnsi="Calibri" w:cs="Calibri"/>
        </w:rPr>
        <w:t xml:space="preserve"> This does add to already established methods of heritage preservation by analysing </w:t>
      </w:r>
      <w:r w:rsidR="00764402" w:rsidRPr="00D213B4">
        <w:rPr>
          <w:rFonts w:ascii="Calibri" w:hAnsi="Calibri" w:cs="Calibri"/>
        </w:rPr>
        <w:t>people's</w:t>
      </w:r>
      <w:r w:rsidR="00DB45EE" w:rsidRPr="00D213B4">
        <w:rPr>
          <w:rFonts w:ascii="Calibri" w:hAnsi="Calibri" w:cs="Calibri"/>
        </w:rPr>
        <w:t xml:space="preserve"> behaviour and attitudes through observations.</w:t>
      </w:r>
      <w:r w:rsidR="00DB45EE" w:rsidRPr="00D213B4">
        <w:rPr>
          <w:rStyle w:val="FootnoteReference"/>
          <w:rFonts w:ascii="Calibri" w:hAnsi="Calibri" w:cs="Calibri"/>
        </w:rPr>
        <w:footnoteReference w:id="18"/>
      </w:r>
      <w:r w:rsidR="00DB45EE" w:rsidRPr="00D213B4">
        <w:rPr>
          <w:rFonts w:ascii="Calibri" w:hAnsi="Calibri" w:cs="Calibri"/>
        </w:rPr>
        <w:t xml:space="preserve"> This is despite the field being inundated with ‘legal texts, official guidelines and academic literature’.</w:t>
      </w:r>
      <w:r w:rsidR="00DB45EE" w:rsidRPr="00D213B4">
        <w:rPr>
          <w:rStyle w:val="FootnoteReference"/>
          <w:rFonts w:ascii="Calibri" w:hAnsi="Calibri" w:cs="Calibri"/>
        </w:rPr>
        <w:footnoteReference w:id="19"/>
      </w:r>
      <w:r w:rsidR="00DB45EE" w:rsidRPr="00D213B4">
        <w:rPr>
          <w:rFonts w:ascii="Calibri" w:hAnsi="Calibri" w:cs="Calibri"/>
        </w:rPr>
        <w:t xml:space="preserve"> Therefore, this solution does not add anything new to the field</w:t>
      </w:r>
      <w:r w:rsidR="00764402" w:rsidRPr="00D213B4">
        <w:rPr>
          <w:rFonts w:ascii="Calibri" w:hAnsi="Calibri" w:cs="Calibri"/>
        </w:rPr>
        <w:t xml:space="preserve"> but rather uses methodologies or approaches from the wider heritage field and adapts them to humorous heritage as a practice in itself.</w:t>
      </w:r>
    </w:p>
    <w:p w14:paraId="346612BA" w14:textId="1C676F58" w:rsidR="00764402" w:rsidRPr="00D213B4" w:rsidRDefault="00764402" w:rsidP="00764402">
      <w:pPr>
        <w:rPr>
          <w:rFonts w:ascii="Calibri" w:hAnsi="Calibri" w:cs="Calibri"/>
        </w:rPr>
      </w:pPr>
      <w:r w:rsidRPr="00D213B4">
        <w:rPr>
          <w:rFonts w:ascii="Calibri" w:hAnsi="Calibri" w:cs="Calibri"/>
        </w:rPr>
        <w:lastRenderedPageBreak/>
        <w:tab/>
        <w:t xml:space="preserve">Moving on to the last research question answered by </w:t>
      </w:r>
      <w:proofErr w:type="spellStart"/>
      <w:r w:rsidRPr="00D213B4">
        <w:rPr>
          <w:rFonts w:ascii="Calibri" w:hAnsi="Calibri" w:cs="Calibri"/>
        </w:rPr>
        <w:t>Fiadotava</w:t>
      </w:r>
      <w:proofErr w:type="spellEnd"/>
      <w:r w:rsidRPr="00D213B4">
        <w:rPr>
          <w:rFonts w:ascii="Calibri" w:hAnsi="Calibri" w:cs="Calibri"/>
        </w:rPr>
        <w:t>: ‘In what ways can humorous heritage stand out among other cultural heritage?’.</w:t>
      </w:r>
      <w:r w:rsidRPr="00D213B4">
        <w:rPr>
          <w:rStyle w:val="FootnoteReference"/>
          <w:rFonts w:ascii="Calibri" w:hAnsi="Calibri" w:cs="Calibri"/>
        </w:rPr>
        <w:footnoteReference w:id="20"/>
      </w:r>
      <w:r w:rsidRPr="00D213B4">
        <w:rPr>
          <w:rFonts w:ascii="Calibri" w:hAnsi="Calibri" w:cs="Calibri"/>
        </w:rPr>
        <w:t xml:space="preserve"> Their response to this is in two parts: firstly, humorous heritage is not just culturally significant but is also a form of entertainment.</w:t>
      </w:r>
      <w:r w:rsidRPr="00D213B4">
        <w:rPr>
          <w:rStyle w:val="FootnoteReference"/>
          <w:rFonts w:ascii="Calibri" w:hAnsi="Calibri" w:cs="Calibri"/>
        </w:rPr>
        <w:footnoteReference w:id="21"/>
      </w:r>
      <w:r w:rsidRPr="00D213B4">
        <w:rPr>
          <w:rFonts w:ascii="Calibri" w:hAnsi="Calibri" w:cs="Calibri"/>
        </w:rPr>
        <w:t xml:space="preserve"> Therefore, to preserve the whole essence of it, heritage professionals have to consider the cultural significance as well as the context of it.</w:t>
      </w:r>
      <w:r w:rsidRPr="00D213B4">
        <w:rPr>
          <w:rStyle w:val="FootnoteReference"/>
          <w:rFonts w:ascii="Calibri" w:hAnsi="Calibri" w:cs="Calibri"/>
        </w:rPr>
        <w:footnoteReference w:id="22"/>
      </w:r>
      <w:r w:rsidRPr="00D213B4">
        <w:rPr>
          <w:rFonts w:ascii="Calibri" w:hAnsi="Calibri" w:cs="Calibri"/>
        </w:rPr>
        <w:t xml:space="preserve"> Secondly, humour can help to add another layer of interpretation to serious heritage with the use of puns, etc – this gives a unique approach that any heritage can simultaneously become humorous heritage.</w:t>
      </w:r>
      <w:r w:rsidRPr="00D213B4">
        <w:rPr>
          <w:rStyle w:val="FootnoteReference"/>
          <w:rFonts w:ascii="Calibri" w:hAnsi="Calibri" w:cs="Calibri"/>
        </w:rPr>
        <w:footnoteReference w:id="23"/>
      </w:r>
      <w:r w:rsidRPr="00D213B4">
        <w:rPr>
          <w:rFonts w:ascii="Calibri" w:hAnsi="Calibri" w:cs="Calibri"/>
        </w:rPr>
        <w:t xml:space="preserve"> This section </w:t>
      </w:r>
      <w:r w:rsidR="00EA291B">
        <w:rPr>
          <w:rFonts w:ascii="Calibri" w:hAnsi="Calibri" w:cs="Calibri"/>
        </w:rPr>
        <w:t xml:space="preserve">of the article </w:t>
      </w:r>
      <w:r w:rsidRPr="00D213B4">
        <w:rPr>
          <w:rFonts w:ascii="Calibri" w:hAnsi="Calibri" w:cs="Calibri"/>
        </w:rPr>
        <w:t>is the strongest and does add a newer approach to heritage studies. For example, Apaydin argues that when creating or preserving heritage</w:t>
      </w:r>
      <w:r w:rsidR="00E31DB4" w:rsidRPr="00D213B4">
        <w:rPr>
          <w:rFonts w:ascii="Calibri" w:hAnsi="Calibri" w:cs="Calibri"/>
        </w:rPr>
        <w:t>,</w:t>
      </w:r>
      <w:r w:rsidRPr="00D213B4">
        <w:rPr>
          <w:rFonts w:ascii="Calibri" w:hAnsi="Calibri" w:cs="Calibri"/>
        </w:rPr>
        <w:t xml:space="preserve"> you must </w:t>
      </w:r>
      <w:r w:rsidR="00E31DB4" w:rsidRPr="00D213B4">
        <w:rPr>
          <w:rFonts w:ascii="Calibri" w:hAnsi="Calibri" w:cs="Calibri"/>
        </w:rPr>
        <w:t>include</w:t>
      </w:r>
      <w:r w:rsidRPr="00D213B4">
        <w:rPr>
          <w:rFonts w:ascii="Calibri" w:hAnsi="Calibri" w:cs="Calibri"/>
        </w:rPr>
        <w:t xml:space="preserve"> the communities directly affected in the decision-making process.</w:t>
      </w:r>
      <w:r w:rsidR="00E31DB4" w:rsidRPr="00D213B4">
        <w:rPr>
          <w:rStyle w:val="FootnoteReference"/>
          <w:rFonts w:ascii="Calibri" w:hAnsi="Calibri" w:cs="Calibri"/>
        </w:rPr>
        <w:footnoteReference w:id="24"/>
      </w:r>
      <w:r w:rsidR="00E31DB4" w:rsidRPr="00D213B4">
        <w:rPr>
          <w:rFonts w:ascii="Calibri" w:hAnsi="Calibri" w:cs="Calibri"/>
        </w:rPr>
        <w:t xml:space="preserve"> Therefore, the ways in which humorous heritage needs to be collected, community participation is essential, which would essentially be practising heritage to a ‘gold standard’ according to Apaydin. By preserving humorous heritage in this way, there is an ability to create a cultural memory that shows how society sees itself and its values.</w:t>
      </w:r>
      <w:r w:rsidR="00E31DB4" w:rsidRPr="00D213B4">
        <w:rPr>
          <w:rStyle w:val="FootnoteReference"/>
          <w:rFonts w:ascii="Calibri" w:hAnsi="Calibri" w:cs="Calibri"/>
        </w:rPr>
        <w:footnoteReference w:id="25"/>
      </w:r>
      <w:r w:rsidR="00E31DB4" w:rsidRPr="00D213B4">
        <w:rPr>
          <w:rFonts w:ascii="Calibri" w:hAnsi="Calibri" w:cs="Calibri"/>
        </w:rPr>
        <w:t xml:space="preserve"> This again</w:t>
      </w:r>
      <w:r w:rsidR="00EA291B">
        <w:rPr>
          <w:rFonts w:ascii="Calibri" w:hAnsi="Calibri" w:cs="Calibri"/>
        </w:rPr>
        <w:t>,</w:t>
      </w:r>
      <w:r w:rsidR="00E31DB4" w:rsidRPr="00D213B4">
        <w:rPr>
          <w:rFonts w:ascii="Calibri" w:hAnsi="Calibri" w:cs="Calibri"/>
        </w:rPr>
        <w:t xml:space="preserve"> shows that humorous heritage can be used as a tool to show future generations how society was at a certain point and time. Harrison sees this as our obligation to the future generations and to understand that heritage is not just ours in the present.</w:t>
      </w:r>
      <w:r w:rsidR="00E31DB4" w:rsidRPr="00D213B4">
        <w:rPr>
          <w:rStyle w:val="FootnoteReference"/>
          <w:rFonts w:ascii="Calibri" w:hAnsi="Calibri" w:cs="Calibri"/>
        </w:rPr>
        <w:footnoteReference w:id="26"/>
      </w:r>
      <w:r w:rsidR="00E31DB4" w:rsidRPr="00D213B4">
        <w:rPr>
          <w:rFonts w:ascii="Calibri" w:hAnsi="Calibri" w:cs="Calibri"/>
        </w:rPr>
        <w:t xml:space="preserve"> This again shows that Fiadotava has </w:t>
      </w:r>
      <w:r w:rsidR="00EA375C" w:rsidRPr="00D213B4">
        <w:rPr>
          <w:rFonts w:ascii="Calibri" w:hAnsi="Calibri" w:cs="Calibri"/>
        </w:rPr>
        <w:t xml:space="preserve">been </w:t>
      </w:r>
      <w:r w:rsidR="00E31DB4" w:rsidRPr="00D213B4">
        <w:rPr>
          <w:rFonts w:ascii="Calibri" w:hAnsi="Calibri" w:cs="Calibri"/>
        </w:rPr>
        <w:t>linked to key heritage methodologies and approaches</w:t>
      </w:r>
      <w:r w:rsidR="00EA375C" w:rsidRPr="00D213B4">
        <w:rPr>
          <w:rFonts w:ascii="Calibri" w:hAnsi="Calibri" w:cs="Calibri"/>
        </w:rPr>
        <w:t>,</w:t>
      </w:r>
      <w:r w:rsidR="00E31DB4" w:rsidRPr="00D213B4">
        <w:rPr>
          <w:rFonts w:ascii="Calibri" w:hAnsi="Calibri" w:cs="Calibri"/>
        </w:rPr>
        <w:t xml:space="preserve"> but also added to this and</w:t>
      </w:r>
      <w:r w:rsidR="00EA375C" w:rsidRPr="00D213B4">
        <w:rPr>
          <w:rFonts w:ascii="Calibri" w:hAnsi="Calibri" w:cs="Calibri"/>
        </w:rPr>
        <w:t xml:space="preserve"> has</w:t>
      </w:r>
      <w:r w:rsidR="00E31DB4" w:rsidRPr="00D213B4">
        <w:rPr>
          <w:rFonts w:ascii="Calibri" w:hAnsi="Calibri" w:cs="Calibri"/>
        </w:rPr>
        <w:t xml:space="preserve"> shown wa</w:t>
      </w:r>
      <w:r w:rsidR="00EA375C" w:rsidRPr="00D213B4">
        <w:rPr>
          <w:rFonts w:ascii="Calibri" w:hAnsi="Calibri" w:cs="Calibri"/>
        </w:rPr>
        <w:t>y</w:t>
      </w:r>
      <w:r w:rsidR="00E31DB4" w:rsidRPr="00D213B4">
        <w:rPr>
          <w:rFonts w:ascii="Calibri" w:hAnsi="Calibri" w:cs="Calibri"/>
        </w:rPr>
        <w:t xml:space="preserve">s in which </w:t>
      </w:r>
      <w:r w:rsidR="00EA375C" w:rsidRPr="00D213B4">
        <w:rPr>
          <w:rFonts w:ascii="Calibri" w:hAnsi="Calibri" w:cs="Calibri"/>
        </w:rPr>
        <w:t>humorous</w:t>
      </w:r>
      <w:r w:rsidR="00E31DB4" w:rsidRPr="00D213B4">
        <w:rPr>
          <w:rFonts w:ascii="Calibri" w:hAnsi="Calibri" w:cs="Calibri"/>
        </w:rPr>
        <w:t xml:space="preserve"> heritage can </w:t>
      </w:r>
      <w:r w:rsidR="00EA375C" w:rsidRPr="00D213B4">
        <w:rPr>
          <w:rFonts w:ascii="Calibri" w:hAnsi="Calibri" w:cs="Calibri"/>
        </w:rPr>
        <w:t>be essential in preserving the past; it also shows that this section is the strongest in the article.</w:t>
      </w:r>
    </w:p>
    <w:p w14:paraId="50851353" w14:textId="6C09CBCE" w:rsidR="00764402" w:rsidRDefault="00EA375C">
      <w:pPr>
        <w:rPr>
          <w:rFonts w:ascii="Calibri" w:hAnsi="Calibri" w:cs="Calibri"/>
        </w:rPr>
      </w:pPr>
      <w:r w:rsidRPr="00D213B4">
        <w:rPr>
          <w:rFonts w:ascii="Calibri" w:hAnsi="Calibri" w:cs="Calibri"/>
        </w:rPr>
        <w:tab/>
        <w:t xml:space="preserve">To </w:t>
      </w:r>
      <w:r w:rsidR="00D213B4" w:rsidRPr="00D213B4">
        <w:rPr>
          <w:rFonts w:ascii="Calibri" w:hAnsi="Calibri" w:cs="Calibri"/>
        </w:rPr>
        <w:t>conclude</w:t>
      </w:r>
      <w:r w:rsidRPr="00D213B4">
        <w:rPr>
          <w:rFonts w:ascii="Calibri" w:hAnsi="Calibri" w:cs="Calibri"/>
        </w:rPr>
        <w:t>, Fiadotava has used humorous heritage as a means to build on or support current heritage studies and approaches. They have shown that humorous heritage, like heritage in general</w:t>
      </w:r>
      <w:r w:rsidR="00D213B4" w:rsidRPr="00D213B4">
        <w:rPr>
          <w:rFonts w:ascii="Calibri" w:hAnsi="Calibri" w:cs="Calibri"/>
        </w:rPr>
        <w:t>,</w:t>
      </w:r>
      <w:r w:rsidRPr="00D213B4">
        <w:rPr>
          <w:rFonts w:ascii="Calibri" w:hAnsi="Calibri" w:cs="Calibri"/>
        </w:rPr>
        <w:t xml:space="preserve"> has a fear of </w:t>
      </w:r>
      <w:r w:rsidR="00D213B4">
        <w:rPr>
          <w:rFonts w:ascii="Calibri" w:hAnsi="Calibri" w:cs="Calibri"/>
        </w:rPr>
        <w:t>being forgotten</w:t>
      </w:r>
      <w:r w:rsidRPr="00D213B4">
        <w:rPr>
          <w:rFonts w:ascii="Calibri" w:hAnsi="Calibri" w:cs="Calibri"/>
        </w:rPr>
        <w:t xml:space="preserve"> as </w:t>
      </w:r>
      <w:r w:rsidR="00D213B4" w:rsidRPr="00D213B4">
        <w:rPr>
          <w:rFonts w:ascii="Calibri" w:hAnsi="Calibri" w:cs="Calibri"/>
        </w:rPr>
        <w:t>well as</w:t>
      </w:r>
      <w:r w:rsidRPr="00D213B4">
        <w:rPr>
          <w:rFonts w:ascii="Calibri" w:hAnsi="Calibri" w:cs="Calibri"/>
        </w:rPr>
        <w:t xml:space="preserve"> </w:t>
      </w:r>
      <w:r w:rsidR="00D213B4">
        <w:rPr>
          <w:rFonts w:ascii="Calibri" w:hAnsi="Calibri" w:cs="Calibri"/>
        </w:rPr>
        <w:t xml:space="preserve">being </w:t>
      </w:r>
      <w:r w:rsidRPr="00D213B4">
        <w:rPr>
          <w:rFonts w:ascii="Calibri" w:hAnsi="Calibri" w:cs="Calibri"/>
        </w:rPr>
        <w:t xml:space="preserve">tangible and </w:t>
      </w:r>
      <w:r w:rsidR="00D213B4" w:rsidRPr="00D213B4">
        <w:rPr>
          <w:rFonts w:ascii="Calibri" w:hAnsi="Calibri" w:cs="Calibri"/>
        </w:rPr>
        <w:t>intangible</w:t>
      </w:r>
      <w:r w:rsidRPr="00D213B4">
        <w:rPr>
          <w:rFonts w:ascii="Calibri" w:hAnsi="Calibri" w:cs="Calibri"/>
        </w:rPr>
        <w:t xml:space="preserve">. They have also shown that humorous heritage can be used as a tool to collect diversity due to the grassroots nature of humour. Moreover, it has been shown that </w:t>
      </w:r>
      <w:r w:rsidR="00D213B4" w:rsidRPr="00D213B4">
        <w:rPr>
          <w:rFonts w:ascii="Calibri" w:hAnsi="Calibri" w:cs="Calibri"/>
        </w:rPr>
        <w:t>humorous</w:t>
      </w:r>
      <w:r w:rsidRPr="00D213B4">
        <w:rPr>
          <w:rFonts w:ascii="Calibri" w:hAnsi="Calibri" w:cs="Calibri"/>
        </w:rPr>
        <w:t xml:space="preserve"> heritage </w:t>
      </w:r>
      <w:r w:rsidR="00D213B4" w:rsidRPr="00D213B4">
        <w:rPr>
          <w:rFonts w:ascii="Calibri" w:hAnsi="Calibri" w:cs="Calibri"/>
        </w:rPr>
        <w:t xml:space="preserve">preservation should be steeped in the observation of people and systems, and community input is vital in capturing the true essence of it. Lastly, the article showed that humour in heritage can be used to create a cultural memory that reflects society and its values, and that this should be preserved for future generations. </w:t>
      </w:r>
      <w:r w:rsidRPr="00D213B4">
        <w:rPr>
          <w:rFonts w:ascii="Calibri" w:hAnsi="Calibri" w:cs="Calibri"/>
        </w:rPr>
        <w:t xml:space="preserve">Fiadotava </w:t>
      </w:r>
      <w:r w:rsidR="00D213B4" w:rsidRPr="00D213B4">
        <w:rPr>
          <w:rFonts w:ascii="Calibri" w:hAnsi="Calibri" w:cs="Calibri"/>
        </w:rPr>
        <w:t xml:space="preserve">successfully </w:t>
      </w:r>
      <w:r w:rsidRPr="00D213B4">
        <w:rPr>
          <w:rFonts w:ascii="Calibri" w:hAnsi="Calibri" w:cs="Calibri"/>
        </w:rPr>
        <w:t>highlights an important perspective on using humorous heritage to capture the cultural zeitgeist, as well as highlighting issues facing it, by building on already established notions of heritage studies.</w:t>
      </w:r>
      <w:r w:rsidR="00D213B4" w:rsidRPr="00D213B4">
        <w:rPr>
          <w:rFonts w:ascii="Calibri" w:hAnsi="Calibri" w:cs="Calibri"/>
        </w:rPr>
        <w:t xml:space="preserve"> To further the research in future, there could be more explicit analysis of the institutions that host humorous heritage and how they could potentially be homogenising it. </w:t>
      </w:r>
    </w:p>
    <w:p w14:paraId="10BD7A5D" w14:textId="77777777" w:rsidR="000F7349" w:rsidRDefault="000F7349">
      <w:pPr>
        <w:rPr>
          <w:rFonts w:ascii="Calibri" w:hAnsi="Calibri" w:cs="Calibri"/>
        </w:rPr>
      </w:pPr>
    </w:p>
    <w:p w14:paraId="746B4CEA" w14:textId="77777777" w:rsidR="000F7349" w:rsidRDefault="000F7349">
      <w:pPr>
        <w:rPr>
          <w:rFonts w:ascii="Calibri" w:hAnsi="Calibri" w:cs="Calibri"/>
        </w:rPr>
      </w:pPr>
    </w:p>
    <w:p w14:paraId="2C63C4C1" w14:textId="77777777" w:rsidR="000F7349" w:rsidRPr="00E36559" w:rsidRDefault="000F7349" w:rsidP="000F7349">
      <w:pPr>
        <w:jc w:val="center"/>
        <w:rPr>
          <w:rFonts w:ascii="Calibri" w:hAnsi="Calibri" w:cs="Calibri"/>
          <w:b/>
          <w:bCs/>
          <w:u w:val="single"/>
        </w:rPr>
      </w:pPr>
      <w:r w:rsidRPr="00E36559">
        <w:rPr>
          <w:rFonts w:ascii="Calibri" w:hAnsi="Calibri" w:cs="Calibri"/>
          <w:b/>
          <w:bCs/>
          <w:u w:val="single"/>
        </w:rPr>
        <w:t>Bibliography</w:t>
      </w:r>
    </w:p>
    <w:p w14:paraId="0A7FE679" w14:textId="77777777" w:rsidR="000F7349" w:rsidRPr="00E36559" w:rsidRDefault="000F7349" w:rsidP="000F7349">
      <w:pPr>
        <w:rPr>
          <w:rFonts w:ascii="Calibri" w:hAnsi="Calibri" w:cs="Calibri"/>
        </w:rPr>
      </w:pPr>
      <w:r w:rsidRPr="00E36559">
        <w:rPr>
          <w:rFonts w:ascii="Calibri" w:hAnsi="Calibri" w:cs="Calibri"/>
        </w:rPr>
        <w:t xml:space="preserve">Apaydin, Veysel, ‘The Interlinkage of Cultural Memory, Heritage and Discourses of Construction, Transformation and Destruction’ in </w:t>
      </w:r>
      <w:r w:rsidRPr="00E36559">
        <w:rPr>
          <w:rFonts w:ascii="Calibri" w:hAnsi="Calibri" w:cs="Calibri"/>
          <w:i/>
          <w:iCs/>
        </w:rPr>
        <w:t xml:space="preserve">Critical Perspectives on Cultural Memory and Heritage </w:t>
      </w:r>
      <w:r w:rsidRPr="00E36559">
        <w:rPr>
          <w:rFonts w:ascii="Calibri" w:hAnsi="Calibri" w:cs="Calibri"/>
          <w:i/>
          <w:iCs/>
        </w:rPr>
        <w:lastRenderedPageBreak/>
        <w:t>Construction, Transformation and Destruction</w:t>
      </w:r>
      <w:r w:rsidRPr="00E36559">
        <w:rPr>
          <w:rFonts w:ascii="Calibri" w:hAnsi="Calibri" w:cs="Calibri"/>
        </w:rPr>
        <w:t>, ed. By Veysel Apaydin. (London: UCL Press, 2020), pp. 13-30.</w:t>
      </w:r>
    </w:p>
    <w:p w14:paraId="67B978EF" w14:textId="77777777" w:rsidR="000F7349" w:rsidRPr="00E36559" w:rsidRDefault="000F7349" w:rsidP="000F7349">
      <w:pPr>
        <w:rPr>
          <w:rFonts w:ascii="Calibri" w:hAnsi="Calibri" w:cs="Calibri"/>
        </w:rPr>
      </w:pPr>
      <w:r w:rsidRPr="00E36559">
        <w:rPr>
          <w:rFonts w:ascii="Calibri" w:hAnsi="Calibri" w:cs="Calibri"/>
        </w:rPr>
        <w:t xml:space="preserve">Assman, Jan, ‘Communicative and Cultural Memory’, in </w:t>
      </w:r>
      <w:r w:rsidRPr="00E36559">
        <w:rPr>
          <w:rFonts w:ascii="Calibri" w:hAnsi="Calibri" w:cs="Calibri"/>
          <w:i/>
          <w:iCs/>
        </w:rPr>
        <w:t>Cultural Memory Studies: An International and Interdisciplinary Handbook</w:t>
      </w:r>
      <w:r w:rsidRPr="00E36559">
        <w:rPr>
          <w:rFonts w:ascii="Calibri" w:hAnsi="Calibri" w:cs="Calibri"/>
        </w:rPr>
        <w:t>, ed. By Astrid Erll and Ansgar Nünning. (Berlin, New York, 2008), pp. 109-118.</w:t>
      </w:r>
    </w:p>
    <w:p w14:paraId="516165E1" w14:textId="77777777" w:rsidR="000F7349" w:rsidRPr="00E36559" w:rsidRDefault="000F7349" w:rsidP="000F7349">
      <w:pPr>
        <w:rPr>
          <w:rFonts w:ascii="Calibri" w:hAnsi="Calibri" w:cs="Calibri"/>
        </w:rPr>
      </w:pPr>
      <w:r w:rsidRPr="00E36559">
        <w:rPr>
          <w:rFonts w:ascii="Calibri" w:hAnsi="Calibri" w:cs="Calibri"/>
        </w:rPr>
        <w:t xml:space="preserve">Assmann, Jan, and John Czaplicka, ‘Collective Memory and Cultural Identity’, </w:t>
      </w:r>
      <w:r w:rsidRPr="00E36559">
        <w:rPr>
          <w:rFonts w:ascii="Calibri" w:hAnsi="Calibri" w:cs="Calibri"/>
          <w:i/>
          <w:iCs/>
        </w:rPr>
        <w:t>New German Critique</w:t>
      </w:r>
      <w:r w:rsidRPr="00E36559">
        <w:rPr>
          <w:rFonts w:ascii="Calibri" w:hAnsi="Calibri" w:cs="Calibri"/>
        </w:rPr>
        <w:t>, 65 (1995), pp. 125-133, doi: 10.2307/488538.</w:t>
      </w:r>
    </w:p>
    <w:p w14:paraId="208E48A6" w14:textId="77777777" w:rsidR="000F7349" w:rsidRPr="00E36559" w:rsidRDefault="000F7349" w:rsidP="000F7349">
      <w:pPr>
        <w:rPr>
          <w:rFonts w:ascii="Calibri" w:hAnsi="Calibri" w:cs="Calibri"/>
        </w:rPr>
      </w:pPr>
      <w:r w:rsidRPr="00E36559">
        <w:rPr>
          <w:rFonts w:ascii="Calibri" w:hAnsi="Calibri" w:cs="Calibri"/>
        </w:rPr>
        <w:t>Fiadotava, Anastasiya, ‘Humour as Cultural Heritage’, </w:t>
      </w:r>
      <w:r w:rsidRPr="00E36559">
        <w:rPr>
          <w:rFonts w:ascii="Calibri" w:hAnsi="Calibri" w:cs="Calibri"/>
          <w:i/>
          <w:iCs/>
        </w:rPr>
        <w:t>International Journal of Heritage Studies: IJHS</w:t>
      </w:r>
      <w:r w:rsidRPr="00E36559">
        <w:rPr>
          <w:rFonts w:ascii="Calibri" w:hAnsi="Calibri" w:cs="Calibri"/>
        </w:rPr>
        <w:t>, 2025, pp. 1–17, doi:10.1080/13527258.2025.2557837.</w:t>
      </w:r>
    </w:p>
    <w:p w14:paraId="0D85CEF7" w14:textId="77777777" w:rsidR="000F7349" w:rsidRPr="00E36559" w:rsidRDefault="000F7349" w:rsidP="000F7349">
      <w:pPr>
        <w:rPr>
          <w:rFonts w:ascii="Calibri" w:hAnsi="Calibri" w:cs="Calibri"/>
        </w:rPr>
      </w:pPr>
      <w:r w:rsidRPr="00E36559">
        <w:rPr>
          <w:rFonts w:ascii="Calibri" w:hAnsi="Calibri" w:cs="Calibri"/>
        </w:rPr>
        <w:t xml:space="preserve">Harrison, Rodney, ‘Heritage as Future-making Practices’, in </w:t>
      </w:r>
      <w:r w:rsidRPr="00E36559">
        <w:rPr>
          <w:rFonts w:ascii="Calibri" w:hAnsi="Calibri" w:cs="Calibri"/>
          <w:i/>
          <w:iCs/>
        </w:rPr>
        <w:t>Heritage Futures: Comparative Approaches to Natural and Cultural Heritage Practices</w:t>
      </w:r>
      <w:r w:rsidRPr="00E36559">
        <w:rPr>
          <w:rFonts w:ascii="Calibri" w:hAnsi="Calibri" w:cs="Calibri"/>
        </w:rPr>
        <w:t>, ed. By Rodney Harrison et al. (London: UCL Press, 2020), pp. 20-50.</w:t>
      </w:r>
    </w:p>
    <w:p w14:paraId="61619838" w14:textId="77777777" w:rsidR="000F7349" w:rsidRPr="00E36559" w:rsidRDefault="000F7349" w:rsidP="000F7349">
      <w:pPr>
        <w:rPr>
          <w:rFonts w:ascii="Calibri" w:hAnsi="Calibri" w:cs="Calibri"/>
        </w:rPr>
      </w:pPr>
      <w:r w:rsidRPr="00E36559">
        <w:rPr>
          <w:rFonts w:ascii="Calibri" w:hAnsi="Calibri" w:cs="Calibri"/>
        </w:rPr>
        <w:t>Harrison, Rodney, ‘What is Heritage?’</w:t>
      </w:r>
      <w:r w:rsidRPr="00E36559">
        <w:rPr>
          <w:rFonts w:ascii="Calibri" w:hAnsi="Calibri" w:cs="Calibri"/>
          <w:i/>
          <w:iCs/>
        </w:rPr>
        <w:t>, in Understanding the Politics of Heritage</w:t>
      </w:r>
      <w:r w:rsidRPr="00E36559">
        <w:rPr>
          <w:rFonts w:ascii="Calibri" w:hAnsi="Calibri" w:cs="Calibri"/>
        </w:rPr>
        <w:t>, ed. By Rodney Harrison. (Manchester: Manchester University Press), 2010, pp. 5-42.</w:t>
      </w:r>
    </w:p>
    <w:p w14:paraId="781988E9" w14:textId="77777777" w:rsidR="000F7349" w:rsidRPr="00E36559" w:rsidRDefault="000F7349" w:rsidP="000F7349">
      <w:pPr>
        <w:rPr>
          <w:rFonts w:ascii="Calibri" w:hAnsi="Calibri" w:cs="Calibri"/>
        </w:rPr>
      </w:pPr>
      <w:r w:rsidRPr="00E36559">
        <w:rPr>
          <w:rFonts w:ascii="Calibri" w:hAnsi="Calibri" w:cs="Calibri"/>
        </w:rPr>
        <w:t xml:space="preserve">Harrison, Rodney, Esther Breithoff and Sefryn Penrose, ‘Conserving Diversity’, in </w:t>
      </w:r>
      <w:r w:rsidRPr="00E36559">
        <w:rPr>
          <w:rFonts w:ascii="Calibri" w:hAnsi="Calibri" w:cs="Calibri"/>
          <w:i/>
          <w:iCs/>
        </w:rPr>
        <w:t>Heritage Futures: Comparative Approaches to Natural and Cultural Heritage Practices</w:t>
      </w:r>
      <w:r w:rsidRPr="00E36559">
        <w:rPr>
          <w:rFonts w:ascii="Calibri" w:hAnsi="Calibri" w:cs="Calibri"/>
        </w:rPr>
        <w:t>, ed. By Rodney Harrison et al. (London: UCL Press, 2020), pp. 53-73.</w:t>
      </w:r>
    </w:p>
    <w:p w14:paraId="06A65A6B" w14:textId="77777777" w:rsidR="000F7349" w:rsidRPr="00E36559" w:rsidRDefault="000F7349" w:rsidP="000F7349">
      <w:pPr>
        <w:rPr>
          <w:rFonts w:ascii="Calibri" w:hAnsi="Calibri" w:cs="Calibri"/>
        </w:rPr>
      </w:pPr>
      <w:r w:rsidRPr="00E36559">
        <w:rPr>
          <w:rFonts w:ascii="Calibri" w:hAnsi="Calibri" w:cs="Calibri"/>
        </w:rPr>
        <w:t xml:space="preserve">Sørensen, Marie Louise Stig and John Carman, ‘Introduction: Making the Means Transparent: Reasons and Reflections’, in </w:t>
      </w:r>
      <w:r w:rsidRPr="00E36559">
        <w:rPr>
          <w:rFonts w:ascii="Calibri" w:hAnsi="Calibri" w:cs="Calibri"/>
          <w:i/>
          <w:iCs/>
        </w:rPr>
        <w:t>Heritage Studies: Methods and Approaches</w:t>
      </w:r>
      <w:r w:rsidRPr="00E36559">
        <w:rPr>
          <w:rFonts w:ascii="Calibri" w:hAnsi="Calibri" w:cs="Calibri"/>
        </w:rPr>
        <w:t>, ed. By John Carmen and Marie Louise Stig Sørensen. (London: Routledge, 2009), pp. 3-10.</w:t>
      </w:r>
    </w:p>
    <w:p w14:paraId="7293D51E" w14:textId="77777777" w:rsidR="000F7349" w:rsidRDefault="000F7349">
      <w:pPr>
        <w:rPr>
          <w:rFonts w:ascii="Calibri" w:hAnsi="Calibri" w:cs="Calibri"/>
        </w:rPr>
      </w:pPr>
    </w:p>
    <w:p w14:paraId="359C7AE5" w14:textId="77777777" w:rsidR="00805197" w:rsidRDefault="00805197">
      <w:pPr>
        <w:rPr>
          <w:rFonts w:ascii="Calibri" w:hAnsi="Calibri" w:cs="Calibri"/>
        </w:rPr>
      </w:pPr>
    </w:p>
    <w:p w14:paraId="1BC61884" w14:textId="7B88C7AD" w:rsidR="00805197" w:rsidRPr="00D213B4" w:rsidRDefault="00805197">
      <w:pPr>
        <w:rPr>
          <w:rFonts w:ascii="Calibri" w:hAnsi="Calibri" w:cs="Calibri"/>
        </w:rPr>
      </w:pPr>
    </w:p>
    <w:sectPr w:rsidR="00805197" w:rsidRPr="00D213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711A7" w14:textId="77777777" w:rsidR="004C3F4E" w:rsidRDefault="004C3F4E" w:rsidP="00F01FBC">
      <w:pPr>
        <w:spacing w:after="0" w:line="240" w:lineRule="auto"/>
      </w:pPr>
      <w:r>
        <w:separator/>
      </w:r>
    </w:p>
  </w:endnote>
  <w:endnote w:type="continuationSeparator" w:id="0">
    <w:p w14:paraId="75C7FB9B" w14:textId="77777777" w:rsidR="004C3F4E" w:rsidRDefault="004C3F4E" w:rsidP="00F0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5D5E4" w14:textId="77777777" w:rsidR="004C3F4E" w:rsidRDefault="004C3F4E" w:rsidP="00F01FBC">
      <w:pPr>
        <w:spacing w:after="0" w:line="240" w:lineRule="auto"/>
      </w:pPr>
      <w:r>
        <w:separator/>
      </w:r>
    </w:p>
  </w:footnote>
  <w:footnote w:type="continuationSeparator" w:id="0">
    <w:p w14:paraId="35CE8EAD" w14:textId="77777777" w:rsidR="004C3F4E" w:rsidRDefault="004C3F4E" w:rsidP="00F01FBC">
      <w:pPr>
        <w:spacing w:after="0" w:line="240" w:lineRule="auto"/>
      </w:pPr>
      <w:r>
        <w:continuationSeparator/>
      </w:r>
    </w:p>
  </w:footnote>
  <w:footnote w:id="1">
    <w:p w14:paraId="75EA4B64" w14:textId="1D4683AB" w:rsidR="00F01FBC" w:rsidRPr="00D213B4" w:rsidRDefault="00F01FBC"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bookmarkStart w:id="0" w:name="_Hlk212791481"/>
      <w:r w:rsidRPr="00D213B4">
        <w:rPr>
          <w:rFonts w:ascii="Calibri" w:hAnsi="Calibri" w:cs="Calibri"/>
          <w:sz w:val="18"/>
          <w:szCs w:val="18"/>
        </w:rPr>
        <w:t>Anastasiya Fiadotava, ‘Humour as Cultural Heritage’, </w:t>
      </w:r>
      <w:r w:rsidRPr="00D213B4">
        <w:rPr>
          <w:rFonts w:ascii="Calibri" w:hAnsi="Calibri" w:cs="Calibri"/>
          <w:i/>
          <w:iCs/>
          <w:sz w:val="18"/>
          <w:szCs w:val="18"/>
        </w:rPr>
        <w:t>International Journal of Heritage Studies: IJHS</w:t>
      </w:r>
      <w:r w:rsidRPr="00D213B4">
        <w:rPr>
          <w:rFonts w:ascii="Calibri" w:hAnsi="Calibri" w:cs="Calibri"/>
          <w:sz w:val="18"/>
          <w:szCs w:val="18"/>
        </w:rPr>
        <w:t>, 2025, pp. 1–17, doi:10.1080/13527258.2025.2557837</w:t>
      </w:r>
      <w:bookmarkEnd w:id="0"/>
    </w:p>
  </w:footnote>
  <w:footnote w:id="2">
    <w:p w14:paraId="7E4F7AA1" w14:textId="478C1B3A" w:rsidR="00F01FBC" w:rsidRPr="00D213B4" w:rsidRDefault="00F01FBC"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i/>
          <w:iCs/>
          <w:sz w:val="18"/>
          <w:szCs w:val="18"/>
        </w:rPr>
        <w:t xml:space="preserve"> Ibid</w:t>
      </w:r>
      <w:r w:rsidRPr="00D213B4">
        <w:rPr>
          <w:rFonts w:ascii="Calibri" w:hAnsi="Calibri" w:cs="Calibri"/>
          <w:sz w:val="18"/>
          <w:szCs w:val="18"/>
        </w:rPr>
        <w:t>, p.2.</w:t>
      </w:r>
    </w:p>
  </w:footnote>
  <w:footnote w:id="3">
    <w:p w14:paraId="01CF1B9A" w14:textId="5F725097" w:rsidR="0025009D" w:rsidRPr="00D213B4" w:rsidRDefault="0025009D"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w:t>
      </w:r>
    </w:p>
  </w:footnote>
  <w:footnote w:id="4">
    <w:p w14:paraId="658CF345" w14:textId="7E23B8F8" w:rsidR="0025009D" w:rsidRPr="00D213B4" w:rsidRDefault="0025009D"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w:t>
      </w:r>
    </w:p>
  </w:footnote>
  <w:footnote w:id="5">
    <w:p w14:paraId="30CFF56B" w14:textId="5D056F04" w:rsidR="0025009D" w:rsidRPr="00D213B4" w:rsidRDefault="0025009D"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bookmarkStart w:id="1" w:name="_Hlk212792415"/>
      <w:r w:rsidRPr="00D213B4">
        <w:rPr>
          <w:rFonts w:ascii="Calibri" w:hAnsi="Calibri" w:cs="Calibri"/>
          <w:sz w:val="18"/>
          <w:szCs w:val="18"/>
        </w:rPr>
        <w:t xml:space="preserve">Jan Assman, ‘Communicative and Cultural Memory’, in </w:t>
      </w:r>
      <w:r w:rsidRPr="00D213B4">
        <w:rPr>
          <w:rFonts w:ascii="Calibri" w:hAnsi="Calibri" w:cs="Calibri"/>
          <w:i/>
          <w:iCs/>
          <w:sz w:val="18"/>
          <w:szCs w:val="18"/>
        </w:rPr>
        <w:t>Cultural Memory Studies: An International and Interdisciplinary Handbook</w:t>
      </w:r>
      <w:r w:rsidRPr="00D213B4">
        <w:rPr>
          <w:rFonts w:ascii="Calibri" w:hAnsi="Calibri" w:cs="Calibri"/>
          <w:sz w:val="18"/>
          <w:szCs w:val="18"/>
        </w:rPr>
        <w:t xml:space="preserve">, ed. By Astrid Erll and Ansgar Nünning. (Berlin, New York, 2008), pp. </w:t>
      </w:r>
      <w:bookmarkEnd w:id="1"/>
      <w:r w:rsidRPr="00D213B4">
        <w:rPr>
          <w:rFonts w:ascii="Calibri" w:hAnsi="Calibri" w:cs="Calibri"/>
          <w:sz w:val="18"/>
          <w:szCs w:val="18"/>
        </w:rPr>
        <w:t>113-114.</w:t>
      </w:r>
    </w:p>
  </w:footnote>
  <w:footnote w:id="6">
    <w:p w14:paraId="42D99DEF" w14:textId="3394F436" w:rsidR="0034643B" w:rsidRPr="00D213B4" w:rsidRDefault="0034643B"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Fiadotava, p. 1.</w:t>
      </w:r>
    </w:p>
  </w:footnote>
  <w:footnote w:id="7">
    <w:p w14:paraId="35CE2BB7" w14:textId="2F47F697" w:rsidR="00FD54D6" w:rsidRPr="00D213B4" w:rsidRDefault="00FD54D6"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p.2.</w:t>
      </w:r>
    </w:p>
  </w:footnote>
  <w:footnote w:id="8">
    <w:p w14:paraId="5263824A" w14:textId="72A3FDFC" w:rsidR="00FD54D6" w:rsidRPr="00D213B4" w:rsidRDefault="00FD54D6"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p.5.</w:t>
      </w:r>
    </w:p>
  </w:footnote>
  <w:footnote w:id="9">
    <w:p w14:paraId="487DC15D" w14:textId="1D264B57" w:rsidR="00FD54D6" w:rsidRPr="00D213B4" w:rsidRDefault="00FD54D6"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Rodney Harrison, ‘What is Heritage?’</w:t>
      </w:r>
      <w:r w:rsidRPr="00D213B4">
        <w:rPr>
          <w:rFonts w:ascii="Calibri" w:hAnsi="Calibri" w:cs="Calibri"/>
          <w:i/>
          <w:iCs/>
          <w:sz w:val="18"/>
          <w:szCs w:val="18"/>
        </w:rPr>
        <w:t>, in Understanding the Politics of Heritage</w:t>
      </w:r>
      <w:r w:rsidRPr="00D213B4">
        <w:rPr>
          <w:rFonts w:ascii="Calibri" w:hAnsi="Calibri" w:cs="Calibri"/>
          <w:sz w:val="18"/>
          <w:szCs w:val="18"/>
        </w:rPr>
        <w:t>, ed. By Rodney Harrison. (Manchester: Manchester University Press), 2010, p. 9.</w:t>
      </w:r>
    </w:p>
  </w:footnote>
  <w:footnote w:id="10">
    <w:p w14:paraId="154F4D29" w14:textId="7AD905B7" w:rsidR="00743E49" w:rsidRPr="00D213B4" w:rsidRDefault="00743E49"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004A27AA" w:rsidRPr="00D213B4">
        <w:rPr>
          <w:rFonts w:ascii="Calibri" w:hAnsi="Calibri" w:cs="Calibri"/>
          <w:sz w:val="18"/>
          <w:szCs w:val="18"/>
        </w:rPr>
        <w:t xml:space="preserve"> Fiadotava</w:t>
      </w:r>
      <w:r w:rsidRPr="00D213B4">
        <w:rPr>
          <w:rFonts w:ascii="Calibri" w:hAnsi="Calibri" w:cs="Calibri"/>
          <w:sz w:val="18"/>
          <w:szCs w:val="18"/>
        </w:rPr>
        <w:t>, p.5.</w:t>
      </w:r>
    </w:p>
  </w:footnote>
  <w:footnote w:id="11">
    <w:p w14:paraId="6C46D0B8" w14:textId="591AEAD6" w:rsidR="00743E49" w:rsidRPr="00D213B4" w:rsidRDefault="00743E49"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Harrison, pp. 14-15.</w:t>
      </w:r>
    </w:p>
  </w:footnote>
  <w:footnote w:id="12">
    <w:p w14:paraId="61FEAA7B" w14:textId="737B0609" w:rsidR="004A27AA" w:rsidRPr="00D213B4" w:rsidRDefault="004A27AA"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Fiadotava, p</w:t>
      </w:r>
      <w:r w:rsidR="00822AEB" w:rsidRPr="00D213B4">
        <w:rPr>
          <w:rFonts w:ascii="Calibri" w:hAnsi="Calibri" w:cs="Calibri"/>
          <w:sz w:val="18"/>
          <w:szCs w:val="18"/>
        </w:rPr>
        <w:t>p</w:t>
      </w:r>
      <w:r w:rsidRPr="00D213B4">
        <w:rPr>
          <w:rFonts w:ascii="Calibri" w:hAnsi="Calibri" w:cs="Calibri"/>
          <w:sz w:val="18"/>
          <w:szCs w:val="18"/>
        </w:rPr>
        <w:t>. 6-7.</w:t>
      </w:r>
    </w:p>
  </w:footnote>
  <w:footnote w:id="13">
    <w:p w14:paraId="14E9E427" w14:textId="66190285" w:rsidR="004A27AA" w:rsidRPr="00D213B4" w:rsidRDefault="004A27AA"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pp. 7-11.</w:t>
      </w:r>
    </w:p>
  </w:footnote>
  <w:footnote w:id="14">
    <w:p w14:paraId="710DCB5F" w14:textId="4EE60CA5" w:rsidR="004A27AA" w:rsidRPr="00D213B4" w:rsidRDefault="004A27AA"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Rodney Harrison, Esther Breithoff and Sefryn Penrose, ‘Conserving Diversity’, in </w:t>
      </w:r>
      <w:r w:rsidRPr="00D213B4">
        <w:rPr>
          <w:rFonts w:ascii="Calibri" w:hAnsi="Calibri" w:cs="Calibri"/>
          <w:i/>
          <w:iCs/>
          <w:sz w:val="18"/>
          <w:szCs w:val="18"/>
        </w:rPr>
        <w:t>Heritage Futures: Comparative Approaches to Natural and Cultural Heritage Practices</w:t>
      </w:r>
      <w:r w:rsidRPr="00D213B4">
        <w:rPr>
          <w:rFonts w:ascii="Calibri" w:hAnsi="Calibri" w:cs="Calibri"/>
          <w:sz w:val="18"/>
          <w:szCs w:val="18"/>
        </w:rPr>
        <w:t>, ed. By Rodney Harrison et al. (London: UCL Press, 2020), p. 53.</w:t>
      </w:r>
    </w:p>
  </w:footnote>
  <w:footnote w:id="15">
    <w:p w14:paraId="1422ACBD" w14:textId="4591551D" w:rsidR="00822AEB" w:rsidRPr="00D213B4" w:rsidRDefault="00822AEB"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Fiadotava, p. 2.</w:t>
      </w:r>
    </w:p>
  </w:footnote>
  <w:footnote w:id="16">
    <w:p w14:paraId="110C043C" w14:textId="5DC3E663" w:rsidR="00822AEB" w:rsidRPr="00D213B4" w:rsidRDefault="00822AEB"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pp. 11-12.</w:t>
      </w:r>
    </w:p>
  </w:footnote>
  <w:footnote w:id="17">
    <w:p w14:paraId="6C733689" w14:textId="66278496" w:rsidR="00DB45EE" w:rsidRPr="00D213B4" w:rsidRDefault="00DB45EE"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p.12.</w:t>
      </w:r>
    </w:p>
  </w:footnote>
  <w:footnote w:id="18">
    <w:p w14:paraId="177FCA8E" w14:textId="3F0F1224" w:rsidR="00DB45EE" w:rsidRPr="00D213B4" w:rsidRDefault="00DB45EE" w:rsidP="00D213B4">
      <w:pPr>
        <w:spacing w:after="0"/>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Marie Louise Stig Sørensen and John Carman, ‘Introduction: Making the Means Transparent: Reasons and Reflections’, in </w:t>
      </w:r>
      <w:r w:rsidRPr="00D213B4">
        <w:rPr>
          <w:rFonts w:ascii="Calibri" w:hAnsi="Calibri" w:cs="Calibri"/>
          <w:i/>
          <w:iCs/>
          <w:sz w:val="18"/>
          <w:szCs w:val="18"/>
        </w:rPr>
        <w:t>Heritage Studies: Methods and Approaches</w:t>
      </w:r>
      <w:r w:rsidRPr="00D213B4">
        <w:rPr>
          <w:rFonts w:ascii="Calibri" w:hAnsi="Calibri" w:cs="Calibri"/>
          <w:sz w:val="18"/>
          <w:szCs w:val="18"/>
        </w:rPr>
        <w:t>, ed. By John Carmen and Marie Louise Stig Sørensen. (London: Routledge, 2009), p. 7.</w:t>
      </w:r>
    </w:p>
  </w:footnote>
  <w:footnote w:id="19">
    <w:p w14:paraId="235997E2" w14:textId="429C8056" w:rsidR="00DB45EE" w:rsidRPr="00D213B4" w:rsidRDefault="00DB45EE"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p.6.</w:t>
      </w:r>
    </w:p>
  </w:footnote>
  <w:footnote w:id="20">
    <w:p w14:paraId="789E52A8" w14:textId="70AB1F12" w:rsidR="00764402" w:rsidRPr="00D213B4" w:rsidRDefault="00764402"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Fiadotava, p. 2.</w:t>
      </w:r>
    </w:p>
  </w:footnote>
  <w:footnote w:id="21">
    <w:p w14:paraId="152DC105" w14:textId="1D5AE61F" w:rsidR="00764402" w:rsidRPr="00D213B4" w:rsidRDefault="00764402"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p.12.</w:t>
      </w:r>
    </w:p>
  </w:footnote>
  <w:footnote w:id="22">
    <w:p w14:paraId="78861415" w14:textId="497F2E72" w:rsidR="00764402" w:rsidRPr="00D213B4" w:rsidRDefault="00764402"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p.12.</w:t>
      </w:r>
    </w:p>
  </w:footnote>
  <w:footnote w:id="23">
    <w:p w14:paraId="2F9D1E96" w14:textId="66D36E0E" w:rsidR="00764402" w:rsidRPr="00D213B4" w:rsidRDefault="00764402" w:rsidP="00D213B4">
      <w:pPr>
        <w:pStyle w:val="FootnoteText"/>
        <w:rPr>
          <w:rFonts w:ascii="Calibri" w:hAnsi="Calibri" w:cs="Calibri"/>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w:t>
      </w:r>
      <w:r w:rsidRPr="00D213B4">
        <w:rPr>
          <w:rFonts w:ascii="Calibri" w:hAnsi="Calibri" w:cs="Calibri"/>
          <w:i/>
          <w:iCs/>
          <w:sz w:val="18"/>
          <w:szCs w:val="18"/>
        </w:rPr>
        <w:t>Ibid</w:t>
      </w:r>
      <w:r w:rsidRPr="00D213B4">
        <w:rPr>
          <w:rFonts w:ascii="Calibri" w:hAnsi="Calibri" w:cs="Calibri"/>
          <w:sz w:val="18"/>
          <w:szCs w:val="18"/>
        </w:rPr>
        <w:t>, p.13.</w:t>
      </w:r>
    </w:p>
  </w:footnote>
  <w:footnote w:id="24">
    <w:p w14:paraId="0F3A4AD9" w14:textId="78BC4EB8" w:rsidR="00E31DB4" w:rsidRPr="00D213B4" w:rsidRDefault="00E31DB4"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Veysel Apaydin, ‘The Interlinkage of Cultural Memory, Heritage and Discourses of Construction, Transformation and Destruction’ in </w:t>
      </w:r>
      <w:r w:rsidRPr="00D213B4">
        <w:rPr>
          <w:rFonts w:ascii="Calibri" w:hAnsi="Calibri" w:cs="Calibri"/>
          <w:i/>
          <w:iCs/>
          <w:sz w:val="18"/>
          <w:szCs w:val="18"/>
        </w:rPr>
        <w:t>Critical Perspectives on Cultural Memory and Heritage Construction, Transformation and Destruction</w:t>
      </w:r>
      <w:r w:rsidRPr="00D213B4">
        <w:rPr>
          <w:rFonts w:ascii="Calibri" w:hAnsi="Calibri" w:cs="Calibri"/>
          <w:sz w:val="18"/>
          <w:szCs w:val="18"/>
        </w:rPr>
        <w:t>, ed. By Veysel Apaydin. (London: UCL Press, 2020), p. 13.</w:t>
      </w:r>
    </w:p>
  </w:footnote>
  <w:footnote w:id="25">
    <w:p w14:paraId="4728BCBD" w14:textId="143EDE3C" w:rsidR="00E31DB4" w:rsidRPr="00D213B4" w:rsidRDefault="00E31DB4"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Jan Assmann and John Czaplicka, ‘Collective Memory and Cultural Identity’, </w:t>
      </w:r>
      <w:r w:rsidRPr="00D213B4">
        <w:rPr>
          <w:rFonts w:ascii="Calibri" w:hAnsi="Calibri" w:cs="Calibri"/>
          <w:i/>
          <w:iCs/>
          <w:sz w:val="18"/>
          <w:szCs w:val="18"/>
        </w:rPr>
        <w:t>New German Critique</w:t>
      </w:r>
      <w:r w:rsidRPr="00D213B4">
        <w:rPr>
          <w:rFonts w:ascii="Calibri" w:hAnsi="Calibri" w:cs="Calibri"/>
          <w:sz w:val="18"/>
          <w:szCs w:val="18"/>
        </w:rPr>
        <w:t>, 65 (1995), p. 133.</w:t>
      </w:r>
    </w:p>
  </w:footnote>
  <w:footnote w:id="26">
    <w:p w14:paraId="31CA0772" w14:textId="01DD1AC2" w:rsidR="00E31DB4" w:rsidRPr="00D213B4" w:rsidRDefault="00E31DB4" w:rsidP="00D213B4">
      <w:pPr>
        <w:spacing w:after="0"/>
        <w:rPr>
          <w:rFonts w:ascii="Calibri" w:hAnsi="Calibri" w:cs="Calibri"/>
          <w:b/>
          <w:bCs/>
          <w:sz w:val="18"/>
          <w:szCs w:val="18"/>
        </w:rPr>
      </w:pPr>
      <w:r w:rsidRPr="00D213B4">
        <w:rPr>
          <w:rStyle w:val="FootnoteReference"/>
          <w:rFonts w:ascii="Calibri" w:hAnsi="Calibri" w:cs="Calibri"/>
          <w:sz w:val="18"/>
          <w:szCs w:val="18"/>
        </w:rPr>
        <w:footnoteRef/>
      </w:r>
      <w:r w:rsidRPr="00D213B4">
        <w:rPr>
          <w:rFonts w:ascii="Calibri" w:hAnsi="Calibri" w:cs="Calibri"/>
          <w:sz w:val="18"/>
          <w:szCs w:val="18"/>
        </w:rPr>
        <w:t xml:space="preserve"> Rodney Harrison, ‘Heritage as Future-making Practices’, in </w:t>
      </w:r>
      <w:r w:rsidRPr="00D213B4">
        <w:rPr>
          <w:rFonts w:ascii="Calibri" w:hAnsi="Calibri" w:cs="Calibri"/>
          <w:i/>
          <w:iCs/>
          <w:sz w:val="18"/>
          <w:szCs w:val="18"/>
        </w:rPr>
        <w:t>Heritage Futures: Comparative Approaches to Natural and Cultural Heritage Practices</w:t>
      </w:r>
      <w:r w:rsidRPr="00D213B4">
        <w:rPr>
          <w:rFonts w:ascii="Calibri" w:hAnsi="Calibri" w:cs="Calibri"/>
          <w:sz w:val="18"/>
          <w:szCs w:val="18"/>
        </w:rPr>
        <w:t>, ed. By Rodney Harrison et al. (London: UCL Press, 2020), p. 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C1"/>
    <w:rsid w:val="000F7349"/>
    <w:rsid w:val="0025009D"/>
    <w:rsid w:val="0034643B"/>
    <w:rsid w:val="004A27AA"/>
    <w:rsid w:val="004C3F4E"/>
    <w:rsid w:val="006D4ED1"/>
    <w:rsid w:val="00711EF8"/>
    <w:rsid w:val="00743E49"/>
    <w:rsid w:val="00764402"/>
    <w:rsid w:val="007952B0"/>
    <w:rsid w:val="007E19F9"/>
    <w:rsid w:val="007E5EC1"/>
    <w:rsid w:val="00805197"/>
    <w:rsid w:val="00822AEB"/>
    <w:rsid w:val="00AF0BC1"/>
    <w:rsid w:val="00B330A4"/>
    <w:rsid w:val="00C70FAC"/>
    <w:rsid w:val="00C779BC"/>
    <w:rsid w:val="00D213B4"/>
    <w:rsid w:val="00DB45EE"/>
    <w:rsid w:val="00E31DB4"/>
    <w:rsid w:val="00EA291B"/>
    <w:rsid w:val="00EA375C"/>
    <w:rsid w:val="00EC3EDF"/>
    <w:rsid w:val="00F01FBC"/>
    <w:rsid w:val="00F07668"/>
    <w:rsid w:val="00FD5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DCC04"/>
  <w15:chartTrackingRefBased/>
  <w15:docId w15:val="{1A44286A-3F39-422C-B021-1F0A935B2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BC1"/>
    <w:rPr>
      <w:rFonts w:eastAsiaTheme="majorEastAsia" w:cstheme="majorBidi"/>
      <w:color w:val="272727" w:themeColor="text1" w:themeTint="D8"/>
    </w:rPr>
  </w:style>
  <w:style w:type="paragraph" w:styleId="Title">
    <w:name w:val="Title"/>
    <w:basedOn w:val="Normal"/>
    <w:next w:val="Normal"/>
    <w:link w:val="TitleChar"/>
    <w:uiPriority w:val="10"/>
    <w:qFormat/>
    <w:rsid w:val="00AF0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BC1"/>
    <w:pPr>
      <w:spacing w:before="160"/>
      <w:jc w:val="center"/>
    </w:pPr>
    <w:rPr>
      <w:i/>
      <w:iCs/>
      <w:color w:val="404040" w:themeColor="text1" w:themeTint="BF"/>
    </w:rPr>
  </w:style>
  <w:style w:type="character" w:customStyle="1" w:styleId="QuoteChar">
    <w:name w:val="Quote Char"/>
    <w:basedOn w:val="DefaultParagraphFont"/>
    <w:link w:val="Quote"/>
    <w:uiPriority w:val="29"/>
    <w:rsid w:val="00AF0BC1"/>
    <w:rPr>
      <w:i/>
      <w:iCs/>
      <w:color w:val="404040" w:themeColor="text1" w:themeTint="BF"/>
    </w:rPr>
  </w:style>
  <w:style w:type="paragraph" w:styleId="ListParagraph">
    <w:name w:val="List Paragraph"/>
    <w:basedOn w:val="Normal"/>
    <w:uiPriority w:val="34"/>
    <w:qFormat/>
    <w:rsid w:val="00AF0BC1"/>
    <w:pPr>
      <w:ind w:left="720"/>
      <w:contextualSpacing/>
    </w:pPr>
  </w:style>
  <w:style w:type="character" w:styleId="IntenseEmphasis">
    <w:name w:val="Intense Emphasis"/>
    <w:basedOn w:val="DefaultParagraphFont"/>
    <w:uiPriority w:val="21"/>
    <w:qFormat/>
    <w:rsid w:val="00AF0BC1"/>
    <w:rPr>
      <w:i/>
      <w:iCs/>
      <w:color w:val="0F4761" w:themeColor="accent1" w:themeShade="BF"/>
    </w:rPr>
  </w:style>
  <w:style w:type="paragraph" w:styleId="IntenseQuote">
    <w:name w:val="Intense Quote"/>
    <w:basedOn w:val="Normal"/>
    <w:next w:val="Normal"/>
    <w:link w:val="IntenseQuoteChar"/>
    <w:uiPriority w:val="30"/>
    <w:qFormat/>
    <w:rsid w:val="00AF0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BC1"/>
    <w:rPr>
      <w:i/>
      <w:iCs/>
      <w:color w:val="0F4761" w:themeColor="accent1" w:themeShade="BF"/>
    </w:rPr>
  </w:style>
  <w:style w:type="character" w:styleId="IntenseReference">
    <w:name w:val="Intense Reference"/>
    <w:basedOn w:val="DefaultParagraphFont"/>
    <w:uiPriority w:val="32"/>
    <w:qFormat/>
    <w:rsid w:val="00AF0BC1"/>
    <w:rPr>
      <w:b/>
      <w:bCs/>
      <w:smallCaps/>
      <w:color w:val="0F4761" w:themeColor="accent1" w:themeShade="BF"/>
      <w:spacing w:val="5"/>
    </w:rPr>
  </w:style>
  <w:style w:type="paragraph" w:styleId="FootnoteText">
    <w:name w:val="footnote text"/>
    <w:basedOn w:val="Normal"/>
    <w:link w:val="FootnoteTextChar"/>
    <w:uiPriority w:val="99"/>
    <w:semiHidden/>
    <w:unhideWhenUsed/>
    <w:rsid w:val="00F01F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FBC"/>
    <w:rPr>
      <w:sz w:val="20"/>
      <w:szCs w:val="20"/>
    </w:rPr>
  </w:style>
  <w:style w:type="character" w:styleId="FootnoteReference">
    <w:name w:val="footnote reference"/>
    <w:basedOn w:val="DefaultParagraphFont"/>
    <w:uiPriority w:val="99"/>
    <w:semiHidden/>
    <w:unhideWhenUsed/>
    <w:rsid w:val="00F01F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575F7-B5F8-40AC-9ED6-081B5B53B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1638</Words>
  <Characters>8977</Characters>
  <Application>Microsoft Office Word</Application>
  <DocSecurity>0</DocSecurity>
  <Lines>124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Lewis</dc:creator>
  <cp:keywords/>
  <dc:description/>
  <cp:lastModifiedBy>Esta Lewis</cp:lastModifiedBy>
  <cp:revision>9</cp:revision>
  <dcterms:created xsi:type="dcterms:W3CDTF">2025-10-31T08:21:00Z</dcterms:created>
  <dcterms:modified xsi:type="dcterms:W3CDTF">2025-10-31T12:48:00Z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c934039f-4993-43c7-b2e4-195a850d3632</vt:lpwstr>
  </property>
</Properties>
</file>