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D2441B" w14:textId="77777777" w:rsidR="002D731E" w:rsidRDefault="00000000">
      <w:pPr>
        <w:spacing w:after="200"/>
        <w:jc w:val="center"/>
      </w:pPr>
      <w:r>
        <w:rPr>
          <w:b/>
          <w:color w:val="17365D"/>
          <w:sz w:val="28"/>
        </w:rPr>
        <w:t>UNIVERSITY OF WALES TRINITY SAINT DAVID</w:t>
      </w:r>
    </w:p>
    <w:p w14:paraId="418BB213" w14:textId="77777777" w:rsidR="002D731E" w:rsidRDefault="00000000">
      <w:pPr>
        <w:jc w:val="center"/>
      </w:pPr>
      <w:r>
        <w:rPr>
          <w:b/>
          <w:color w:val="17365D"/>
          <w:sz w:val="40"/>
        </w:rPr>
        <w:t>COMPONENT 2: ANALYTICAL REPORT</w:t>
      </w:r>
    </w:p>
    <w:p w14:paraId="273B5CE5" w14:textId="77777777" w:rsidR="002D731E" w:rsidRDefault="00000000">
      <w:pPr>
        <w:spacing w:after="360"/>
        <w:jc w:val="center"/>
      </w:pPr>
      <w:r>
        <w:rPr>
          <w:b/>
          <w:color w:val="1F4E79"/>
          <w:sz w:val="26"/>
        </w:rPr>
        <w:t>Social Epidemiology and Public Health Development</w:t>
      </w:r>
    </w:p>
    <w:tbl>
      <w:tblPr>
        <w:tblStyle w:val="TableGrid"/>
        <w:tblW w:w="9216" w:type="dxa"/>
        <w:jc w:val="center"/>
        <w:tblLayout w:type="fixed"/>
        <w:tblLook w:val="04A0" w:firstRow="1" w:lastRow="0" w:firstColumn="1" w:lastColumn="0" w:noHBand="0" w:noVBand="1"/>
      </w:tblPr>
      <w:tblGrid>
        <w:gridCol w:w="3023"/>
        <w:gridCol w:w="6193"/>
      </w:tblGrid>
      <w:tr w:rsidR="002D731E" w14:paraId="59FD1BB7" w14:textId="77777777">
        <w:trPr>
          <w:jc w:val="center"/>
        </w:trPr>
        <w:tc>
          <w:tcPr>
            <w:tcW w:w="3023" w:type="dxa"/>
            <w:shd w:val="clear" w:color="auto" w:fill="D9EAF7"/>
            <w:vAlign w:val="center"/>
          </w:tcPr>
          <w:p w14:paraId="2B677670" w14:textId="77777777" w:rsidR="002D731E" w:rsidRDefault="00000000">
            <w:pPr>
              <w:jc w:val="left"/>
              <w:rPr>
                <w:rFonts w:eastAsia="MS Mincho"/>
              </w:rPr>
            </w:pPr>
            <w:r>
              <w:rPr>
                <w:rFonts w:eastAsia="MS Mincho"/>
                <w:b/>
                <w:sz w:val="21"/>
              </w:rPr>
              <w:t>Student name</w:t>
            </w:r>
          </w:p>
        </w:tc>
        <w:tc>
          <w:tcPr>
            <w:tcW w:w="6192" w:type="dxa"/>
            <w:vAlign w:val="center"/>
          </w:tcPr>
          <w:p w14:paraId="3B3777D6" w14:textId="6230B83E" w:rsidR="002D731E" w:rsidRDefault="00E308F0">
            <w:pPr>
              <w:jc w:val="left"/>
              <w:rPr>
                <w:rFonts w:eastAsia="MS Mincho"/>
              </w:rPr>
            </w:pPr>
            <w:r w:rsidRPr="00E308F0">
              <w:rPr>
                <w:rFonts w:eastAsia="MS Mincho"/>
              </w:rPr>
              <w:t>Ashraf Ullah</w:t>
            </w:r>
          </w:p>
        </w:tc>
      </w:tr>
      <w:tr w:rsidR="002D731E" w14:paraId="48D8F71C" w14:textId="77777777">
        <w:trPr>
          <w:jc w:val="center"/>
        </w:trPr>
        <w:tc>
          <w:tcPr>
            <w:tcW w:w="3023" w:type="dxa"/>
            <w:shd w:val="clear" w:color="auto" w:fill="D9EAF7"/>
            <w:vAlign w:val="center"/>
          </w:tcPr>
          <w:p w14:paraId="5E1D268D" w14:textId="77777777" w:rsidR="002D731E" w:rsidRDefault="00000000">
            <w:pPr>
              <w:jc w:val="left"/>
              <w:rPr>
                <w:rFonts w:eastAsia="MS Mincho"/>
              </w:rPr>
            </w:pPr>
            <w:r>
              <w:rPr>
                <w:rFonts w:eastAsia="MS Mincho"/>
                <w:b/>
                <w:sz w:val="21"/>
              </w:rPr>
              <w:t>Student ID number</w:t>
            </w:r>
          </w:p>
        </w:tc>
        <w:tc>
          <w:tcPr>
            <w:tcW w:w="6192" w:type="dxa"/>
            <w:vAlign w:val="center"/>
          </w:tcPr>
          <w:p w14:paraId="1F5CDEB8" w14:textId="4438F6A7" w:rsidR="002D731E" w:rsidRDefault="00E308F0">
            <w:pPr>
              <w:jc w:val="left"/>
              <w:rPr>
                <w:rFonts w:eastAsia="MS Mincho"/>
              </w:rPr>
            </w:pPr>
            <w:r w:rsidRPr="00E308F0">
              <w:rPr>
                <w:rFonts w:eastAsia="MS Mincho"/>
              </w:rPr>
              <w:t>2503813</w:t>
            </w:r>
          </w:p>
        </w:tc>
      </w:tr>
      <w:tr w:rsidR="002D731E" w14:paraId="358D0667" w14:textId="77777777">
        <w:trPr>
          <w:jc w:val="center"/>
        </w:trPr>
        <w:tc>
          <w:tcPr>
            <w:tcW w:w="3023" w:type="dxa"/>
            <w:shd w:val="clear" w:color="auto" w:fill="D9EAF7"/>
            <w:vAlign w:val="center"/>
          </w:tcPr>
          <w:p w14:paraId="468CC4D7" w14:textId="77777777" w:rsidR="002D731E" w:rsidRDefault="00000000">
            <w:pPr>
              <w:jc w:val="left"/>
              <w:rPr>
                <w:rFonts w:eastAsia="MS Mincho"/>
              </w:rPr>
            </w:pPr>
            <w:proofErr w:type="spellStart"/>
            <w:r>
              <w:rPr>
                <w:rFonts w:eastAsia="MS Mincho"/>
                <w:b/>
                <w:sz w:val="21"/>
              </w:rPr>
              <w:t>Programme</w:t>
            </w:r>
            <w:proofErr w:type="spellEnd"/>
          </w:p>
        </w:tc>
        <w:tc>
          <w:tcPr>
            <w:tcW w:w="6192" w:type="dxa"/>
            <w:vAlign w:val="center"/>
          </w:tcPr>
          <w:p w14:paraId="21683384" w14:textId="77777777" w:rsidR="002D731E" w:rsidRDefault="00000000">
            <w:pPr>
              <w:jc w:val="left"/>
              <w:rPr>
                <w:rFonts w:eastAsia="MS Mincho"/>
              </w:rPr>
            </w:pPr>
            <w:r>
              <w:rPr>
                <w:rFonts w:eastAsia="MS Mincho"/>
                <w:sz w:val="21"/>
              </w:rPr>
              <w:t>MSc Public Health and Social Care in Practice</w:t>
            </w:r>
          </w:p>
        </w:tc>
      </w:tr>
      <w:tr w:rsidR="002D731E" w14:paraId="634AD2A5" w14:textId="77777777">
        <w:trPr>
          <w:jc w:val="center"/>
        </w:trPr>
        <w:tc>
          <w:tcPr>
            <w:tcW w:w="3023" w:type="dxa"/>
            <w:shd w:val="clear" w:color="auto" w:fill="D9EAF7"/>
            <w:vAlign w:val="center"/>
          </w:tcPr>
          <w:p w14:paraId="7E3B60C6" w14:textId="77777777" w:rsidR="002D731E" w:rsidRDefault="00000000">
            <w:pPr>
              <w:jc w:val="left"/>
              <w:rPr>
                <w:rFonts w:eastAsia="MS Mincho"/>
              </w:rPr>
            </w:pPr>
            <w:r>
              <w:rPr>
                <w:rFonts w:eastAsia="MS Mincho"/>
                <w:b/>
                <w:sz w:val="21"/>
              </w:rPr>
              <w:t>Module</w:t>
            </w:r>
          </w:p>
        </w:tc>
        <w:tc>
          <w:tcPr>
            <w:tcW w:w="6192" w:type="dxa"/>
            <w:vAlign w:val="center"/>
          </w:tcPr>
          <w:p w14:paraId="46FC9772" w14:textId="77777777" w:rsidR="002D731E" w:rsidRDefault="00000000">
            <w:pPr>
              <w:jc w:val="left"/>
              <w:rPr>
                <w:rFonts w:eastAsia="MS Mincho"/>
              </w:rPr>
            </w:pPr>
            <w:r>
              <w:rPr>
                <w:rFonts w:eastAsia="MS Mincho"/>
                <w:sz w:val="21"/>
              </w:rPr>
              <w:t>Social Epidemiology and Public Health Development</w:t>
            </w:r>
          </w:p>
        </w:tc>
      </w:tr>
      <w:tr w:rsidR="002D731E" w14:paraId="659C0D94" w14:textId="77777777">
        <w:trPr>
          <w:jc w:val="center"/>
        </w:trPr>
        <w:tc>
          <w:tcPr>
            <w:tcW w:w="3023" w:type="dxa"/>
            <w:shd w:val="clear" w:color="auto" w:fill="D9EAF7"/>
            <w:vAlign w:val="center"/>
          </w:tcPr>
          <w:p w14:paraId="487FE2CD" w14:textId="77777777" w:rsidR="002D731E" w:rsidRDefault="00000000">
            <w:pPr>
              <w:jc w:val="left"/>
              <w:rPr>
                <w:rFonts w:eastAsia="MS Mincho"/>
              </w:rPr>
            </w:pPr>
            <w:r>
              <w:rPr>
                <w:rFonts w:eastAsia="MS Mincho"/>
                <w:b/>
                <w:sz w:val="21"/>
              </w:rPr>
              <w:t>Module code</w:t>
            </w:r>
          </w:p>
        </w:tc>
        <w:tc>
          <w:tcPr>
            <w:tcW w:w="6192" w:type="dxa"/>
            <w:vAlign w:val="center"/>
          </w:tcPr>
          <w:p w14:paraId="6D2CAAA9" w14:textId="77777777" w:rsidR="002D731E" w:rsidRDefault="00000000">
            <w:pPr>
              <w:jc w:val="left"/>
              <w:rPr>
                <w:rFonts w:eastAsia="MS Mincho"/>
              </w:rPr>
            </w:pPr>
            <w:r>
              <w:rPr>
                <w:rFonts w:eastAsia="MS Mincho"/>
                <w:sz w:val="21"/>
              </w:rPr>
              <w:t>LCHS7000</w:t>
            </w:r>
          </w:p>
        </w:tc>
      </w:tr>
      <w:tr w:rsidR="002D731E" w14:paraId="5B4EA9E4" w14:textId="77777777">
        <w:trPr>
          <w:jc w:val="center"/>
        </w:trPr>
        <w:tc>
          <w:tcPr>
            <w:tcW w:w="3023" w:type="dxa"/>
            <w:shd w:val="clear" w:color="auto" w:fill="D9EAF7"/>
            <w:vAlign w:val="center"/>
          </w:tcPr>
          <w:p w14:paraId="2EC1CE18" w14:textId="77777777" w:rsidR="002D731E" w:rsidRDefault="00000000">
            <w:pPr>
              <w:jc w:val="left"/>
              <w:rPr>
                <w:rFonts w:eastAsia="MS Mincho"/>
              </w:rPr>
            </w:pPr>
            <w:r>
              <w:rPr>
                <w:rFonts w:eastAsia="MS Mincho"/>
                <w:b/>
                <w:sz w:val="21"/>
              </w:rPr>
              <w:t>Lecturer</w:t>
            </w:r>
          </w:p>
        </w:tc>
        <w:tc>
          <w:tcPr>
            <w:tcW w:w="6192" w:type="dxa"/>
            <w:vAlign w:val="center"/>
          </w:tcPr>
          <w:p w14:paraId="5C0C34B3" w14:textId="77777777" w:rsidR="002D731E" w:rsidRDefault="00000000">
            <w:pPr>
              <w:jc w:val="left"/>
              <w:rPr>
                <w:rFonts w:eastAsia="MS Mincho"/>
              </w:rPr>
            </w:pPr>
            <w:r>
              <w:rPr>
                <w:rFonts w:eastAsia="MS Mincho"/>
                <w:sz w:val="21"/>
              </w:rPr>
              <w:t>Dr Junaid Sheikh</w:t>
            </w:r>
          </w:p>
        </w:tc>
      </w:tr>
      <w:tr w:rsidR="002D731E" w14:paraId="1C6E23BD" w14:textId="77777777">
        <w:trPr>
          <w:jc w:val="center"/>
        </w:trPr>
        <w:tc>
          <w:tcPr>
            <w:tcW w:w="3023" w:type="dxa"/>
            <w:shd w:val="clear" w:color="auto" w:fill="D9EAF7"/>
            <w:vAlign w:val="center"/>
          </w:tcPr>
          <w:p w14:paraId="73D87B1F" w14:textId="77777777" w:rsidR="002D731E" w:rsidRDefault="00000000">
            <w:pPr>
              <w:jc w:val="left"/>
              <w:rPr>
                <w:rFonts w:eastAsia="MS Mincho"/>
              </w:rPr>
            </w:pPr>
            <w:r>
              <w:rPr>
                <w:rFonts w:eastAsia="MS Mincho"/>
                <w:b/>
                <w:sz w:val="21"/>
              </w:rPr>
              <w:t>Assignment title</w:t>
            </w:r>
          </w:p>
        </w:tc>
        <w:tc>
          <w:tcPr>
            <w:tcW w:w="6192" w:type="dxa"/>
            <w:vAlign w:val="center"/>
          </w:tcPr>
          <w:p w14:paraId="52F858A9" w14:textId="77777777" w:rsidR="002D731E" w:rsidRDefault="00000000">
            <w:pPr>
              <w:jc w:val="left"/>
              <w:rPr>
                <w:rFonts w:eastAsia="MS Mincho"/>
              </w:rPr>
            </w:pPr>
            <w:r>
              <w:rPr>
                <w:rFonts w:eastAsia="MS Mincho"/>
                <w:sz w:val="21"/>
              </w:rPr>
              <w:t>Component 2: Analytical Report</w:t>
            </w:r>
          </w:p>
        </w:tc>
      </w:tr>
      <w:tr w:rsidR="002D731E" w14:paraId="2FE891B8" w14:textId="77777777">
        <w:trPr>
          <w:jc w:val="center"/>
        </w:trPr>
        <w:tc>
          <w:tcPr>
            <w:tcW w:w="3023" w:type="dxa"/>
            <w:shd w:val="clear" w:color="auto" w:fill="D9EAF7"/>
            <w:vAlign w:val="center"/>
          </w:tcPr>
          <w:p w14:paraId="485DC30E" w14:textId="77777777" w:rsidR="002D731E" w:rsidRDefault="00000000">
            <w:pPr>
              <w:jc w:val="left"/>
              <w:rPr>
                <w:rFonts w:eastAsia="MS Mincho"/>
              </w:rPr>
            </w:pPr>
            <w:r>
              <w:rPr>
                <w:rFonts w:eastAsia="MS Mincho"/>
                <w:b/>
                <w:sz w:val="21"/>
              </w:rPr>
              <w:t>Main body word count</w:t>
            </w:r>
          </w:p>
        </w:tc>
        <w:tc>
          <w:tcPr>
            <w:tcW w:w="6192" w:type="dxa"/>
            <w:vAlign w:val="center"/>
          </w:tcPr>
          <w:p w14:paraId="5010CF2B" w14:textId="5C1E5123" w:rsidR="002D731E" w:rsidRDefault="00000000">
            <w:pPr>
              <w:rPr>
                <w:rFonts w:eastAsia="MS Mincho"/>
              </w:rPr>
            </w:pPr>
            <w:r>
              <w:t>2</w:t>
            </w:r>
            <w:r w:rsidR="005A6CDF">
              <w:t>673</w:t>
            </w:r>
          </w:p>
        </w:tc>
      </w:tr>
    </w:tbl>
    <w:p w14:paraId="082B054E" w14:textId="77777777" w:rsidR="002D731E" w:rsidRDefault="002D731E"/>
    <w:p w14:paraId="7577436B" w14:textId="77777777" w:rsidR="002D731E" w:rsidRDefault="00000000">
      <w:pPr>
        <w:spacing w:after="0"/>
        <w:jc w:val="center"/>
      </w:pPr>
      <w:r>
        <w:rPr>
          <w:color w:val="000000"/>
          <w:sz w:val="21"/>
        </w:rPr>
        <w:t>Submission deadline: 22 July 2026, 14:00</w:t>
      </w:r>
    </w:p>
    <w:p w14:paraId="7B626803" w14:textId="77777777" w:rsidR="002D731E" w:rsidRDefault="002D731E"/>
    <w:sdt>
      <w:sdtPr>
        <w:rPr>
          <w:rFonts w:ascii="Arial" w:eastAsiaTheme="minorEastAsia" w:hAnsi="Arial" w:cstheme="minorBidi"/>
          <w:b w:val="0"/>
          <w:bCs w:val="0"/>
          <w:color w:val="auto"/>
          <w:sz w:val="22"/>
          <w:szCs w:val="22"/>
        </w:rPr>
        <w:id w:val="1170373632"/>
        <w:docPartObj>
          <w:docPartGallery w:val="Table of Contents"/>
          <w:docPartUnique/>
        </w:docPartObj>
      </w:sdtPr>
      <w:sdtContent>
        <w:p w14:paraId="093D3CF2" w14:textId="77777777" w:rsidR="002D731E" w:rsidRDefault="00000000">
          <w:pPr>
            <w:pStyle w:val="TOCHeading"/>
          </w:pPr>
          <w:r>
            <w:br w:type="page"/>
          </w:r>
          <w:r>
            <w:lastRenderedPageBreak/>
            <w:t>Table of Contents</w:t>
          </w:r>
        </w:p>
        <w:p w14:paraId="0D57BB27" w14:textId="77777777" w:rsidR="002D731E" w:rsidRDefault="00000000">
          <w:pPr>
            <w:pStyle w:val="TOC1"/>
            <w:tabs>
              <w:tab w:val="right" w:leader="dot" w:pos="9359"/>
            </w:tabs>
          </w:pPr>
          <w:r>
            <w:fldChar w:fldCharType="begin"/>
          </w:r>
          <w:r>
            <w:rPr>
              <w:rStyle w:val="IndexLink"/>
              <w:webHidden/>
            </w:rPr>
            <w:instrText xml:space="preserve"> TOC \z \o "1-3" \u \h</w:instrText>
          </w:r>
          <w:r>
            <w:rPr>
              <w:rStyle w:val="IndexLink"/>
            </w:rPr>
            <w:fldChar w:fldCharType="separate"/>
          </w:r>
          <w:hyperlink w:anchor="__RefHeading___Toc654_3058364704">
            <w:r w:rsidR="002D731E">
              <w:rPr>
                <w:rStyle w:val="IndexLink"/>
                <w:webHidden/>
              </w:rPr>
              <w:t>Task 1: Social Epidemiological Analysis</w:t>
            </w:r>
            <w:r w:rsidR="002D731E">
              <w:rPr>
                <w:rStyle w:val="IndexLink"/>
                <w:webHidden/>
              </w:rPr>
              <w:tab/>
              <w:t>3</w:t>
            </w:r>
          </w:hyperlink>
        </w:p>
        <w:p w14:paraId="79B37339" w14:textId="77777777" w:rsidR="002D731E" w:rsidRDefault="002D731E">
          <w:pPr>
            <w:pStyle w:val="TOC2"/>
            <w:tabs>
              <w:tab w:val="right" w:leader="dot" w:pos="9359"/>
            </w:tabs>
          </w:pPr>
          <w:hyperlink w:anchor="__RefHeading___Toc656_3058364704">
            <w:r>
              <w:rPr>
                <w:rStyle w:val="IndexLink"/>
                <w:webHidden/>
              </w:rPr>
              <w:t>Introduction</w:t>
            </w:r>
            <w:r>
              <w:rPr>
                <w:rStyle w:val="IndexLink"/>
                <w:webHidden/>
              </w:rPr>
              <w:tab/>
              <w:t>3</w:t>
            </w:r>
          </w:hyperlink>
        </w:p>
        <w:p w14:paraId="74584A6A" w14:textId="77777777" w:rsidR="002D731E" w:rsidRDefault="002D731E">
          <w:pPr>
            <w:pStyle w:val="TOC1"/>
            <w:tabs>
              <w:tab w:val="right" w:leader="dot" w:pos="9359"/>
            </w:tabs>
          </w:pPr>
          <w:hyperlink w:anchor="__RefHeading___Toc658_3058364704">
            <w:r>
              <w:rPr>
                <w:rStyle w:val="IndexLink"/>
                <w:webHidden/>
              </w:rPr>
              <w:t>Contextual Background and Underlying Factors</w:t>
            </w:r>
            <w:r>
              <w:rPr>
                <w:rStyle w:val="IndexLink"/>
                <w:webHidden/>
              </w:rPr>
              <w:tab/>
              <w:t>4</w:t>
            </w:r>
          </w:hyperlink>
        </w:p>
        <w:p w14:paraId="7A2BB652" w14:textId="77777777" w:rsidR="002D731E" w:rsidRDefault="002D731E">
          <w:pPr>
            <w:pStyle w:val="TOC3"/>
            <w:tabs>
              <w:tab w:val="right" w:leader="dot" w:pos="9359"/>
            </w:tabs>
          </w:pPr>
          <w:hyperlink w:anchor="__RefHeading___Toc660_3058364704">
            <w:r>
              <w:rPr>
                <w:rStyle w:val="IndexLink"/>
                <w:webHidden/>
              </w:rPr>
              <w:t>Higher Rates and Earlier Onset of Type 2 Diabetes</w:t>
            </w:r>
            <w:r>
              <w:rPr>
                <w:rStyle w:val="IndexLink"/>
                <w:webHidden/>
              </w:rPr>
              <w:tab/>
              <w:t>4</w:t>
            </w:r>
          </w:hyperlink>
        </w:p>
        <w:p w14:paraId="79FE64B1" w14:textId="77777777" w:rsidR="002D731E" w:rsidRDefault="002D731E">
          <w:pPr>
            <w:pStyle w:val="TOC3"/>
            <w:tabs>
              <w:tab w:val="right" w:leader="dot" w:pos="9359"/>
            </w:tabs>
          </w:pPr>
          <w:hyperlink w:anchor="__RefHeading___Toc662_3058364704">
            <w:r>
              <w:rPr>
                <w:rStyle w:val="IndexLink"/>
                <w:webHidden/>
              </w:rPr>
              <w:t>Higher Cardiovascular Disease Incidence and Mortality</w:t>
            </w:r>
            <w:r>
              <w:rPr>
                <w:rStyle w:val="IndexLink"/>
                <w:webHidden/>
              </w:rPr>
              <w:tab/>
              <w:t>4</w:t>
            </w:r>
          </w:hyperlink>
        </w:p>
        <w:p w14:paraId="2F69D2B6" w14:textId="77777777" w:rsidR="002D731E" w:rsidRDefault="002D731E">
          <w:pPr>
            <w:pStyle w:val="TOC3"/>
            <w:tabs>
              <w:tab w:val="right" w:leader="dot" w:pos="9359"/>
            </w:tabs>
          </w:pPr>
          <w:hyperlink w:anchor="__RefHeading___Toc664_3058364704">
            <w:r>
              <w:rPr>
                <w:rStyle w:val="IndexLink"/>
                <w:webHidden/>
              </w:rPr>
              <w:t>Mental Illness and Unequal Access to Psychological Care</w:t>
            </w:r>
            <w:r>
              <w:rPr>
                <w:rStyle w:val="IndexLink"/>
                <w:webHidden/>
              </w:rPr>
              <w:tab/>
              <w:t>5</w:t>
            </w:r>
          </w:hyperlink>
        </w:p>
        <w:p w14:paraId="09C56610" w14:textId="77777777" w:rsidR="002D731E" w:rsidRDefault="002D731E">
          <w:pPr>
            <w:pStyle w:val="TOC3"/>
            <w:tabs>
              <w:tab w:val="right" w:leader="dot" w:pos="9359"/>
            </w:tabs>
          </w:pPr>
          <w:hyperlink w:anchor="__RefHeading___Toc666_3058364704">
            <w:r>
              <w:rPr>
                <w:rStyle w:val="IndexLink"/>
                <w:webHidden/>
              </w:rPr>
              <w:t>Poverty, Employment and Material Deprivation</w:t>
            </w:r>
            <w:r>
              <w:rPr>
                <w:rStyle w:val="IndexLink"/>
                <w:webHidden/>
              </w:rPr>
              <w:tab/>
              <w:t>5</w:t>
            </w:r>
          </w:hyperlink>
        </w:p>
        <w:p w14:paraId="74E93466" w14:textId="77777777" w:rsidR="002D731E" w:rsidRDefault="002D731E">
          <w:pPr>
            <w:pStyle w:val="TOC3"/>
            <w:tabs>
              <w:tab w:val="right" w:leader="dot" w:pos="9359"/>
            </w:tabs>
          </w:pPr>
          <w:hyperlink w:anchor="__RefHeading___Toc668_3058364704">
            <w:r>
              <w:rPr>
                <w:rStyle w:val="IndexLink"/>
                <w:webHidden/>
              </w:rPr>
              <w:t>Housing and Neighbourhood Inequality</w:t>
            </w:r>
            <w:r>
              <w:rPr>
                <w:rStyle w:val="IndexLink"/>
                <w:webHidden/>
              </w:rPr>
              <w:tab/>
              <w:t>5</w:t>
            </w:r>
          </w:hyperlink>
        </w:p>
        <w:p w14:paraId="318C1CED" w14:textId="77777777" w:rsidR="002D731E" w:rsidRDefault="002D731E">
          <w:pPr>
            <w:pStyle w:val="TOC3"/>
            <w:tabs>
              <w:tab w:val="right" w:leader="dot" w:pos="9359"/>
            </w:tabs>
          </w:pPr>
          <w:hyperlink w:anchor="__RefHeading___Toc670_3058364704">
            <w:r>
              <w:rPr>
                <w:rStyle w:val="IndexLink"/>
                <w:webHidden/>
              </w:rPr>
              <w:t>Racism, Language and Unequal Healthcare Access</w:t>
            </w:r>
            <w:r>
              <w:rPr>
                <w:rStyle w:val="IndexLink"/>
                <w:webHidden/>
              </w:rPr>
              <w:tab/>
              <w:t>6</w:t>
            </w:r>
          </w:hyperlink>
        </w:p>
        <w:p w14:paraId="673E6AEA" w14:textId="77777777" w:rsidR="002D731E" w:rsidRDefault="002D731E">
          <w:pPr>
            <w:pStyle w:val="TOC2"/>
            <w:tabs>
              <w:tab w:val="right" w:leader="dot" w:pos="9359"/>
            </w:tabs>
          </w:pPr>
          <w:hyperlink w:anchor="__RefHeading___Toc672_3058364704">
            <w:r>
              <w:rPr>
                <w:rStyle w:val="IndexLink"/>
                <w:webHidden/>
              </w:rPr>
              <w:t>National Responses to Reduce Health Inequalities</w:t>
            </w:r>
            <w:r>
              <w:rPr>
                <w:rStyle w:val="IndexLink"/>
                <w:webHidden/>
              </w:rPr>
              <w:tab/>
              <w:t>6</w:t>
            </w:r>
          </w:hyperlink>
        </w:p>
        <w:p w14:paraId="60988366" w14:textId="77777777" w:rsidR="002D731E" w:rsidRDefault="002D731E">
          <w:pPr>
            <w:pStyle w:val="TOC2"/>
            <w:tabs>
              <w:tab w:val="right" w:leader="dot" w:pos="9359"/>
            </w:tabs>
          </w:pPr>
          <w:hyperlink w:anchor="__RefHeading___Toc674_3058364704">
            <w:r>
              <w:rPr>
                <w:rStyle w:val="IndexLink"/>
                <w:webHidden/>
              </w:rPr>
              <w:t>Organisation Supporting South Asian Communities</w:t>
            </w:r>
            <w:r>
              <w:rPr>
                <w:rStyle w:val="IndexLink"/>
                <w:webHidden/>
              </w:rPr>
              <w:tab/>
              <w:t>6</w:t>
            </w:r>
          </w:hyperlink>
        </w:p>
        <w:p w14:paraId="55F5CB93" w14:textId="77777777" w:rsidR="002D731E" w:rsidRDefault="002D731E">
          <w:pPr>
            <w:pStyle w:val="TOC2"/>
            <w:tabs>
              <w:tab w:val="right" w:leader="dot" w:pos="9359"/>
            </w:tabs>
          </w:pPr>
          <w:hyperlink w:anchor="__RefHeading___Toc676_3058364704">
            <w:r>
              <w:rPr>
                <w:rStyle w:val="IndexLink"/>
                <w:webHidden/>
              </w:rPr>
              <w:t>Conclusion</w:t>
            </w:r>
            <w:r>
              <w:rPr>
                <w:rStyle w:val="IndexLink"/>
                <w:webHidden/>
              </w:rPr>
              <w:tab/>
              <w:t>7</w:t>
            </w:r>
          </w:hyperlink>
        </w:p>
        <w:p w14:paraId="518FB957" w14:textId="77777777" w:rsidR="002D731E" w:rsidRDefault="002D731E">
          <w:pPr>
            <w:pStyle w:val="TOC1"/>
            <w:tabs>
              <w:tab w:val="right" w:leader="dot" w:pos="9359"/>
            </w:tabs>
          </w:pPr>
          <w:hyperlink w:anchor="__RefHeading___Toc678_3058364704">
            <w:r>
              <w:rPr>
                <w:rStyle w:val="IndexLink"/>
                <w:webHidden/>
              </w:rPr>
              <w:t>Task 2: Epidemiological Analysis</w:t>
            </w:r>
            <w:r>
              <w:rPr>
                <w:rStyle w:val="IndexLink"/>
                <w:webHidden/>
              </w:rPr>
              <w:tab/>
              <w:t>8</w:t>
            </w:r>
          </w:hyperlink>
        </w:p>
        <w:p w14:paraId="11C630E0" w14:textId="77777777" w:rsidR="002D731E" w:rsidRDefault="002D731E">
          <w:pPr>
            <w:pStyle w:val="TOC2"/>
            <w:tabs>
              <w:tab w:val="right" w:leader="dot" w:pos="9359"/>
            </w:tabs>
          </w:pPr>
          <w:hyperlink w:anchor="__RefHeading___Toc680_3058364704">
            <w:r>
              <w:rPr>
                <w:rStyle w:val="IndexLink"/>
                <w:webHidden/>
              </w:rPr>
              <w:t>Introduction</w:t>
            </w:r>
            <w:r>
              <w:rPr>
                <w:rStyle w:val="IndexLink"/>
                <w:webHidden/>
              </w:rPr>
              <w:tab/>
              <w:t>8</w:t>
            </w:r>
          </w:hyperlink>
        </w:p>
        <w:p w14:paraId="7B4DB4EC" w14:textId="77777777" w:rsidR="002D731E" w:rsidRDefault="002D731E">
          <w:pPr>
            <w:pStyle w:val="TOC2"/>
            <w:tabs>
              <w:tab w:val="right" w:leader="dot" w:pos="9359"/>
            </w:tabs>
          </w:pPr>
          <w:hyperlink w:anchor="__RefHeading___Toc682_3058364704">
            <w:r>
              <w:rPr>
                <w:rStyle w:val="IndexLink"/>
                <w:webHidden/>
              </w:rPr>
              <w:t>Public Health Measures in the Defined Population</w:t>
            </w:r>
            <w:r>
              <w:rPr>
                <w:rStyle w:val="IndexLink"/>
                <w:webHidden/>
              </w:rPr>
              <w:tab/>
              <w:t>8</w:t>
            </w:r>
          </w:hyperlink>
        </w:p>
        <w:p w14:paraId="6F22C0BC" w14:textId="77777777" w:rsidR="002D731E" w:rsidRDefault="002D731E">
          <w:pPr>
            <w:pStyle w:val="TOC2"/>
            <w:tabs>
              <w:tab w:val="right" w:leader="dot" w:pos="9359"/>
            </w:tabs>
          </w:pPr>
          <w:hyperlink w:anchor="__RefHeading___Toc684_3058364704">
            <w:r>
              <w:rPr>
                <w:rStyle w:val="IndexLink"/>
                <w:webHidden/>
              </w:rPr>
              <w:t>Key Determinants and Risk Factors</w:t>
            </w:r>
            <w:r>
              <w:rPr>
                <w:rStyle w:val="IndexLink"/>
                <w:webHidden/>
              </w:rPr>
              <w:tab/>
              <w:t>9</w:t>
            </w:r>
          </w:hyperlink>
        </w:p>
        <w:p w14:paraId="2348E801" w14:textId="77777777" w:rsidR="002D731E" w:rsidRDefault="002D731E">
          <w:pPr>
            <w:pStyle w:val="TOC2"/>
            <w:tabs>
              <w:tab w:val="right" w:leader="dot" w:pos="9359"/>
            </w:tabs>
          </w:pPr>
          <w:hyperlink w:anchor="__RefHeading___Toc686_3058364704">
            <w:r>
              <w:rPr>
                <w:rStyle w:val="IndexLink"/>
                <w:webHidden/>
              </w:rPr>
              <w:t>Epidemiological S</w:t>
            </w:r>
            <w:r>
              <w:rPr>
                <w:rStyle w:val="IndexLink"/>
                <w:webHidden/>
              </w:rPr>
              <w:t>t</w:t>
            </w:r>
            <w:r>
              <w:rPr>
                <w:rStyle w:val="IndexLink"/>
                <w:webHidden/>
              </w:rPr>
              <w:t>udies and Health Needs Assessment</w:t>
            </w:r>
            <w:r>
              <w:rPr>
                <w:rStyle w:val="IndexLink"/>
                <w:webHidden/>
              </w:rPr>
              <w:tab/>
              <w:t>9</w:t>
            </w:r>
          </w:hyperlink>
        </w:p>
        <w:p w14:paraId="3EF94402" w14:textId="77777777" w:rsidR="002D731E" w:rsidRDefault="002D731E">
          <w:pPr>
            <w:pStyle w:val="TOC2"/>
            <w:tabs>
              <w:tab w:val="right" w:leader="dot" w:pos="9359"/>
            </w:tabs>
          </w:pPr>
          <w:hyperlink w:anchor="__RefHeading___Toc688_3058364704">
            <w:r>
              <w:rPr>
                <w:rStyle w:val="IndexLink"/>
                <w:webHidden/>
              </w:rPr>
              <w:t>Surveillance and Monitoring</w:t>
            </w:r>
            <w:r>
              <w:rPr>
                <w:rStyle w:val="IndexLink"/>
                <w:webHidden/>
              </w:rPr>
              <w:tab/>
              <w:t>10</w:t>
            </w:r>
          </w:hyperlink>
        </w:p>
        <w:p w14:paraId="7BB2CBCD" w14:textId="77777777" w:rsidR="002D731E" w:rsidRDefault="002D731E">
          <w:pPr>
            <w:pStyle w:val="TOC2"/>
            <w:tabs>
              <w:tab w:val="right" w:leader="dot" w:pos="9359"/>
            </w:tabs>
          </w:pPr>
          <w:hyperlink w:anchor="__RefHeading___Toc690_3058364704">
            <w:r>
              <w:rPr>
                <w:rStyle w:val="IndexLink"/>
                <w:webHidden/>
              </w:rPr>
              <w:t>Proposed Intervention: Tower Hamlets Bangla Diabetes Equity Programme</w:t>
            </w:r>
            <w:r>
              <w:rPr>
                <w:rStyle w:val="IndexLink"/>
                <w:webHidden/>
              </w:rPr>
              <w:tab/>
              <w:t>10</w:t>
            </w:r>
          </w:hyperlink>
        </w:p>
        <w:p w14:paraId="154177D4" w14:textId="77777777" w:rsidR="002D731E" w:rsidRDefault="002D731E">
          <w:pPr>
            <w:pStyle w:val="TOC2"/>
            <w:tabs>
              <w:tab w:val="right" w:leader="dot" w:pos="9359"/>
            </w:tabs>
          </w:pPr>
          <w:hyperlink w:anchor="__RefHeading___Toc692_3058364704">
            <w:r>
              <w:rPr>
                <w:rStyle w:val="IndexLink"/>
                <w:webHidden/>
              </w:rPr>
              <w:t>Evaluation of the Intervention</w:t>
            </w:r>
            <w:r>
              <w:rPr>
                <w:rStyle w:val="IndexLink"/>
                <w:webHidden/>
              </w:rPr>
              <w:tab/>
              <w:t>11</w:t>
            </w:r>
          </w:hyperlink>
        </w:p>
        <w:p w14:paraId="0B9EB957" w14:textId="77777777" w:rsidR="002D731E" w:rsidRDefault="002D731E">
          <w:pPr>
            <w:pStyle w:val="TOC2"/>
            <w:tabs>
              <w:tab w:val="right" w:leader="dot" w:pos="9359"/>
            </w:tabs>
          </w:pPr>
          <w:hyperlink w:anchor="__RefHeading___Toc694_3058364704">
            <w:r>
              <w:rPr>
                <w:rStyle w:val="IndexLink"/>
                <w:webHidden/>
              </w:rPr>
              <w:t>Strengths and Weaknesses of the Epidemiological Approach</w:t>
            </w:r>
            <w:r>
              <w:rPr>
                <w:rStyle w:val="IndexLink"/>
                <w:webHidden/>
              </w:rPr>
              <w:tab/>
              <w:t>11</w:t>
            </w:r>
          </w:hyperlink>
        </w:p>
        <w:p w14:paraId="6338F05B" w14:textId="77777777" w:rsidR="002D731E" w:rsidRDefault="002D731E">
          <w:pPr>
            <w:pStyle w:val="TOC2"/>
            <w:tabs>
              <w:tab w:val="right" w:leader="dot" w:pos="9359"/>
            </w:tabs>
          </w:pPr>
          <w:hyperlink w:anchor="__RefHeading___Toc696_3058364704">
            <w:r>
              <w:rPr>
                <w:rStyle w:val="IndexLink"/>
                <w:webHidden/>
              </w:rPr>
              <w:t>Conclusion</w:t>
            </w:r>
            <w:r>
              <w:rPr>
                <w:rStyle w:val="IndexLink"/>
                <w:webHidden/>
              </w:rPr>
              <w:tab/>
              <w:t>11</w:t>
            </w:r>
          </w:hyperlink>
        </w:p>
        <w:p w14:paraId="1A69C447" w14:textId="77777777" w:rsidR="002D731E" w:rsidRDefault="002D731E">
          <w:pPr>
            <w:pStyle w:val="TOC1"/>
            <w:tabs>
              <w:tab w:val="right" w:leader="dot" w:pos="9359"/>
            </w:tabs>
          </w:pPr>
          <w:hyperlink w:anchor="__RefHeading___Toc698_3058364704">
            <w:r>
              <w:rPr>
                <w:rStyle w:val="IndexLink"/>
                <w:webHidden/>
              </w:rPr>
              <w:t>Reference</w:t>
            </w:r>
            <w:r>
              <w:rPr>
                <w:rStyle w:val="IndexLink"/>
                <w:webHidden/>
              </w:rPr>
              <w:tab/>
              <w:t>12</w:t>
            </w:r>
          </w:hyperlink>
          <w:r w:rsidR="00000000">
            <w:rPr>
              <w:rStyle w:val="IndexLink"/>
            </w:rPr>
            <w:fldChar w:fldCharType="end"/>
          </w:r>
        </w:p>
      </w:sdtContent>
    </w:sdt>
    <w:p w14:paraId="669B9CE0" w14:textId="77777777" w:rsidR="002D731E" w:rsidRDefault="00000000">
      <w:r>
        <w:br w:type="page"/>
      </w:r>
    </w:p>
    <w:p w14:paraId="7ADE2958" w14:textId="77777777" w:rsidR="002D731E" w:rsidRDefault="00000000">
      <w:pPr>
        <w:pStyle w:val="Heading1"/>
        <w:spacing w:before="0"/>
        <w:rPr>
          <w:rFonts w:ascii="Arial" w:hAnsi="Arial" w:cs="Arial"/>
        </w:rPr>
      </w:pPr>
      <w:bookmarkStart w:id="0" w:name="__RefHeading___Toc654_3058364704"/>
      <w:bookmarkStart w:id="1" w:name="_Toc235391186"/>
      <w:bookmarkEnd w:id="0"/>
      <w:r>
        <w:rPr>
          <w:rFonts w:ascii="Arial" w:hAnsi="Arial" w:cs="Arial"/>
          <w:color w:val="000000" w:themeColor="text1"/>
          <w:sz w:val="32"/>
          <w:szCs w:val="32"/>
        </w:rPr>
        <w:lastRenderedPageBreak/>
        <w:t>Task 1: Social Epidemiological Analysis</w:t>
      </w:r>
      <w:bookmarkEnd w:id="1"/>
    </w:p>
    <w:p w14:paraId="37E50B5B" w14:textId="77777777" w:rsidR="002D731E" w:rsidRDefault="00000000">
      <w:pPr>
        <w:pStyle w:val="SubtitleCustom"/>
        <w:jc w:val="center"/>
        <w:rPr>
          <w:color w:val="000000" w:themeColor="text1"/>
          <w:sz w:val="28"/>
          <w:szCs w:val="24"/>
        </w:rPr>
      </w:pPr>
      <w:r>
        <w:rPr>
          <w:color w:val="000000" w:themeColor="text1"/>
          <w:sz w:val="28"/>
          <w:szCs w:val="24"/>
        </w:rPr>
        <w:t>Ethnicity and Health Inequalities among South Asian Communities in the United Kingdom</w:t>
      </w:r>
    </w:p>
    <w:p w14:paraId="68F17B99" w14:textId="77777777" w:rsidR="002D731E" w:rsidRDefault="00000000">
      <w:pPr>
        <w:pStyle w:val="Heading2"/>
        <w:rPr>
          <w:color w:val="000000" w:themeColor="text1"/>
        </w:rPr>
      </w:pPr>
      <w:bookmarkStart w:id="2" w:name="__RefHeading___Toc656_3058364704"/>
      <w:bookmarkStart w:id="3" w:name="_Toc235391187"/>
      <w:bookmarkEnd w:id="2"/>
      <w:r>
        <w:rPr>
          <w:rFonts w:ascii="Arial" w:hAnsi="Arial"/>
          <w:color w:val="000000" w:themeColor="text1"/>
        </w:rPr>
        <w:t>Introduction</w:t>
      </w:r>
      <w:bookmarkEnd w:id="3"/>
    </w:p>
    <w:p w14:paraId="7D2F59C6" w14:textId="77777777" w:rsidR="00C8275D" w:rsidRDefault="00C8275D" w:rsidP="00FD74CB">
      <w:r w:rsidRPr="00C8275D">
        <w:t>Health inequalities are systematic, avoidable and unfair differences in health and in access to the conditions needed for good health (Office for Health Improvement and Disparities, 2022). South Asian communities in this case are communities of Indian, Pakistani, Bangladeshi, Sri Lankan, Nepali and other similar descent residing in the United Kingdom (UK). This generalized group may obscure significant distinctions in migration history, religion, language, income, sex, age and location (Office for National Statistics, 2022a; Bhopal, 2014). Ethnicity is not in itself a source of risk. Health outcomes are the products of biological vulnerability in combination with deprivation and racism along with housing and employment and service responsiveness (Marmot et al., 2020).</w:t>
      </w:r>
    </w:p>
    <w:p w14:paraId="3967FAE6" w14:textId="21A1676A" w:rsidR="002D731E" w:rsidRDefault="00000000" w:rsidP="00FD74CB">
      <w:pPr>
        <w:pStyle w:val="Heading1"/>
        <w:rPr>
          <w:rFonts w:ascii="Arial" w:hAnsi="Arial" w:cs="Arial"/>
          <w:color w:val="000000" w:themeColor="text1"/>
        </w:rPr>
      </w:pPr>
      <w:bookmarkStart w:id="4" w:name="_Toc235391188"/>
      <w:r w:rsidRPr="00FD74CB">
        <w:rPr>
          <w:rFonts w:ascii="Arial" w:hAnsi="Arial" w:cs="Arial"/>
          <w:color w:val="000000" w:themeColor="text1"/>
        </w:rPr>
        <w:t>Contextual Background and Underlying Factors</w:t>
      </w:r>
      <w:bookmarkEnd w:id="4"/>
    </w:p>
    <w:p w14:paraId="3CB9B154" w14:textId="77777777" w:rsidR="00FD74CB" w:rsidRDefault="00FD74CB" w:rsidP="00FD74CB"/>
    <w:p w14:paraId="3366A364" w14:textId="13A26BE1" w:rsidR="00FD74CB" w:rsidRDefault="00FD74CB" w:rsidP="00FD74CB">
      <w:pPr>
        <w:jc w:val="center"/>
      </w:pPr>
      <w:r>
        <w:rPr>
          <w:noProof/>
        </w:rPr>
        <w:drawing>
          <wp:inline distT="0" distB="0" distL="0" distR="0" wp14:anchorId="68BB1B85" wp14:editId="3CB65EA0">
            <wp:extent cx="4768850" cy="3178628"/>
            <wp:effectExtent l="0" t="0" r="0" b="3175"/>
            <wp:docPr id="75139434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80408" cy="3186332"/>
                    </a:xfrm>
                    <a:prstGeom prst="rect">
                      <a:avLst/>
                    </a:prstGeom>
                    <a:noFill/>
                  </pic:spPr>
                </pic:pic>
              </a:graphicData>
            </a:graphic>
          </wp:inline>
        </w:drawing>
      </w:r>
    </w:p>
    <w:p w14:paraId="38B25C04" w14:textId="77777777" w:rsidR="00FD74CB" w:rsidRDefault="00FD74CB" w:rsidP="00FD74CB">
      <w:pPr>
        <w:keepNext/>
        <w:spacing w:line="240" w:lineRule="auto"/>
        <w:jc w:val="center"/>
      </w:pPr>
      <w:r>
        <w:rPr>
          <w:rFonts w:eastAsia="Arial"/>
          <w:b/>
          <w:sz w:val="20"/>
        </w:rPr>
        <w:t xml:space="preserve">Figure 1: </w:t>
      </w:r>
      <w:r>
        <w:rPr>
          <w:rFonts w:eastAsia="Arial"/>
          <w:sz w:val="20"/>
        </w:rPr>
        <w:t>Main determinants of health model (adapted from Dahlgren and Whitehead, 1991).</w:t>
      </w:r>
    </w:p>
    <w:p w14:paraId="795E7B6F" w14:textId="77777777" w:rsidR="00FD74CB" w:rsidRDefault="00FD74CB" w:rsidP="00FD74CB">
      <w:pPr>
        <w:jc w:val="center"/>
      </w:pPr>
    </w:p>
    <w:p w14:paraId="5E555744" w14:textId="77777777" w:rsidR="00C8275D" w:rsidRDefault="00C8275D">
      <w:pPr>
        <w:keepNext/>
      </w:pPr>
      <w:r w:rsidRPr="00C8275D">
        <w:lastRenderedPageBreak/>
        <w:t xml:space="preserve">Figure 1 uses the Dahlgren and Whitehead model. It demonstrates the interaction of individual, social, material and structural conditions, which redirects interest away through culture or </w:t>
      </w:r>
      <w:proofErr w:type="spellStart"/>
      <w:r w:rsidRPr="00C8275D">
        <w:t>behaviour</w:t>
      </w:r>
      <w:proofErr w:type="spellEnd"/>
      <w:r w:rsidRPr="00C8275D">
        <w:t xml:space="preserve"> towards housing, employment, community networks and access to healthcare (Dahlgren and Whitehead, 1991).</w:t>
      </w:r>
    </w:p>
    <w:p w14:paraId="17BC9D95" w14:textId="77777777" w:rsidR="002D731E" w:rsidRDefault="00000000">
      <w:pPr>
        <w:pStyle w:val="Heading3"/>
      </w:pPr>
      <w:bookmarkStart w:id="5" w:name="__RefHeading___Toc660_3058364704"/>
      <w:bookmarkStart w:id="6" w:name="_Toc235391189"/>
      <w:bookmarkEnd w:id="5"/>
      <w:r>
        <w:rPr>
          <w:rFonts w:ascii="Arial" w:hAnsi="Arial"/>
        </w:rPr>
        <w:t>Higher Rates and Earlier Onset of Type 2 Diabetes</w:t>
      </w:r>
      <w:bookmarkEnd w:id="6"/>
    </w:p>
    <w:p w14:paraId="6AF9ADBC" w14:textId="77777777" w:rsidR="00C8275D" w:rsidRDefault="00C8275D">
      <w:r w:rsidRPr="00C8275D">
        <w:t>Type 2 diabetes is a major health inequality in the UK. General-practice data showed that, Bangladeshi women had about four times the adjusted diabetes risk and Bangladeshi men had more than four times the risk comparing with White adults; Pakistani and Indian groups also had higher risk (Hippisley-Cox et al., 2009). More recent evidence shows that South Asian adults reach the diabetes risk associated with a body mass index (BMI) of 30 kg/m2 in White adults at a BMI of about 24 kg/m2 (</w:t>
      </w:r>
      <w:proofErr w:type="spellStart"/>
      <w:r w:rsidRPr="00C8275D">
        <w:t>Caleyachetty</w:t>
      </w:r>
      <w:proofErr w:type="spellEnd"/>
      <w:r w:rsidRPr="00C8275D">
        <w:t xml:space="preserve"> et al., 2021). Biology only does not offer an explanation of these differences. There is also the impact of poverty, shift work, local food environments and delays in access to care on the risk of diabetes (Marmot et al., 2020). Previous screening and ethnically appropriate BMI levels are thus paramount (National Institute for Health and Care Excellence, 2012). Local </w:t>
      </w:r>
      <w:proofErr w:type="spellStart"/>
      <w:r w:rsidRPr="00C8275D">
        <w:t>programmes</w:t>
      </w:r>
      <w:proofErr w:type="spellEnd"/>
      <w:r w:rsidRPr="00C8275D">
        <w:t xml:space="preserve"> that are affordable and based on families can also be more equal to the generic lifestyle advice (Grace et al., 2008).</w:t>
      </w:r>
    </w:p>
    <w:p w14:paraId="338B3214" w14:textId="77777777" w:rsidR="002D731E" w:rsidRDefault="00000000">
      <w:pPr>
        <w:pStyle w:val="Heading3"/>
      </w:pPr>
      <w:bookmarkStart w:id="7" w:name="__RefHeading___Toc662_3058364704"/>
      <w:bookmarkStart w:id="8" w:name="_Toc235391190"/>
      <w:bookmarkEnd w:id="7"/>
      <w:r>
        <w:rPr>
          <w:rFonts w:ascii="Arial" w:hAnsi="Arial"/>
        </w:rPr>
        <w:t>Higher Cardiovascular Disease Incidence and Mortality</w:t>
      </w:r>
      <w:bookmarkEnd w:id="8"/>
    </w:p>
    <w:p w14:paraId="165478E7" w14:textId="0EBE89BA" w:rsidR="00C8275D" w:rsidRDefault="00C8275D">
      <w:r w:rsidRPr="00C8275D">
        <w:t xml:space="preserve">The population of South Asia has a higher risk of cardiovascular, but the trends differ among subgroups and results. Linked data from the Office for National Statistics (ONS) found the highest </w:t>
      </w:r>
      <w:proofErr w:type="spellStart"/>
      <w:r w:rsidRPr="00C8275D">
        <w:t>ischaemic</w:t>
      </w:r>
      <w:proofErr w:type="spellEnd"/>
      <w:r w:rsidRPr="00C8275D">
        <w:t xml:space="preserve"> heart disease mortality among Bangladeshi, Pakistani and Indian groups, and the highest cerebrovascular mortality among Bangladeshis (Office for National Statistics, 2021). Another study involving cohorts at a later time demonstrated a risk of cardiovascular disease showed to be high in South Asian compared to White European adults (Razieh et al., 2022). </w:t>
      </w:r>
      <w:r w:rsidR="00A63339" w:rsidRPr="00A63339">
        <w:t xml:space="preserve">Diabetes, hypertension and central adiposity are contributory factors, </w:t>
      </w:r>
      <w:r w:rsidR="00A63339">
        <w:t xml:space="preserve">but it is </w:t>
      </w:r>
      <w:r w:rsidR="00A63339" w:rsidRPr="00A63339">
        <w:t>enhanced by lack of deprivation and delay of preventive care.</w:t>
      </w:r>
      <w:r w:rsidR="00A63339">
        <w:t xml:space="preserve"> </w:t>
      </w:r>
      <w:r w:rsidR="00A63339">
        <w:t>Clinical prevention should therefore be combined with structural action and subgroup monitoring.</w:t>
      </w:r>
    </w:p>
    <w:p w14:paraId="554B2853" w14:textId="77777777" w:rsidR="002D731E" w:rsidRDefault="00000000">
      <w:pPr>
        <w:pStyle w:val="Heading3"/>
      </w:pPr>
      <w:bookmarkStart w:id="9" w:name="__RefHeading___Toc664_3058364704"/>
      <w:bookmarkStart w:id="10" w:name="_Toc235391191"/>
      <w:bookmarkEnd w:id="9"/>
      <w:r>
        <w:rPr>
          <w:rFonts w:ascii="Arial" w:hAnsi="Arial"/>
        </w:rPr>
        <w:t>Mental Illness and Unequal Access to Psychological Care</w:t>
      </w:r>
      <w:bookmarkEnd w:id="10"/>
    </w:p>
    <w:p w14:paraId="574DCA60" w14:textId="2F1C44CD" w:rsidR="00C8275D" w:rsidRDefault="00C8275D">
      <w:r w:rsidRPr="00C8275D">
        <w:t>The most evident disparity is access to the care and not a consistently higher prevalence of mental illness. Age-</w:t>
      </w:r>
      <w:proofErr w:type="spellStart"/>
      <w:r w:rsidRPr="00C8275D">
        <w:t>standardised</w:t>
      </w:r>
      <w:proofErr w:type="spellEnd"/>
      <w:r w:rsidRPr="00C8275D">
        <w:t xml:space="preserve"> survey data found symptoms of anxiety and depression, classified as common mental disorders, in 17.9% of Asian adults and 17.3% of White British adults (Race Disparity Unit, 2017). Despite similar levels, only 6.5% of Asian adults with a probable common mental disorder, mainly anxiety or depression, used National Health Service (NHS) psychological </w:t>
      </w:r>
      <w:r w:rsidRPr="00C8275D">
        <w:lastRenderedPageBreak/>
        <w:t>therapy, compared with 9.7% of White adults (Office for National Statistics, 2022b). Stigma, racism, language barriers, migration stress and narrow notion of distress-based services can slow down the help-seeking process. Nonetheless, the tendency of some reluctance could be hidden in the name of culture to conceal service failure. Professional interpretation, co-designed referral routes, outreach via trust are required (Sharland et al., 2023).</w:t>
      </w:r>
    </w:p>
    <w:p w14:paraId="0021D631" w14:textId="77777777" w:rsidR="002D731E" w:rsidRDefault="00000000">
      <w:pPr>
        <w:pStyle w:val="Heading3"/>
      </w:pPr>
      <w:bookmarkStart w:id="11" w:name="__RefHeading___Toc666_3058364704"/>
      <w:bookmarkStart w:id="12" w:name="_Toc235391192"/>
      <w:bookmarkEnd w:id="11"/>
      <w:r>
        <w:rPr>
          <w:rFonts w:ascii="Arial" w:hAnsi="Arial"/>
        </w:rPr>
        <w:t>Poverty, Employment and Material Deprivation</w:t>
      </w:r>
      <w:bookmarkEnd w:id="12"/>
    </w:p>
    <w:p w14:paraId="3BFB3964" w14:textId="2F0C3980" w:rsidR="00C8275D" w:rsidRDefault="00C8275D">
      <w:r w:rsidRPr="00C8275D">
        <w:t xml:space="preserve">Most health risks are influenced by material disadvantage. Relatively low income after housing expenditure was found in 53% of households in Bangladeshi and 47% of households in Pakistani households and 18% in White British households in the three years to 2023/24 (Department for Work and Pensions, 2025). Work that is insecure, low-income limits healthy food, transport, time and recreation and appointments, and may lead to greater stress and demotivation to attend. </w:t>
      </w:r>
      <w:proofErr w:type="spellStart"/>
      <w:r w:rsidRPr="00C8275D">
        <w:t>Behaviour</w:t>
      </w:r>
      <w:proofErr w:type="spellEnd"/>
      <w:r w:rsidRPr="00C8275D">
        <w:t xml:space="preserve"> </w:t>
      </w:r>
      <w:proofErr w:type="spellStart"/>
      <w:r w:rsidRPr="00C8275D">
        <w:t>programmes</w:t>
      </w:r>
      <w:proofErr w:type="spellEnd"/>
      <w:r w:rsidRPr="00C8275D">
        <w:t xml:space="preserve"> can increase inequalities whereby it </w:t>
      </w:r>
      <w:proofErr w:type="spellStart"/>
      <w:r w:rsidRPr="00C8275D">
        <w:t>favours</w:t>
      </w:r>
      <w:proofErr w:type="spellEnd"/>
      <w:r w:rsidRPr="00C8275D">
        <w:t xml:space="preserve"> better-resourced groups. Underlying causes are addressed with welfare advice in primary care, secure work and flexible appointments and </w:t>
      </w:r>
      <w:proofErr w:type="spellStart"/>
      <w:r w:rsidRPr="00C8275D">
        <w:t>subsidised</w:t>
      </w:r>
      <w:proofErr w:type="spellEnd"/>
      <w:r w:rsidRPr="00C8275D">
        <w:t xml:space="preserve"> local activity.</w:t>
      </w:r>
    </w:p>
    <w:p w14:paraId="2A963A36" w14:textId="77777777" w:rsidR="002D731E" w:rsidRDefault="00000000">
      <w:pPr>
        <w:pStyle w:val="Heading3"/>
      </w:pPr>
      <w:bookmarkStart w:id="13" w:name="__RefHeading___Toc668_3058364704"/>
      <w:bookmarkStart w:id="14" w:name="_Toc235391193"/>
      <w:bookmarkEnd w:id="13"/>
      <w:r>
        <w:rPr>
          <w:rFonts w:ascii="Arial" w:hAnsi="Arial"/>
        </w:rPr>
        <w:t xml:space="preserve">Housing and </w:t>
      </w:r>
      <w:proofErr w:type="spellStart"/>
      <w:r>
        <w:rPr>
          <w:rFonts w:ascii="Arial" w:hAnsi="Arial"/>
        </w:rPr>
        <w:t>Neighbourhood</w:t>
      </w:r>
      <w:proofErr w:type="spellEnd"/>
      <w:r>
        <w:rPr>
          <w:rFonts w:ascii="Arial" w:hAnsi="Arial"/>
        </w:rPr>
        <w:t xml:space="preserve"> Inequality</w:t>
      </w:r>
      <w:bookmarkEnd w:id="14"/>
    </w:p>
    <w:p w14:paraId="66D4AFE4" w14:textId="4E6CA06E" w:rsidR="00C8275D" w:rsidRDefault="00C8275D">
      <w:r w:rsidRPr="00C8275D">
        <w:t>Housing is a social determinant, as well as a health risk. In the three years to March 2023, 18 per cent of households in Bangladesh were overcrowded in England compared to 2</w:t>
      </w:r>
      <w:r w:rsidR="00A63339">
        <w:t xml:space="preserve">% </w:t>
      </w:r>
      <w:r w:rsidR="00A63339" w:rsidRPr="00C8275D">
        <w:t>of</w:t>
      </w:r>
      <w:r w:rsidRPr="00C8275D">
        <w:t xml:space="preserve"> White British households and 3</w:t>
      </w:r>
      <w:r>
        <w:t xml:space="preserve">% </w:t>
      </w:r>
      <w:r w:rsidRPr="00C8275D">
        <w:t xml:space="preserve">households overall (Ministry of Housing, Communities and Local Government, 2025). Both overcrowding may disrupt sleep patterns, amplify exposure to infection, exacerbate stress and complicate self-management of chronic-diseases. The concept of multigenerational living on its own should not be considered as detrimental since it could offer help. Inequality comes with lack of choice, space or safe environment to the families. More sustainable solutions include affordable larger property, proper development, and investment in green, walkable </w:t>
      </w:r>
      <w:proofErr w:type="spellStart"/>
      <w:r w:rsidRPr="00C8275D">
        <w:t>neighbourhoods</w:t>
      </w:r>
      <w:proofErr w:type="spellEnd"/>
      <w:r w:rsidRPr="00C8275D">
        <w:t>.</w:t>
      </w:r>
    </w:p>
    <w:p w14:paraId="27602990" w14:textId="77777777" w:rsidR="002D731E" w:rsidRDefault="00000000">
      <w:pPr>
        <w:pStyle w:val="Heading3"/>
      </w:pPr>
      <w:bookmarkStart w:id="15" w:name="__RefHeading___Toc670_3058364704"/>
      <w:bookmarkStart w:id="16" w:name="_Toc235391194"/>
      <w:bookmarkEnd w:id="15"/>
      <w:r>
        <w:rPr>
          <w:rFonts w:ascii="Arial" w:hAnsi="Arial"/>
        </w:rPr>
        <w:t>Racism, Language and Unequal Healthcare Access</w:t>
      </w:r>
      <w:bookmarkEnd w:id="16"/>
    </w:p>
    <w:p w14:paraId="56F3C35D" w14:textId="77777777" w:rsidR="00C8275D" w:rsidRDefault="00C8275D">
      <w:r w:rsidRPr="00C8275D">
        <w:t xml:space="preserve">Racism may influence work, </w:t>
      </w:r>
      <w:proofErr w:type="spellStart"/>
      <w:r w:rsidRPr="00C8275D">
        <w:t>neighbourhood</w:t>
      </w:r>
      <w:proofErr w:type="spellEnd"/>
      <w:r w:rsidRPr="00C8275D">
        <w:t xml:space="preserve"> factors, trust and clinical experiences. Census 2021 found that, among residents whose main language was not English or Welsh, 17.1% could not speak English well and 3.1% could not speak it at all (Office for National Statistics, 2022c). These national statistics do not single out South Asian communities but it is an indication of why poorly interpreted and digital-only systems present danger. Stereotyping may also cause symptoms or social problems to be attributed to culture. It requires professional interpreters, non-digital booking, anti-racist training and full and disaggregated ethnicity information. Institutional </w:t>
      </w:r>
      <w:r w:rsidRPr="00C8275D">
        <w:lastRenderedPageBreak/>
        <w:t>accountability should not be relegated by community navigators, who can help (NHS England, 2024c).</w:t>
      </w:r>
    </w:p>
    <w:p w14:paraId="11AB1C7B" w14:textId="77777777" w:rsidR="002D731E" w:rsidRDefault="00000000">
      <w:pPr>
        <w:pStyle w:val="Heading2"/>
        <w:rPr>
          <w:color w:val="000000" w:themeColor="text1"/>
        </w:rPr>
      </w:pPr>
      <w:bookmarkStart w:id="17" w:name="__RefHeading___Toc672_3058364704"/>
      <w:bookmarkStart w:id="18" w:name="_Toc235391195"/>
      <w:bookmarkEnd w:id="17"/>
      <w:r>
        <w:rPr>
          <w:rFonts w:ascii="Arial" w:hAnsi="Arial"/>
          <w:color w:val="000000" w:themeColor="text1"/>
        </w:rPr>
        <w:t>National Responses to Reduce Health Inequalities</w:t>
      </w:r>
      <w:bookmarkEnd w:id="18"/>
    </w:p>
    <w:p w14:paraId="07332821" w14:textId="77777777" w:rsidR="0054545F" w:rsidRDefault="0054545F">
      <w:r w:rsidRPr="0054545F">
        <w:t xml:space="preserve">Particularly two national responses are applicable. First, Core20PLUS5 is the NHS England framework for reducing healthcare inequalities. "Core20" means the most deprived 20% of the population, "PLUS" covers locally identified groups such as ethnic minority communities, and "5" identifies five priority areas: maternity, severe mental illness, chronic respiratory disease, early cancer diagnosis and hypertension case-finding (NHS England, 2024b). Its strength lies in the fact that it has appreciated that ethnicity is where deprivation overlaps, yet that there is still local difference in data and capacity yielding uneven execution. Second, the National Institute on Health and Care Excellence (NICE) (which was published in 2012) and the Healthier You NHS Diabetes Prevention </w:t>
      </w:r>
      <w:proofErr w:type="spellStart"/>
      <w:r w:rsidRPr="0054545F">
        <w:t>Programme</w:t>
      </w:r>
      <w:proofErr w:type="spellEnd"/>
      <w:r w:rsidRPr="0054545F">
        <w:t xml:space="preserve"> (launched in 2024a) recommend earlier South Asian adult risk assessment. We see significant risk decreases in </w:t>
      </w:r>
      <w:proofErr w:type="spellStart"/>
      <w:r w:rsidRPr="0054545F">
        <w:t>programme</w:t>
      </w:r>
      <w:proofErr w:type="spellEnd"/>
      <w:r w:rsidRPr="0054545F">
        <w:t xml:space="preserve"> completers, whereas referral, attendance and retention are socially patterned (Whelan and Bell, 2022). Policy must thus be culturally responsive, non-digital, publicly accessible subgroup results.</w:t>
      </w:r>
    </w:p>
    <w:p w14:paraId="2F39211D" w14:textId="77777777" w:rsidR="002D731E" w:rsidRDefault="00000000">
      <w:pPr>
        <w:pStyle w:val="Heading2"/>
        <w:rPr>
          <w:color w:val="000000" w:themeColor="text1"/>
        </w:rPr>
      </w:pPr>
      <w:bookmarkStart w:id="19" w:name="__RefHeading___Toc674_3058364704"/>
      <w:bookmarkStart w:id="20" w:name="_Toc235391196"/>
      <w:bookmarkEnd w:id="19"/>
      <w:proofErr w:type="spellStart"/>
      <w:r>
        <w:rPr>
          <w:rFonts w:ascii="Arial" w:hAnsi="Arial"/>
          <w:color w:val="000000" w:themeColor="text1"/>
        </w:rPr>
        <w:t>Organisation</w:t>
      </w:r>
      <w:proofErr w:type="spellEnd"/>
      <w:r>
        <w:rPr>
          <w:rFonts w:ascii="Arial" w:hAnsi="Arial"/>
          <w:color w:val="000000" w:themeColor="text1"/>
        </w:rPr>
        <w:t xml:space="preserve"> Supporting South Asian Communities</w:t>
      </w:r>
      <w:bookmarkEnd w:id="20"/>
    </w:p>
    <w:p w14:paraId="14BB56FA" w14:textId="6B891DAA" w:rsidR="0054545F" w:rsidRDefault="0054545F">
      <w:r w:rsidRPr="0054545F">
        <w:t>The South Asian Health Foundation is a UK charity improving health in South Asian communities. It aims to enhance both quality and access to healthcare, research, and advice decision-makers and disseminate good practice (South Asian Health Foundation, n.d.). It promotes community-level education, professional learning and evidence-based practice in diabetes, cardiovascular disease, mental health and other disparities. Its reports render the use of specialist evidence into valuable recommendations (South Asian Health Foundation, 2024). Nevertheless, the charity activity</w:t>
      </w:r>
      <w:r w:rsidR="00FC1E2D">
        <w:t xml:space="preserve"> </w:t>
      </w:r>
      <w:r w:rsidRPr="0054545F">
        <w:t xml:space="preserve">requires funding and collaborations and cannot be substituted with statutory obligations. </w:t>
      </w:r>
    </w:p>
    <w:p w14:paraId="5D68CE45" w14:textId="77777777" w:rsidR="002D731E" w:rsidRDefault="00000000">
      <w:pPr>
        <w:pStyle w:val="Heading2"/>
        <w:rPr>
          <w:color w:val="000000" w:themeColor="text1"/>
        </w:rPr>
      </w:pPr>
      <w:bookmarkStart w:id="21" w:name="__RefHeading___Toc676_3058364704"/>
      <w:bookmarkStart w:id="22" w:name="_Toc235391197"/>
      <w:bookmarkEnd w:id="21"/>
      <w:r>
        <w:rPr>
          <w:rFonts w:ascii="Arial" w:hAnsi="Arial"/>
          <w:color w:val="000000" w:themeColor="text1"/>
        </w:rPr>
        <w:t>Conclusion</w:t>
      </w:r>
      <w:bookmarkEnd w:id="22"/>
    </w:p>
    <w:p w14:paraId="662F9BC9" w14:textId="77777777" w:rsidR="0054545F" w:rsidRDefault="0054545F">
      <w:r w:rsidRPr="0054545F">
        <w:t>South Asian healthcare disparities are indicative of disproportionate risk of disease, living conditions, and access to responsive care. Co Comorbidities Diabetes and cardiovascular disease are associated with mental-health treatment gaps, whereas poverty, housing and racism influence predisposition throughout the life course. Sufficient action should be a balanced mix of clinical prevention and income, housing and anti-racist action.</w:t>
      </w:r>
    </w:p>
    <w:p w14:paraId="5068DDEE" w14:textId="77777777" w:rsidR="002D731E" w:rsidRDefault="00000000">
      <w:r>
        <w:br w:type="page"/>
      </w:r>
    </w:p>
    <w:p w14:paraId="6216DCE2" w14:textId="77777777" w:rsidR="002D731E" w:rsidRDefault="00000000">
      <w:pPr>
        <w:pStyle w:val="Heading1"/>
        <w:spacing w:before="0"/>
        <w:rPr>
          <w:color w:val="000000" w:themeColor="text1"/>
          <w:sz w:val="32"/>
          <w:szCs w:val="32"/>
        </w:rPr>
      </w:pPr>
      <w:bookmarkStart w:id="23" w:name="__RefHeading___Toc678_3058364704"/>
      <w:bookmarkStart w:id="24" w:name="_Toc235391198"/>
      <w:bookmarkEnd w:id="23"/>
      <w:r>
        <w:rPr>
          <w:rFonts w:ascii="Arial" w:hAnsi="Arial"/>
          <w:color w:val="000000" w:themeColor="text1"/>
          <w:sz w:val="32"/>
          <w:szCs w:val="32"/>
        </w:rPr>
        <w:lastRenderedPageBreak/>
        <w:t>Task 2: Epidemiological Analysis</w:t>
      </w:r>
      <w:bookmarkEnd w:id="24"/>
    </w:p>
    <w:p w14:paraId="2224B9BF" w14:textId="77777777" w:rsidR="002D731E" w:rsidRDefault="00000000">
      <w:pPr>
        <w:pStyle w:val="SubtitleCustom"/>
        <w:jc w:val="center"/>
        <w:rPr>
          <w:color w:val="000000" w:themeColor="text1"/>
          <w:sz w:val="28"/>
          <w:szCs w:val="24"/>
        </w:rPr>
      </w:pPr>
      <w:r>
        <w:rPr>
          <w:color w:val="000000" w:themeColor="text1"/>
          <w:sz w:val="28"/>
          <w:szCs w:val="24"/>
        </w:rPr>
        <w:t>Type 2 Diabetes among Bangladeshi Adults in the London Borough of Tower Hamlets</w:t>
      </w:r>
    </w:p>
    <w:p w14:paraId="75F6A096" w14:textId="77777777" w:rsidR="002D731E" w:rsidRDefault="00000000">
      <w:pPr>
        <w:pStyle w:val="Heading2"/>
        <w:rPr>
          <w:color w:val="000000" w:themeColor="text1"/>
        </w:rPr>
      </w:pPr>
      <w:bookmarkStart w:id="25" w:name="__RefHeading___Toc680_3058364704"/>
      <w:bookmarkStart w:id="26" w:name="_Toc235391199"/>
      <w:bookmarkEnd w:id="25"/>
      <w:r>
        <w:rPr>
          <w:rFonts w:ascii="Arial" w:hAnsi="Arial"/>
          <w:color w:val="000000" w:themeColor="text1"/>
        </w:rPr>
        <w:t>Introduction</w:t>
      </w:r>
      <w:bookmarkEnd w:id="26"/>
    </w:p>
    <w:p w14:paraId="062D2892" w14:textId="77777777" w:rsidR="00753F02" w:rsidRDefault="00753F02">
      <w:r w:rsidRPr="00753F02">
        <w:t xml:space="preserve">Type 2 diabetes is a chronic metabolism disorder whereby, insulin resistance, and dysfunctional pancreatic beta-cells result in sustained </w:t>
      </w:r>
      <w:proofErr w:type="spellStart"/>
      <w:r w:rsidRPr="00753F02">
        <w:t>hyperglycaemia</w:t>
      </w:r>
      <w:proofErr w:type="spellEnd"/>
      <w:r w:rsidRPr="00753F02">
        <w:t>. It can lead to cardiovascular disease, kidney failure, neuropathy, visual loss and amputation. In 2022, there were nearly 830 million patients with diabetes worldwide: over 95% were of type 2 (World Health Organization, 2024). The UK showed the number of 4.6 million people with diagnosed diabetes in 2025 and the number of one and a half million people with undiagnosed type 2 diabetes (Diabetes UK, 2025). Tower Hamlets will be a suitable local-level unit since it has an established authority and health-system boundary, a Census 2021 population of 310306, and the largest proportion of Bangladeshi residents in England and Wales at 34.6% (Office for National Statistics, 2023). The cumulative risk of diagnosed with diabetes is three times higher among Bangladeshi residents aged 70 than it is among White residents (Tower Hamlets Council, 2025). The burden has an impact on work, family care and household income.</w:t>
      </w:r>
    </w:p>
    <w:p w14:paraId="4C5AE250" w14:textId="77777777" w:rsidR="002D731E" w:rsidRDefault="00000000">
      <w:pPr>
        <w:pStyle w:val="Heading2"/>
        <w:rPr>
          <w:color w:val="000000" w:themeColor="text1"/>
        </w:rPr>
      </w:pPr>
      <w:bookmarkStart w:id="27" w:name="__RefHeading___Toc682_3058364704"/>
      <w:bookmarkStart w:id="28" w:name="_Toc235391200"/>
      <w:bookmarkEnd w:id="27"/>
      <w:r>
        <w:rPr>
          <w:rFonts w:ascii="Arial" w:hAnsi="Arial"/>
          <w:color w:val="000000" w:themeColor="text1"/>
        </w:rPr>
        <w:t>Public Health Measures in the Defined Population</w:t>
      </w:r>
      <w:bookmarkEnd w:id="28"/>
    </w:p>
    <w:p w14:paraId="55A8EDD4" w14:textId="77777777" w:rsidR="002D731E" w:rsidRDefault="00000000">
      <w:pPr>
        <w:rPr>
          <w:b/>
          <w:bCs/>
        </w:rPr>
      </w:pPr>
      <w:r>
        <w:rPr>
          <w:b/>
          <w:bCs/>
        </w:rPr>
        <w:t>Prevention</w:t>
      </w:r>
    </w:p>
    <w:p w14:paraId="3835792C" w14:textId="1E990161" w:rsidR="00753F02" w:rsidRDefault="00753F02">
      <w:r w:rsidRPr="00753F02">
        <w:t xml:space="preserve">Prevention must be a combination of population and high-risk strategies. Risk assessment and glycated </w:t>
      </w:r>
      <w:proofErr w:type="spellStart"/>
      <w:r w:rsidRPr="00753F02">
        <w:t>haemoglobin</w:t>
      </w:r>
      <w:proofErr w:type="spellEnd"/>
      <w:r w:rsidRPr="00753F02">
        <w:t xml:space="preserve"> (HbA1c) testing should be validated and offered in practices, pharmacies and workplaces and community venues and then those referred to the NHS Diabetes Prevention </w:t>
      </w:r>
      <w:proofErr w:type="spellStart"/>
      <w:r w:rsidRPr="00753F02">
        <w:t>Programme</w:t>
      </w:r>
      <w:proofErr w:type="spellEnd"/>
      <w:r w:rsidRPr="00753F02">
        <w:t xml:space="preserve">. NICE recommends risk assessment since age 25 in South Asian adults and blood testing since age 25 when body mass index is greater than 23 kg/m2 since the risks are developing earlier and at low body mass index (National Institute for Health and Care Excellence, 2012). The Vital 5 approach presented by Tower Hamlets is already characterized with community checks, activity and pathway improvement as led by residents which gives an opportunity to be detected earlier (Tower Hamlets Council, 2025). The universal invitations cannot be sufficient as digital exclusion, shift work and mistrust decrease uptake. </w:t>
      </w:r>
    </w:p>
    <w:p w14:paraId="676647BA" w14:textId="77777777" w:rsidR="002D731E" w:rsidRDefault="00000000">
      <w:pPr>
        <w:rPr>
          <w:b/>
          <w:bCs/>
        </w:rPr>
      </w:pPr>
      <w:r>
        <w:rPr>
          <w:b/>
          <w:bCs/>
        </w:rPr>
        <w:t>Protection and Treatment</w:t>
      </w:r>
    </w:p>
    <w:p w14:paraId="6CD36219" w14:textId="013547CB" w:rsidR="00753F02" w:rsidRDefault="00753F02" w:rsidP="00753F02">
      <w:r w:rsidRPr="00753F02">
        <w:lastRenderedPageBreak/>
        <w:t xml:space="preserve">In the case of a non-communicable disease, protection refers to the prevention of unnecessary damage once diagnosed. It incorporates effective drugs and medicines, </w:t>
      </w:r>
      <w:proofErr w:type="spellStart"/>
      <w:r w:rsidRPr="00753F02">
        <w:t>personalised</w:t>
      </w:r>
      <w:proofErr w:type="spellEnd"/>
      <w:r w:rsidRPr="00753F02">
        <w:t xml:space="preserve"> </w:t>
      </w:r>
      <w:proofErr w:type="spellStart"/>
      <w:r w:rsidRPr="00753F02">
        <w:t>glycaemic</w:t>
      </w:r>
      <w:proofErr w:type="spellEnd"/>
      <w:r w:rsidRPr="00753F02">
        <w:t xml:space="preserve"> and cardiovascular risk and management, eye screening, kidney testing, leg check-ups, vaccination and cautious guidance during fasting. The recent NICE recommendations focus on education, person-</w:t>
      </w:r>
      <w:proofErr w:type="spellStart"/>
      <w:r w:rsidRPr="00753F02">
        <w:t>centred</w:t>
      </w:r>
      <w:proofErr w:type="spellEnd"/>
      <w:r w:rsidRPr="00753F02">
        <w:t xml:space="preserve"> medicines and preventative systematic complications in the long-term (National Institute for Health and Care Excellence, 2026). Missing care processes should be flagged by a recall system, initiating a rapid referral and identify primary, community and hospital services. </w:t>
      </w:r>
    </w:p>
    <w:p w14:paraId="30CB6E29" w14:textId="77777777" w:rsidR="002D731E" w:rsidRDefault="00000000">
      <w:pPr>
        <w:rPr>
          <w:b/>
          <w:bCs/>
          <w:color w:val="000000" w:themeColor="text1"/>
        </w:rPr>
      </w:pPr>
      <w:r>
        <w:rPr>
          <w:b/>
          <w:bCs/>
          <w:color w:val="000000" w:themeColor="text1"/>
        </w:rPr>
        <w:t>Health Promotion</w:t>
      </w:r>
    </w:p>
    <w:p w14:paraId="5319A78F" w14:textId="5A8B2965" w:rsidR="00753F02" w:rsidRDefault="00753F02">
      <w:r w:rsidRPr="00753F02">
        <w:t xml:space="preserve">Health promotions must create capacity, without focusing on people who make structurally bound decisions. This can be enhanced with co-designed communication in Bengali or Sylheti, familiar examples of food, family engagement, </w:t>
      </w:r>
      <w:r w:rsidRPr="00753F02">
        <w:t>low-cost</w:t>
      </w:r>
      <w:r w:rsidRPr="00753F02">
        <w:t xml:space="preserve"> education and activities that are by their request reserved exclusively by women since the British Bangladeshi residents note that practical, linguistic, and social barriers hamper the prevention process (Grace et al., 2008). This evidence reveals a variety of religious opinions</w:t>
      </w:r>
      <w:r w:rsidR="005A6CDF">
        <w:t xml:space="preserve">. </w:t>
      </w:r>
      <w:r w:rsidRPr="00753F02">
        <w:t xml:space="preserve">Trust can be established by the community </w:t>
      </w:r>
      <w:proofErr w:type="spellStart"/>
      <w:r w:rsidRPr="00753F02">
        <w:t>organisations</w:t>
      </w:r>
      <w:proofErr w:type="spellEnd"/>
      <w:r w:rsidRPr="00753F02">
        <w:t>, the mosques and resident leaders though the clinical responsibility is to be maintained by the trained services (NHS England, 2023).</w:t>
      </w:r>
    </w:p>
    <w:p w14:paraId="52BE7878" w14:textId="77777777" w:rsidR="002D731E" w:rsidRDefault="00000000">
      <w:pPr>
        <w:pStyle w:val="Heading2"/>
        <w:rPr>
          <w:color w:val="000000" w:themeColor="text1"/>
        </w:rPr>
      </w:pPr>
      <w:bookmarkStart w:id="29" w:name="__RefHeading___Toc684_3058364704"/>
      <w:bookmarkStart w:id="30" w:name="_Toc235391201"/>
      <w:bookmarkEnd w:id="29"/>
      <w:r>
        <w:rPr>
          <w:rFonts w:ascii="Arial" w:hAnsi="Arial"/>
          <w:color w:val="000000" w:themeColor="text1"/>
        </w:rPr>
        <w:t>Key Determinants and Risk Factors</w:t>
      </w:r>
      <w:bookmarkEnd w:id="30"/>
    </w:p>
    <w:p w14:paraId="2BA080E0" w14:textId="77777777" w:rsidR="00753F02" w:rsidRDefault="00753F02">
      <w:r w:rsidRPr="00753F02">
        <w:t xml:space="preserve">Figure 1 illustrates that risk occurs through interacting pathways of biological, </w:t>
      </w:r>
      <w:proofErr w:type="spellStart"/>
      <w:r w:rsidRPr="00753F02">
        <w:t>behavioural</w:t>
      </w:r>
      <w:proofErr w:type="spellEnd"/>
      <w:r w:rsidRPr="00753F02">
        <w:t xml:space="preserve"> and structures. There are risk factors, such as family history, central adiposity, hypertension, ageing and past gestational diabetes which predispose to DM, and equal risk of diabetes with low BMI is observed among South Asians (</w:t>
      </w:r>
      <w:proofErr w:type="spellStart"/>
      <w:r w:rsidRPr="00753F02">
        <w:t>Caleyachetty</w:t>
      </w:r>
      <w:proofErr w:type="spellEnd"/>
      <w:r w:rsidRPr="00753F02">
        <w:t xml:space="preserve"> et al., 2021). Diet and inactivity are important factors though traditional food is not a sufficient bit of explanation. Poverty, insecure work, food insecurity, overcrowding and unsafe </w:t>
      </w:r>
      <w:proofErr w:type="spellStart"/>
      <w:r w:rsidRPr="00753F02">
        <w:t>neighbourhoods</w:t>
      </w:r>
      <w:proofErr w:type="spellEnd"/>
      <w:r w:rsidRPr="00753F02">
        <w:t xml:space="preserve"> restrict healthy choices (Marmot et al., 2020). Testing and treatment might be slowed down by language barriers and poor continuity (NHS England, 2024c). Prevention can also be facilitated by the family networks and community institutions. Ethnicity is then to be regarded as a marker that is associated with a number of causal pathways, but not a biological cause.</w:t>
      </w:r>
    </w:p>
    <w:p w14:paraId="2AFB5FFE" w14:textId="77777777" w:rsidR="002D731E" w:rsidRDefault="00000000">
      <w:pPr>
        <w:pStyle w:val="Heading2"/>
        <w:rPr>
          <w:color w:val="000000" w:themeColor="text1"/>
        </w:rPr>
      </w:pPr>
      <w:bookmarkStart w:id="31" w:name="__RefHeading___Toc686_3058364704"/>
      <w:bookmarkStart w:id="32" w:name="_Toc235391202"/>
      <w:bookmarkEnd w:id="31"/>
      <w:r>
        <w:rPr>
          <w:rFonts w:ascii="Arial" w:hAnsi="Arial"/>
          <w:color w:val="000000" w:themeColor="text1"/>
        </w:rPr>
        <w:t>Epidemiological Studies and Health Needs Assessment</w:t>
      </w:r>
      <w:bookmarkEnd w:id="32"/>
    </w:p>
    <w:p w14:paraId="02E2A447" w14:textId="27BFE701" w:rsidR="00FC1E2D" w:rsidRDefault="00FC1E2D">
      <w:r w:rsidRPr="00FC1E2D">
        <w:t xml:space="preserve">A health needs assessment should combine epidemiological, service and community evidence. The gap between NICE standards and recorded care is called normative need; the gap between </w:t>
      </w:r>
      <w:r w:rsidRPr="00FC1E2D">
        <w:lastRenderedPageBreak/>
        <w:t xml:space="preserve">NICE standards and London or England is called comparative need; the gap between NICE standards and service use is called expressed need; and resident accounts show need (Bradshaw, 1972). Diagnosed prevalence, new diagnosis, HbA1c control and complications by age, sex, deprivation and specific ethnicity should be reported in practice data. The community testing can be used to estimate the hidden risk and interviews clarify the barriers which will be missed through registers. A trial involving Tower Hamlets concluded that a </w:t>
      </w:r>
      <w:proofErr w:type="spellStart"/>
      <w:r w:rsidRPr="00FC1E2D">
        <w:t>programme</w:t>
      </w:r>
      <w:proofErr w:type="spellEnd"/>
      <w:r w:rsidRPr="00FC1E2D">
        <w:t xml:space="preserve"> led by the lay-people enhanced the self-efficacy in Bangladeshi patients even though attendance and health benefits were only slight (Griffiths et al., 2005). This contrast shows that acceptability does not guarantee clinical effectiveness. </w:t>
      </w:r>
    </w:p>
    <w:p w14:paraId="3E8DDD13" w14:textId="77777777" w:rsidR="002D731E" w:rsidRDefault="00000000">
      <w:pPr>
        <w:pStyle w:val="Heading2"/>
        <w:rPr>
          <w:color w:val="000000" w:themeColor="text1"/>
        </w:rPr>
      </w:pPr>
      <w:bookmarkStart w:id="33" w:name="__RefHeading___Toc688_3058364704"/>
      <w:bookmarkStart w:id="34" w:name="_Toc235391203"/>
      <w:bookmarkEnd w:id="33"/>
      <w:r>
        <w:rPr>
          <w:rFonts w:ascii="Arial" w:hAnsi="Arial"/>
          <w:color w:val="000000" w:themeColor="text1"/>
        </w:rPr>
        <w:t>Surveillance and Monitoring</w:t>
      </w:r>
      <w:bookmarkEnd w:id="34"/>
    </w:p>
    <w:p w14:paraId="519C0201" w14:textId="38F9C20F" w:rsidR="00FC1E2D" w:rsidRDefault="00FC1E2D">
      <w:r w:rsidRPr="00FC1E2D">
        <w:t>Monitoring must be passive, active, sentinel and periodic. General-practice registers and count data of Quality and Outcomes Framework can deal with repeated denominators, and the National Diabetes Audit is able to assess care processes, treatment targets, complications and outcomes based on demographic traits (NHS England, 2025; NHS England, 2026). Where governance is feasible, information ought to connect hospital admission, retinal scan, renal outcomes, amputations and death. The undiagnosed disease can be estimated through community case-finding and the selected pharmacies can provide sentinel information. Networks of East London practices had earlier enhanced care-plan documentation, eye-check-ups and consolidated management of risk factors, demonstrating the worth of shared dashboards (Hull et al., 2014). Registers however, represent the diagnosed but not the true prevalence. Lack of ethnicity, coding variations, delays in mobility, and reporting can bias trends. Reports must provide age-</w:t>
      </w:r>
      <w:proofErr w:type="spellStart"/>
      <w:r w:rsidRPr="00FC1E2D">
        <w:t>standardised</w:t>
      </w:r>
      <w:proofErr w:type="spellEnd"/>
      <w:r w:rsidRPr="00FC1E2D">
        <w:t xml:space="preserve"> rates, confidence intervals, data completeness and sensitivity analyses</w:t>
      </w:r>
      <w:r w:rsidR="005A6CDF">
        <w:t>.</w:t>
      </w:r>
    </w:p>
    <w:p w14:paraId="7DCC5C9C" w14:textId="77777777" w:rsidR="002D731E" w:rsidRDefault="00000000">
      <w:pPr>
        <w:pStyle w:val="Heading2"/>
        <w:rPr>
          <w:color w:val="000000" w:themeColor="text1"/>
        </w:rPr>
      </w:pPr>
      <w:bookmarkStart w:id="35" w:name="__RefHeading___Toc690_3058364704"/>
      <w:bookmarkStart w:id="36" w:name="_Toc235391205"/>
      <w:bookmarkEnd w:id="35"/>
      <w:r>
        <w:rPr>
          <w:rFonts w:ascii="Arial" w:hAnsi="Arial"/>
          <w:color w:val="000000" w:themeColor="text1"/>
        </w:rPr>
        <w:t xml:space="preserve">Proposed Intervention: Tower Hamlets Bangla Diabetes Equity </w:t>
      </w:r>
      <w:proofErr w:type="spellStart"/>
      <w:r>
        <w:rPr>
          <w:rFonts w:ascii="Arial" w:hAnsi="Arial"/>
          <w:color w:val="000000" w:themeColor="text1"/>
        </w:rPr>
        <w:t>Programme</w:t>
      </w:r>
      <w:bookmarkEnd w:id="36"/>
      <w:proofErr w:type="spellEnd"/>
    </w:p>
    <w:p w14:paraId="17D36369" w14:textId="77777777" w:rsidR="00FC1E2D" w:rsidRDefault="00FC1E2D">
      <w:r w:rsidRPr="00FC1E2D">
        <w:t xml:space="preserve">The </w:t>
      </w:r>
      <w:proofErr w:type="gramStart"/>
      <w:r w:rsidRPr="00FC1E2D">
        <w:t>two year</w:t>
      </w:r>
      <w:proofErr w:type="gramEnd"/>
      <w:r w:rsidRPr="00FC1E2D">
        <w:t xml:space="preserve"> Tower Hamlets Bangali Diabetes Equity </w:t>
      </w:r>
      <w:proofErr w:type="spellStart"/>
      <w:r w:rsidRPr="00FC1E2D">
        <w:t>Programme</w:t>
      </w:r>
      <w:proofErr w:type="spellEnd"/>
      <w:r w:rsidRPr="00FC1E2D">
        <w:t xml:space="preserve"> ought to entail both focused case-finding and culturally sensitive prevention and management. Bangladeshi adults aged 25 or over without diagnosed diabetes would be offered a risk score and HbA1c test through practices, pharmacies, workplaces and pop-up sessions. Adults with non-diabetic </w:t>
      </w:r>
      <w:proofErr w:type="spellStart"/>
      <w:r w:rsidRPr="00FC1E2D">
        <w:t>hyperglycaemia</w:t>
      </w:r>
      <w:proofErr w:type="spellEnd"/>
      <w:r w:rsidRPr="00FC1E2D">
        <w:t xml:space="preserve"> would receive a 12-month </w:t>
      </w:r>
      <w:proofErr w:type="spellStart"/>
      <w:r w:rsidRPr="00FC1E2D">
        <w:t>programme</w:t>
      </w:r>
      <w:proofErr w:type="spellEnd"/>
      <w:r w:rsidRPr="00FC1E2D">
        <w:t xml:space="preserve"> led by bilingual community health workers, dietitians and nurses. It would involve familiar-food exhibits, cheap shopping, walking, family goal-setting and ladies-only activity where possible. Home-linked support and telephone assistance would decrease inactivation based on disability, caring or shift work. Individuals who have diagnosed diabetes with poor control would be provided with medication review and fast retina, renal and foot-care </w:t>
      </w:r>
      <w:r w:rsidRPr="00FC1E2D">
        <w:lastRenderedPageBreak/>
        <w:t xml:space="preserve">referral. Recruitment, materials and complaints would be co-governed by the representatives of the community. Long-term lifestyle intervention demonstrates that diabetes delay due to intensive intervention is possible although local equity concerns people lost to generic </w:t>
      </w:r>
      <w:proofErr w:type="spellStart"/>
      <w:r w:rsidRPr="00FC1E2D">
        <w:t>programmes</w:t>
      </w:r>
      <w:proofErr w:type="spellEnd"/>
      <w:r w:rsidRPr="00FC1E2D">
        <w:t xml:space="preserve"> (Knowler et al., 2002; </w:t>
      </w:r>
      <w:proofErr w:type="spellStart"/>
      <w:r w:rsidRPr="00FC1E2D">
        <w:t>Tuomilehto</w:t>
      </w:r>
      <w:proofErr w:type="spellEnd"/>
      <w:r w:rsidRPr="00FC1E2D">
        <w:t xml:space="preserve"> et al., 2001).</w:t>
      </w:r>
    </w:p>
    <w:p w14:paraId="26F9FFA4" w14:textId="77777777" w:rsidR="002D731E" w:rsidRDefault="00000000">
      <w:pPr>
        <w:pStyle w:val="Heading2"/>
        <w:rPr>
          <w:color w:val="000000" w:themeColor="text1"/>
        </w:rPr>
      </w:pPr>
      <w:bookmarkStart w:id="37" w:name="__RefHeading___Toc692_3058364704"/>
      <w:bookmarkStart w:id="38" w:name="_Toc235391206"/>
      <w:bookmarkEnd w:id="37"/>
      <w:r>
        <w:rPr>
          <w:rFonts w:ascii="Arial" w:hAnsi="Arial"/>
          <w:color w:val="000000" w:themeColor="text1"/>
        </w:rPr>
        <w:t>Evaluation of the Intervention</w:t>
      </w:r>
      <w:bookmarkEnd w:id="38"/>
    </w:p>
    <w:p w14:paraId="52E3BD2E" w14:textId="196159CE" w:rsidR="00FC1E2D" w:rsidRDefault="00FC1E2D">
      <w:r w:rsidRPr="00FC1E2D">
        <w:t xml:space="preserve">A more pragmatic stepped-wedge cluster assessment of practice networks would tier implementation as all clusters ultimately receive the </w:t>
      </w:r>
      <w:proofErr w:type="spellStart"/>
      <w:r w:rsidRPr="00FC1E2D">
        <w:t>programme</w:t>
      </w:r>
      <w:proofErr w:type="spellEnd"/>
      <w:r w:rsidRPr="00FC1E2D">
        <w:t xml:space="preserve"> (Hemming et al., 2015). The Reach, Effectiveness, Adoption, Implementation and Maintenance (RE-AIM) framework would assess impact (Glasgow, Vogt and Boles, 1999). Process measures would include invitations, screening, enrolment, attendance, completion, referral time, training and language by sex, age, deprivation and language. Outcomes at baseline, 6, 12 and 24 months would include HbA1c, weight, waist circumference, blood pressure, activity, diet, quality of life, new diagnoses, care-process completion and emergency admissions. Interviews with acceptability, dropouts and staff would discuss acceptability and unintended effects.</w:t>
      </w:r>
      <w:r w:rsidR="005A6CDF">
        <w:t xml:space="preserve"> </w:t>
      </w:r>
      <w:r w:rsidRPr="00FC1E2D">
        <w:t xml:space="preserve">Economic evaluation should report </w:t>
      </w:r>
      <w:proofErr w:type="spellStart"/>
      <w:r w:rsidRPr="00FC1E2D">
        <w:t>programme</w:t>
      </w:r>
      <w:proofErr w:type="spellEnd"/>
      <w:r w:rsidRPr="00FC1E2D">
        <w:t xml:space="preserve"> cost, cost per case delayed and cost per quality-adjusted life year. Better averages and a smaller inequality gap are needed to </w:t>
      </w:r>
      <w:proofErr w:type="spellStart"/>
      <w:r w:rsidRPr="00FC1E2D">
        <w:t>succeed.</w:t>
      </w:r>
      <w:proofErr w:type="spellEnd"/>
    </w:p>
    <w:p w14:paraId="7022650D" w14:textId="77777777" w:rsidR="002D731E" w:rsidRDefault="00000000">
      <w:pPr>
        <w:pStyle w:val="Heading2"/>
        <w:rPr>
          <w:color w:val="000000" w:themeColor="text1"/>
        </w:rPr>
      </w:pPr>
      <w:bookmarkStart w:id="39" w:name="__RefHeading___Toc694_3058364704"/>
      <w:bookmarkStart w:id="40" w:name="_Toc235391207"/>
      <w:bookmarkEnd w:id="39"/>
      <w:r>
        <w:rPr>
          <w:rFonts w:ascii="Arial" w:hAnsi="Arial"/>
          <w:color w:val="000000" w:themeColor="text1"/>
        </w:rPr>
        <w:t>Strengths and Weaknesses of the Epidemiological Approach</w:t>
      </w:r>
      <w:bookmarkEnd w:id="40"/>
    </w:p>
    <w:p w14:paraId="104B28A9" w14:textId="711A721F" w:rsidR="00FC1E2D" w:rsidRDefault="00FC1E2D">
      <w:r w:rsidRPr="00FC1E2D">
        <w:t xml:space="preserve">The strategy follows a specific population, repetition in data, and subgroup analysis as well as a route between surveillance and intervention. Implementation is supported by practice networks and </w:t>
      </w:r>
      <w:r w:rsidRPr="00FC1E2D">
        <w:t>risk;</w:t>
      </w:r>
      <w:r w:rsidRPr="00FC1E2D">
        <w:t xml:space="preserve"> care and outcomes are linked by data. Nonetheless, you cannot use observational associations to demonstrate that ethnicity is a cause of diabetes since age, history of migration and contact with healthcare can confound comparisons. Underdiagnosis may lead to a seemingly low prevalence rate, and a more vigorous screening can cause incidence to be overstated in the meantime. Participants can be more motivated than in non-participants, self-reported </w:t>
      </w:r>
      <w:proofErr w:type="spellStart"/>
      <w:r w:rsidRPr="00FC1E2D">
        <w:t>behaviour</w:t>
      </w:r>
      <w:proofErr w:type="spellEnd"/>
      <w:r w:rsidRPr="00FC1E2D">
        <w:t xml:space="preserve"> can be prone to recall and social-desirability bias, and stepped-wedge analysis is susceptible to secular change and contamination (Hemming et al., 2015).</w:t>
      </w:r>
    </w:p>
    <w:p w14:paraId="722AEC1F" w14:textId="77777777" w:rsidR="002D731E" w:rsidRDefault="00000000">
      <w:pPr>
        <w:pStyle w:val="Heading2"/>
        <w:rPr>
          <w:color w:val="000000" w:themeColor="text1"/>
          <w:sz w:val="28"/>
          <w:szCs w:val="28"/>
        </w:rPr>
      </w:pPr>
      <w:bookmarkStart w:id="41" w:name="__RefHeading___Toc696_3058364704"/>
      <w:bookmarkStart w:id="42" w:name="_Toc235391208"/>
      <w:bookmarkEnd w:id="41"/>
      <w:r>
        <w:rPr>
          <w:rFonts w:ascii="Arial" w:hAnsi="Arial"/>
          <w:color w:val="000000" w:themeColor="text1"/>
          <w:sz w:val="28"/>
          <w:szCs w:val="28"/>
        </w:rPr>
        <w:t>Conclusion</w:t>
      </w:r>
      <w:bookmarkEnd w:id="42"/>
    </w:p>
    <w:p w14:paraId="51CE1F24" w14:textId="77777777" w:rsidR="00FC1E2D" w:rsidRDefault="00FC1E2D" w:rsidP="005F16DF">
      <w:r w:rsidRPr="00FC1E2D">
        <w:t>Earlier diagnosis, prevention of complications and responsive culture of diabetes type 2 among Bangladeshi adults in Tower Hamlets is an area of modification. Full ethnicity data and active case-finding should be encouraged to facilitate earlier identification of risks, effective protection against complications and culturally responsive promotion.</w:t>
      </w:r>
    </w:p>
    <w:p w14:paraId="73D00830" w14:textId="46BEF4F3" w:rsidR="002D731E" w:rsidRPr="005A6CDF" w:rsidRDefault="005F16DF" w:rsidP="005A6CDF">
      <w:pPr>
        <w:pStyle w:val="Heading1"/>
        <w:rPr>
          <w:rFonts w:ascii="Arial" w:hAnsi="Arial" w:cs="Arial"/>
          <w:color w:val="auto"/>
        </w:rPr>
      </w:pPr>
      <w:bookmarkStart w:id="43" w:name="_Toc235391209"/>
      <w:r>
        <w:br w:type="page"/>
      </w:r>
      <w:r w:rsidR="00000000" w:rsidRPr="005A6CDF">
        <w:rPr>
          <w:rFonts w:ascii="Arial" w:hAnsi="Arial" w:cs="Arial"/>
          <w:color w:val="000000" w:themeColor="text1"/>
        </w:rPr>
        <w:lastRenderedPageBreak/>
        <w:t>Reference</w:t>
      </w:r>
      <w:bookmarkEnd w:id="43"/>
    </w:p>
    <w:p w14:paraId="0ED6FCDF" w14:textId="77777777" w:rsidR="002D731E" w:rsidRDefault="00000000">
      <w:pPr>
        <w:spacing w:before="240" w:after="0"/>
      </w:pPr>
      <w:r>
        <w:t xml:space="preserve">Bhopal, R.S. (2014) </w:t>
      </w:r>
      <w:r>
        <w:rPr>
          <w:i/>
          <w:iCs/>
        </w:rPr>
        <w:t>Migration, ethnicity, race, and health in multicultural societies</w:t>
      </w:r>
      <w:r>
        <w:t xml:space="preserve">. 2nd </w:t>
      </w:r>
      <w:proofErr w:type="spellStart"/>
      <w:r>
        <w:t>edn</w:t>
      </w:r>
      <w:proofErr w:type="spellEnd"/>
      <w:r>
        <w:t>. Oxford University Press.</w:t>
      </w:r>
    </w:p>
    <w:p w14:paraId="68AFABFC" w14:textId="77777777" w:rsidR="002D731E" w:rsidRDefault="00000000">
      <w:pPr>
        <w:spacing w:before="240" w:after="0"/>
      </w:pPr>
      <w:r>
        <w:t xml:space="preserve">Bradshaw, J. (1972) ‘A taxonomy of social need’, in McLachlan, G. (ed.) </w:t>
      </w:r>
      <w:r>
        <w:rPr>
          <w:i/>
          <w:iCs/>
        </w:rPr>
        <w:t>Problems and progress in medical care</w:t>
      </w:r>
      <w:r>
        <w:t>. Oxford University Press, pp. 71–82.</w:t>
      </w:r>
    </w:p>
    <w:p w14:paraId="3665CC7F" w14:textId="77777777" w:rsidR="002D731E" w:rsidRDefault="00000000">
      <w:pPr>
        <w:spacing w:before="240" w:after="0"/>
      </w:pPr>
      <w:proofErr w:type="spellStart"/>
      <w:r>
        <w:t>Caleyachetty</w:t>
      </w:r>
      <w:proofErr w:type="spellEnd"/>
      <w:r>
        <w:t xml:space="preserve">, R., Barber, T.M., Mohammed, N.I., Cappuccio, F.P., Hardy, R., Mathur, R., Banerjee, A. and Gill, P. (2021) ‘Ethnicity-specific BMI cutoffs for obesity based on type 2 diabetes risk in England: a population-based cohort study’, </w:t>
      </w:r>
      <w:r>
        <w:rPr>
          <w:i/>
          <w:iCs/>
        </w:rPr>
        <w:t>The Lancet Diabetes &amp; Endocrinology</w:t>
      </w:r>
      <w:r>
        <w:t xml:space="preserve">, 9(7), pp. 419–426. Available at: </w:t>
      </w:r>
      <w:hyperlink r:id="rId9">
        <w:r w:rsidR="002D731E">
          <w:rPr>
            <w:rStyle w:val="Hyperlink"/>
          </w:rPr>
          <w:t>https://doi.org/10.1016/S2213-8587(21)00088-7</w:t>
        </w:r>
      </w:hyperlink>
    </w:p>
    <w:p w14:paraId="7A62F7D4" w14:textId="77777777" w:rsidR="002D731E" w:rsidRDefault="00000000">
      <w:pPr>
        <w:spacing w:before="240" w:after="0"/>
      </w:pPr>
      <w:r>
        <w:t xml:space="preserve">Dahlgren, G. and Whitehead, M. (1991) </w:t>
      </w:r>
      <w:r>
        <w:rPr>
          <w:i/>
          <w:iCs/>
        </w:rPr>
        <w:t>Policies and strategies to promote social equity in health</w:t>
      </w:r>
      <w:r>
        <w:t>. Institute for Futures Studies.</w:t>
      </w:r>
    </w:p>
    <w:p w14:paraId="41CA7C19" w14:textId="77777777" w:rsidR="002D731E" w:rsidRDefault="00000000">
      <w:pPr>
        <w:spacing w:before="240" w:after="0"/>
      </w:pPr>
      <w:r>
        <w:t xml:space="preserve">Department for Work and Pensions (2025) </w:t>
      </w:r>
      <w:r>
        <w:rPr>
          <w:i/>
          <w:iCs/>
        </w:rPr>
        <w:t xml:space="preserve">People in </w:t>
      </w:r>
      <w:proofErr w:type="gramStart"/>
      <w:r>
        <w:rPr>
          <w:i/>
          <w:iCs/>
        </w:rPr>
        <w:t>low income</w:t>
      </w:r>
      <w:proofErr w:type="gramEnd"/>
      <w:r>
        <w:rPr>
          <w:i/>
          <w:iCs/>
        </w:rPr>
        <w:t xml:space="preserve"> households</w:t>
      </w:r>
      <w:r>
        <w:t xml:space="preserve">. Available at: </w:t>
      </w:r>
      <w:hyperlink r:id="rId10" w:tgtFrame="_new">
        <w:r w:rsidR="002D731E">
          <w:rPr>
            <w:rStyle w:val="Hyperlink"/>
          </w:rPr>
          <w:t>https://www.ethnicity-facts-figures.service.gov.uk/work-pay-and-benefits/pay-and-income/people-in-low-income-households/latest/</w:t>
        </w:r>
      </w:hyperlink>
      <w:r>
        <w:t xml:space="preserve"> (Accessed: 19 July 2026).</w:t>
      </w:r>
    </w:p>
    <w:p w14:paraId="10079D22" w14:textId="77777777" w:rsidR="002D731E" w:rsidRDefault="00000000">
      <w:pPr>
        <w:spacing w:before="240" w:after="0"/>
      </w:pPr>
      <w:r>
        <w:t xml:space="preserve">Diabetes UK (2025) </w:t>
      </w:r>
      <w:r>
        <w:rPr>
          <w:i/>
          <w:iCs/>
        </w:rPr>
        <w:t>One in five adults now live with diabetes or prediabetes in the UK</w:t>
      </w:r>
      <w:r>
        <w:t xml:space="preserve">. Available at: </w:t>
      </w:r>
      <w:hyperlink r:id="rId11" w:tgtFrame="_new">
        <w:r w:rsidR="002D731E">
          <w:rPr>
            <w:rStyle w:val="Hyperlink"/>
          </w:rPr>
          <w:t>https://www.diabetes.org.uk/about-us/news-and-views/one-five-adults-now-live-diabetes-or-prediabetes-uk</w:t>
        </w:r>
      </w:hyperlink>
      <w:r>
        <w:t xml:space="preserve"> (Accessed: 19 July 2026).</w:t>
      </w:r>
    </w:p>
    <w:p w14:paraId="0F23D0DC" w14:textId="77777777" w:rsidR="002D731E" w:rsidRDefault="00000000">
      <w:pPr>
        <w:spacing w:before="240" w:after="0"/>
      </w:pPr>
      <w:r>
        <w:t xml:space="preserve">Glasgow, R.E., Vogt, T.M. and Boles, S.M. (1999) ‘Evaluating the public health impact of health promotion interventions: the RE-AIM framework’, </w:t>
      </w:r>
      <w:r>
        <w:rPr>
          <w:i/>
          <w:iCs/>
        </w:rPr>
        <w:t>American Journal of Public Health</w:t>
      </w:r>
      <w:r>
        <w:t xml:space="preserve">, 89(9), pp. 1322–1327. Available at: </w:t>
      </w:r>
      <w:hyperlink r:id="rId12">
        <w:r w:rsidR="002D731E">
          <w:rPr>
            <w:rStyle w:val="Hyperlink"/>
          </w:rPr>
          <w:t>https://doi.org/10.2105/AJPH.89.9.1322</w:t>
        </w:r>
      </w:hyperlink>
    </w:p>
    <w:p w14:paraId="6C10418A" w14:textId="77777777" w:rsidR="002D731E" w:rsidRDefault="00000000">
      <w:pPr>
        <w:spacing w:before="240" w:after="0"/>
      </w:pPr>
      <w:r>
        <w:t xml:space="preserve">Grace, C., Begum, R., Subhani, S., Kopelman, P. and Greenhalgh, T. (2008) ‘Prevention of type 2 diabetes in British Bangladeshis: qualitative study of community, religious, and professional perspectives’, </w:t>
      </w:r>
      <w:r>
        <w:rPr>
          <w:i/>
          <w:iCs/>
        </w:rPr>
        <w:t>BMJ</w:t>
      </w:r>
      <w:r>
        <w:t xml:space="preserve">, 337, a1931. Available at: </w:t>
      </w:r>
      <w:hyperlink r:id="rId13">
        <w:r w:rsidR="002D731E">
          <w:rPr>
            <w:rStyle w:val="Hyperlink"/>
          </w:rPr>
          <w:t>https://doi.org/10.1136/bmj.a1931</w:t>
        </w:r>
      </w:hyperlink>
    </w:p>
    <w:p w14:paraId="46AF3F1F" w14:textId="77777777" w:rsidR="002D731E" w:rsidRDefault="00000000">
      <w:pPr>
        <w:spacing w:before="240" w:after="0"/>
      </w:pPr>
      <w:r>
        <w:t xml:space="preserve">Griffiths, C., </w:t>
      </w:r>
      <w:proofErr w:type="spellStart"/>
      <w:r>
        <w:t>Motlib</w:t>
      </w:r>
      <w:proofErr w:type="spellEnd"/>
      <w:r>
        <w:t>, J., Azad, A., Ramsay, J., Eldridge, S., Feder, G., Khanam, R., Munni, R., Garrett, M., Turner, A. and Barlow, J. (2005) ‘</w:t>
      </w:r>
      <w:proofErr w:type="spellStart"/>
      <w:r>
        <w:t>Randomised</w:t>
      </w:r>
      <w:proofErr w:type="spellEnd"/>
      <w:r>
        <w:t xml:space="preserve"> controlled trial of a lay-led self-management </w:t>
      </w:r>
      <w:proofErr w:type="spellStart"/>
      <w:r>
        <w:t>programme</w:t>
      </w:r>
      <w:proofErr w:type="spellEnd"/>
      <w:r>
        <w:t xml:space="preserve"> for Bangladeshi patients with chronic disease’, </w:t>
      </w:r>
      <w:r>
        <w:rPr>
          <w:i/>
          <w:iCs/>
        </w:rPr>
        <w:t>British Journal of General Practice</w:t>
      </w:r>
      <w:r>
        <w:t>, 55(520), pp. 831–837.</w:t>
      </w:r>
    </w:p>
    <w:p w14:paraId="4C1568FE" w14:textId="77777777" w:rsidR="002D731E" w:rsidRDefault="00000000">
      <w:pPr>
        <w:spacing w:before="240" w:after="0"/>
      </w:pPr>
      <w:r>
        <w:lastRenderedPageBreak/>
        <w:t xml:space="preserve">Hemming, K., Haines, T.P., Chilton, P.J., Girling, A.J. and Lilford, R.J. (2015) ‘The stepped wedge cluster </w:t>
      </w:r>
      <w:proofErr w:type="spellStart"/>
      <w:r>
        <w:t>randomised</w:t>
      </w:r>
      <w:proofErr w:type="spellEnd"/>
      <w:r>
        <w:t xml:space="preserve"> trial: rationale, design, analysis, and reporting’, </w:t>
      </w:r>
      <w:r>
        <w:rPr>
          <w:i/>
          <w:iCs/>
        </w:rPr>
        <w:t>BMJ</w:t>
      </w:r>
      <w:r>
        <w:t xml:space="preserve">, 350, h391. Available at: </w:t>
      </w:r>
      <w:hyperlink r:id="rId14" w:tgtFrame="_new">
        <w:r w:rsidR="002D731E">
          <w:rPr>
            <w:rStyle w:val="Hyperlink"/>
          </w:rPr>
          <w:t>https://doi.org/10.1136/bmj.h391</w:t>
        </w:r>
      </w:hyperlink>
    </w:p>
    <w:p w14:paraId="6C69C537" w14:textId="77777777" w:rsidR="002D731E" w:rsidRDefault="00000000">
      <w:pPr>
        <w:spacing w:before="240" w:after="0"/>
      </w:pPr>
      <w:r>
        <w:t xml:space="preserve">Hippisley-Cox, J., Coupland, C., Robson, J., Sheikh, A. and Brindle, P. (2009) ‘Predicting risk of type 2 diabetes in England and Wales: prospective derivation and validation of </w:t>
      </w:r>
      <w:proofErr w:type="spellStart"/>
      <w:r>
        <w:t>QDScore</w:t>
      </w:r>
      <w:proofErr w:type="spellEnd"/>
      <w:r>
        <w:t xml:space="preserve">’, </w:t>
      </w:r>
      <w:r>
        <w:rPr>
          <w:i/>
          <w:iCs/>
        </w:rPr>
        <w:t>BMJ</w:t>
      </w:r>
      <w:r>
        <w:t xml:space="preserve">, 338, b880. Available at: </w:t>
      </w:r>
      <w:hyperlink r:id="rId15">
        <w:r w:rsidR="002D731E">
          <w:rPr>
            <w:rStyle w:val="Hyperlink"/>
          </w:rPr>
          <w:t>https://doi.org/10.1136/bmj.b880</w:t>
        </w:r>
      </w:hyperlink>
    </w:p>
    <w:p w14:paraId="30BFD33B" w14:textId="77777777" w:rsidR="002D731E" w:rsidRDefault="00000000">
      <w:pPr>
        <w:spacing w:before="240" w:after="0"/>
      </w:pPr>
      <w:r>
        <w:t xml:space="preserve">Hull, S., Chowdhury, T.A., Mathur, R. and Robson, J. (2014) ‘Improving outcomes for patients with type 2 diabetes using general practice networks: a quality improvement project in east London’, </w:t>
      </w:r>
      <w:r>
        <w:rPr>
          <w:i/>
          <w:iCs/>
        </w:rPr>
        <w:t>BMJ Quality &amp; Safety</w:t>
      </w:r>
      <w:r>
        <w:t xml:space="preserve">, 23(2), pp. 171–176. Available at: </w:t>
      </w:r>
      <w:hyperlink r:id="rId16">
        <w:r w:rsidR="002D731E">
          <w:rPr>
            <w:rStyle w:val="Hyperlink"/>
          </w:rPr>
          <w:t>https://doi.org/10.1136/bmjqs-2013-002008</w:t>
        </w:r>
      </w:hyperlink>
    </w:p>
    <w:p w14:paraId="4A1748D6" w14:textId="77777777" w:rsidR="002D731E" w:rsidRDefault="00000000">
      <w:pPr>
        <w:spacing w:before="240" w:after="0"/>
      </w:pPr>
      <w:r>
        <w:t xml:space="preserve">Knowler, W.C., Barrett-Connor, E., Fowler, S.E., Hamman, R.F., Lachin, J.M., Walker, E.A. and Nathan, D.M. (2002) ‘Reduction in the incidence of type 2 diabetes with lifestyle intervention or metformin’, </w:t>
      </w:r>
      <w:r>
        <w:rPr>
          <w:i/>
          <w:iCs/>
        </w:rPr>
        <w:t>New England Journal of Medicine</w:t>
      </w:r>
      <w:r>
        <w:t xml:space="preserve">, 346(6), pp. 393–403. Available at: </w:t>
      </w:r>
      <w:hyperlink r:id="rId17">
        <w:r w:rsidR="002D731E">
          <w:rPr>
            <w:rStyle w:val="Hyperlink"/>
          </w:rPr>
          <w:t>https://doi.org/10.1056/NEJMoa012512</w:t>
        </w:r>
      </w:hyperlink>
    </w:p>
    <w:p w14:paraId="7A5221BD" w14:textId="77777777" w:rsidR="002D731E" w:rsidRDefault="00000000">
      <w:pPr>
        <w:spacing w:before="240" w:after="0"/>
      </w:pPr>
      <w:r>
        <w:t xml:space="preserve">Marmot, M., Allen, J., Boyce, T., Goldblatt, P. and Morrison, J. (2020) </w:t>
      </w:r>
      <w:r>
        <w:rPr>
          <w:i/>
          <w:iCs/>
        </w:rPr>
        <w:t xml:space="preserve">Health equity in England: </w:t>
      </w:r>
      <w:proofErr w:type="gramStart"/>
      <w:r>
        <w:rPr>
          <w:i/>
          <w:iCs/>
        </w:rPr>
        <w:t>the</w:t>
      </w:r>
      <w:proofErr w:type="gramEnd"/>
      <w:r>
        <w:rPr>
          <w:i/>
          <w:iCs/>
        </w:rPr>
        <w:t xml:space="preserve"> Marmot Review 10 years on</w:t>
      </w:r>
      <w:r>
        <w:t xml:space="preserve">. Available at: </w:t>
      </w:r>
      <w:hyperlink r:id="rId18" w:tgtFrame="_new">
        <w:r w:rsidR="002D731E">
          <w:rPr>
            <w:rStyle w:val="Hyperlink"/>
          </w:rPr>
          <w:t>https://www.instituteofhealthequity.org/resources-reports/marmot-review-10-years-on/the-marmot-review-10-years-on-full-report.pdf</w:t>
        </w:r>
      </w:hyperlink>
      <w:r>
        <w:t xml:space="preserve"> (Accessed: 19 July 2026).</w:t>
      </w:r>
    </w:p>
    <w:p w14:paraId="3BE5545C" w14:textId="77777777" w:rsidR="002D731E" w:rsidRDefault="00000000">
      <w:pPr>
        <w:spacing w:before="240" w:after="0"/>
      </w:pPr>
      <w:r>
        <w:t xml:space="preserve">Ministry of Housing, Communities and Local Government (2025) </w:t>
      </w:r>
      <w:r>
        <w:rPr>
          <w:i/>
          <w:iCs/>
        </w:rPr>
        <w:t>Overcrowded households</w:t>
      </w:r>
      <w:r>
        <w:t xml:space="preserve">. Available at: </w:t>
      </w:r>
      <w:hyperlink r:id="rId19" w:tgtFrame="_new">
        <w:r w:rsidR="002D731E">
          <w:rPr>
            <w:rStyle w:val="Hyperlink"/>
          </w:rPr>
          <w:t>https://www.ethnicity-facts-figures.service.gov.uk/housing/housing-conditions/overcrowded-households/latest/</w:t>
        </w:r>
      </w:hyperlink>
      <w:r>
        <w:t xml:space="preserve"> (Accessed: 19 July 2026).</w:t>
      </w:r>
    </w:p>
    <w:p w14:paraId="67E21B45" w14:textId="77777777" w:rsidR="002D731E" w:rsidRDefault="00000000">
      <w:pPr>
        <w:spacing w:before="240" w:after="0"/>
      </w:pPr>
      <w:r>
        <w:t xml:space="preserve">National Institute for Health and Care Excellence (2012) </w:t>
      </w:r>
      <w:r>
        <w:rPr>
          <w:i/>
          <w:iCs/>
        </w:rPr>
        <w:t>Type 2 diabetes: prevention in people at high risk (PH38)</w:t>
      </w:r>
      <w:r>
        <w:t xml:space="preserve">. Updated 2017. Available at: </w:t>
      </w:r>
      <w:hyperlink r:id="rId20" w:tgtFrame="_new">
        <w:r w:rsidR="002D731E">
          <w:rPr>
            <w:rStyle w:val="Hyperlink"/>
          </w:rPr>
          <w:t>https://www.nice.org.uk/guidance/ph38</w:t>
        </w:r>
      </w:hyperlink>
      <w:r>
        <w:t xml:space="preserve"> (Accessed: 19 July 2026).</w:t>
      </w:r>
    </w:p>
    <w:p w14:paraId="683D1BB4" w14:textId="77777777" w:rsidR="002D731E" w:rsidRDefault="00000000">
      <w:pPr>
        <w:spacing w:before="240" w:after="0"/>
      </w:pPr>
      <w:r>
        <w:t xml:space="preserve">National Institute for Health and Care Excellence (2026) </w:t>
      </w:r>
      <w:r>
        <w:rPr>
          <w:i/>
          <w:iCs/>
        </w:rPr>
        <w:t>Type 2 diabetes in adults: management (NG28)</w:t>
      </w:r>
      <w:r>
        <w:t xml:space="preserve">. Updated 18 February 2026. Available at: </w:t>
      </w:r>
      <w:hyperlink r:id="rId21" w:tgtFrame="_new">
        <w:r w:rsidR="002D731E">
          <w:rPr>
            <w:rStyle w:val="Hyperlink"/>
          </w:rPr>
          <w:t>https://www.nice.org.uk/guidance/ng28</w:t>
        </w:r>
      </w:hyperlink>
      <w:r>
        <w:t xml:space="preserve"> (Accessed: 19 July 2026).</w:t>
      </w:r>
    </w:p>
    <w:p w14:paraId="0B5CA8FA" w14:textId="77777777" w:rsidR="002D731E" w:rsidRDefault="00000000">
      <w:pPr>
        <w:spacing w:before="240" w:after="0"/>
      </w:pPr>
      <w:r>
        <w:lastRenderedPageBreak/>
        <w:t xml:space="preserve">NHS England (2023) </w:t>
      </w:r>
      <w:r>
        <w:rPr>
          <w:i/>
          <w:iCs/>
        </w:rPr>
        <w:t>Inclusive digital healthcare: a framework for NHS action on digital inclusion</w:t>
      </w:r>
      <w:r>
        <w:t xml:space="preserve">. Available at: </w:t>
      </w:r>
      <w:hyperlink r:id="rId22" w:tgtFrame="_new">
        <w:r w:rsidR="002D731E">
          <w:rPr>
            <w:rStyle w:val="Hyperlink"/>
          </w:rPr>
          <w:t>https://www.england.nhs.uk/long-read/inclusive-digital-healthcare-a-framework-for-nhs-action-on-digital-inclusion/</w:t>
        </w:r>
      </w:hyperlink>
      <w:r>
        <w:t xml:space="preserve"> (Accessed: 19 July 2026).</w:t>
      </w:r>
    </w:p>
    <w:p w14:paraId="7CCB3776" w14:textId="77777777" w:rsidR="002D731E" w:rsidRDefault="00000000">
      <w:pPr>
        <w:spacing w:before="240" w:after="0"/>
      </w:pPr>
      <w:r>
        <w:t xml:space="preserve">NHS England (2024a) </w:t>
      </w:r>
      <w:r>
        <w:rPr>
          <w:i/>
          <w:iCs/>
        </w:rPr>
        <w:t>Annex: operational performance update, 28 March 2024</w:t>
      </w:r>
      <w:r>
        <w:t xml:space="preserve">. Available at: </w:t>
      </w:r>
      <w:hyperlink r:id="rId23" w:tgtFrame="_new">
        <w:r w:rsidR="002D731E">
          <w:rPr>
            <w:rStyle w:val="Hyperlink"/>
          </w:rPr>
          <w:t>https://www.england.nhs.uk/long-read/annex-operational-performance-update-28-march-2024/</w:t>
        </w:r>
      </w:hyperlink>
      <w:r>
        <w:t xml:space="preserve"> (Accessed: 19 July 2026).</w:t>
      </w:r>
    </w:p>
    <w:p w14:paraId="1B1BB65C" w14:textId="77777777" w:rsidR="002D731E" w:rsidRDefault="00000000">
      <w:pPr>
        <w:spacing w:before="240" w:after="0"/>
      </w:pPr>
      <w:r>
        <w:t xml:space="preserve">NHS England (2024b) </w:t>
      </w:r>
      <w:r>
        <w:rPr>
          <w:i/>
          <w:iCs/>
        </w:rPr>
        <w:t>Core20PLUS5 (adults): an approach to reducing healthcare inequalities</w:t>
      </w:r>
      <w:r>
        <w:t xml:space="preserve">. Available at: </w:t>
      </w:r>
      <w:hyperlink r:id="rId24" w:tgtFrame="_new">
        <w:r w:rsidR="002D731E">
          <w:rPr>
            <w:rStyle w:val="Hyperlink"/>
          </w:rPr>
          <w:t>https://www.england.nhs.uk/about/equality/equality-hub/national-healthcare-inequalities-improvement-programme/core20plus5/</w:t>
        </w:r>
      </w:hyperlink>
      <w:r>
        <w:t xml:space="preserve"> (Accessed: 19 July 2026).</w:t>
      </w:r>
    </w:p>
    <w:p w14:paraId="112FB114" w14:textId="77777777" w:rsidR="002D731E" w:rsidRDefault="00000000">
      <w:pPr>
        <w:spacing w:before="240" w:after="0"/>
      </w:pPr>
      <w:r>
        <w:t xml:space="preserve">NHS England (2024c) </w:t>
      </w:r>
      <w:r>
        <w:rPr>
          <w:i/>
          <w:iCs/>
        </w:rPr>
        <w:t>NHS England’s annual report on healthcare inequalities</w:t>
      </w:r>
      <w:r>
        <w:t>. Available at: https://www.england.nhs.uk/publication/nhs-englands-annual-report-on-healthcare-inequalities/ (Accessed: 19 July 2026).</w:t>
      </w:r>
    </w:p>
    <w:p w14:paraId="6DA914F2" w14:textId="77777777" w:rsidR="002D731E" w:rsidRDefault="00000000">
      <w:pPr>
        <w:spacing w:before="240" w:after="0"/>
      </w:pPr>
      <w:r>
        <w:t xml:space="preserve">NHS England (2025) </w:t>
      </w:r>
      <w:r>
        <w:rPr>
          <w:i/>
          <w:iCs/>
        </w:rPr>
        <w:t>Quality and Outcomes Framework, 2024–25</w:t>
      </w:r>
      <w:r>
        <w:t xml:space="preserve">. Available at: </w:t>
      </w:r>
      <w:hyperlink r:id="rId25" w:tgtFrame="_new">
        <w:r w:rsidR="002D731E">
          <w:rPr>
            <w:rStyle w:val="Hyperlink"/>
          </w:rPr>
          <w:t>https://digital.nhs.uk/data-and-information/publications/statistical/quality-and-outcomes-framework-achievement-prevalence-and-exceptions-data/2024-25</w:t>
        </w:r>
      </w:hyperlink>
      <w:r>
        <w:t xml:space="preserve"> (Accessed: 19 July 2026).</w:t>
      </w:r>
    </w:p>
    <w:p w14:paraId="0A95691A" w14:textId="77777777" w:rsidR="002D731E" w:rsidRDefault="00000000">
      <w:pPr>
        <w:spacing w:before="240" w:after="0"/>
      </w:pPr>
      <w:r>
        <w:t xml:space="preserve">NHS England (2026) </w:t>
      </w:r>
      <w:r>
        <w:rPr>
          <w:i/>
          <w:iCs/>
        </w:rPr>
        <w:t>National Diabetes Audit core report 1: care processes and treatment targets 2024–25</w:t>
      </w:r>
      <w:r>
        <w:t xml:space="preserve">. Available at: </w:t>
      </w:r>
      <w:hyperlink r:id="rId26" w:tgtFrame="_new">
        <w:r w:rsidR="002D731E">
          <w:rPr>
            <w:rStyle w:val="Hyperlink"/>
          </w:rPr>
          <w:t>https://digital.nhs.uk/data-and-information/publications/statistical/national-diabetes-audit</w:t>
        </w:r>
      </w:hyperlink>
      <w:r>
        <w:t xml:space="preserve"> (Accessed: 19 July 2026).</w:t>
      </w:r>
    </w:p>
    <w:p w14:paraId="20EDAE30" w14:textId="77777777" w:rsidR="002D731E" w:rsidRDefault="00000000">
      <w:pPr>
        <w:spacing w:before="240" w:after="0"/>
      </w:pPr>
      <w:r>
        <w:t xml:space="preserve">Office for Health Improvement and Disparities (2022) </w:t>
      </w:r>
      <w:r>
        <w:rPr>
          <w:i/>
          <w:iCs/>
        </w:rPr>
        <w:t>Health disparities and health inequalities: applying All Our Health</w:t>
      </w:r>
      <w:r>
        <w:t xml:space="preserve">. Available at: </w:t>
      </w:r>
      <w:hyperlink r:id="rId27" w:tgtFrame="_new">
        <w:r w:rsidR="002D731E">
          <w:rPr>
            <w:rStyle w:val="Hyperlink"/>
          </w:rPr>
          <w:t>https://www.gov.uk/government/publications/health-disparities-and-health-inequalities-applying-all-our-health</w:t>
        </w:r>
      </w:hyperlink>
      <w:r>
        <w:t xml:space="preserve"> (Accessed: 19 July 2026).</w:t>
      </w:r>
    </w:p>
    <w:p w14:paraId="59403390" w14:textId="77777777" w:rsidR="002D731E" w:rsidRDefault="00000000">
      <w:pPr>
        <w:spacing w:before="240" w:after="0"/>
      </w:pPr>
      <w:r>
        <w:t xml:space="preserve">Office for National Statistics (2021) </w:t>
      </w:r>
      <w:r>
        <w:rPr>
          <w:i/>
          <w:iCs/>
        </w:rPr>
        <w:t>Ethnic differences in life expectancy and mortality from selected causes in England and Wales: 2011 to 2014</w:t>
      </w:r>
      <w:r>
        <w:t xml:space="preserve">. Available at: </w:t>
      </w:r>
      <w:hyperlink r:id="rId28" w:tgtFrame="_new">
        <w:r w:rsidR="002D731E">
          <w:rPr>
            <w:rStyle w:val="Hyperlink"/>
          </w:rPr>
          <w:t>https://www.ons.gov.uk/peoplepopulationandcommunity/birthsdeathsandmarriages/lifeexpectancies/articles/ethnicdifferencesinlifeexpectancyandmortalityfromselectedcausesinenglandandwales/2011to2014</w:t>
        </w:r>
      </w:hyperlink>
      <w:r>
        <w:t xml:space="preserve"> (Accessed: 19 July 2026).</w:t>
      </w:r>
    </w:p>
    <w:p w14:paraId="0F070A22" w14:textId="77777777" w:rsidR="002D731E" w:rsidRDefault="00000000">
      <w:pPr>
        <w:spacing w:before="240" w:after="0"/>
      </w:pPr>
      <w:r>
        <w:t xml:space="preserve">Office for National Statistics (2022a) </w:t>
      </w:r>
      <w:r>
        <w:rPr>
          <w:i/>
          <w:iCs/>
        </w:rPr>
        <w:t>Ethnic group, England and Wales: Census 2021</w:t>
      </w:r>
      <w:r>
        <w:t xml:space="preserve">. Available at: </w:t>
      </w:r>
      <w:hyperlink r:id="rId29" w:tgtFrame="_new">
        <w:r w:rsidR="002D731E">
          <w:rPr>
            <w:rStyle w:val="Hyperlink"/>
          </w:rPr>
          <w:t>https://www.ons.gov.uk/peoplepopulationandcommunity/culturalidentity/ethnicity/bulletins/ethnicgroupenglandandwales/census2021</w:t>
        </w:r>
      </w:hyperlink>
      <w:r>
        <w:t xml:space="preserve"> (Accessed: 19 July 2026).</w:t>
      </w:r>
    </w:p>
    <w:p w14:paraId="1C1C86A2" w14:textId="77777777" w:rsidR="002D731E" w:rsidRDefault="00000000">
      <w:pPr>
        <w:spacing w:before="240" w:after="0"/>
      </w:pPr>
      <w:r>
        <w:t xml:space="preserve">Office for National Statistics (2022b) </w:t>
      </w:r>
      <w:r>
        <w:rPr>
          <w:i/>
          <w:iCs/>
        </w:rPr>
        <w:t>Socio-demographic differences in use of Improving Access to Psychological Therapies services, England: April 2017 to March 2018</w:t>
      </w:r>
      <w:r>
        <w:t xml:space="preserve">. Available at: </w:t>
      </w:r>
      <w:hyperlink r:id="rId30" w:tgtFrame="_new">
        <w:r w:rsidR="002D731E">
          <w:rPr>
            <w:rStyle w:val="Hyperlink"/>
          </w:rPr>
          <w:t>https://www.ons.gov.uk/peoplepopulationandcommunity/healthandsocialcare/mentalhealth/articles/sociodemographicdifferencesinuseoftheimprovingaccesstopsychologicaltherapiesserviceengland/april2017tomarch2018</w:t>
        </w:r>
      </w:hyperlink>
      <w:r>
        <w:t xml:space="preserve"> (Accessed: 19 July 2026).</w:t>
      </w:r>
    </w:p>
    <w:p w14:paraId="0D65A4E2" w14:textId="77777777" w:rsidR="002D731E" w:rsidRDefault="00000000">
      <w:pPr>
        <w:spacing w:before="240" w:after="0"/>
      </w:pPr>
      <w:r>
        <w:t xml:space="preserve">Office for National Statistics (2022c) </w:t>
      </w:r>
      <w:r>
        <w:rPr>
          <w:i/>
        </w:rPr>
        <w:t>Language, England and Wales: Census 2021</w:t>
      </w:r>
      <w:r>
        <w:t xml:space="preserve">. Available at: </w:t>
      </w:r>
      <w:hyperlink r:id="rId31" w:tgtFrame="_new">
        <w:r w:rsidR="002D731E">
          <w:rPr>
            <w:rStyle w:val="Hyperlink"/>
          </w:rPr>
          <w:t>https://www.ons.gov.uk/peoplepopulationandcommunity/culturalidentity/language/bulletins/languageenglandandwales/census2021</w:t>
        </w:r>
      </w:hyperlink>
      <w:r>
        <w:t xml:space="preserve"> (Accessed: 22 July 2026).</w:t>
      </w:r>
    </w:p>
    <w:p w14:paraId="0F733624" w14:textId="77777777" w:rsidR="002D731E" w:rsidRDefault="00000000">
      <w:pPr>
        <w:spacing w:before="240" w:after="0"/>
      </w:pPr>
      <w:r>
        <w:t xml:space="preserve">Office for National Statistics (2023) </w:t>
      </w:r>
      <w:r>
        <w:rPr>
          <w:i/>
          <w:iCs/>
        </w:rPr>
        <w:t>Ethnic group (20b classification), Census 2021: Tower Hamlets local authority</w:t>
      </w:r>
      <w:r>
        <w:t xml:space="preserve">. Available at: </w:t>
      </w:r>
      <w:hyperlink r:id="rId32" w:tgtFrame="_new">
        <w:r w:rsidR="002D731E">
          <w:rPr>
            <w:rStyle w:val="Hyperlink"/>
          </w:rPr>
          <w:t>https://www.ons.gov.uk/visualisations/censusmapschangedata03/TS021_EG20B.xlsx</w:t>
        </w:r>
      </w:hyperlink>
      <w:r>
        <w:t xml:space="preserve"> (Accessed: 19 July 2026).</w:t>
      </w:r>
    </w:p>
    <w:p w14:paraId="51F0B3DB" w14:textId="77777777" w:rsidR="002D731E" w:rsidRDefault="00000000">
      <w:pPr>
        <w:spacing w:before="240" w:after="0"/>
      </w:pPr>
      <w:r>
        <w:t xml:space="preserve">Race Disparity Unit (2017) </w:t>
      </w:r>
      <w:r>
        <w:rPr>
          <w:i/>
          <w:iCs/>
        </w:rPr>
        <w:t>Common mental disorders</w:t>
      </w:r>
      <w:r>
        <w:t xml:space="preserve">. Available at: </w:t>
      </w:r>
      <w:hyperlink r:id="rId33" w:tgtFrame="_new">
        <w:r w:rsidR="002D731E">
          <w:rPr>
            <w:rStyle w:val="Hyperlink"/>
          </w:rPr>
          <w:t>https://www.ethnicity-facts-figures.service.gov.uk/health/mental-health/adults-experiencing-common-mental-disorders/latest/</w:t>
        </w:r>
      </w:hyperlink>
      <w:r>
        <w:t xml:space="preserve"> (Accessed: 19 July 2026).</w:t>
      </w:r>
    </w:p>
    <w:p w14:paraId="1A30BBEB" w14:textId="77777777" w:rsidR="002D731E" w:rsidRDefault="00000000">
      <w:pPr>
        <w:spacing w:before="240" w:after="0"/>
      </w:pPr>
      <w:r>
        <w:t xml:space="preserve">Razieh, C., Zaccardi, F., Miksza, J., Davies, M.J., Hansell, A.L., Khunti, K. and Yates, T. (2022) ‘Differences in the risk of cardiovascular disease across ethnic groups: UK Biobank observational study’, </w:t>
      </w:r>
      <w:r>
        <w:rPr>
          <w:i/>
          <w:iCs/>
        </w:rPr>
        <w:t>Nutrition, Metabolism and Cardiovascular Diseases</w:t>
      </w:r>
      <w:r>
        <w:t xml:space="preserve">, 32(11), pp. 2594–2602. Available at: </w:t>
      </w:r>
      <w:hyperlink r:id="rId34">
        <w:r w:rsidR="002D731E">
          <w:rPr>
            <w:rStyle w:val="Hyperlink"/>
          </w:rPr>
          <w:t>https://doi.org/10.1016/j.numecd.2022.08.002</w:t>
        </w:r>
      </w:hyperlink>
    </w:p>
    <w:p w14:paraId="5AA5D44D" w14:textId="77777777" w:rsidR="002D731E" w:rsidRDefault="00000000">
      <w:pPr>
        <w:spacing w:before="240" w:after="0"/>
      </w:pPr>
      <w:r>
        <w:t xml:space="preserve">Sharland, E., </w:t>
      </w:r>
      <w:proofErr w:type="spellStart"/>
      <w:r>
        <w:t>Rzepnicka</w:t>
      </w:r>
      <w:proofErr w:type="spellEnd"/>
      <w:r>
        <w:t xml:space="preserve">, K., Schneider, D., Finning, K., Pawelek, P., Saunders, R. and </w:t>
      </w:r>
      <w:proofErr w:type="spellStart"/>
      <w:r>
        <w:t>Nafilyan</w:t>
      </w:r>
      <w:proofErr w:type="spellEnd"/>
      <w:r>
        <w:t xml:space="preserve">, V. (2023) ‘Socio-demographic differences in access to psychological treatment services: evidence from a national cohort study’, </w:t>
      </w:r>
      <w:r>
        <w:rPr>
          <w:i/>
          <w:iCs/>
        </w:rPr>
        <w:t>Psychological Medicine</w:t>
      </w:r>
      <w:r>
        <w:t xml:space="preserve">, 53(15), pp. 7395–7406. Available at: </w:t>
      </w:r>
      <w:hyperlink r:id="rId35" w:tgtFrame="_new">
        <w:r w:rsidR="002D731E">
          <w:rPr>
            <w:rStyle w:val="Hyperlink"/>
          </w:rPr>
          <w:t>https://doi.org/10.1017/S0033291723001010</w:t>
        </w:r>
      </w:hyperlink>
    </w:p>
    <w:p w14:paraId="26CE7513" w14:textId="77777777" w:rsidR="002D731E" w:rsidRDefault="00000000">
      <w:pPr>
        <w:spacing w:before="240" w:after="0"/>
      </w:pPr>
      <w:r>
        <w:t xml:space="preserve">South Asian Health Foundation (2024) </w:t>
      </w:r>
      <w:r>
        <w:rPr>
          <w:i/>
          <w:iCs/>
        </w:rPr>
        <w:t>Health inequalities: full stop</w:t>
      </w:r>
      <w:r>
        <w:t xml:space="preserve">. Available at: </w:t>
      </w:r>
      <w:hyperlink r:id="rId36" w:tgtFrame="_new">
        <w:r w:rsidR="002D731E">
          <w:rPr>
            <w:rStyle w:val="Hyperlink"/>
          </w:rPr>
          <w:t>https://www.sahf.org.uk/s/HIFS_Report_SAHF_NOV25_FINAL.pdf</w:t>
        </w:r>
      </w:hyperlink>
      <w:r>
        <w:t xml:space="preserve"> (Accessed: 19 July 2026).</w:t>
      </w:r>
    </w:p>
    <w:p w14:paraId="596E3158" w14:textId="77777777" w:rsidR="002D731E" w:rsidRDefault="00000000">
      <w:pPr>
        <w:spacing w:before="240" w:after="0"/>
      </w:pPr>
      <w:r>
        <w:t xml:space="preserve">South Asian Health Foundation (n.d.) </w:t>
      </w:r>
      <w:r>
        <w:rPr>
          <w:i/>
          <w:iCs/>
        </w:rPr>
        <w:t>About and strategies</w:t>
      </w:r>
      <w:r>
        <w:t xml:space="preserve">. Available at: </w:t>
      </w:r>
      <w:hyperlink r:id="rId37" w:tgtFrame="_new">
        <w:r w:rsidR="002D731E">
          <w:rPr>
            <w:rStyle w:val="Hyperlink"/>
          </w:rPr>
          <w:t>https://www.sahf.org.uk/</w:t>
        </w:r>
      </w:hyperlink>
      <w:r>
        <w:t xml:space="preserve"> (Accessed: 19 July 2026).</w:t>
      </w:r>
    </w:p>
    <w:p w14:paraId="7367D5D5" w14:textId="77777777" w:rsidR="002D731E" w:rsidRDefault="00000000">
      <w:pPr>
        <w:spacing w:before="240" w:after="0"/>
      </w:pPr>
      <w:r>
        <w:lastRenderedPageBreak/>
        <w:t xml:space="preserve">Tower Hamlets Council (2025) </w:t>
      </w:r>
      <w:r>
        <w:rPr>
          <w:i/>
          <w:iCs/>
        </w:rPr>
        <w:t>Long-term condition prevention: Vital 5 strategy overview</w:t>
      </w:r>
      <w:r>
        <w:t xml:space="preserve">. Available at: </w:t>
      </w:r>
      <w:hyperlink r:id="rId38" w:tgtFrame="_new">
        <w:r w:rsidR="002D731E">
          <w:rPr>
            <w:rStyle w:val="Hyperlink"/>
          </w:rPr>
          <w:t>https://democracy.towerhamlets.gov.uk/documents/s251786/TH%2BLTCPrevention_Vital5_Strategy_Overview_HASSC_20250408%2B1.pdf</w:t>
        </w:r>
      </w:hyperlink>
      <w:r>
        <w:t xml:space="preserve"> (Accessed: 19 July 2026).</w:t>
      </w:r>
    </w:p>
    <w:p w14:paraId="7183368D" w14:textId="77777777" w:rsidR="002D731E" w:rsidRDefault="00000000">
      <w:pPr>
        <w:spacing w:before="240" w:after="0"/>
      </w:pPr>
      <w:proofErr w:type="spellStart"/>
      <w:r>
        <w:t>Tuomilehto</w:t>
      </w:r>
      <w:proofErr w:type="spellEnd"/>
      <w:r>
        <w:t xml:space="preserve">, J., Lindstrom, J., Eriksson, J.G., Valle, T.T., Hamalainen, H., </w:t>
      </w:r>
      <w:proofErr w:type="spellStart"/>
      <w:r>
        <w:t>Ilanne</w:t>
      </w:r>
      <w:proofErr w:type="spellEnd"/>
      <w:r>
        <w:t>-Parikka, P., Keinanen-</w:t>
      </w:r>
      <w:proofErr w:type="spellStart"/>
      <w:r>
        <w:t>Kiukaanniemi</w:t>
      </w:r>
      <w:proofErr w:type="spellEnd"/>
      <w:r>
        <w:t xml:space="preserve">, S., Laakso, M., </w:t>
      </w:r>
      <w:proofErr w:type="spellStart"/>
      <w:r>
        <w:t>Louheranta</w:t>
      </w:r>
      <w:proofErr w:type="spellEnd"/>
      <w:r>
        <w:t xml:space="preserve">, A., Rastas, M., Salminen, V. and </w:t>
      </w:r>
      <w:proofErr w:type="spellStart"/>
      <w:r>
        <w:t>Uusitupa</w:t>
      </w:r>
      <w:proofErr w:type="spellEnd"/>
      <w:r>
        <w:t xml:space="preserve">, M. (2001) ‘Prevention of type 2 diabetes mellitus by changes in lifestyle among subjects with impaired glucose tolerance’, </w:t>
      </w:r>
      <w:r>
        <w:rPr>
          <w:i/>
          <w:iCs/>
        </w:rPr>
        <w:t>New England Journal of Medicine</w:t>
      </w:r>
      <w:r>
        <w:t xml:space="preserve">, 344(18), pp. 1343–1350. Available at: </w:t>
      </w:r>
      <w:hyperlink r:id="rId39">
        <w:r w:rsidR="002D731E">
          <w:rPr>
            <w:rStyle w:val="Hyperlink"/>
          </w:rPr>
          <w:t>https://doi.org/10.1056/NEJM200105033441801</w:t>
        </w:r>
      </w:hyperlink>
    </w:p>
    <w:p w14:paraId="51D0A7E6" w14:textId="77777777" w:rsidR="002D731E" w:rsidRDefault="00000000">
      <w:pPr>
        <w:spacing w:before="240" w:after="0"/>
      </w:pPr>
      <w:r>
        <w:t xml:space="preserve">Whelan, M. and Bell, L. (2022) ‘The English National Health Service Diabetes Prevention </w:t>
      </w:r>
      <w:proofErr w:type="spellStart"/>
      <w:r>
        <w:t>Programme</w:t>
      </w:r>
      <w:proofErr w:type="spellEnd"/>
      <w:r>
        <w:t xml:space="preserve">: a scoping review of existing evidence’, </w:t>
      </w:r>
      <w:r>
        <w:rPr>
          <w:i/>
          <w:iCs/>
        </w:rPr>
        <w:t>Diabetic Medicine</w:t>
      </w:r>
      <w:r>
        <w:t xml:space="preserve">, 39(7), e14855. Available at: </w:t>
      </w:r>
      <w:hyperlink r:id="rId40">
        <w:r w:rsidR="002D731E">
          <w:rPr>
            <w:rStyle w:val="Hyperlink"/>
          </w:rPr>
          <w:t>https://doi.org/10.1111/dme.14855</w:t>
        </w:r>
      </w:hyperlink>
    </w:p>
    <w:p w14:paraId="4CC5F2F4" w14:textId="77777777" w:rsidR="002D731E" w:rsidRDefault="00000000">
      <w:pPr>
        <w:spacing w:before="240" w:after="0"/>
      </w:pPr>
      <w:r>
        <w:t xml:space="preserve">World Health Organization (2024) </w:t>
      </w:r>
      <w:r>
        <w:rPr>
          <w:i/>
          <w:iCs/>
        </w:rPr>
        <w:t>Diabetes</w:t>
      </w:r>
      <w:r>
        <w:t xml:space="preserve">. Available at: </w:t>
      </w:r>
      <w:hyperlink r:id="rId41" w:tgtFrame="_new">
        <w:r w:rsidR="002D731E">
          <w:rPr>
            <w:rStyle w:val="Hyperlink"/>
          </w:rPr>
          <w:t>https://www.who.int/news-room/fact-sheets/detail/diabetes</w:t>
        </w:r>
      </w:hyperlink>
      <w:r>
        <w:t xml:space="preserve"> (Accessed: 19 July 2026).</w:t>
      </w:r>
    </w:p>
    <w:p w14:paraId="610650A8" w14:textId="77777777" w:rsidR="002D731E" w:rsidRDefault="002D731E">
      <w:pPr>
        <w:spacing w:after="0"/>
      </w:pPr>
    </w:p>
    <w:sectPr w:rsidR="002D731E">
      <w:footerReference w:type="even" r:id="rId42"/>
      <w:footerReference w:type="default" r:id="rId43"/>
      <w:footerReference w:type="first" r:id="rId44"/>
      <w:pgSz w:w="12240" w:h="15840"/>
      <w:pgMar w:top="1440" w:right="1440" w:bottom="1440" w:left="1440" w:header="0" w:footer="720" w:gutter="0"/>
      <w:cols w:space="720"/>
      <w:formProt w:val="0"/>
      <w:docGrid w:linePitch="360" w:charSpace="409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771F9E" w14:textId="77777777" w:rsidR="001B6D01" w:rsidRDefault="001B6D01">
      <w:pPr>
        <w:spacing w:after="0" w:line="240" w:lineRule="auto"/>
      </w:pPr>
      <w:r>
        <w:separator/>
      </w:r>
    </w:p>
  </w:endnote>
  <w:endnote w:type="continuationSeparator" w:id="0">
    <w:p w14:paraId="6E2F0D1D" w14:textId="77777777" w:rsidR="001B6D01" w:rsidRDefault="001B6D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altName w:val="Courier New"/>
    <w:panose1 w:val="02070409020205020404"/>
    <w:charset w:val="00"/>
    <w:family w:val="auto"/>
    <w:pitch w:val="variable"/>
    <w:sig w:usb0="00000003" w:usb1="00000000" w:usb2="00000000" w:usb3="00000000" w:csb0="00000001" w:csb1="00000000"/>
  </w:font>
  <w:font w:name="Liberation Sans">
    <w:altName w:val="Arial"/>
    <w:charset w:val="00"/>
    <w:family w:val="swiss"/>
    <w:pitch w:val="variable"/>
  </w:font>
  <w:font w:name="Noto Sans CJK SC">
    <w:panose1 w:val="00000000000000000000"/>
    <w:charset w:val="00"/>
    <w:family w:val="roman"/>
    <w:notTrueType/>
    <w:pitch w:val="default"/>
  </w:font>
  <w:font w:name="Lohit Devanagari">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79DFB0" w14:textId="77777777" w:rsidR="002D731E" w:rsidRDefault="002D731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0C0B54" w14:textId="77777777" w:rsidR="002D731E" w:rsidRDefault="00000000">
    <w:pPr>
      <w:pStyle w:val="Footer"/>
      <w:jc w:val="center"/>
    </w:pPr>
    <w:r>
      <w:rPr>
        <w:sz w:val="18"/>
      </w:rPr>
      <w:t xml:space="preserve">Page </w:t>
    </w:r>
    <w:r>
      <w:rPr>
        <w:sz w:val="18"/>
      </w:rPr>
      <w:fldChar w:fldCharType="begin"/>
    </w:r>
    <w:r>
      <w:rPr>
        <w:sz w:val="18"/>
      </w:rPr>
      <w:instrText xml:space="preserve"> PAGE </w:instrText>
    </w:r>
    <w:r>
      <w:rPr>
        <w:sz w:val="18"/>
      </w:rPr>
      <w:fldChar w:fldCharType="separate"/>
    </w:r>
    <w:r>
      <w:rPr>
        <w:sz w:val="18"/>
      </w:rPr>
      <w:t>16</w:t>
    </w:r>
    <w:r>
      <w:rPr>
        <w:sz w:val="18"/>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7E166B" w14:textId="77777777" w:rsidR="002D731E" w:rsidRDefault="00000000">
    <w:pPr>
      <w:pStyle w:val="Footer"/>
      <w:jc w:val="center"/>
    </w:pPr>
    <w:r>
      <w:rPr>
        <w:sz w:val="18"/>
      </w:rPr>
      <w:t xml:space="preserve">Page </w:t>
    </w:r>
    <w:r>
      <w:rPr>
        <w:sz w:val="18"/>
      </w:rPr>
      <w:fldChar w:fldCharType="begin"/>
    </w:r>
    <w:r>
      <w:rPr>
        <w:sz w:val="18"/>
      </w:rPr>
      <w:instrText xml:space="preserve"> PAGE </w:instrText>
    </w:r>
    <w:r>
      <w:rPr>
        <w:sz w:val="18"/>
      </w:rPr>
      <w:fldChar w:fldCharType="separate"/>
    </w:r>
    <w:r>
      <w:rPr>
        <w:sz w:val="18"/>
      </w:rPr>
      <w:t>16</w:t>
    </w:r>
    <w:r>
      <w:rPr>
        <w:sz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925F7C" w14:textId="77777777" w:rsidR="001B6D01" w:rsidRDefault="001B6D01">
      <w:pPr>
        <w:spacing w:after="0" w:line="240" w:lineRule="auto"/>
      </w:pPr>
      <w:r>
        <w:separator/>
      </w:r>
    </w:p>
  </w:footnote>
  <w:footnote w:type="continuationSeparator" w:id="0">
    <w:p w14:paraId="1279801C" w14:textId="77777777" w:rsidR="001B6D01" w:rsidRDefault="001B6D0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4071B8"/>
    <w:multiLevelType w:val="multilevel"/>
    <w:tmpl w:val="F07E97D4"/>
    <w:lvl w:ilvl="0">
      <w:start w:val="1"/>
      <w:numFmt w:val="decimal"/>
      <w:pStyle w:val="ListNumber3"/>
      <w:lvlText w:val="%1."/>
      <w:lvlJc w:val="left"/>
      <w:pPr>
        <w:tabs>
          <w:tab w:val="num" w:pos="1080"/>
        </w:tabs>
        <w:ind w:left="1080" w:hanging="360"/>
      </w:p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1" w15:restartNumberingAfterBreak="0">
    <w:nsid w:val="300C06BE"/>
    <w:multiLevelType w:val="multilevel"/>
    <w:tmpl w:val="BA8E8CA0"/>
    <w:lvl w:ilvl="0">
      <w:start w:val="1"/>
      <w:numFmt w:val="bullet"/>
      <w:pStyle w:val="ListBullet3"/>
      <w:lvlText w:val=""/>
      <w:lvlJc w:val="left"/>
      <w:pPr>
        <w:tabs>
          <w:tab w:val="num" w:pos="1080"/>
        </w:tabs>
        <w:ind w:left="1080" w:hanging="360"/>
      </w:pPr>
      <w:rPr>
        <w:rFonts w:ascii="Symbol" w:hAnsi="Symbol" w:cs="Symbol" w:hint="default"/>
      </w:r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2" w15:restartNumberingAfterBreak="0">
    <w:nsid w:val="41587DB2"/>
    <w:multiLevelType w:val="multilevel"/>
    <w:tmpl w:val="ACFA61B8"/>
    <w:lvl w:ilvl="0">
      <w:start w:val="1"/>
      <w:numFmt w:val="decimal"/>
      <w:pStyle w:val="ListNumber"/>
      <w:lvlText w:val="%1."/>
      <w:lvlJc w:val="left"/>
      <w:pPr>
        <w:tabs>
          <w:tab w:val="num" w:pos="360"/>
        </w:tabs>
        <w:ind w:left="360" w:hanging="360"/>
      </w:p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3" w15:restartNumberingAfterBreak="0">
    <w:nsid w:val="79ED5708"/>
    <w:multiLevelType w:val="multilevel"/>
    <w:tmpl w:val="4E94F888"/>
    <w:lvl w:ilvl="0">
      <w:start w:val="1"/>
      <w:numFmt w:val="decimal"/>
      <w:pStyle w:val="ListNumber2"/>
      <w:lvlText w:val="%1."/>
      <w:lvlJc w:val="left"/>
      <w:pPr>
        <w:tabs>
          <w:tab w:val="num" w:pos="720"/>
        </w:tabs>
        <w:ind w:left="720" w:hanging="360"/>
      </w:p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4" w15:restartNumberingAfterBreak="0">
    <w:nsid w:val="7EE609F8"/>
    <w:multiLevelType w:val="multilevel"/>
    <w:tmpl w:val="42BA42BC"/>
    <w:lvl w:ilvl="0">
      <w:start w:val="1"/>
      <w:numFmt w:val="bullet"/>
      <w:pStyle w:val="ListBullet2"/>
      <w:lvlText w:val=""/>
      <w:lvlJc w:val="left"/>
      <w:pPr>
        <w:tabs>
          <w:tab w:val="num" w:pos="720"/>
        </w:tabs>
        <w:ind w:left="720" w:hanging="360"/>
      </w:pPr>
      <w:rPr>
        <w:rFonts w:ascii="Symbol" w:hAnsi="Symbol" w:cs="Symbol" w:hint="default"/>
      </w:r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5" w15:restartNumberingAfterBreak="0">
    <w:nsid w:val="7F0C46B7"/>
    <w:multiLevelType w:val="multilevel"/>
    <w:tmpl w:val="4EAA45A6"/>
    <w:lvl w:ilvl="0">
      <w:start w:val="1"/>
      <w:numFmt w:val="bullet"/>
      <w:pStyle w:val="ListBullet"/>
      <w:lvlText w:val=""/>
      <w:lvlJc w:val="left"/>
      <w:pPr>
        <w:tabs>
          <w:tab w:val="num" w:pos="360"/>
        </w:tabs>
        <w:ind w:left="360" w:hanging="360"/>
      </w:pPr>
      <w:rPr>
        <w:rFonts w:ascii="Symbol" w:hAnsi="Symbol" w:cs="Symbol" w:hint="default"/>
      </w:r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6" w15:restartNumberingAfterBreak="0">
    <w:nsid w:val="7F40186C"/>
    <w:multiLevelType w:val="multilevel"/>
    <w:tmpl w:val="28C43BB0"/>
    <w:lvl w:ilvl="0">
      <w:start w:val="1"/>
      <w:numFmt w:val="none"/>
      <w:suff w:val="nothing"/>
      <w:lvlText w:val=""/>
      <w:lvlJc w:val="left"/>
      <w:pPr>
        <w:tabs>
          <w:tab w:val="num" w:pos="0"/>
        </w:tabs>
        <w:ind w:left="0" w:firstLine="0"/>
      </w:pPr>
    </w:lvl>
    <w:lvl w:ilvl="1">
      <w:start w:val="1"/>
      <w:numFmt w:val="none"/>
      <w:suff w:val="nothing"/>
      <w:lvlText w:val=""/>
      <w:lvlJc w:val="left"/>
      <w:pPr>
        <w:tabs>
          <w:tab w:val="num" w:pos="0"/>
        </w:tabs>
        <w:ind w:left="0" w:firstLine="0"/>
      </w:pPr>
    </w:lvl>
    <w:lvl w:ilvl="2">
      <w:start w:val="1"/>
      <w:numFmt w:val="none"/>
      <w:suff w:val="nothing"/>
      <w:lvlText w:val=""/>
      <w:lvlJc w:val="left"/>
      <w:pPr>
        <w:tabs>
          <w:tab w:val="num" w:pos="0"/>
        </w:tabs>
        <w:ind w:left="0" w:firstLine="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num w:numId="1" w16cid:durableId="304900309">
    <w:abstractNumId w:val="5"/>
  </w:num>
  <w:num w:numId="2" w16cid:durableId="999312221">
    <w:abstractNumId w:val="4"/>
  </w:num>
  <w:num w:numId="3" w16cid:durableId="663046517">
    <w:abstractNumId w:val="1"/>
  </w:num>
  <w:num w:numId="4" w16cid:durableId="689183305">
    <w:abstractNumId w:val="2"/>
  </w:num>
  <w:num w:numId="5" w16cid:durableId="1117990816">
    <w:abstractNumId w:val="3"/>
  </w:num>
  <w:num w:numId="6" w16cid:durableId="434709811">
    <w:abstractNumId w:val="0"/>
  </w:num>
  <w:num w:numId="7" w16cid:durableId="146927673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autoHyphenation/>
  <w:hyphenationZone w:val="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731E"/>
    <w:rsid w:val="001B6D01"/>
    <w:rsid w:val="00282E9F"/>
    <w:rsid w:val="002D731E"/>
    <w:rsid w:val="003C6336"/>
    <w:rsid w:val="00463F74"/>
    <w:rsid w:val="0054545F"/>
    <w:rsid w:val="00581828"/>
    <w:rsid w:val="005A6CDF"/>
    <w:rsid w:val="005F16DF"/>
    <w:rsid w:val="00753F02"/>
    <w:rsid w:val="008A3046"/>
    <w:rsid w:val="009408B3"/>
    <w:rsid w:val="00A63339"/>
    <w:rsid w:val="00B07AAC"/>
    <w:rsid w:val="00C8275D"/>
    <w:rsid w:val="00E308F0"/>
    <w:rsid w:val="00E813B8"/>
    <w:rsid w:val="00FC1E2D"/>
    <w:rsid w:val="00FD74CB"/>
  </w:rsids>
  <m:mathPr>
    <m:mathFont m:val="Cambria Math"/>
    <m:brkBin m:val="before"/>
    <m:brkBinSub m:val="--"/>
    <m:smallFrac m:val="0"/>
    <m:dispDef/>
    <m:lMargin m:val="0"/>
    <m:rMargin m:val="0"/>
    <m:defJc m:val="centerGroup"/>
    <m:wrapIndent m:val="1440"/>
    <m:intLim m:val="subSup"/>
    <m:naryLim m:val="undOvr"/>
  </m:mathPr>
  <w:themeFontLang w:val="en-US" w:eastAsia="ja-JP"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3166E5"/>
  <w15:docId w15:val="{3E5BAA9E-436A-42CE-B9F4-6B431CE5DC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uppressAutoHyphens/>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line="360" w:lineRule="auto"/>
      <w:jc w:val="both"/>
    </w:pPr>
    <w:rPr>
      <w:rFonts w:ascii="Arial" w:hAnsi="Arial"/>
    </w:rPr>
  </w:style>
  <w:style w:type="paragraph" w:styleId="Heading1">
    <w:name w:val="heading 1"/>
    <w:basedOn w:val="Normal"/>
    <w:next w:val="Normal"/>
    <w:link w:val="Heading1Char"/>
    <w:uiPriority w:val="9"/>
    <w:qFormat/>
    <w:rsid w:val="00FC693F"/>
    <w:pPr>
      <w:keepNext/>
      <w:keepLines/>
      <w:spacing w:before="200"/>
      <w:outlineLvl w:val="0"/>
    </w:pPr>
    <w:rPr>
      <w:rFonts w:asciiTheme="majorHAnsi" w:eastAsiaTheme="majorEastAsia" w:hAnsiTheme="majorHAnsi" w:cstheme="majorBidi"/>
      <w:b/>
      <w:bCs/>
      <w:color w:val="17365D"/>
      <w:sz w:val="28"/>
      <w:szCs w:val="28"/>
    </w:rPr>
  </w:style>
  <w:style w:type="paragraph" w:styleId="Heading2">
    <w:name w:val="heading 2"/>
    <w:basedOn w:val="Normal"/>
    <w:next w:val="Normal"/>
    <w:link w:val="Heading2Char"/>
    <w:uiPriority w:val="9"/>
    <w:unhideWhenUsed/>
    <w:qFormat/>
    <w:rsid w:val="00FC693F"/>
    <w:pPr>
      <w:keepNext/>
      <w:keepLines/>
      <w:spacing w:before="200"/>
      <w:outlineLvl w:val="1"/>
    </w:pPr>
    <w:rPr>
      <w:rFonts w:asciiTheme="majorHAnsi" w:eastAsiaTheme="majorEastAsia" w:hAnsiTheme="majorHAnsi" w:cstheme="majorBidi"/>
      <w:b/>
      <w:bCs/>
      <w:color w:val="1F4E79"/>
      <w:sz w:val="24"/>
      <w:szCs w:val="26"/>
    </w:rPr>
  </w:style>
  <w:style w:type="paragraph" w:styleId="Heading3">
    <w:name w:val="heading 3"/>
    <w:basedOn w:val="Normal"/>
    <w:next w:val="Normal"/>
    <w:link w:val="Heading3Char"/>
    <w:uiPriority w:val="9"/>
    <w:unhideWhenUsed/>
    <w:qFormat/>
    <w:rsid w:val="00FC693F"/>
    <w:pPr>
      <w:keepNext/>
      <w:keepLines/>
      <w:spacing w:before="120"/>
      <w:outlineLvl w:val="2"/>
    </w:pPr>
    <w:rPr>
      <w:rFonts w:asciiTheme="majorHAnsi" w:eastAsiaTheme="majorEastAsia" w:hAnsiTheme="majorHAnsi" w:cstheme="majorBidi"/>
      <w:b/>
      <w:bCs/>
      <w:color w:val="000000"/>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erChar">
    <w:name w:val="Header Char"/>
    <w:basedOn w:val="DefaultParagraphFont"/>
    <w:link w:val="Header"/>
    <w:uiPriority w:val="99"/>
    <w:qFormat/>
    <w:rsid w:val="00E618BF"/>
  </w:style>
  <w:style w:type="character" w:customStyle="1" w:styleId="FooterChar">
    <w:name w:val="Footer Char"/>
    <w:basedOn w:val="DefaultParagraphFont"/>
    <w:link w:val="Footer"/>
    <w:uiPriority w:val="99"/>
    <w:qFormat/>
    <w:rsid w:val="00E618BF"/>
  </w:style>
  <w:style w:type="character" w:customStyle="1" w:styleId="Heading1Char">
    <w:name w:val="Heading 1 Char"/>
    <w:basedOn w:val="DefaultParagraphFont"/>
    <w:link w:val="Heading1"/>
    <w:uiPriority w:val="9"/>
    <w:qFormat/>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qFormat/>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qFormat/>
    <w:rsid w:val="00FC693F"/>
    <w:rPr>
      <w:rFonts w:asciiTheme="majorHAnsi" w:eastAsiaTheme="majorEastAsia" w:hAnsiTheme="majorHAnsi" w:cstheme="majorBidi"/>
      <w:b/>
      <w:bCs/>
      <w:color w:val="4F81BD" w:themeColor="accent1"/>
    </w:rPr>
  </w:style>
  <w:style w:type="character" w:customStyle="1" w:styleId="TitleChar">
    <w:name w:val="Title Char"/>
    <w:basedOn w:val="DefaultParagraphFont"/>
    <w:link w:val="Title"/>
    <w:uiPriority w:val="10"/>
    <w:qFormat/>
    <w:rsid w:val="00FC693F"/>
    <w:rPr>
      <w:rFonts w:asciiTheme="majorHAnsi" w:eastAsiaTheme="majorEastAsia" w:hAnsiTheme="majorHAnsi" w:cstheme="majorBidi"/>
      <w:color w:val="17365D" w:themeColor="text2" w:themeShade="BF"/>
      <w:spacing w:val="5"/>
      <w:kern w:val="2"/>
      <w:sz w:val="52"/>
      <w:szCs w:val="52"/>
    </w:rPr>
  </w:style>
  <w:style w:type="character" w:customStyle="1" w:styleId="SubtitleChar">
    <w:name w:val="Subtitle Char"/>
    <w:basedOn w:val="DefaultParagraphFont"/>
    <w:link w:val="Subtitle"/>
    <w:uiPriority w:val="11"/>
    <w:qFormat/>
    <w:rsid w:val="00FC693F"/>
    <w:rPr>
      <w:rFonts w:asciiTheme="majorHAnsi" w:eastAsiaTheme="majorEastAsia" w:hAnsiTheme="majorHAnsi" w:cstheme="majorBidi"/>
      <w:i/>
      <w:iCs/>
      <w:color w:val="4F81BD" w:themeColor="accent1"/>
      <w:spacing w:val="15"/>
      <w:sz w:val="24"/>
      <w:szCs w:val="24"/>
    </w:rPr>
  </w:style>
  <w:style w:type="character" w:customStyle="1" w:styleId="BodyTextChar">
    <w:name w:val="Body Text Char"/>
    <w:basedOn w:val="DefaultParagraphFont"/>
    <w:link w:val="BodyText"/>
    <w:uiPriority w:val="99"/>
    <w:qFormat/>
    <w:rsid w:val="00AA1D8D"/>
  </w:style>
  <w:style w:type="character" w:customStyle="1" w:styleId="BodyText2Char">
    <w:name w:val="Body Text 2 Char"/>
    <w:basedOn w:val="DefaultParagraphFont"/>
    <w:link w:val="BodyText2"/>
    <w:uiPriority w:val="99"/>
    <w:qFormat/>
    <w:rsid w:val="00AA1D8D"/>
  </w:style>
  <w:style w:type="character" w:customStyle="1" w:styleId="BodyText3Char">
    <w:name w:val="Body Text 3 Char"/>
    <w:basedOn w:val="DefaultParagraphFont"/>
    <w:link w:val="BodyText3"/>
    <w:uiPriority w:val="99"/>
    <w:qFormat/>
    <w:rsid w:val="00AA1D8D"/>
    <w:rPr>
      <w:sz w:val="16"/>
      <w:szCs w:val="16"/>
    </w:rPr>
  </w:style>
  <w:style w:type="character" w:customStyle="1" w:styleId="MacroTextChar">
    <w:name w:val="Macro Text Char"/>
    <w:basedOn w:val="DefaultParagraphFont"/>
    <w:link w:val="MacroText"/>
    <w:uiPriority w:val="99"/>
    <w:qFormat/>
    <w:rsid w:val="0029639D"/>
    <w:rPr>
      <w:rFonts w:ascii="Courier" w:hAnsi="Courier"/>
      <w:sz w:val="20"/>
      <w:szCs w:val="20"/>
    </w:rPr>
  </w:style>
  <w:style w:type="character" w:customStyle="1" w:styleId="QuoteChar">
    <w:name w:val="Quote Char"/>
    <w:basedOn w:val="DefaultParagraphFont"/>
    <w:link w:val="Quote"/>
    <w:uiPriority w:val="29"/>
    <w:qFormat/>
    <w:rsid w:val="00FC693F"/>
    <w:rPr>
      <w:i/>
      <w:iCs/>
      <w:color w:val="000000" w:themeColor="text1"/>
    </w:rPr>
  </w:style>
  <w:style w:type="character" w:customStyle="1" w:styleId="Heading4Char">
    <w:name w:val="Heading 4 Char"/>
    <w:basedOn w:val="DefaultParagraphFont"/>
    <w:link w:val="Heading4"/>
    <w:uiPriority w:val="9"/>
    <w:semiHidden/>
    <w:qFormat/>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qFormat/>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qFormat/>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qFormat/>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qFormat/>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qFormat/>
    <w:rsid w:val="00FC693F"/>
    <w:rPr>
      <w:rFonts w:asciiTheme="majorHAnsi" w:eastAsiaTheme="majorEastAsia" w:hAnsiTheme="majorHAnsi" w:cstheme="majorBidi"/>
      <w:i/>
      <w:iCs/>
      <w:color w:val="404040" w:themeColor="text1" w:themeTint="BF"/>
      <w:sz w:val="20"/>
      <w:szCs w:val="20"/>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character" w:customStyle="1" w:styleId="IntenseQuoteChar">
    <w:name w:val="Intense Quote Char"/>
    <w:basedOn w:val="DefaultParagraphFont"/>
    <w:link w:val="IntenseQuote"/>
    <w:uiPriority w:val="30"/>
    <w:qFormat/>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character" w:styleId="Hyperlink">
    <w:name w:val="Hyperlink"/>
    <w:basedOn w:val="DefaultParagraphFont"/>
    <w:uiPriority w:val="99"/>
    <w:unhideWhenUsed/>
    <w:rsid w:val="00D601D8"/>
    <w:rPr>
      <w:color w:val="0000FF" w:themeColor="hyperlink"/>
      <w:u w:val="single"/>
    </w:rPr>
  </w:style>
  <w:style w:type="character" w:styleId="UnresolvedMention">
    <w:name w:val="Unresolved Mention"/>
    <w:basedOn w:val="DefaultParagraphFont"/>
    <w:uiPriority w:val="99"/>
    <w:semiHidden/>
    <w:unhideWhenUsed/>
    <w:qFormat/>
    <w:rsid w:val="00F01DFF"/>
    <w:rPr>
      <w:color w:val="605E5C"/>
      <w:shd w:val="clear" w:color="auto" w:fill="E1DFDD"/>
    </w:rPr>
  </w:style>
  <w:style w:type="character" w:customStyle="1" w:styleId="IndexLink">
    <w:name w:val="Index Link"/>
    <w:qFormat/>
  </w:style>
  <w:style w:type="paragraph" w:customStyle="1" w:styleId="Heading">
    <w:name w:val="Heading"/>
    <w:basedOn w:val="Normal"/>
    <w:next w:val="BodyText"/>
    <w:qFormat/>
    <w:pPr>
      <w:keepNext/>
      <w:spacing w:before="240"/>
    </w:pPr>
    <w:rPr>
      <w:rFonts w:ascii="Liberation Sans" w:eastAsia="Noto Sans CJK SC" w:hAnsi="Liberation Sans" w:cs="Lohit Devanagari"/>
      <w:sz w:val="28"/>
      <w:szCs w:val="28"/>
    </w:rPr>
  </w:style>
  <w:style w:type="paragraph" w:styleId="BodyText">
    <w:name w:val="Body Text"/>
    <w:basedOn w:val="Normal"/>
    <w:link w:val="BodyTextChar"/>
    <w:uiPriority w:val="99"/>
    <w:unhideWhenUsed/>
    <w:rsid w:val="00AA1D8D"/>
  </w:style>
  <w:style w:type="paragraph" w:styleId="List">
    <w:name w:val="List"/>
    <w:basedOn w:val="Normal"/>
    <w:uiPriority w:val="99"/>
    <w:unhideWhenUsed/>
    <w:rsid w:val="00AA1D8D"/>
    <w:pPr>
      <w:ind w:left="360" w:hanging="360"/>
      <w:contextualSpacing/>
    </w:p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paragraph" w:customStyle="1" w:styleId="Index">
    <w:name w:val="Index"/>
    <w:basedOn w:val="Normal"/>
    <w:qFormat/>
    <w:pPr>
      <w:suppressLineNumbers/>
    </w:pPr>
    <w:rPr>
      <w:rFonts w:cs="Lohit Devanagari"/>
    </w:rPr>
  </w:style>
  <w:style w:type="paragraph" w:customStyle="1" w:styleId="HeaderandFooter">
    <w:name w:val="Header and Footer"/>
    <w:basedOn w:val="Normal"/>
    <w:qFormat/>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paragraph" w:styleId="NoSpacing">
    <w:name w:val="No Spacing"/>
    <w:uiPriority w:val="1"/>
    <w:qFormat/>
    <w:rsid w:val="00FC693F"/>
  </w:style>
  <w:style w:type="paragraph" w:styleId="Title">
    <w:name w:val="Title"/>
    <w:basedOn w:val="Normal"/>
    <w:next w:val="Normal"/>
    <w:link w:val="TitleChar"/>
    <w:uiPriority w:val="10"/>
    <w:qFormat/>
    <w:rsid w:val="00FC693F"/>
    <w:pPr>
      <w:keepNext/>
      <w:pBdr>
        <w:bottom w:val="single" w:sz="8" w:space="4" w:color="4F81BD" w:themeColor="accent1"/>
      </w:pBdr>
      <w:spacing w:before="200" w:line="240" w:lineRule="auto"/>
      <w:contextualSpacing/>
    </w:pPr>
    <w:rPr>
      <w:rFonts w:asciiTheme="majorHAnsi" w:eastAsiaTheme="majorEastAsia" w:hAnsiTheme="majorHAnsi" w:cstheme="majorBidi"/>
      <w:b/>
      <w:color w:val="17365D"/>
      <w:spacing w:val="5"/>
      <w:kern w:val="2"/>
      <w:sz w:val="36"/>
      <w:szCs w:val="52"/>
    </w:rPr>
  </w:style>
  <w:style w:type="paragraph" w:styleId="Subtitle">
    <w:name w:val="Subtitle"/>
    <w:basedOn w:val="Normal"/>
    <w:next w:val="Normal"/>
    <w:link w:val="SubtitleChar"/>
    <w:uiPriority w:val="11"/>
    <w:qFormat/>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2">
    <w:name w:val="Body Text 2"/>
    <w:basedOn w:val="Normal"/>
    <w:link w:val="BodyText2Char"/>
    <w:uiPriority w:val="99"/>
    <w:unhideWhenUsed/>
    <w:qFormat/>
    <w:rsid w:val="00AA1D8D"/>
    <w:pPr>
      <w:spacing w:line="480" w:lineRule="auto"/>
    </w:pPr>
  </w:style>
  <w:style w:type="paragraph" w:styleId="BodyText3">
    <w:name w:val="Body Text 3"/>
    <w:basedOn w:val="Normal"/>
    <w:link w:val="BodyText3Char"/>
    <w:uiPriority w:val="99"/>
    <w:unhideWhenUsed/>
    <w:qFormat/>
    <w:rsid w:val="00AA1D8D"/>
    <w:rPr>
      <w:sz w:val="16"/>
      <w:szCs w:val="16"/>
    </w:rPr>
  </w:style>
  <w:style w:type="paragraph" w:styleId="List2">
    <w:name w:val="List 2"/>
    <w:basedOn w:val="Normal"/>
    <w:uiPriority w:val="99"/>
    <w:unhideWhenUsed/>
    <w:qFormat/>
    <w:rsid w:val="00326F90"/>
    <w:pPr>
      <w:ind w:left="720" w:hanging="360"/>
      <w:contextualSpacing/>
    </w:pPr>
  </w:style>
  <w:style w:type="paragraph" w:styleId="List3">
    <w:name w:val="List 3"/>
    <w:basedOn w:val="Normal"/>
    <w:uiPriority w:val="99"/>
    <w:unhideWhenUsed/>
    <w:qFormat/>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4"/>
      </w:numPr>
      <w:contextualSpacing/>
    </w:pPr>
  </w:style>
  <w:style w:type="paragraph" w:styleId="ListNumber2">
    <w:name w:val="List Number 2"/>
    <w:basedOn w:val="Normal"/>
    <w:uiPriority w:val="99"/>
    <w:unhideWhenUsed/>
    <w:rsid w:val="0029639D"/>
    <w:pPr>
      <w:numPr>
        <w:numId w:val="5"/>
      </w:numPr>
      <w:contextualSpacing/>
    </w:pPr>
  </w:style>
  <w:style w:type="paragraph" w:styleId="ListNumber3">
    <w:name w:val="List Number 3"/>
    <w:basedOn w:val="Normal"/>
    <w:uiPriority w:val="99"/>
    <w:unhideWhenUsed/>
    <w:rsid w:val="0029639D"/>
    <w:pPr>
      <w:numPr>
        <w:numId w:val="6"/>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qFormat/>
    <w:rsid w:val="0029639D"/>
    <w:pPr>
      <w:tabs>
        <w:tab w:val="left" w:pos="576"/>
        <w:tab w:val="left" w:pos="1152"/>
        <w:tab w:val="left" w:pos="1728"/>
        <w:tab w:val="left" w:pos="2304"/>
        <w:tab w:val="left" w:pos="2880"/>
        <w:tab w:val="left" w:pos="3456"/>
        <w:tab w:val="left" w:pos="4032"/>
      </w:tabs>
      <w:spacing w:after="200" w:line="276" w:lineRule="auto"/>
    </w:pPr>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paragraph" w:styleId="IndexHeading">
    <w:name w:val="index heading"/>
    <w:basedOn w:val="Heading"/>
  </w:style>
  <w:style w:type="paragraph" w:styleId="TOCHeading">
    <w:name w:val="TOC Heading"/>
    <w:basedOn w:val="Heading1"/>
    <w:next w:val="Normal"/>
    <w:uiPriority w:val="39"/>
    <w:unhideWhenUsed/>
    <w:qFormat/>
    <w:rsid w:val="00FC693F"/>
    <w:pPr>
      <w:outlineLvl w:val="9"/>
    </w:pPr>
  </w:style>
  <w:style w:type="paragraph" w:customStyle="1" w:styleId="SubtitleCustom">
    <w:name w:val="Subtitle Custom"/>
    <w:qFormat/>
    <w:pPr>
      <w:keepNext/>
      <w:spacing w:after="200" w:line="276" w:lineRule="auto"/>
    </w:pPr>
    <w:rPr>
      <w:rFonts w:ascii="Arial" w:eastAsia="MS Mincho" w:hAnsi="Arial"/>
      <w:b/>
      <w:color w:val="1F4E79"/>
      <w:sz w:val="26"/>
    </w:rPr>
  </w:style>
  <w:style w:type="paragraph" w:styleId="TOC1">
    <w:name w:val="toc 1"/>
    <w:basedOn w:val="Normal"/>
    <w:next w:val="Normal"/>
    <w:autoRedefine/>
    <w:uiPriority w:val="39"/>
    <w:unhideWhenUsed/>
    <w:rsid w:val="00D601D8"/>
    <w:pPr>
      <w:spacing w:after="100"/>
    </w:pPr>
  </w:style>
  <w:style w:type="paragraph" w:styleId="TOC2">
    <w:name w:val="toc 2"/>
    <w:basedOn w:val="Normal"/>
    <w:next w:val="Normal"/>
    <w:autoRedefine/>
    <w:uiPriority w:val="39"/>
    <w:unhideWhenUsed/>
    <w:rsid w:val="00D601D8"/>
    <w:pPr>
      <w:spacing w:after="100"/>
      <w:ind w:left="220"/>
    </w:pPr>
  </w:style>
  <w:style w:type="paragraph" w:styleId="TOC3">
    <w:name w:val="toc 3"/>
    <w:basedOn w:val="Normal"/>
    <w:next w:val="Normal"/>
    <w:autoRedefine/>
    <w:uiPriority w:val="39"/>
    <w:unhideWhenUsed/>
    <w:rsid w:val="00D601D8"/>
    <w:pPr>
      <w:spacing w:after="100"/>
      <w:ind w:left="440"/>
    </w:pPr>
  </w:style>
  <w:style w:type="table" w:styleId="TableGrid">
    <w:name w:val="Table Grid"/>
    <w:basedOn w:val="TableNormal"/>
    <w:uiPriority w:val="59"/>
    <w:rsid w:val="00FC693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000000" w:themeColor="text1"/>
          <w:left w:val="single" w:sz="8" w:space="0" w:color="000000" w:themeColor="text1"/>
          <w:bottom w:val="single" w:sz="8" w:space="0" w:color="000000" w:themeColor="text1"/>
          <w:right w:val="single" w:sz="8" w:space="0" w:color="000000" w:themeColor="text1"/>
          <w:insideH w:val="nil"/>
          <w:insideV w:val="nil"/>
        </w:tcBorders>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000000" w:themeColor="text1"/>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4F81BD" w:themeColor="accent1"/>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0504D" w:themeColor="accent2"/>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9BBB59" w:themeColor="accent3"/>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8064A2" w:themeColor="accent4"/>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4BACC6" w:themeColor="accent5"/>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79646" w:themeColor="accent6"/>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4F81BD" w:themeColor="accent1"/>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C0504D" w:themeColor="accent2"/>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9BBB59" w:themeColor="accent3"/>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8064A2" w:themeColor="accent4"/>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4BACC6" w:themeColor="accent5"/>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F79646" w:themeColor="accent6"/>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doi.org/10.1136/bmj.a1931" TargetMode="External"/><Relationship Id="rId18" Type="http://schemas.openxmlformats.org/officeDocument/2006/relationships/hyperlink" Target="https://www.instituteofhealthequity.org/resources-reports/marmot-review-10-years-on/the-marmot-review-10-years-on-full-report.pdf" TargetMode="External"/><Relationship Id="rId26" Type="http://schemas.openxmlformats.org/officeDocument/2006/relationships/hyperlink" Target="https://digital.nhs.uk/data-and-information/publications/statistical/national-diabetes-audit" TargetMode="External"/><Relationship Id="rId39" Type="http://schemas.openxmlformats.org/officeDocument/2006/relationships/hyperlink" Target="https://doi.org/10.1056/NEJM200105033441801" TargetMode="External"/><Relationship Id="rId21" Type="http://schemas.openxmlformats.org/officeDocument/2006/relationships/hyperlink" Target="https://www.nice.org.uk/guidance/ng28?utm_source=chatgpt.com" TargetMode="External"/><Relationship Id="rId34" Type="http://schemas.openxmlformats.org/officeDocument/2006/relationships/hyperlink" Target="https://doi.org/10.1016/j.numecd.2022.08.002" TargetMode="External"/><Relationship Id="rId42"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136/bmjqs-2013-002008" TargetMode="External"/><Relationship Id="rId29" Type="http://schemas.openxmlformats.org/officeDocument/2006/relationships/hyperlink" Target="https://www.ons.gov.uk/peoplepopulationandcommunity/culturalidentity/ethnicity/bulletins/ethnicgroupenglandandwales/census2021?utm_source=chatgpt.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iabetes.org.uk/about-us/news-and-views/one-five-adults-now-live-diabetes-or-prediabetes-uk?utm_source=chatgpt.com" TargetMode="External"/><Relationship Id="rId24" Type="http://schemas.openxmlformats.org/officeDocument/2006/relationships/hyperlink" Target="https://www.england.nhs.uk/about/equality/equality-hub/national-healthcare-inequalities-improvement-programme/core20plus5/?utm_source=chatgpt.com" TargetMode="External"/><Relationship Id="rId32" Type="http://schemas.openxmlformats.org/officeDocument/2006/relationships/hyperlink" Target="https://www.ons.gov.uk/visualisations/censusmapschangedata03/TS021_EG20B.xlsx" TargetMode="External"/><Relationship Id="rId37" Type="http://schemas.openxmlformats.org/officeDocument/2006/relationships/hyperlink" Target="https://www.sahf.org.uk/?utm_source=chatgpt.com" TargetMode="External"/><Relationship Id="rId40" Type="http://schemas.openxmlformats.org/officeDocument/2006/relationships/hyperlink" Target="https://doi.org/10.1111/dme.14855"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1136/bmj.b880" TargetMode="External"/><Relationship Id="rId23" Type="http://schemas.openxmlformats.org/officeDocument/2006/relationships/hyperlink" Target="https://www.england.nhs.uk/long-read/annex-operational-performance-update-28-march-2024/?utm_source=chatgpt.com" TargetMode="External"/><Relationship Id="rId28" Type="http://schemas.openxmlformats.org/officeDocument/2006/relationships/hyperlink" Target="https://www.ons.gov.uk/peoplepopulationandcommunity/birthsdeathsandmarriages/lifeexpectancies/articles/ethnicdifferencesinlifeexpectancyandmortalityfromselectedcausesinenglandandwales/2011to2014?utm_source=chatgpt.com" TargetMode="External"/><Relationship Id="rId36" Type="http://schemas.openxmlformats.org/officeDocument/2006/relationships/hyperlink" Target="https://www.sahf.org.uk/s/HIFS_Report_SAHF_NOV25_FINAL.pdf" TargetMode="External"/><Relationship Id="rId10" Type="http://schemas.openxmlformats.org/officeDocument/2006/relationships/hyperlink" Target="https://www.ethnicity-facts-figures.service.gov.uk/work-pay-and-benefits/pay-and-income/people-in-low-income-households/latest/?utm_source=chatgpt.com" TargetMode="External"/><Relationship Id="rId19" Type="http://schemas.openxmlformats.org/officeDocument/2006/relationships/hyperlink" Target="https://www.ethnicity-facts-figures.service.gov.uk/housing/housing-conditions/overcrowded-households/latest/?utm_source=chatgpt.com" TargetMode="External"/><Relationship Id="rId31" Type="http://schemas.openxmlformats.org/officeDocument/2006/relationships/hyperlink" Target="https://www.ons.gov.uk/peoplepopulationandcommunity/culturalidentity/language/bulletins/languageenglandandwales/census2021" TargetMode="External"/><Relationship Id="rId44" Type="http://schemas.openxmlformats.org/officeDocument/2006/relationships/footer" Target="footer3.xml"/><Relationship Id="rId4" Type="http://schemas.openxmlformats.org/officeDocument/2006/relationships/settings" Target="settings.xml"/><Relationship Id="rId9" Type="http://schemas.openxmlformats.org/officeDocument/2006/relationships/hyperlink" Target="https://doi.org/10.1016/S2213-8587(21)00088-7" TargetMode="External"/><Relationship Id="rId14" Type="http://schemas.openxmlformats.org/officeDocument/2006/relationships/hyperlink" Target="https://doi.org/10.1136/bmj.h391" TargetMode="External"/><Relationship Id="rId22" Type="http://schemas.openxmlformats.org/officeDocument/2006/relationships/hyperlink" Target="https://www.england.nhs.uk/long-read/inclusive-digital-healthcare-a-framework-for-nhs-action-on-digital-inclusion/" TargetMode="External"/><Relationship Id="rId27" Type="http://schemas.openxmlformats.org/officeDocument/2006/relationships/hyperlink" Target="https://www.gov.uk/government/publications/health-disparities-and-health-inequalities-applying-all-our-health?utm_source=chatgpt.com" TargetMode="External"/><Relationship Id="rId30" Type="http://schemas.openxmlformats.org/officeDocument/2006/relationships/hyperlink" Target="https://www.ons.gov.uk/peoplepopulationandcommunity/healthandsocialcare/mentalhealth/articles/sociodemographicdifferencesinuseoftheimprovingaccesstopsychologicaltherapiesserviceengland/april2017tomarch2018?utm_source=chatgpt.com" TargetMode="External"/><Relationship Id="rId35" Type="http://schemas.openxmlformats.org/officeDocument/2006/relationships/hyperlink" Target="https://doi.org/10.1017/S0033291723001010" TargetMode="External"/><Relationship Id="rId43" Type="http://schemas.openxmlformats.org/officeDocument/2006/relationships/footer" Target="footer2.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doi.org/10.2105/AJPH.89.9.1322" TargetMode="External"/><Relationship Id="rId17" Type="http://schemas.openxmlformats.org/officeDocument/2006/relationships/hyperlink" Target="https://doi.org/10.1056/NEJMoa012512" TargetMode="External"/><Relationship Id="rId25" Type="http://schemas.openxmlformats.org/officeDocument/2006/relationships/hyperlink" Target="https://digital.nhs.uk/data-and-information/publications/statistical/quality-and-outcomes-framework-achievement-prevalence-and-exceptions-data/2024-25?utm_source=chatgpt.com" TargetMode="External"/><Relationship Id="rId33" Type="http://schemas.openxmlformats.org/officeDocument/2006/relationships/hyperlink" Target="https://www.ethnicity-facts-figures.service.gov.uk/health/mental-health/adults-experiencing-common-mental-disorders/latest/?utm_source=chatgpt.com" TargetMode="External"/><Relationship Id="rId38" Type="http://schemas.openxmlformats.org/officeDocument/2006/relationships/hyperlink" Target="https://democracy.towerhamlets.gov.uk/documents/s251786/TH%2BLTCPrevention_Vital5_Strategy_Overview_HASSC_20250408%2B1.pdf?utm_source=chatgpt.com" TargetMode="External"/><Relationship Id="rId46" Type="http://schemas.openxmlformats.org/officeDocument/2006/relationships/theme" Target="theme/theme1.xml"/><Relationship Id="rId20" Type="http://schemas.openxmlformats.org/officeDocument/2006/relationships/hyperlink" Target="https://www.nice.org.uk/guidance/ph38" TargetMode="External"/><Relationship Id="rId41" Type="http://schemas.openxmlformats.org/officeDocument/2006/relationships/hyperlink" Target="https://www.who.int/news-room/fact-sheets/detail/diabetes?utm_source=chatgpt.com" TargetMode="External"/></Relationships>
</file>

<file path=word/theme/theme1.xml><?xml version="1.0" encoding="utf-8"?>
<a:theme xmlns:a="http://schemas.openxmlformats.org/drawingml/2006/main" name="Office Theme">
  <a:themeElements>
    <a:clrScheme name="Office">
      <a:dk1>
        <a:srgbClr val="000000"/>
      </a:dk1>
      <a:lt1>
        <a:srgbClr val="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majorFont>
      <a:minorFont>
        <a:latin typeface="Cambria"/>
        <a:ea typeface=""/>
        <a:cs typeface=""/>
      </a:minorFont>
    </a:fontScheme>
    <a:fmtScheme>
      <a:fillStyleLst>
        <a:solidFill>
          <a:schemeClr val="phClr"/>
        </a:solidFill>
        <a:gradFill>
          <a:gsLst>
            <a:gs pos="0">
              <a:schemeClr val="phClr">
                <a:tint val="50000"/>
              </a:schemeClr>
            </a:gs>
            <a:gs pos="35000">
              <a:schemeClr val="phClr">
                <a:tint val="37000"/>
              </a:schemeClr>
            </a:gs>
            <a:gs pos="100000">
              <a:schemeClr val="phClr">
                <a:tint val="15000"/>
              </a:schemeClr>
            </a:gs>
          </a:gsLst>
          <a:lin ang="16200000" scaled="1"/>
          <a:tileRect/>
        </a:gradFill>
        <a:gradFill>
          <a:gsLst>
            <a:gs pos="0">
              <a:schemeClr val="phClr">
                <a:tint val="100000"/>
                <a:shade val="100000"/>
              </a:schemeClr>
            </a:gs>
            <a:gs pos="100000">
              <a:schemeClr val="phClr">
                <a:tint val="50000"/>
                <a:shade val="100000"/>
              </a:schemeClr>
            </a:gs>
          </a:gsLst>
          <a:lin ang="16200000" scaled="0"/>
          <a:tileRect/>
        </a:gradFill>
      </a:fillStyleLst>
      <a:lnStyleLst>
        <a:ln w="9525" cap="flat" cmpd="sng" algn="ctr">
          <a:prstDash val="solid"/>
        </a:ln>
        <a:ln w="25400" cap="flat" cmpd="sng" algn="ctr">
          <a:prstDash val="solid"/>
        </a:ln>
        <a:ln w="38100" cap="flat" cmpd="sng" algn="ctr">
          <a:prstDash val="solid"/>
        </a:ln>
      </a:lnStyleLst>
      <a:effectStyleLst>
        <a:effectStyle>
          <a:effectLst/>
        </a:effectStyle>
        <a:effectStyle>
          <a:effectLst/>
        </a:effectStyle>
        <a:effectStyle>
          <a:effectLst/>
        </a:effectStyle>
      </a:effectStyleLst>
      <a:bgFillStyleLst>
        <a:solidFill>
          <a:schemeClr val="phClr"/>
        </a:solidFill>
        <a:gradFill>
          <a:gsLst>
            <a:gs pos="0">
              <a:schemeClr val="phClr">
                <a:tint val="40000"/>
              </a:schemeClr>
            </a:gs>
            <a:gs pos="40000">
              <a:schemeClr val="phClr">
                <a:tint val="45000"/>
                <a:shade val="99000"/>
              </a:schemeClr>
            </a:gs>
            <a:gs pos="100000">
              <a:schemeClr val="phClr">
                <a:shade val="20000"/>
              </a:schemeClr>
            </a:gs>
          </a:gsLst>
          <a:path path="circle">
            <a:fillToRect l="50000" t="-80000" r="50000" b="180000"/>
          </a:path>
          <a:tileRect/>
        </a:gradFill>
        <a:gradFill>
          <a:gsLst>
            <a:gs pos="0">
              <a:schemeClr val="phClr">
                <a:tint val="80000"/>
              </a:schemeClr>
            </a:gs>
            <a:gs pos="100000">
              <a:schemeClr val="phClr">
                <a:shade val="30000"/>
              </a:schemeClr>
            </a:gs>
          </a:gsLst>
          <a:path path="circle">
            <a:fillToRect l="50000" t="50000" r="50000" b="50000"/>
          </a:path>
          <a:tileRect/>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TotalTime>
  <Pages>15</Pages>
  <Words>5259</Words>
  <Characters>29978</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LCHS7000 Component 2 Analytical Report</vt:lpstr>
    </vt:vector>
  </TitlesOfParts>
  <Company/>
  <LinksUpToDate>false</LinksUpToDate>
  <CharactersWithSpaces>35167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LCHS7000 Component 2 Analytical Report</dc:title>
  <dc:subject>Social Epidemiology and Public Health Development</dc:subject>
  <dc:creator>Ritu Panna Saha</dc:creator>
  <cp:keywords>LCHS7000 social epidemiology health inequalities type 2 diabetes Tower Hamlets</cp:keywords>
  <dc:description/>
  <cp:lastModifiedBy>Ritu Panna Saha</cp:lastModifiedBy>
  <cp:revision>14</cp:revision>
  <dcterms:created xsi:type="dcterms:W3CDTF">2026-07-21T20:13:00Z</dcterms:created>
  <dcterms:modified xsi:type="dcterms:W3CDTF">2026-07-22T05:24:00Z</dcterms:modified>
  <dc:language>en-US</dc:language>
</cp:coreProperties>
</file>