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49C91" w14:textId="77777777" w:rsidR="00BD5F05" w:rsidRPr="00911CE7" w:rsidRDefault="00BD5F05" w:rsidP="00BD5F05">
      <w:pPr>
        <w:spacing w:before="120" w:after="120" w:line="240" w:lineRule="auto"/>
        <w:jc w:val="center"/>
        <w:rPr>
          <w:rFonts w:eastAsia="Aptos" w:cs="Arial"/>
          <w:color w:val="000000"/>
        </w:rPr>
      </w:pPr>
      <w:r w:rsidRPr="00911CE7">
        <w:rPr>
          <w:rFonts w:eastAsia="Aptos" w:cs="Arial"/>
          <w:noProof/>
          <w:color w:val="000000"/>
        </w:rPr>
        <w:drawing>
          <wp:inline distT="0" distB="0" distL="0" distR="0" wp14:anchorId="0AEF225C" wp14:editId="1305DA92">
            <wp:extent cx="3383280" cy="1356360"/>
            <wp:effectExtent l="0" t="0" r="7620" b="0"/>
            <wp:docPr id="456771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6E77198D" w14:textId="77777777" w:rsidR="00BD5F05" w:rsidRPr="00911CE7" w:rsidRDefault="00BD5F05" w:rsidP="00BD5F05">
      <w:pPr>
        <w:spacing w:before="120" w:after="120" w:line="240" w:lineRule="auto"/>
        <w:rPr>
          <w:rFonts w:eastAsia="Aptos" w:cs="Arial"/>
          <w:color w:val="000000"/>
        </w:rPr>
      </w:pPr>
    </w:p>
    <w:p w14:paraId="6A1C1CDF" w14:textId="77777777" w:rsidR="00BD5F05" w:rsidRPr="00911CE7" w:rsidRDefault="00BD5F05" w:rsidP="00BD5F05">
      <w:pPr>
        <w:spacing w:before="120" w:after="120" w:line="240" w:lineRule="auto"/>
        <w:rPr>
          <w:rFonts w:eastAsia="Aptos" w:cs="Arial"/>
          <w:color w:val="000000"/>
        </w:rPr>
      </w:pPr>
    </w:p>
    <w:p w14:paraId="538C9185" w14:textId="3E67C665"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Student Name:</w:t>
      </w:r>
      <w:r w:rsidR="009403EB">
        <w:rPr>
          <w:rFonts w:eastAsia="Aptos" w:cs="Arial"/>
          <w:b/>
          <w:bCs/>
          <w:color w:val="000000"/>
        </w:rPr>
        <w:t xml:space="preserve"> Naitiksinh P Parmar</w:t>
      </w:r>
    </w:p>
    <w:p w14:paraId="52B7747B" w14:textId="77777777" w:rsidR="00BD5F05" w:rsidRPr="00911CE7" w:rsidRDefault="00BD5F05" w:rsidP="00BD5F05">
      <w:pPr>
        <w:spacing w:before="120" w:after="120" w:line="240" w:lineRule="auto"/>
        <w:jc w:val="center"/>
        <w:rPr>
          <w:rFonts w:eastAsia="Aptos" w:cs="Arial"/>
          <w:b/>
          <w:bCs/>
          <w:color w:val="000000"/>
        </w:rPr>
      </w:pPr>
    </w:p>
    <w:p w14:paraId="62FC725D" w14:textId="7841004A"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Student ID:</w:t>
      </w:r>
      <w:r w:rsidR="009403EB">
        <w:rPr>
          <w:rFonts w:eastAsia="Aptos" w:cs="Arial"/>
          <w:b/>
          <w:bCs/>
          <w:color w:val="000000"/>
        </w:rPr>
        <w:t xml:space="preserve"> 2525945</w:t>
      </w:r>
    </w:p>
    <w:p w14:paraId="09BC5845" w14:textId="77777777" w:rsidR="00BD5F05" w:rsidRPr="00911CE7" w:rsidRDefault="00BD5F05" w:rsidP="00BD5F05">
      <w:pPr>
        <w:spacing w:before="120" w:after="120" w:line="240" w:lineRule="auto"/>
        <w:jc w:val="center"/>
        <w:rPr>
          <w:rFonts w:eastAsia="Aptos" w:cs="Arial"/>
          <w:color w:val="000000"/>
        </w:rPr>
      </w:pPr>
    </w:p>
    <w:p w14:paraId="1992F38F" w14:textId="77777777" w:rsidR="00BD5F05" w:rsidRPr="00911CE7" w:rsidRDefault="00BD5F05" w:rsidP="00BD5F05">
      <w:pPr>
        <w:spacing w:before="120" w:after="120" w:line="240" w:lineRule="auto"/>
        <w:jc w:val="center"/>
        <w:rPr>
          <w:rFonts w:eastAsia="Aptos" w:cs="Arial"/>
          <w:color w:val="000000"/>
        </w:rPr>
      </w:pPr>
    </w:p>
    <w:p w14:paraId="35967A09" w14:textId="77777777"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 xml:space="preserve">Module Name: International Marketing: </w:t>
      </w:r>
      <w:r w:rsidRPr="00513D44">
        <w:rPr>
          <w:rFonts w:eastAsia="Aptos" w:cs="Arial"/>
          <w:b/>
          <w:bCs/>
          <w:color w:val="000000"/>
        </w:rPr>
        <w:t>Financial Management</w:t>
      </w:r>
    </w:p>
    <w:p w14:paraId="68D470E0" w14:textId="77777777" w:rsidR="00BD5F05" w:rsidRPr="00911CE7" w:rsidRDefault="00BD5F05" w:rsidP="00BD5F05">
      <w:pPr>
        <w:spacing w:before="120" w:after="120" w:line="240" w:lineRule="auto"/>
        <w:jc w:val="center"/>
        <w:rPr>
          <w:rFonts w:eastAsia="Aptos" w:cs="Arial"/>
          <w:b/>
          <w:bCs/>
          <w:color w:val="000000"/>
        </w:rPr>
      </w:pPr>
    </w:p>
    <w:p w14:paraId="38FB37C3" w14:textId="77777777"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Module Code: LCMB70</w:t>
      </w:r>
      <w:r>
        <w:rPr>
          <w:rFonts w:eastAsia="Aptos" w:cs="Arial"/>
          <w:b/>
          <w:bCs/>
          <w:color w:val="000000"/>
        </w:rPr>
        <w:t>02</w:t>
      </w:r>
    </w:p>
    <w:p w14:paraId="18970D62" w14:textId="77777777" w:rsidR="00BD5F05" w:rsidRPr="00911CE7" w:rsidRDefault="00BD5F05" w:rsidP="00BD5F05">
      <w:pPr>
        <w:spacing w:before="120" w:after="120" w:line="240" w:lineRule="auto"/>
        <w:jc w:val="center"/>
        <w:rPr>
          <w:rFonts w:eastAsia="Aptos" w:cs="Arial"/>
          <w:b/>
          <w:bCs/>
          <w:color w:val="000000"/>
        </w:rPr>
      </w:pPr>
    </w:p>
    <w:p w14:paraId="75E91E66" w14:textId="77777777" w:rsidR="00BD5F05" w:rsidRPr="00911CE7" w:rsidRDefault="00BD5F05" w:rsidP="00BD5F05">
      <w:pPr>
        <w:spacing w:before="120" w:after="120" w:line="240" w:lineRule="auto"/>
        <w:rPr>
          <w:rFonts w:eastAsia="Aptos" w:cs="Arial"/>
          <w:b/>
          <w:bCs/>
          <w:color w:val="000000"/>
        </w:rPr>
      </w:pPr>
    </w:p>
    <w:p w14:paraId="0B4018EF" w14:textId="77777777" w:rsidR="00BD5F05" w:rsidRPr="00911CE7" w:rsidRDefault="00BD5F05" w:rsidP="00BD5F05">
      <w:pPr>
        <w:spacing w:before="120" w:after="120" w:line="240" w:lineRule="auto"/>
        <w:jc w:val="center"/>
        <w:rPr>
          <w:rFonts w:eastAsia="Aptos" w:cs="Arial"/>
          <w:b/>
          <w:bCs/>
          <w:color w:val="000000"/>
        </w:rPr>
      </w:pPr>
    </w:p>
    <w:p w14:paraId="35092F43" w14:textId="1251DEFC" w:rsidR="00BD5F05" w:rsidRPr="009403EB" w:rsidRDefault="00BD5F05" w:rsidP="00BD5F05">
      <w:pPr>
        <w:spacing w:before="120" w:after="120" w:line="240" w:lineRule="auto"/>
        <w:jc w:val="center"/>
        <w:rPr>
          <w:rFonts w:eastAsia="Aptos" w:cs="Arial"/>
          <w:b/>
          <w:bCs/>
          <w:color w:val="000000"/>
        </w:rPr>
      </w:pPr>
      <w:r w:rsidRPr="00911CE7">
        <w:rPr>
          <w:rFonts w:eastAsia="Aptos" w:cs="Arial"/>
          <w:b/>
          <w:bCs/>
          <w:color w:val="000000"/>
        </w:rPr>
        <w:t>Lecturer’s Name:</w:t>
      </w:r>
      <w:r w:rsidRPr="00911CE7">
        <w:t xml:space="preserve"> </w:t>
      </w:r>
      <w:r w:rsidR="009403EB" w:rsidRPr="009403EB">
        <w:rPr>
          <w:b/>
          <w:bCs/>
        </w:rPr>
        <w:t>Shengfeng Mei</w:t>
      </w:r>
    </w:p>
    <w:p w14:paraId="3C66FE26" w14:textId="77777777" w:rsidR="00BD5F05" w:rsidRPr="00911CE7" w:rsidRDefault="00BD5F05" w:rsidP="00BD5F05">
      <w:pPr>
        <w:spacing w:before="120" w:after="120" w:line="240" w:lineRule="auto"/>
        <w:jc w:val="center"/>
        <w:rPr>
          <w:rFonts w:eastAsia="Aptos" w:cs="Arial"/>
          <w:b/>
          <w:bCs/>
          <w:color w:val="000000"/>
        </w:rPr>
      </w:pPr>
    </w:p>
    <w:p w14:paraId="5630C55B" w14:textId="77777777" w:rsidR="00BD5F05" w:rsidRPr="00911CE7" w:rsidRDefault="00BD5F05" w:rsidP="00BD5F05">
      <w:pPr>
        <w:spacing w:before="120" w:after="120" w:line="240" w:lineRule="auto"/>
        <w:rPr>
          <w:rFonts w:eastAsia="Aptos" w:cs="Arial"/>
          <w:b/>
          <w:bCs/>
          <w:color w:val="000000"/>
        </w:rPr>
      </w:pPr>
    </w:p>
    <w:p w14:paraId="28100DD3" w14:textId="77777777"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 xml:space="preserve">Work Count: </w:t>
      </w:r>
      <w:r>
        <w:rPr>
          <w:rFonts w:eastAsia="Aptos" w:cs="Arial"/>
          <w:b/>
          <w:bCs/>
          <w:color w:val="000000"/>
        </w:rPr>
        <w:t>5206</w:t>
      </w:r>
    </w:p>
    <w:p w14:paraId="546E4BD8" w14:textId="51DC1E56" w:rsidR="00BC07D3" w:rsidRDefault="00BC07D3"/>
    <w:p w14:paraId="332A4A39" w14:textId="77777777" w:rsidR="00416FD6" w:rsidRDefault="00416FD6"/>
    <w:p w14:paraId="30310330" w14:textId="77777777" w:rsidR="00416FD6" w:rsidRDefault="00416FD6"/>
    <w:p w14:paraId="4276AC46" w14:textId="77777777" w:rsidR="00BD5F05" w:rsidRDefault="00BD5F05"/>
    <w:p w14:paraId="0BC6F72B" w14:textId="77777777" w:rsidR="00BD5F05" w:rsidRDefault="00BD5F05">
      <w:pPr>
        <w:spacing w:line="278" w:lineRule="auto"/>
        <w:jc w:val="left"/>
      </w:pPr>
      <w:r>
        <w:br w:type="page"/>
      </w:r>
    </w:p>
    <w:p w14:paraId="5C8158EC" w14:textId="6C45C4EF" w:rsidR="00416FD6" w:rsidRDefault="00416FD6" w:rsidP="00BD5F05">
      <w:pPr>
        <w:spacing w:line="278" w:lineRule="auto"/>
        <w:jc w:val="left"/>
        <w:rPr>
          <w:b/>
          <w:bCs/>
          <w:sz w:val="28"/>
          <w:szCs w:val="28"/>
        </w:rPr>
      </w:pPr>
      <w:r w:rsidRPr="00416FD6">
        <w:rPr>
          <w:b/>
          <w:bCs/>
          <w:sz w:val="28"/>
          <w:szCs w:val="28"/>
        </w:rPr>
        <w:lastRenderedPageBreak/>
        <w:t>Table of Contents</w:t>
      </w:r>
    </w:p>
    <w:p w14:paraId="236E7047" w14:textId="1FFFF867" w:rsidR="00BD4D34" w:rsidRDefault="00C23A3D">
      <w:pPr>
        <w:pStyle w:val="TOC1"/>
        <w:tabs>
          <w:tab w:val="right" w:leader="dot" w:pos="9350"/>
        </w:tabs>
        <w:rPr>
          <w:rFonts w:asciiTheme="minorHAnsi" w:eastAsiaTheme="minorEastAsia" w:hAnsiTheme="minorHAnsi"/>
          <w:noProof/>
          <w:lang w:bidi="si-LK"/>
        </w:rPr>
      </w:pPr>
      <w:r>
        <w:rPr>
          <w:b/>
          <w:bCs/>
          <w:sz w:val="28"/>
          <w:szCs w:val="28"/>
        </w:rPr>
        <w:fldChar w:fldCharType="begin"/>
      </w:r>
      <w:r>
        <w:rPr>
          <w:b/>
          <w:bCs/>
          <w:sz w:val="28"/>
          <w:szCs w:val="28"/>
        </w:rPr>
        <w:instrText xml:space="preserve"> TOC \o "1-6" \h \z \u </w:instrText>
      </w:r>
      <w:r>
        <w:rPr>
          <w:b/>
          <w:bCs/>
          <w:sz w:val="28"/>
          <w:szCs w:val="28"/>
        </w:rPr>
        <w:fldChar w:fldCharType="separate"/>
      </w:r>
      <w:hyperlink w:anchor="_Toc227939041" w:history="1">
        <w:r w:rsidR="00BD4D34" w:rsidRPr="001E08AA">
          <w:rPr>
            <w:rStyle w:val="Hyperlink"/>
            <w:noProof/>
          </w:rPr>
          <w:t>1. Financial Health Check</w:t>
        </w:r>
        <w:r w:rsidR="00BD4D34">
          <w:rPr>
            <w:noProof/>
            <w:webHidden/>
          </w:rPr>
          <w:tab/>
        </w:r>
        <w:r w:rsidR="00BD4D34">
          <w:rPr>
            <w:noProof/>
            <w:webHidden/>
          </w:rPr>
          <w:fldChar w:fldCharType="begin"/>
        </w:r>
        <w:r w:rsidR="00BD4D34">
          <w:rPr>
            <w:noProof/>
            <w:webHidden/>
          </w:rPr>
          <w:instrText xml:space="preserve"> PAGEREF _Toc227939041 \h </w:instrText>
        </w:r>
        <w:r w:rsidR="00BD4D34">
          <w:rPr>
            <w:noProof/>
            <w:webHidden/>
          </w:rPr>
        </w:r>
        <w:r w:rsidR="00BD4D34">
          <w:rPr>
            <w:noProof/>
            <w:webHidden/>
          </w:rPr>
          <w:fldChar w:fldCharType="separate"/>
        </w:r>
        <w:r w:rsidR="00BD4D34">
          <w:rPr>
            <w:noProof/>
            <w:webHidden/>
          </w:rPr>
          <w:t>7</w:t>
        </w:r>
        <w:r w:rsidR="00BD4D34">
          <w:rPr>
            <w:noProof/>
            <w:webHidden/>
          </w:rPr>
          <w:fldChar w:fldCharType="end"/>
        </w:r>
      </w:hyperlink>
    </w:p>
    <w:p w14:paraId="5ED609D1" w14:textId="451A82A1" w:rsidR="00BD4D34" w:rsidRDefault="00BD4D34">
      <w:pPr>
        <w:pStyle w:val="TOC2"/>
        <w:tabs>
          <w:tab w:val="right" w:leader="dot" w:pos="9350"/>
        </w:tabs>
        <w:rPr>
          <w:rFonts w:asciiTheme="minorHAnsi" w:eastAsiaTheme="minorEastAsia" w:hAnsiTheme="minorHAnsi"/>
          <w:noProof/>
          <w:lang w:bidi="si-LK"/>
        </w:rPr>
      </w:pPr>
      <w:hyperlink w:anchor="_Toc227939042" w:history="1">
        <w:r w:rsidRPr="001E08AA">
          <w:rPr>
            <w:rStyle w:val="Hyperlink"/>
            <w:noProof/>
          </w:rPr>
          <w:t>1.1 Introduction</w:t>
        </w:r>
        <w:r>
          <w:rPr>
            <w:noProof/>
            <w:webHidden/>
          </w:rPr>
          <w:tab/>
        </w:r>
        <w:r>
          <w:rPr>
            <w:noProof/>
            <w:webHidden/>
          </w:rPr>
          <w:fldChar w:fldCharType="begin"/>
        </w:r>
        <w:r>
          <w:rPr>
            <w:noProof/>
            <w:webHidden/>
          </w:rPr>
          <w:instrText xml:space="preserve"> PAGEREF _Toc227939042 \h </w:instrText>
        </w:r>
        <w:r>
          <w:rPr>
            <w:noProof/>
            <w:webHidden/>
          </w:rPr>
        </w:r>
        <w:r>
          <w:rPr>
            <w:noProof/>
            <w:webHidden/>
          </w:rPr>
          <w:fldChar w:fldCharType="separate"/>
        </w:r>
        <w:r>
          <w:rPr>
            <w:noProof/>
            <w:webHidden/>
          </w:rPr>
          <w:t>7</w:t>
        </w:r>
        <w:r>
          <w:rPr>
            <w:noProof/>
            <w:webHidden/>
          </w:rPr>
          <w:fldChar w:fldCharType="end"/>
        </w:r>
      </w:hyperlink>
    </w:p>
    <w:p w14:paraId="54436F57" w14:textId="458576AA" w:rsidR="00BD4D34" w:rsidRDefault="00BD4D34">
      <w:pPr>
        <w:pStyle w:val="TOC2"/>
        <w:tabs>
          <w:tab w:val="right" w:leader="dot" w:pos="9350"/>
        </w:tabs>
        <w:rPr>
          <w:rFonts w:asciiTheme="minorHAnsi" w:eastAsiaTheme="minorEastAsia" w:hAnsiTheme="minorHAnsi"/>
          <w:noProof/>
          <w:lang w:bidi="si-LK"/>
        </w:rPr>
      </w:pPr>
      <w:hyperlink w:anchor="_Toc227939043" w:history="1">
        <w:r w:rsidRPr="001E08AA">
          <w:rPr>
            <w:rStyle w:val="Hyperlink"/>
            <w:noProof/>
          </w:rPr>
          <w:t>1.2 Financial Statements 5-year period</w:t>
        </w:r>
        <w:r>
          <w:rPr>
            <w:noProof/>
            <w:webHidden/>
          </w:rPr>
          <w:tab/>
        </w:r>
        <w:r>
          <w:rPr>
            <w:noProof/>
            <w:webHidden/>
          </w:rPr>
          <w:fldChar w:fldCharType="begin"/>
        </w:r>
        <w:r>
          <w:rPr>
            <w:noProof/>
            <w:webHidden/>
          </w:rPr>
          <w:instrText xml:space="preserve"> PAGEREF _Toc227939043 \h </w:instrText>
        </w:r>
        <w:r>
          <w:rPr>
            <w:noProof/>
            <w:webHidden/>
          </w:rPr>
        </w:r>
        <w:r>
          <w:rPr>
            <w:noProof/>
            <w:webHidden/>
          </w:rPr>
          <w:fldChar w:fldCharType="separate"/>
        </w:r>
        <w:r>
          <w:rPr>
            <w:noProof/>
            <w:webHidden/>
          </w:rPr>
          <w:t>7</w:t>
        </w:r>
        <w:r>
          <w:rPr>
            <w:noProof/>
            <w:webHidden/>
          </w:rPr>
          <w:fldChar w:fldCharType="end"/>
        </w:r>
      </w:hyperlink>
    </w:p>
    <w:p w14:paraId="3A134355" w14:textId="4E8080D1" w:rsidR="00BD4D34" w:rsidRDefault="00BD4D34">
      <w:pPr>
        <w:pStyle w:val="TOC2"/>
        <w:tabs>
          <w:tab w:val="right" w:leader="dot" w:pos="9350"/>
        </w:tabs>
        <w:rPr>
          <w:rFonts w:asciiTheme="minorHAnsi" w:eastAsiaTheme="minorEastAsia" w:hAnsiTheme="minorHAnsi"/>
          <w:noProof/>
          <w:lang w:bidi="si-LK"/>
        </w:rPr>
      </w:pPr>
      <w:hyperlink w:anchor="_Toc227939044" w:history="1">
        <w:r w:rsidRPr="001E08AA">
          <w:rPr>
            <w:rStyle w:val="Hyperlink"/>
            <w:noProof/>
          </w:rPr>
          <w:t>1.3 Profitability Ratios</w:t>
        </w:r>
        <w:r>
          <w:rPr>
            <w:noProof/>
            <w:webHidden/>
          </w:rPr>
          <w:tab/>
        </w:r>
        <w:r>
          <w:rPr>
            <w:noProof/>
            <w:webHidden/>
          </w:rPr>
          <w:fldChar w:fldCharType="begin"/>
        </w:r>
        <w:r>
          <w:rPr>
            <w:noProof/>
            <w:webHidden/>
          </w:rPr>
          <w:instrText xml:space="preserve"> PAGEREF _Toc227939044 \h </w:instrText>
        </w:r>
        <w:r>
          <w:rPr>
            <w:noProof/>
            <w:webHidden/>
          </w:rPr>
        </w:r>
        <w:r>
          <w:rPr>
            <w:noProof/>
            <w:webHidden/>
          </w:rPr>
          <w:fldChar w:fldCharType="separate"/>
        </w:r>
        <w:r>
          <w:rPr>
            <w:noProof/>
            <w:webHidden/>
          </w:rPr>
          <w:t>8</w:t>
        </w:r>
        <w:r>
          <w:rPr>
            <w:noProof/>
            <w:webHidden/>
          </w:rPr>
          <w:fldChar w:fldCharType="end"/>
        </w:r>
      </w:hyperlink>
    </w:p>
    <w:p w14:paraId="100AEED8" w14:textId="0A60EB5A" w:rsidR="00BD4D34" w:rsidRDefault="00BD4D34">
      <w:pPr>
        <w:pStyle w:val="TOC2"/>
        <w:tabs>
          <w:tab w:val="right" w:leader="dot" w:pos="9350"/>
        </w:tabs>
        <w:rPr>
          <w:rFonts w:asciiTheme="minorHAnsi" w:eastAsiaTheme="minorEastAsia" w:hAnsiTheme="minorHAnsi"/>
          <w:noProof/>
          <w:lang w:bidi="si-LK"/>
        </w:rPr>
      </w:pPr>
      <w:hyperlink w:anchor="_Toc227939045" w:history="1">
        <w:r w:rsidRPr="001E08AA">
          <w:rPr>
            <w:rStyle w:val="Hyperlink"/>
            <w:noProof/>
          </w:rPr>
          <w:t>1.4 Liquidity Ratios</w:t>
        </w:r>
        <w:r>
          <w:rPr>
            <w:noProof/>
            <w:webHidden/>
          </w:rPr>
          <w:tab/>
        </w:r>
        <w:r>
          <w:rPr>
            <w:noProof/>
            <w:webHidden/>
          </w:rPr>
          <w:fldChar w:fldCharType="begin"/>
        </w:r>
        <w:r>
          <w:rPr>
            <w:noProof/>
            <w:webHidden/>
          </w:rPr>
          <w:instrText xml:space="preserve"> PAGEREF _Toc227939045 \h </w:instrText>
        </w:r>
        <w:r>
          <w:rPr>
            <w:noProof/>
            <w:webHidden/>
          </w:rPr>
        </w:r>
        <w:r>
          <w:rPr>
            <w:noProof/>
            <w:webHidden/>
          </w:rPr>
          <w:fldChar w:fldCharType="separate"/>
        </w:r>
        <w:r>
          <w:rPr>
            <w:noProof/>
            <w:webHidden/>
          </w:rPr>
          <w:t>11</w:t>
        </w:r>
        <w:r>
          <w:rPr>
            <w:noProof/>
            <w:webHidden/>
          </w:rPr>
          <w:fldChar w:fldCharType="end"/>
        </w:r>
      </w:hyperlink>
    </w:p>
    <w:p w14:paraId="0E799B94" w14:textId="609EAD86" w:rsidR="00BD4D34" w:rsidRDefault="00BD4D34">
      <w:pPr>
        <w:pStyle w:val="TOC2"/>
        <w:tabs>
          <w:tab w:val="right" w:leader="dot" w:pos="9350"/>
        </w:tabs>
        <w:rPr>
          <w:rFonts w:asciiTheme="minorHAnsi" w:eastAsiaTheme="minorEastAsia" w:hAnsiTheme="minorHAnsi"/>
          <w:noProof/>
          <w:lang w:bidi="si-LK"/>
        </w:rPr>
      </w:pPr>
      <w:hyperlink w:anchor="_Toc227939046" w:history="1">
        <w:r w:rsidRPr="001E08AA">
          <w:rPr>
            <w:rStyle w:val="Hyperlink"/>
            <w:noProof/>
          </w:rPr>
          <w:t>1.5 Efficiency Ratios</w:t>
        </w:r>
        <w:r>
          <w:rPr>
            <w:noProof/>
            <w:webHidden/>
          </w:rPr>
          <w:tab/>
        </w:r>
        <w:r>
          <w:rPr>
            <w:noProof/>
            <w:webHidden/>
          </w:rPr>
          <w:fldChar w:fldCharType="begin"/>
        </w:r>
        <w:r>
          <w:rPr>
            <w:noProof/>
            <w:webHidden/>
          </w:rPr>
          <w:instrText xml:space="preserve"> PAGEREF _Toc227939046 \h </w:instrText>
        </w:r>
        <w:r>
          <w:rPr>
            <w:noProof/>
            <w:webHidden/>
          </w:rPr>
        </w:r>
        <w:r>
          <w:rPr>
            <w:noProof/>
            <w:webHidden/>
          </w:rPr>
          <w:fldChar w:fldCharType="separate"/>
        </w:r>
        <w:r>
          <w:rPr>
            <w:noProof/>
            <w:webHidden/>
          </w:rPr>
          <w:t>12</w:t>
        </w:r>
        <w:r>
          <w:rPr>
            <w:noProof/>
            <w:webHidden/>
          </w:rPr>
          <w:fldChar w:fldCharType="end"/>
        </w:r>
      </w:hyperlink>
    </w:p>
    <w:p w14:paraId="6A523EB3" w14:textId="71240F2E" w:rsidR="00BD4D34" w:rsidRDefault="00BD4D34">
      <w:pPr>
        <w:pStyle w:val="TOC2"/>
        <w:tabs>
          <w:tab w:val="right" w:leader="dot" w:pos="9350"/>
        </w:tabs>
        <w:rPr>
          <w:rFonts w:asciiTheme="minorHAnsi" w:eastAsiaTheme="minorEastAsia" w:hAnsiTheme="minorHAnsi"/>
          <w:noProof/>
          <w:lang w:bidi="si-LK"/>
        </w:rPr>
      </w:pPr>
      <w:hyperlink w:anchor="_Toc227939047" w:history="1">
        <w:r w:rsidRPr="001E08AA">
          <w:rPr>
            <w:rStyle w:val="Hyperlink"/>
            <w:noProof/>
          </w:rPr>
          <w:t>1.6 Gearing (Leverage) Ratios</w:t>
        </w:r>
        <w:r>
          <w:rPr>
            <w:noProof/>
            <w:webHidden/>
          </w:rPr>
          <w:tab/>
        </w:r>
        <w:r>
          <w:rPr>
            <w:noProof/>
            <w:webHidden/>
          </w:rPr>
          <w:fldChar w:fldCharType="begin"/>
        </w:r>
        <w:r>
          <w:rPr>
            <w:noProof/>
            <w:webHidden/>
          </w:rPr>
          <w:instrText xml:space="preserve"> PAGEREF _Toc227939047 \h </w:instrText>
        </w:r>
        <w:r>
          <w:rPr>
            <w:noProof/>
            <w:webHidden/>
          </w:rPr>
        </w:r>
        <w:r>
          <w:rPr>
            <w:noProof/>
            <w:webHidden/>
          </w:rPr>
          <w:fldChar w:fldCharType="separate"/>
        </w:r>
        <w:r>
          <w:rPr>
            <w:noProof/>
            <w:webHidden/>
          </w:rPr>
          <w:t>14</w:t>
        </w:r>
        <w:r>
          <w:rPr>
            <w:noProof/>
            <w:webHidden/>
          </w:rPr>
          <w:fldChar w:fldCharType="end"/>
        </w:r>
      </w:hyperlink>
    </w:p>
    <w:p w14:paraId="703C533C" w14:textId="0A0664CC" w:rsidR="00BD4D34" w:rsidRDefault="00BD4D34">
      <w:pPr>
        <w:pStyle w:val="TOC2"/>
        <w:tabs>
          <w:tab w:val="right" w:leader="dot" w:pos="9350"/>
        </w:tabs>
        <w:rPr>
          <w:rFonts w:asciiTheme="minorHAnsi" w:eastAsiaTheme="minorEastAsia" w:hAnsiTheme="minorHAnsi"/>
          <w:noProof/>
          <w:lang w:bidi="si-LK"/>
        </w:rPr>
      </w:pPr>
      <w:hyperlink w:anchor="_Toc227939048" w:history="1">
        <w:r w:rsidRPr="001E08AA">
          <w:rPr>
            <w:rStyle w:val="Hyperlink"/>
            <w:noProof/>
          </w:rPr>
          <w:t>1.7 Investment Ratios</w:t>
        </w:r>
        <w:r>
          <w:rPr>
            <w:noProof/>
            <w:webHidden/>
          </w:rPr>
          <w:tab/>
        </w:r>
        <w:r>
          <w:rPr>
            <w:noProof/>
            <w:webHidden/>
          </w:rPr>
          <w:fldChar w:fldCharType="begin"/>
        </w:r>
        <w:r>
          <w:rPr>
            <w:noProof/>
            <w:webHidden/>
          </w:rPr>
          <w:instrText xml:space="preserve"> PAGEREF _Toc227939048 \h </w:instrText>
        </w:r>
        <w:r>
          <w:rPr>
            <w:noProof/>
            <w:webHidden/>
          </w:rPr>
        </w:r>
        <w:r>
          <w:rPr>
            <w:noProof/>
            <w:webHidden/>
          </w:rPr>
          <w:fldChar w:fldCharType="separate"/>
        </w:r>
        <w:r>
          <w:rPr>
            <w:noProof/>
            <w:webHidden/>
          </w:rPr>
          <w:t>15</w:t>
        </w:r>
        <w:r>
          <w:rPr>
            <w:noProof/>
            <w:webHidden/>
          </w:rPr>
          <w:fldChar w:fldCharType="end"/>
        </w:r>
      </w:hyperlink>
    </w:p>
    <w:p w14:paraId="55520873" w14:textId="18598805" w:rsidR="00BD4D34" w:rsidRDefault="00BD4D34">
      <w:pPr>
        <w:pStyle w:val="TOC2"/>
        <w:tabs>
          <w:tab w:val="right" w:leader="dot" w:pos="9350"/>
        </w:tabs>
        <w:rPr>
          <w:rFonts w:asciiTheme="minorHAnsi" w:eastAsiaTheme="minorEastAsia" w:hAnsiTheme="minorHAnsi"/>
          <w:noProof/>
          <w:lang w:bidi="si-LK"/>
        </w:rPr>
      </w:pPr>
      <w:hyperlink w:anchor="_Toc227939049" w:history="1">
        <w:r w:rsidRPr="001E08AA">
          <w:rPr>
            <w:rStyle w:val="Hyperlink"/>
            <w:noProof/>
          </w:rPr>
          <w:t>1.8 Cash Flow Analysis</w:t>
        </w:r>
        <w:r>
          <w:rPr>
            <w:noProof/>
            <w:webHidden/>
          </w:rPr>
          <w:tab/>
        </w:r>
        <w:r>
          <w:rPr>
            <w:noProof/>
            <w:webHidden/>
          </w:rPr>
          <w:fldChar w:fldCharType="begin"/>
        </w:r>
        <w:r>
          <w:rPr>
            <w:noProof/>
            <w:webHidden/>
          </w:rPr>
          <w:instrText xml:space="preserve"> PAGEREF _Toc227939049 \h </w:instrText>
        </w:r>
        <w:r>
          <w:rPr>
            <w:noProof/>
            <w:webHidden/>
          </w:rPr>
        </w:r>
        <w:r>
          <w:rPr>
            <w:noProof/>
            <w:webHidden/>
          </w:rPr>
          <w:fldChar w:fldCharType="separate"/>
        </w:r>
        <w:r>
          <w:rPr>
            <w:noProof/>
            <w:webHidden/>
          </w:rPr>
          <w:t>17</w:t>
        </w:r>
        <w:r>
          <w:rPr>
            <w:noProof/>
            <w:webHidden/>
          </w:rPr>
          <w:fldChar w:fldCharType="end"/>
        </w:r>
      </w:hyperlink>
    </w:p>
    <w:p w14:paraId="471B1418" w14:textId="21ABD0C9" w:rsidR="00BD4D34" w:rsidRDefault="00BD4D34">
      <w:pPr>
        <w:pStyle w:val="TOC2"/>
        <w:tabs>
          <w:tab w:val="right" w:leader="dot" w:pos="9350"/>
        </w:tabs>
        <w:rPr>
          <w:rFonts w:asciiTheme="minorHAnsi" w:eastAsiaTheme="minorEastAsia" w:hAnsiTheme="minorHAnsi"/>
          <w:noProof/>
          <w:lang w:bidi="si-LK"/>
        </w:rPr>
      </w:pPr>
      <w:hyperlink w:anchor="_Toc227939050" w:history="1">
        <w:r w:rsidRPr="001E08AA">
          <w:rPr>
            <w:rStyle w:val="Hyperlink"/>
            <w:noProof/>
          </w:rPr>
          <w:t>1.9 Trends, Strengths and Threats</w:t>
        </w:r>
        <w:r>
          <w:rPr>
            <w:noProof/>
            <w:webHidden/>
          </w:rPr>
          <w:tab/>
        </w:r>
        <w:r>
          <w:rPr>
            <w:noProof/>
            <w:webHidden/>
          </w:rPr>
          <w:fldChar w:fldCharType="begin"/>
        </w:r>
        <w:r>
          <w:rPr>
            <w:noProof/>
            <w:webHidden/>
          </w:rPr>
          <w:instrText xml:space="preserve"> PAGEREF _Toc227939050 \h </w:instrText>
        </w:r>
        <w:r>
          <w:rPr>
            <w:noProof/>
            <w:webHidden/>
          </w:rPr>
        </w:r>
        <w:r>
          <w:rPr>
            <w:noProof/>
            <w:webHidden/>
          </w:rPr>
          <w:fldChar w:fldCharType="separate"/>
        </w:r>
        <w:r>
          <w:rPr>
            <w:noProof/>
            <w:webHidden/>
          </w:rPr>
          <w:t>19</w:t>
        </w:r>
        <w:r>
          <w:rPr>
            <w:noProof/>
            <w:webHidden/>
          </w:rPr>
          <w:fldChar w:fldCharType="end"/>
        </w:r>
      </w:hyperlink>
    </w:p>
    <w:p w14:paraId="74DEC145" w14:textId="502D72D4" w:rsidR="00BD4D34" w:rsidRDefault="00BD4D34">
      <w:pPr>
        <w:pStyle w:val="TOC1"/>
        <w:tabs>
          <w:tab w:val="right" w:leader="dot" w:pos="9350"/>
        </w:tabs>
        <w:rPr>
          <w:rFonts w:asciiTheme="minorHAnsi" w:eastAsiaTheme="minorEastAsia" w:hAnsiTheme="minorHAnsi"/>
          <w:noProof/>
          <w:lang w:bidi="si-LK"/>
        </w:rPr>
      </w:pPr>
      <w:hyperlink w:anchor="_Toc227939051" w:history="1">
        <w:r w:rsidRPr="001E08AA">
          <w:rPr>
            <w:rStyle w:val="Hyperlink"/>
            <w:noProof/>
          </w:rPr>
          <w:t>2. Working Capital Management Analysis</w:t>
        </w:r>
        <w:r>
          <w:rPr>
            <w:noProof/>
            <w:webHidden/>
          </w:rPr>
          <w:tab/>
        </w:r>
        <w:r>
          <w:rPr>
            <w:noProof/>
            <w:webHidden/>
          </w:rPr>
          <w:fldChar w:fldCharType="begin"/>
        </w:r>
        <w:r>
          <w:rPr>
            <w:noProof/>
            <w:webHidden/>
          </w:rPr>
          <w:instrText xml:space="preserve"> PAGEREF _Toc227939051 \h </w:instrText>
        </w:r>
        <w:r>
          <w:rPr>
            <w:noProof/>
            <w:webHidden/>
          </w:rPr>
        </w:r>
        <w:r>
          <w:rPr>
            <w:noProof/>
            <w:webHidden/>
          </w:rPr>
          <w:fldChar w:fldCharType="separate"/>
        </w:r>
        <w:r>
          <w:rPr>
            <w:noProof/>
            <w:webHidden/>
          </w:rPr>
          <w:t>20</w:t>
        </w:r>
        <w:r>
          <w:rPr>
            <w:noProof/>
            <w:webHidden/>
          </w:rPr>
          <w:fldChar w:fldCharType="end"/>
        </w:r>
      </w:hyperlink>
    </w:p>
    <w:p w14:paraId="20A96B21" w14:textId="2C1C43CA" w:rsidR="00BD4D34" w:rsidRDefault="00BD4D34">
      <w:pPr>
        <w:pStyle w:val="TOC2"/>
        <w:tabs>
          <w:tab w:val="right" w:leader="dot" w:pos="9350"/>
        </w:tabs>
        <w:rPr>
          <w:rFonts w:asciiTheme="minorHAnsi" w:eastAsiaTheme="minorEastAsia" w:hAnsiTheme="minorHAnsi"/>
          <w:noProof/>
          <w:lang w:bidi="si-LK"/>
        </w:rPr>
      </w:pPr>
      <w:hyperlink w:anchor="_Toc227939052" w:history="1">
        <w:r w:rsidRPr="001E08AA">
          <w:rPr>
            <w:rStyle w:val="Hyperlink"/>
            <w:noProof/>
          </w:rPr>
          <w:t>2.1 Cash Operating Cycle (CCC)</w:t>
        </w:r>
        <w:r>
          <w:rPr>
            <w:noProof/>
            <w:webHidden/>
          </w:rPr>
          <w:tab/>
        </w:r>
        <w:r>
          <w:rPr>
            <w:noProof/>
            <w:webHidden/>
          </w:rPr>
          <w:fldChar w:fldCharType="begin"/>
        </w:r>
        <w:r>
          <w:rPr>
            <w:noProof/>
            <w:webHidden/>
          </w:rPr>
          <w:instrText xml:space="preserve"> PAGEREF _Toc227939052 \h </w:instrText>
        </w:r>
        <w:r>
          <w:rPr>
            <w:noProof/>
            <w:webHidden/>
          </w:rPr>
        </w:r>
        <w:r>
          <w:rPr>
            <w:noProof/>
            <w:webHidden/>
          </w:rPr>
          <w:fldChar w:fldCharType="separate"/>
        </w:r>
        <w:r>
          <w:rPr>
            <w:noProof/>
            <w:webHidden/>
          </w:rPr>
          <w:t>20</w:t>
        </w:r>
        <w:r>
          <w:rPr>
            <w:noProof/>
            <w:webHidden/>
          </w:rPr>
          <w:fldChar w:fldCharType="end"/>
        </w:r>
      </w:hyperlink>
    </w:p>
    <w:p w14:paraId="1E7F9C98" w14:textId="588EED97" w:rsidR="00BD4D34" w:rsidRDefault="00BD4D34">
      <w:pPr>
        <w:pStyle w:val="TOC2"/>
        <w:tabs>
          <w:tab w:val="right" w:leader="dot" w:pos="9350"/>
        </w:tabs>
        <w:rPr>
          <w:rFonts w:asciiTheme="minorHAnsi" w:eastAsiaTheme="minorEastAsia" w:hAnsiTheme="minorHAnsi"/>
          <w:noProof/>
          <w:lang w:bidi="si-LK"/>
        </w:rPr>
      </w:pPr>
      <w:hyperlink w:anchor="_Toc227939053" w:history="1">
        <w:r w:rsidRPr="001E08AA">
          <w:rPr>
            <w:rStyle w:val="Hyperlink"/>
            <w:noProof/>
          </w:rPr>
          <w:t>2.2 Strategies to Improve Liquidity through Working Capital Reforms</w:t>
        </w:r>
        <w:r>
          <w:rPr>
            <w:noProof/>
            <w:webHidden/>
          </w:rPr>
          <w:tab/>
        </w:r>
        <w:r>
          <w:rPr>
            <w:noProof/>
            <w:webHidden/>
          </w:rPr>
          <w:fldChar w:fldCharType="begin"/>
        </w:r>
        <w:r>
          <w:rPr>
            <w:noProof/>
            <w:webHidden/>
          </w:rPr>
          <w:instrText xml:space="preserve"> PAGEREF _Toc227939053 \h </w:instrText>
        </w:r>
        <w:r>
          <w:rPr>
            <w:noProof/>
            <w:webHidden/>
          </w:rPr>
        </w:r>
        <w:r>
          <w:rPr>
            <w:noProof/>
            <w:webHidden/>
          </w:rPr>
          <w:fldChar w:fldCharType="separate"/>
        </w:r>
        <w:r>
          <w:rPr>
            <w:noProof/>
            <w:webHidden/>
          </w:rPr>
          <w:t>21</w:t>
        </w:r>
        <w:r>
          <w:rPr>
            <w:noProof/>
            <w:webHidden/>
          </w:rPr>
          <w:fldChar w:fldCharType="end"/>
        </w:r>
      </w:hyperlink>
    </w:p>
    <w:p w14:paraId="20A73143" w14:textId="1E60026C" w:rsidR="00BD4D34" w:rsidRDefault="00BD4D34">
      <w:pPr>
        <w:pStyle w:val="TOC2"/>
        <w:tabs>
          <w:tab w:val="right" w:leader="dot" w:pos="9350"/>
        </w:tabs>
        <w:rPr>
          <w:rFonts w:asciiTheme="minorHAnsi" w:eastAsiaTheme="minorEastAsia" w:hAnsiTheme="minorHAnsi"/>
          <w:noProof/>
          <w:lang w:bidi="si-LK"/>
        </w:rPr>
      </w:pPr>
      <w:hyperlink w:anchor="_Toc227939054" w:history="1">
        <w:r w:rsidRPr="001E08AA">
          <w:rPr>
            <w:rStyle w:val="Hyperlink"/>
            <w:noProof/>
          </w:rPr>
          <w:t>2.3 Comparison of Short-term vs Long-term Financing Options</w:t>
        </w:r>
        <w:r>
          <w:rPr>
            <w:noProof/>
            <w:webHidden/>
          </w:rPr>
          <w:tab/>
        </w:r>
        <w:r>
          <w:rPr>
            <w:noProof/>
            <w:webHidden/>
          </w:rPr>
          <w:fldChar w:fldCharType="begin"/>
        </w:r>
        <w:r>
          <w:rPr>
            <w:noProof/>
            <w:webHidden/>
          </w:rPr>
          <w:instrText xml:space="preserve"> PAGEREF _Toc227939054 \h </w:instrText>
        </w:r>
        <w:r>
          <w:rPr>
            <w:noProof/>
            <w:webHidden/>
          </w:rPr>
        </w:r>
        <w:r>
          <w:rPr>
            <w:noProof/>
            <w:webHidden/>
          </w:rPr>
          <w:fldChar w:fldCharType="separate"/>
        </w:r>
        <w:r>
          <w:rPr>
            <w:noProof/>
            <w:webHidden/>
          </w:rPr>
          <w:t>24</w:t>
        </w:r>
        <w:r>
          <w:rPr>
            <w:noProof/>
            <w:webHidden/>
          </w:rPr>
          <w:fldChar w:fldCharType="end"/>
        </w:r>
      </w:hyperlink>
    </w:p>
    <w:p w14:paraId="49199A1A" w14:textId="76F6C4D2" w:rsidR="00BD4D34" w:rsidRDefault="00BD4D34">
      <w:pPr>
        <w:pStyle w:val="TOC1"/>
        <w:tabs>
          <w:tab w:val="right" w:leader="dot" w:pos="9350"/>
        </w:tabs>
        <w:rPr>
          <w:rFonts w:asciiTheme="minorHAnsi" w:eastAsiaTheme="minorEastAsia" w:hAnsiTheme="minorHAnsi"/>
          <w:noProof/>
          <w:lang w:bidi="si-LK"/>
        </w:rPr>
      </w:pPr>
      <w:hyperlink w:anchor="_Toc227939055" w:history="1">
        <w:r w:rsidRPr="001E08AA">
          <w:rPr>
            <w:rStyle w:val="Hyperlink"/>
            <w:noProof/>
          </w:rPr>
          <w:t>3. Strategic Financial Restructuring Plan</w:t>
        </w:r>
        <w:r>
          <w:rPr>
            <w:noProof/>
            <w:webHidden/>
          </w:rPr>
          <w:tab/>
        </w:r>
        <w:r>
          <w:rPr>
            <w:noProof/>
            <w:webHidden/>
          </w:rPr>
          <w:fldChar w:fldCharType="begin"/>
        </w:r>
        <w:r>
          <w:rPr>
            <w:noProof/>
            <w:webHidden/>
          </w:rPr>
          <w:instrText xml:space="preserve"> PAGEREF _Toc227939055 \h </w:instrText>
        </w:r>
        <w:r>
          <w:rPr>
            <w:noProof/>
            <w:webHidden/>
          </w:rPr>
        </w:r>
        <w:r>
          <w:rPr>
            <w:noProof/>
            <w:webHidden/>
          </w:rPr>
          <w:fldChar w:fldCharType="separate"/>
        </w:r>
        <w:r>
          <w:rPr>
            <w:noProof/>
            <w:webHidden/>
          </w:rPr>
          <w:t>26</w:t>
        </w:r>
        <w:r>
          <w:rPr>
            <w:noProof/>
            <w:webHidden/>
          </w:rPr>
          <w:fldChar w:fldCharType="end"/>
        </w:r>
      </w:hyperlink>
    </w:p>
    <w:p w14:paraId="7639AB36" w14:textId="65AAF99B" w:rsidR="00BD4D34" w:rsidRDefault="00BD4D34">
      <w:pPr>
        <w:pStyle w:val="TOC2"/>
        <w:tabs>
          <w:tab w:val="right" w:leader="dot" w:pos="9350"/>
        </w:tabs>
        <w:rPr>
          <w:rFonts w:asciiTheme="minorHAnsi" w:eastAsiaTheme="minorEastAsia" w:hAnsiTheme="minorHAnsi"/>
          <w:noProof/>
          <w:lang w:bidi="si-LK"/>
        </w:rPr>
      </w:pPr>
      <w:hyperlink w:anchor="_Toc227939056" w:history="1">
        <w:r w:rsidRPr="001E08AA">
          <w:rPr>
            <w:rStyle w:val="Hyperlink"/>
            <w:noProof/>
          </w:rPr>
          <w:t>3.1 Recommended Financial Restructuring Options</w:t>
        </w:r>
        <w:r>
          <w:rPr>
            <w:noProof/>
            <w:webHidden/>
          </w:rPr>
          <w:tab/>
        </w:r>
        <w:r>
          <w:rPr>
            <w:noProof/>
            <w:webHidden/>
          </w:rPr>
          <w:fldChar w:fldCharType="begin"/>
        </w:r>
        <w:r>
          <w:rPr>
            <w:noProof/>
            <w:webHidden/>
          </w:rPr>
          <w:instrText xml:space="preserve"> PAGEREF _Toc227939056 \h </w:instrText>
        </w:r>
        <w:r>
          <w:rPr>
            <w:noProof/>
            <w:webHidden/>
          </w:rPr>
        </w:r>
        <w:r>
          <w:rPr>
            <w:noProof/>
            <w:webHidden/>
          </w:rPr>
          <w:fldChar w:fldCharType="separate"/>
        </w:r>
        <w:r>
          <w:rPr>
            <w:noProof/>
            <w:webHidden/>
          </w:rPr>
          <w:t>26</w:t>
        </w:r>
        <w:r>
          <w:rPr>
            <w:noProof/>
            <w:webHidden/>
          </w:rPr>
          <w:fldChar w:fldCharType="end"/>
        </w:r>
      </w:hyperlink>
    </w:p>
    <w:p w14:paraId="1D6A39AB" w14:textId="2962E402" w:rsidR="00BD4D34" w:rsidRDefault="00BD4D34">
      <w:pPr>
        <w:pStyle w:val="TOC2"/>
        <w:tabs>
          <w:tab w:val="right" w:leader="dot" w:pos="9350"/>
        </w:tabs>
        <w:rPr>
          <w:rFonts w:asciiTheme="minorHAnsi" w:eastAsiaTheme="minorEastAsia" w:hAnsiTheme="minorHAnsi"/>
          <w:noProof/>
          <w:lang w:bidi="si-LK"/>
        </w:rPr>
      </w:pPr>
      <w:hyperlink w:anchor="_Toc227939057" w:history="1">
        <w:r w:rsidRPr="001E08AA">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_Toc227939057 \h </w:instrText>
        </w:r>
        <w:r>
          <w:rPr>
            <w:noProof/>
            <w:webHidden/>
          </w:rPr>
        </w:r>
        <w:r>
          <w:rPr>
            <w:noProof/>
            <w:webHidden/>
          </w:rPr>
          <w:fldChar w:fldCharType="separate"/>
        </w:r>
        <w:r>
          <w:rPr>
            <w:noProof/>
            <w:webHidden/>
          </w:rPr>
          <w:t>29</w:t>
        </w:r>
        <w:r>
          <w:rPr>
            <w:noProof/>
            <w:webHidden/>
          </w:rPr>
          <w:fldChar w:fldCharType="end"/>
        </w:r>
      </w:hyperlink>
    </w:p>
    <w:p w14:paraId="0F332320" w14:textId="7DC5F285" w:rsidR="00BD4D34" w:rsidRDefault="00BD4D34">
      <w:pPr>
        <w:pStyle w:val="TOC2"/>
        <w:tabs>
          <w:tab w:val="right" w:leader="dot" w:pos="9350"/>
        </w:tabs>
        <w:rPr>
          <w:rFonts w:asciiTheme="minorHAnsi" w:eastAsiaTheme="minorEastAsia" w:hAnsiTheme="minorHAnsi"/>
          <w:noProof/>
          <w:lang w:bidi="si-LK"/>
        </w:rPr>
      </w:pPr>
      <w:hyperlink w:anchor="_Toc227939058" w:history="1">
        <w:r w:rsidRPr="001E08AA">
          <w:rPr>
            <w:rStyle w:val="Hyperlink"/>
            <w:noProof/>
          </w:rPr>
          <w:t>3.3 International and Ethical Considerations</w:t>
        </w:r>
        <w:r>
          <w:rPr>
            <w:noProof/>
            <w:webHidden/>
          </w:rPr>
          <w:tab/>
        </w:r>
        <w:r>
          <w:rPr>
            <w:noProof/>
            <w:webHidden/>
          </w:rPr>
          <w:fldChar w:fldCharType="begin"/>
        </w:r>
        <w:r>
          <w:rPr>
            <w:noProof/>
            <w:webHidden/>
          </w:rPr>
          <w:instrText xml:space="preserve"> PAGEREF _Toc227939058 \h </w:instrText>
        </w:r>
        <w:r>
          <w:rPr>
            <w:noProof/>
            <w:webHidden/>
          </w:rPr>
        </w:r>
        <w:r>
          <w:rPr>
            <w:noProof/>
            <w:webHidden/>
          </w:rPr>
          <w:fldChar w:fldCharType="separate"/>
        </w:r>
        <w:r>
          <w:rPr>
            <w:noProof/>
            <w:webHidden/>
          </w:rPr>
          <w:t>32</w:t>
        </w:r>
        <w:r>
          <w:rPr>
            <w:noProof/>
            <w:webHidden/>
          </w:rPr>
          <w:fldChar w:fldCharType="end"/>
        </w:r>
      </w:hyperlink>
    </w:p>
    <w:p w14:paraId="37D73979" w14:textId="4A0A88E0" w:rsidR="00BD4D34" w:rsidRDefault="00BD4D34">
      <w:pPr>
        <w:pStyle w:val="TOC1"/>
        <w:tabs>
          <w:tab w:val="right" w:leader="dot" w:pos="9350"/>
        </w:tabs>
        <w:rPr>
          <w:rFonts w:asciiTheme="minorHAnsi" w:eastAsiaTheme="minorEastAsia" w:hAnsiTheme="minorHAnsi"/>
          <w:noProof/>
          <w:lang w:bidi="si-LK"/>
        </w:rPr>
      </w:pPr>
      <w:hyperlink w:anchor="_Toc227939059" w:history="1">
        <w:r w:rsidRPr="001E08AA">
          <w:rPr>
            <w:rStyle w:val="Hyperlink"/>
            <w:noProof/>
          </w:rPr>
          <w:t>4. Investment Appraisal and Capital Budgeting</w:t>
        </w:r>
        <w:r>
          <w:rPr>
            <w:noProof/>
            <w:webHidden/>
          </w:rPr>
          <w:tab/>
        </w:r>
        <w:r>
          <w:rPr>
            <w:noProof/>
            <w:webHidden/>
          </w:rPr>
          <w:fldChar w:fldCharType="begin"/>
        </w:r>
        <w:r>
          <w:rPr>
            <w:noProof/>
            <w:webHidden/>
          </w:rPr>
          <w:instrText xml:space="preserve"> PAGEREF _Toc227939059 \h </w:instrText>
        </w:r>
        <w:r>
          <w:rPr>
            <w:noProof/>
            <w:webHidden/>
          </w:rPr>
        </w:r>
        <w:r>
          <w:rPr>
            <w:noProof/>
            <w:webHidden/>
          </w:rPr>
          <w:fldChar w:fldCharType="separate"/>
        </w:r>
        <w:r>
          <w:rPr>
            <w:noProof/>
            <w:webHidden/>
          </w:rPr>
          <w:t>36</w:t>
        </w:r>
        <w:r>
          <w:rPr>
            <w:noProof/>
            <w:webHidden/>
          </w:rPr>
          <w:fldChar w:fldCharType="end"/>
        </w:r>
      </w:hyperlink>
    </w:p>
    <w:p w14:paraId="56C4AF4C" w14:textId="40470DBB" w:rsidR="00BD4D34" w:rsidRDefault="00BD4D34">
      <w:pPr>
        <w:pStyle w:val="TOC2"/>
        <w:tabs>
          <w:tab w:val="right" w:leader="dot" w:pos="9350"/>
        </w:tabs>
        <w:rPr>
          <w:rFonts w:asciiTheme="minorHAnsi" w:eastAsiaTheme="minorEastAsia" w:hAnsiTheme="minorHAnsi"/>
          <w:noProof/>
          <w:lang w:bidi="si-LK"/>
        </w:rPr>
      </w:pPr>
      <w:hyperlink w:anchor="_Toc227939060" w:history="1">
        <w:r w:rsidRPr="001E08AA">
          <w:rPr>
            <w:rStyle w:val="Hyperlink"/>
            <w:noProof/>
          </w:rPr>
          <w:t>4.1 Payback Period (PBP) Evaluation</w:t>
        </w:r>
        <w:r>
          <w:rPr>
            <w:noProof/>
            <w:webHidden/>
          </w:rPr>
          <w:tab/>
        </w:r>
        <w:r>
          <w:rPr>
            <w:noProof/>
            <w:webHidden/>
          </w:rPr>
          <w:fldChar w:fldCharType="begin"/>
        </w:r>
        <w:r>
          <w:rPr>
            <w:noProof/>
            <w:webHidden/>
          </w:rPr>
          <w:instrText xml:space="preserve"> PAGEREF _Toc227939060 \h </w:instrText>
        </w:r>
        <w:r>
          <w:rPr>
            <w:noProof/>
            <w:webHidden/>
          </w:rPr>
        </w:r>
        <w:r>
          <w:rPr>
            <w:noProof/>
            <w:webHidden/>
          </w:rPr>
          <w:fldChar w:fldCharType="separate"/>
        </w:r>
        <w:r>
          <w:rPr>
            <w:noProof/>
            <w:webHidden/>
          </w:rPr>
          <w:t>36</w:t>
        </w:r>
        <w:r>
          <w:rPr>
            <w:noProof/>
            <w:webHidden/>
          </w:rPr>
          <w:fldChar w:fldCharType="end"/>
        </w:r>
      </w:hyperlink>
    </w:p>
    <w:p w14:paraId="5285D65E" w14:textId="270FF1AB" w:rsidR="00BD4D34" w:rsidRDefault="00BD4D34">
      <w:pPr>
        <w:pStyle w:val="TOC2"/>
        <w:tabs>
          <w:tab w:val="right" w:leader="dot" w:pos="9350"/>
        </w:tabs>
        <w:rPr>
          <w:rFonts w:asciiTheme="minorHAnsi" w:eastAsiaTheme="minorEastAsia" w:hAnsiTheme="minorHAnsi"/>
          <w:noProof/>
          <w:lang w:bidi="si-LK"/>
        </w:rPr>
      </w:pPr>
      <w:hyperlink w:anchor="_Toc227939061" w:history="1">
        <w:r w:rsidRPr="001E08AA">
          <w:rPr>
            <w:rStyle w:val="Hyperlink"/>
            <w:noProof/>
          </w:rPr>
          <w:t>4.2 Accounting Rate of Return (ARR) Analysis</w:t>
        </w:r>
        <w:r>
          <w:rPr>
            <w:noProof/>
            <w:webHidden/>
          </w:rPr>
          <w:tab/>
        </w:r>
        <w:r>
          <w:rPr>
            <w:noProof/>
            <w:webHidden/>
          </w:rPr>
          <w:fldChar w:fldCharType="begin"/>
        </w:r>
        <w:r>
          <w:rPr>
            <w:noProof/>
            <w:webHidden/>
          </w:rPr>
          <w:instrText xml:space="preserve"> PAGEREF _Toc227939061 \h </w:instrText>
        </w:r>
        <w:r>
          <w:rPr>
            <w:noProof/>
            <w:webHidden/>
          </w:rPr>
        </w:r>
        <w:r>
          <w:rPr>
            <w:noProof/>
            <w:webHidden/>
          </w:rPr>
          <w:fldChar w:fldCharType="separate"/>
        </w:r>
        <w:r>
          <w:rPr>
            <w:noProof/>
            <w:webHidden/>
          </w:rPr>
          <w:t>37</w:t>
        </w:r>
        <w:r>
          <w:rPr>
            <w:noProof/>
            <w:webHidden/>
          </w:rPr>
          <w:fldChar w:fldCharType="end"/>
        </w:r>
      </w:hyperlink>
    </w:p>
    <w:p w14:paraId="737DB33B" w14:textId="698AF6F7" w:rsidR="00BD4D34" w:rsidRDefault="00BD4D34">
      <w:pPr>
        <w:pStyle w:val="TOC2"/>
        <w:tabs>
          <w:tab w:val="right" w:leader="dot" w:pos="9350"/>
        </w:tabs>
        <w:rPr>
          <w:rFonts w:asciiTheme="minorHAnsi" w:eastAsiaTheme="minorEastAsia" w:hAnsiTheme="minorHAnsi"/>
          <w:noProof/>
          <w:lang w:bidi="si-LK"/>
        </w:rPr>
      </w:pPr>
      <w:hyperlink w:anchor="_Toc227939062" w:history="1">
        <w:r w:rsidRPr="001E08AA">
          <w:rPr>
            <w:rStyle w:val="Hyperlink"/>
            <w:noProof/>
          </w:rPr>
          <w:t>4.3 Net Present Value (NPV) Assessment</w:t>
        </w:r>
        <w:r>
          <w:rPr>
            <w:noProof/>
            <w:webHidden/>
          </w:rPr>
          <w:tab/>
        </w:r>
        <w:r>
          <w:rPr>
            <w:noProof/>
            <w:webHidden/>
          </w:rPr>
          <w:fldChar w:fldCharType="begin"/>
        </w:r>
        <w:r>
          <w:rPr>
            <w:noProof/>
            <w:webHidden/>
          </w:rPr>
          <w:instrText xml:space="preserve"> PAGEREF _Toc227939062 \h </w:instrText>
        </w:r>
        <w:r>
          <w:rPr>
            <w:noProof/>
            <w:webHidden/>
          </w:rPr>
        </w:r>
        <w:r>
          <w:rPr>
            <w:noProof/>
            <w:webHidden/>
          </w:rPr>
          <w:fldChar w:fldCharType="separate"/>
        </w:r>
        <w:r>
          <w:rPr>
            <w:noProof/>
            <w:webHidden/>
          </w:rPr>
          <w:t>37</w:t>
        </w:r>
        <w:r>
          <w:rPr>
            <w:noProof/>
            <w:webHidden/>
          </w:rPr>
          <w:fldChar w:fldCharType="end"/>
        </w:r>
      </w:hyperlink>
    </w:p>
    <w:p w14:paraId="3851CB88" w14:textId="682693CA" w:rsidR="00BD4D34" w:rsidRDefault="00BD4D34">
      <w:pPr>
        <w:pStyle w:val="TOC2"/>
        <w:tabs>
          <w:tab w:val="right" w:leader="dot" w:pos="9350"/>
        </w:tabs>
        <w:rPr>
          <w:rFonts w:asciiTheme="minorHAnsi" w:eastAsiaTheme="minorEastAsia" w:hAnsiTheme="minorHAnsi"/>
          <w:noProof/>
          <w:lang w:bidi="si-LK"/>
        </w:rPr>
      </w:pPr>
      <w:hyperlink w:anchor="_Toc227939063" w:history="1">
        <w:r w:rsidRPr="001E08AA">
          <w:rPr>
            <w:rStyle w:val="Hyperlink"/>
            <w:noProof/>
          </w:rPr>
          <w:t>4.4 Profitability Index (PI) Evaluation</w:t>
        </w:r>
        <w:r>
          <w:rPr>
            <w:noProof/>
            <w:webHidden/>
          </w:rPr>
          <w:tab/>
        </w:r>
        <w:r>
          <w:rPr>
            <w:noProof/>
            <w:webHidden/>
          </w:rPr>
          <w:fldChar w:fldCharType="begin"/>
        </w:r>
        <w:r>
          <w:rPr>
            <w:noProof/>
            <w:webHidden/>
          </w:rPr>
          <w:instrText xml:space="preserve"> PAGEREF _Toc227939063 \h </w:instrText>
        </w:r>
        <w:r>
          <w:rPr>
            <w:noProof/>
            <w:webHidden/>
          </w:rPr>
        </w:r>
        <w:r>
          <w:rPr>
            <w:noProof/>
            <w:webHidden/>
          </w:rPr>
          <w:fldChar w:fldCharType="separate"/>
        </w:r>
        <w:r>
          <w:rPr>
            <w:noProof/>
            <w:webHidden/>
          </w:rPr>
          <w:t>38</w:t>
        </w:r>
        <w:r>
          <w:rPr>
            <w:noProof/>
            <w:webHidden/>
          </w:rPr>
          <w:fldChar w:fldCharType="end"/>
        </w:r>
      </w:hyperlink>
    </w:p>
    <w:p w14:paraId="34F9E5DE" w14:textId="51042988" w:rsidR="00BD4D34" w:rsidRDefault="00BD4D34">
      <w:pPr>
        <w:pStyle w:val="TOC2"/>
        <w:tabs>
          <w:tab w:val="right" w:leader="dot" w:pos="9350"/>
        </w:tabs>
        <w:rPr>
          <w:rFonts w:asciiTheme="minorHAnsi" w:eastAsiaTheme="minorEastAsia" w:hAnsiTheme="minorHAnsi"/>
          <w:noProof/>
          <w:lang w:bidi="si-LK"/>
        </w:rPr>
      </w:pPr>
      <w:hyperlink w:anchor="_Toc227939064" w:history="1">
        <w:r w:rsidRPr="001E08AA">
          <w:rPr>
            <w:rStyle w:val="Hyperlink"/>
            <w:noProof/>
          </w:rPr>
          <w:t>4.5 Internal Rate of Return (IRR) Comparison</w:t>
        </w:r>
        <w:r>
          <w:rPr>
            <w:noProof/>
            <w:webHidden/>
          </w:rPr>
          <w:tab/>
        </w:r>
        <w:r>
          <w:rPr>
            <w:noProof/>
            <w:webHidden/>
          </w:rPr>
          <w:fldChar w:fldCharType="begin"/>
        </w:r>
        <w:r>
          <w:rPr>
            <w:noProof/>
            <w:webHidden/>
          </w:rPr>
          <w:instrText xml:space="preserve"> PAGEREF _Toc227939064 \h </w:instrText>
        </w:r>
        <w:r>
          <w:rPr>
            <w:noProof/>
            <w:webHidden/>
          </w:rPr>
        </w:r>
        <w:r>
          <w:rPr>
            <w:noProof/>
            <w:webHidden/>
          </w:rPr>
          <w:fldChar w:fldCharType="separate"/>
        </w:r>
        <w:r>
          <w:rPr>
            <w:noProof/>
            <w:webHidden/>
          </w:rPr>
          <w:t>38</w:t>
        </w:r>
        <w:r>
          <w:rPr>
            <w:noProof/>
            <w:webHidden/>
          </w:rPr>
          <w:fldChar w:fldCharType="end"/>
        </w:r>
      </w:hyperlink>
    </w:p>
    <w:p w14:paraId="71F437BC" w14:textId="28BEF638" w:rsidR="00BD4D34" w:rsidRDefault="00BD4D34">
      <w:pPr>
        <w:pStyle w:val="TOC2"/>
        <w:tabs>
          <w:tab w:val="right" w:leader="dot" w:pos="9350"/>
        </w:tabs>
        <w:rPr>
          <w:rFonts w:asciiTheme="minorHAnsi" w:eastAsiaTheme="minorEastAsia" w:hAnsiTheme="minorHAnsi"/>
          <w:noProof/>
          <w:lang w:bidi="si-LK"/>
        </w:rPr>
      </w:pPr>
      <w:hyperlink w:anchor="_Toc227939065" w:history="1">
        <w:r w:rsidRPr="001E08AA">
          <w:rPr>
            <w:rStyle w:val="Hyperlink"/>
            <w:noProof/>
          </w:rPr>
          <w:t>4.6 Overall Evaluation of Individual Projects</w:t>
        </w:r>
        <w:r>
          <w:rPr>
            <w:noProof/>
            <w:webHidden/>
          </w:rPr>
          <w:tab/>
        </w:r>
        <w:r>
          <w:rPr>
            <w:noProof/>
            <w:webHidden/>
          </w:rPr>
          <w:fldChar w:fldCharType="begin"/>
        </w:r>
        <w:r>
          <w:rPr>
            <w:noProof/>
            <w:webHidden/>
          </w:rPr>
          <w:instrText xml:space="preserve"> PAGEREF _Toc227939065 \h </w:instrText>
        </w:r>
        <w:r>
          <w:rPr>
            <w:noProof/>
            <w:webHidden/>
          </w:rPr>
        </w:r>
        <w:r>
          <w:rPr>
            <w:noProof/>
            <w:webHidden/>
          </w:rPr>
          <w:fldChar w:fldCharType="separate"/>
        </w:r>
        <w:r>
          <w:rPr>
            <w:noProof/>
            <w:webHidden/>
          </w:rPr>
          <w:t>39</w:t>
        </w:r>
        <w:r>
          <w:rPr>
            <w:noProof/>
            <w:webHidden/>
          </w:rPr>
          <w:fldChar w:fldCharType="end"/>
        </w:r>
      </w:hyperlink>
    </w:p>
    <w:p w14:paraId="410B0914" w14:textId="189E7603" w:rsidR="00BD4D34" w:rsidRDefault="00BD4D34">
      <w:pPr>
        <w:pStyle w:val="TOC2"/>
        <w:tabs>
          <w:tab w:val="right" w:leader="dot" w:pos="9350"/>
        </w:tabs>
        <w:rPr>
          <w:rFonts w:asciiTheme="minorHAnsi" w:eastAsiaTheme="minorEastAsia" w:hAnsiTheme="minorHAnsi"/>
          <w:noProof/>
          <w:lang w:bidi="si-LK"/>
        </w:rPr>
      </w:pPr>
      <w:hyperlink w:anchor="_Toc227939066" w:history="1">
        <w:r w:rsidRPr="001E08AA">
          <w:rPr>
            <w:rStyle w:val="Hyperlink"/>
            <w:noProof/>
          </w:rPr>
          <w:t>4.7 Recommendation Based on Financial and Non-Financial Factors</w:t>
        </w:r>
        <w:r>
          <w:rPr>
            <w:noProof/>
            <w:webHidden/>
          </w:rPr>
          <w:tab/>
        </w:r>
        <w:r>
          <w:rPr>
            <w:noProof/>
            <w:webHidden/>
          </w:rPr>
          <w:fldChar w:fldCharType="begin"/>
        </w:r>
        <w:r>
          <w:rPr>
            <w:noProof/>
            <w:webHidden/>
          </w:rPr>
          <w:instrText xml:space="preserve"> PAGEREF _Toc227939066 \h </w:instrText>
        </w:r>
        <w:r>
          <w:rPr>
            <w:noProof/>
            <w:webHidden/>
          </w:rPr>
        </w:r>
        <w:r>
          <w:rPr>
            <w:noProof/>
            <w:webHidden/>
          </w:rPr>
          <w:fldChar w:fldCharType="separate"/>
        </w:r>
        <w:r>
          <w:rPr>
            <w:noProof/>
            <w:webHidden/>
          </w:rPr>
          <w:t>39</w:t>
        </w:r>
        <w:r>
          <w:rPr>
            <w:noProof/>
            <w:webHidden/>
          </w:rPr>
          <w:fldChar w:fldCharType="end"/>
        </w:r>
      </w:hyperlink>
    </w:p>
    <w:p w14:paraId="5F681FC0" w14:textId="4174598D" w:rsidR="00BD4D34" w:rsidRDefault="00BD4D34">
      <w:pPr>
        <w:pStyle w:val="TOC2"/>
        <w:tabs>
          <w:tab w:val="right" w:leader="dot" w:pos="9350"/>
        </w:tabs>
        <w:rPr>
          <w:rFonts w:asciiTheme="minorHAnsi" w:eastAsiaTheme="minorEastAsia" w:hAnsiTheme="minorHAnsi"/>
          <w:noProof/>
          <w:lang w:bidi="si-LK"/>
        </w:rPr>
      </w:pPr>
      <w:hyperlink w:anchor="_Toc227939067" w:history="1">
        <w:r w:rsidRPr="001E08AA">
          <w:rPr>
            <w:rStyle w:val="Hyperlink"/>
            <w:noProof/>
          </w:rPr>
          <w:t>4.8 Capital Rationing and Project Combination Analysis</w:t>
        </w:r>
        <w:r>
          <w:rPr>
            <w:noProof/>
            <w:webHidden/>
          </w:rPr>
          <w:tab/>
        </w:r>
        <w:r>
          <w:rPr>
            <w:noProof/>
            <w:webHidden/>
          </w:rPr>
          <w:fldChar w:fldCharType="begin"/>
        </w:r>
        <w:r>
          <w:rPr>
            <w:noProof/>
            <w:webHidden/>
          </w:rPr>
          <w:instrText xml:space="preserve"> PAGEREF _Toc227939067 \h </w:instrText>
        </w:r>
        <w:r>
          <w:rPr>
            <w:noProof/>
            <w:webHidden/>
          </w:rPr>
        </w:r>
        <w:r>
          <w:rPr>
            <w:noProof/>
            <w:webHidden/>
          </w:rPr>
          <w:fldChar w:fldCharType="separate"/>
        </w:r>
        <w:r>
          <w:rPr>
            <w:noProof/>
            <w:webHidden/>
          </w:rPr>
          <w:t>40</w:t>
        </w:r>
        <w:r>
          <w:rPr>
            <w:noProof/>
            <w:webHidden/>
          </w:rPr>
          <w:fldChar w:fldCharType="end"/>
        </w:r>
      </w:hyperlink>
    </w:p>
    <w:p w14:paraId="389700A3" w14:textId="31599743" w:rsidR="00BD4D34" w:rsidRDefault="00BD4D34">
      <w:pPr>
        <w:pStyle w:val="TOC2"/>
        <w:tabs>
          <w:tab w:val="right" w:leader="dot" w:pos="9350"/>
        </w:tabs>
        <w:rPr>
          <w:rFonts w:asciiTheme="minorHAnsi" w:eastAsiaTheme="minorEastAsia" w:hAnsiTheme="minorHAnsi"/>
          <w:noProof/>
          <w:lang w:bidi="si-LK"/>
        </w:rPr>
      </w:pPr>
      <w:hyperlink w:anchor="_Toc227939068" w:history="1">
        <w:r w:rsidRPr="001E08AA">
          <w:rPr>
            <w:rStyle w:val="Hyperlink"/>
            <w:noProof/>
          </w:rPr>
          <w:t>4.9 Final Recommendation under Capital Constraints</w:t>
        </w:r>
        <w:r>
          <w:rPr>
            <w:noProof/>
            <w:webHidden/>
          </w:rPr>
          <w:tab/>
        </w:r>
        <w:r>
          <w:rPr>
            <w:noProof/>
            <w:webHidden/>
          </w:rPr>
          <w:fldChar w:fldCharType="begin"/>
        </w:r>
        <w:r>
          <w:rPr>
            <w:noProof/>
            <w:webHidden/>
          </w:rPr>
          <w:instrText xml:space="preserve"> PAGEREF _Toc227939068 \h </w:instrText>
        </w:r>
        <w:r>
          <w:rPr>
            <w:noProof/>
            <w:webHidden/>
          </w:rPr>
        </w:r>
        <w:r>
          <w:rPr>
            <w:noProof/>
            <w:webHidden/>
          </w:rPr>
          <w:fldChar w:fldCharType="separate"/>
        </w:r>
        <w:r>
          <w:rPr>
            <w:noProof/>
            <w:webHidden/>
          </w:rPr>
          <w:t>40</w:t>
        </w:r>
        <w:r>
          <w:rPr>
            <w:noProof/>
            <w:webHidden/>
          </w:rPr>
          <w:fldChar w:fldCharType="end"/>
        </w:r>
      </w:hyperlink>
    </w:p>
    <w:p w14:paraId="140038AC" w14:textId="6599132C" w:rsidR="00BD4D34" w:rsidRDefault="00BD4D34">
      <w:pPr>
        <w:pStyle w:val="TOC1"/>
        <w:tabs>
          <w:tab w:val="right" w:leader="dot" w:pos="9350"/>
        </w:tabs>
        <w:rPr>
          <w:rFonts w:asciiTheme="minorHAnsi" w:eastAsiaTheme="minorEastAsia" w:hAnsiTheme="minorHAnsi"/>
          <w:noProof/>
          <w:lang w:bidi="si-LK"/>
        </w:rPr>
      </w:pPr>
      <w:hyperlink w:anchor="_Toc227939069" w:history="1">
        <w:r w:rsidRPr="001E08AA">
          <w:rPr>
            <w:rStyle w:val="Hyperlink"/>
            <w:noProof/>
          </w:rPr>
          <w:t>5. Conclusion</w:t>
        </w:r>
        <w:r>
          <w:rPr>
            <w:noProof/>
            <w:webHidden/>
          </w:rPr>
          <w:tab/>
        </w:r>
        <w:r>
          <w:rPr>
            <w:noProof/>
            <w:webHidden/>
          </w:rPr>
          <w:fldChar w:fldCharType="begin"/>
        </w:r>
        <w:r>
          <w:rPr>
            <w:noProof/>
            <w:webHidden/>
          </w:rPr>
          <w:instrText xml:space="preserve"> PAGEREF _Toc227939069 \h </w:instrText>
        </w:r>
        <w:r>
          <w:rPr>
            <w:noProof/>
            <w:webHidden/>
          </w:rPr>
        </w:r>
        <w:r>
          <w:rPr>
            <w:noProof/>
            <w:webHidden/>
          </w:rPr>
          <w:fldChar w:fldCharType="separate"/>
        </w:r>
        <w:r>
          <w:rPr>
            <w:noProof/>
            <w:webHidden/>
          </w:rPr>
          <w:t>41</w:t>
        </w:r>
        <w:r>
          <w:rPr>
            <w:noProof/>
            <w:webHidden/>
          </w:rPr>
          <w:fldChar w:fldCharType="end"/>
        </w:r>
      </w:hyperlink>
    </w:p>
    <w:p w14:paraId="678ACE96" w14:textId="4E01F13B" w:rsidR="00BD4D34" w:rsidRDefault="00BD4D34">
      <w:pPr>
        <w:pStyle w:val="TOC1"/>
        <w:tabs>
          <w:tab w:val="right" w:leader="dot" w:pos="9350"/>
        </w:tabs>
        <w:rPr>
          <w:rFonts w:asciiTheme="minorHAnsi" w:eastAsiaTheme="minorEastAsia" w:hAnsiTheme="minorHAnsi"/>
          <w:noProof/>
          <w:lang w:bidi="si-LK"/>
        </w:rPr>
      </w:pPr>
      <w:hyperlink w:anchor="_Toc227939070" w:history="1">
        <w:r w:rsidRPr="001E08AA">
          <w:rPr>
            <w:rStyle w:val="Hyperlink"/>
            <w:noProof/>
          </w:rPr>
          <w:t>References</w:t>
        </w:r>
        <w:r>
          <w:rPr>
            <w:noProof/>
            <w:webHidden/>
          </w:rPr>
          <w:tab/>
        </w:r>
        <w:r>
          <w:rPr>
            <w:noProof/>
            <w:webHidden/>
          </w:rPr>
          <w:fldChar w:fldCharType="begin"/>
        </w:r>
        <w:r>
          <w:rPr>
            <w:noProof/>
            <w:webHidden/>
          </w:rPr>
          <w:instrText xml:space="preserve"> PAGEREF _Toc227939070 \h </w:instrText>
        </w:r>
        <w:r>
          <w:rPr>
            <w:noProof/>
            <w:webHidden/>
          </w:rPr>
        </w:r>
        <w:r>
          <w:rPr>
            <w:noProof/>
            <w:webHidden/>
          </w:rPr>
          <w:fldChar w:fldCharType="separate"/>
        </w:r>
        <w:r>
          <w:rPr>
            <w:noProof/>
            <w:webHidden/>
          </w:rPr>
          <w:t>42</w:t>
        </w:r>
        <w:r>
          <w:rPr>
            <w:noProof/>
            <w:webHidden/>
          </w:rPr>
          <w:fldChar w:fldCharType="end"/>
        </w:r>
      </w:hyperlink>
    </w:p>
    <w:p w14:paraId="532441DC" w14:textId="28FF461A" w:rsidR="00BD4D34" w:rsidRDefault="00BD4D34">
      <w:pPr>
        <w:pStyle w:val="TOC1"/>
        <w:tabs>
          <w:tab w:val="right" w:leader="dot" w:pos="9350"/>
        </w:tabs>
        <w:rPr>
          <w:rFonts w:asciiTheme="minorHAnsi" w:eastAsiaTheme="minorEastAsia" w:hAnsiTheme="minorHAnsi"/>
          <w:noProof/>
          <w:lang w:bidi="si-LK"/>
        </w:rPr>
      </w:pPr>
      <w:hyperlink w:anchor="_Toc227939071" w:history="1">
        <w:r w:rsidRPr="001E08AA">
          <w:rPr>
            <w:rStyle w:val="Hyperlink"/>
            <w:noProof/>
          </w:rPr>
          <w:t>Appendices</w:t>
        </w:r>
        <w:r>
          <w:rPr>
            <w:noProof/>
            <w:webHidden/>
          </w:rPr>
          <w:tab/>
        </w:r>
        <w:r>
          <w:rPr>
            <w:noProof/>
            <w:webHidden/>
          </w:rPr>
          <w:fldChar w:fldCharType="begin"/>
        </w:r>
        <w:r>
          <w:rPr>
            <w:noProof/>
            <w:webHidden/>
          </w:rPr>
          <w:instrText xml:space="preserve"> PAGEREF _Toc227939071 \h </w:instrText>
        </w:r>
        <w:r>
          <w:rPr>
            <w:noProof/>
            <w:webHidden/>
          </w:rPr>
        </w:r>
        <w:r>
          <w:rPr>
            <w:noProof/>
            <w:webHidden/>
          </w:rPr>
          <w:fldChar w:fldCharType="separate"/>
        </w:r>
        <w:r>
          <w:rPr>
            <w:noProof/>
            <w:webHidden/>
          </w:rPr>
          <w:t>47</w:t>
        </w:r>
        <w:r>
          <w:rPr>
            <w:noProof/>
            <w:webHidden/>
          </w:rPr>
          <w:fldChar w:fldCharType="end"/>
        </w:r>
      </w:hyperlink>
    </w:p>
    <w:p w14:paraId="30FF67F2" w14:textId="4AEB7A7D" w:rsidR="00BD4D34" w:rsidRDefault="00BD4D34">
      <w:pPr>
        <w:pStyle w:val="TOC2"/>
        <w:tabs>
          <w:tab w:val="right" w:leader="dot" w:pos="9350"/>
        </w:tabs>
        <w:rPr>
          <w:rFonts w:asciiTheme="minorHAnsi" w:eastAsiaTheme="minorEastAsia" w:hAnsiTheme="minorHAnsi"/>
          <w:noProof/>
          <w:lang w:bidi="si-LK"/>
        </w:rPr>
      </w:pPr>
      <w:hyperlink w:anchor="_Toc227939072" w:history="1">
        <w:r w:rsidRPr="001E08AA">
          <w:rPr>
            <w:rStyle w:val="Hyperlink"/>
            <w:noProof/>
          </w:rPr>
          <w:t>Excel sheet</w:t>
        </w:r>
        <w:r>
          <w:rPr>
            <w:noProof/>
            <w:webHidden/>
          </w:rPr>
          <w:tab/>
        </w:r>
        <w:r>
          <w:rPr>
            <w:noProof/>
            <w:webHidden/>
          </w:rPr>
          <w:fldChar w:fldCharType="begin"/>
        </w:r>
        <w:r>
          <w:rPr>
            <w:noProof/>
            <w:webHidden/>
          </w:rPr>
          <w:instrText xml:space="preserve"> PAGEREF _Toc227939072 \h </w:instrText>
        </w:r>
        <w:r>
          <w:rPr>
            <w:noProof/>
            <w:webHidden/>
          </w:rPr>
        </w:r>
        <w:r>
          <w:rPr>
            <w:noProof/>
            <w:webHidden/>
          </w:rPr>
          <w:fldChar w:fldCharType="separate"/>
        </w:r>
        <w:r>
          <w:rPr>
            <w:noProof/>
            <w:webHidden/>
          </w:rPr>
          <w:t>47</w:t>
        </w:r>
        <w:r>
          <w:rPr>
            <w:noProof/>
            <w:webHidden/>
          </w:rPr>
          <w:fldChar w:fldCharType="end"/>
        </w:r>
      </w:hyperlink>
    </w:p>
    <w:p w14:paraId="51436C48" w14:textId="578B54F5" w:rsidR="00BD4D34" w:rsidRDefault="00BD4D34">
      <w:pPr>
        <w:pStyle w:val="TOC2"/>
        <w:tabs>
          <w:tab w:val="right" w:leader="dot" w:pos="9350"/>
        </w:tabs>
        <w:rPr>
          <w:rFonts w:asciiTheme="minorHAnsi" w:eastAsiaTheme="minorEastAsia" w:hAnsiTheme="minorHAnsi"/>
          <w:noProof/>
          <w:lang w:bidi="si-LK"/>
        </w:rPr>
      </w:pPr>
      <w:hyperlink w:anchor="_Toc227939073" w:history="1">
        <w:r w:rsidRPr="001E08AA">
          <w:rPr>
            <w:rStyle w:val="Hyperlink"/>
            <w:noProof/>
          </w:rPr>
          <w:t>Ratio Analysis</w:t>
        </w:r>
        <w:r>
          <w:rPr>
            <w:noProof/>
            <w:webHidden/>
          </w:rPr>
          <w:tab/>
        </w:r>
        <w:r>
          <w:rPr>
            <w:noProof/>
            <w:webHidden/>
          </w:rPr>
          <w:fldChar w:fldCharType="begin"/>
        </w:r>
        <w:r>
          <w:rPr>
            <w:noProof/>
            <w:webHidden/>
          </w:rPr>
          <w:instrText xml:space="preserve"> PAGEREF _Toc227939073 \h </w:instrText>
        </w:r>
        <w:r>
          <w:rPr>
            <w:noProof/>
            <w:webHidden/>
          </w:rPr>
        </w:r>
        <w:r>
          <w:rPr>
            <w:noProof/>
            <w:webHidden/>
          </w:rPr>
          <w:fldChar w:fldCharType="separate"/>
        </w:r>
        <w:r>
          <w:rPr>
            <w:noProof/>
            <w:webHidden/>
          </w:rPr>
          <w:t>47</w:t>
        </w:r>
        <w:r>
          <w:rPr>
            <w:noProof/>
            <w:webHidden/>
          </w:rPr>
          <w:fldChar w:fldCharType="end"/>
        </w:r>
      </w:hyperlink>
    </w:p>
    <w:p w14:paraId="229DD6EE" w14:textId="1C173E3B" w:rsidR="00BD4D34" w:rsidRDefault="00BD4D34">
      <w:pPr>
        <w:pStyle w:val="TOC2"/>
        <w:tabs>
          <w:tab w:val="right" w:leader="dot" w:pos="9350"/>
        </w:tabs>
        <w:rPr>
          <w:rFonts w:asciiTheme="minorHAnsi" w:eastAsiaTheme="minorEastAsia" w:hAnsiTheme="minorHAnsi"/>
          <w:noProof/>
          <w:lang w:bidi="si-LK"/>
        </w:rPr>
      </w:pPr>
      <w:hyperlink w:anchor="_Toc227939074" w:history="1">
        <w:r w:rsidRPr="001E08AA">
          <w:rPr>
            <w:rStyle w:val="Hyperlink"/>
            <w:noProof/>
          </w:rPr>
          <w:t>Cash Conversion Calculations</w:t>
        </w:r>
        <w:r>
          <w:rPr>
            <w:noProof/>
            <w:webHidden/>
          </w:rPr>
          <w:tab/>
        </w:r>
        <w:r>
          <w:rPr>
            <w:noProof/>
            <w:webHidden/>
          </w:rPr>
          <w:fldChar w:fldCharType="begin"/>
        </w:r>
        <w:r>
          <w:rPr>
            <w:noProof/>
            <w:webHidden/>
          </w:rPr>
          <w:instrText xml:space="preserve"> PAGEREF _Toc227939074 \h </w:instrText>
        </w:r>
        <w:r>
          <w:rPr>
            <w:noProof/>
            <w:webHidden/>
          </w:rPr>
        </w:r>
        <w:r>
          <w:rPr>
            <w:noProof/>
            <w:webHidden/>
          </w:rPr>
          <w:fldChar w:fldCharType="separate"/>
        </w:r>
        <w:r>
          <w:rPr>
            <w:noProof/>
            <w:webHidden/>
          </w:rPr>
          <w:t>52</w:t>
        </w:r>
        <w:r>
          <w:rPr>
            <w:noProof/>
            <w:webHidden/>
          </w:rPr>
          <w:fldChar w:fldCharType="end"/>
        </w:r>
      </w:hyperlink>
    </w:p>
    <w:p w14:paraId="1C4B3AF6" w14:textId="1FA0F401" w:rsidR="00BD4D34" w:rsidRDefault="00BD4D34">
      <w:pPr>
        <w:pStyle w:val="TOC2"/>
        <w:tabs>
          <w:tab w:val="right" w:leader="dot" w:pos="9350"/>
        </w:tabs>
        <w:rPr>
          <w:rFonts w:asciiTheme="minorHAnsi" w:eastAsiaTheme="minorEastAsia" w:hAnsiTheme="minorHAnsi"/>
          <w:noProof/>
          <w:lang w:bidi="si-LK"/>
        </w:rPr>
      </w:pPr>
      <w:hyperlink w:anchor="_Toc227939075" w:history="1">
        <w:r w:rsidRPr="001E08AA">
          <w:rPr>
            <w:rStyle w:val="Hyperlink"/>
            <w:noProof/>
          </w:rPr>
          <w:t>Investment Appraisal Calculations</w:t>
        </w:r>
        <w:r>
          <w:rPr>
            <w:noProof/>
            <w:webHidden/>
          </w:rPr>
          <w:tab/>
        </w:r>
        <w:r>
          <w:rPr>
            <w:noProof/>
            <w:webHidden/>
          </w:rPr>
          <w:fldChar w:fldCharType="begin"/>
        </w:r>
        <w:r>
          <w:rPr>
            <w:noProof/>
            <w:webHidden/>
          </w:rPr>
          <w:instrText xml:space="preserve"> PAGEREF _Toc227939075 \h </w:instrText>
        </w:r>
        <w:r>
          <w:rPr>
            <w:noProof/>
            <w:webHidden/>
          </w:rPr>
        </w:r>
        <w:r>
          <w:rPr>
            <w:noProof/>
            <w:webHidden/>
          </w:rPr>
          <w:fldChar w:fldCharType="separate"/>
        </w:r>
        <w:r>
          <w:rPr>
            <w:noProof/>
            <w:webHidden/>
          </w:rPr>
          <w:t>53</w:t>
        </w:r>
        <w:r>
          <w:rPr>
            <w:noProof/>
            <w:webHidden/>
          </w:rPr>
          <w:fldChar w:fldCharType="end"/>
        </w:r>
      </w:hyperlink>
    </w:p>
    <w:p w14:paraId="0D21A252" w14:textId="11207E46" w:rsidR="00BD4D34" w:rsidRDefault="00BD4D34">
      <w:pPr>
        <w:pStyle w:val="TOC2"/>
        <w:tabs>
          <w:tab w:val="right" w:leader="dot" w:pos="9350"/>
        </w:tabs>
        <w:rPr>
          <w:rFonts w:asciiTheme="minorHAnsi" w:eastAsiaTheme="minorEastAsia" w:hAnsiTheme="minorHAnsi"/>
          <w:noProof/>
          <w:lang w:bidi="si-LK"/>
        </w:rPr>
      </w:pPr>
      <w:hyperlink w:anchor="_Toc227939076" w:history="1">
        <w:r w:rsidRPr="001E08AA">
          <w:rPr>
            <w:rStyle w:val="Hyperlink"/>
            <w:noProof/>
          </w:rPr>
          <w:t>Financial Data from Annual Reports</w:t>
        </w:r>
        <w:r>
          <w:rPr>
            <w:noProof/>
            <w:webHidden/>
          </w:rPr>
          <w:tab/>
        </w:r>
        <w:r>
          <w:rPr>
            <w:noProof/>
            <w:webHidden/>
          </w:rPr>
          <w:fldChar w:fldCharType="begin"/>
        </w:r>
        <w:r>
          <w:rPr>
            <w:noProof/>
            <w:webHidden/>
          </w:rPr>
          <w:instrText xml:space="preserve"> PAGEREF _Toc227939076 \h </w:instrText>
        </w:r>
        <w:r>
          <w:rPr>
            <w:noProof/>
            <w:webHidden/>
          </w:rPr>
        </w:r>
        <w:r>
          <w:rPr>
            <w:noProof/>
            <w:webHidden/>
          </w:rPr>
          <w:fldChar w:fldCharType="separate"/>
        </w:r>
        <w:r>
          <w:rPr>
            <w:noProof/>
            <w:webHidden/>
          </w:rPr>
          <w:t>56</w:t>
        </w:r>
        <w:r>
          <w:rPr>
            <w:noProof/>
            <w:webHidden/>
          </w:rPr>
          <w:fldChar w:fldCharType="end"/>
        </w:r>
      </w:hyperlink>
    </w:p>
    <w:p w14:paraId="12B083D6" w14:textId="5E5CEB0B" w:rsidR="00416FD6" w:rsidRDefault="00C23A3D">
      <w:pPr>
        <w:rPr>
          <w:b/>
          <w:bCs/>
          <w:sz w:val="28"/>
          <w:szCs w:val="28"/>
        </w:rPr>
      </w:pPr>
      <w:r>
        <w:rPr>
          <w:b/>
          <w:bCs/>
          <w:sz w:val="28"/>
          <w:szCs w:val="28"/>
        </w:rPr>
        <w:fldChar w:fldCharType="end"/>
      </w:r>
    </w:p>
    <w:p w14:paraId="59C7E34F" w14:textId="77777777" w:rsidR="00416FD6" w:rsidRDefault="00416FD6">
      <w:pPr>
        <w:rPr>
          <w:b/>
          <w:bCs/>
          <w:sz w:val="28"/>
          <w:szCs w:val="28"/>
        </w:rPr>
      </w:pPr>
    </w:p>
    <w:p w14:paraId="0B1DA6AB" w14:textId="77777777" w:rsidR="00416FD6" w:rsidRDefault="00416FD6">
      <w:pPr>
        <w:rPr>
          <w:b/>
          <w:bCs/>
          <w:sz w:val="28"/>
          <w:szCs w:val="28"/>
        </w:rPr>
      </w:pPr>
    </w:p>
    <w:p w14:paraId="2361D7C9" w14:textId="77777777" w:rsidR="00416FD6" w:rsidRDefault="00416FD6">
      <w:pPr>
        <w:rPr>
          <w:b/>
          <w:bCs/>
          <w:sz w:val="28"/>
          <w:szCs w:val="28"/>
        </w:rPr>
      </w:pPr>
    </w:p>
    <w:p w14:paraId="456644C5" w14:textId="77777777" w:rsidR="00416FD6" w:rsidRDefault="00416FD6">
      <w:pPr>
        <w:rPr>
          <w:b/>
          <w:bCs/>
          <w:sz w:val="28"/>
          <w:szCs w:val="28"/>
        </w:rPr>
      </w:pPr>
    </w:p>
    <w:p w14:paraId="7BAA5F01" w14:textId="77777777" w:rsidR="00416FD6" w:rsidRDefault="00416FD6">
      <w:pPr>
        <w:rPr>
          <w:b/>
          <w:bCs/>
          <w:sz w:val="28"/>
          <w:szCs w:val="28"/>
        </w:rPr>
      </w:pPr>
    </w:p>
    <w:p w14:paraId="3738FFA3" w14:textId="77777777" w:rsidR="00416FD6" w:rsidRDefault="00416FD6">
      <w:pPr>
        <w:rPr>
          <w:b/>
          <w:bCs/>
          <w:sz w:val="28"/>
          <w:szCs w:val="28"/>
        </w:rPr>
      </w:pPr>
    </w:p>
    <w:p w14:paraId="1F06BC17" w14:textId="77777777" w:rsidR="00396EB6" w:rsidRDefault="00396EB6">
      <w:pPr>
        <w:rPr>
          <w:b/>
          <w:bCs/>
          <w:sz w:val="28"/>
          <w:szCs w:val="28"/>
        </w:rPr>
      </w:pPr>
    </w:p>
    <w:p w14:paraId="30BCD936" w14:textId="77777777" w:rsidR="00396EB6" w:rsidRDefault="00396EB6">
      <w:pPr>
        <w:rPr>
          <w:b/>
          <w:bCs/>
          <w:sz w:val="28"/>
          <w:szCs w:val="28"/>
        </w:rPr>
      </w:pPr>
    </w:p>
    <w:p w14:paraId="24E44936" w14:textId="77777777" w:rsidR="00396EB6" w:rsidRDefault="00396EB6">
      <w:pPr>
        <w:rPr>
          <w:b/>
          <w:bCs/>
          <w:sz w:val="28"/>
          <w:szCs w:val="28"/>
        </w:rPr>
      </w:pPr>
    </w:p>
    <w:p w14:paraId="04C20244" w14:textId="77777777" w:rsidR="00396EB6" w:rsidRPr="00416FD6" w:rsidRDefault="00396EB6">
      <w:pPr>
        <w:rPr>
          <w:b/>
          <w:bCs/>
          <w:sz w:val="28"/>
          <w:szCs w:val="28"/>
        </w:rPr>
      </w:pPr>
    </w:p>
    <w:p w14:paraId="703E4322" w14:textId="6F75391D" w:rsidR="00416FD6" w:rsidRDefault="00416FD6">
      <w:pPr>
        <w:rPr>
          <w:b/>
          <w:bCs/>
          <w:sz w:val="28"/>
          <w:szCs w:val="28"/>
        </w:rPr>
      </w:pPr>
      <w:r w:rsidRPr="00416FD6">
        <w:rPr>
          <w:b/>
          <w:bCs/>
          <w:sz w:val="28"/>
          <w:szCs w:val="28"/>
        </w:rPr>
        <w:lastRenderedPageBreak/>
        <w:t>List of Tables</w:t>
      </w:r>
    </w:p>
    <w:p w14:paraId="709F1D59" w14:textId="33958165" w:rsidR="00396EB6" w:rsidRDefault="00C23A3D">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27927287" w:history="1">
        <w:r w:rsidR="00396EB6" w:rsidRPr="00EC0063">
          <w:rPr>
            <w:rStyle w:val="Hyperlink"/>
            <w:noProof/>
          </w:rPr>
          <w:t>Table 3: Payback Period (PBP)</w:t>
        </w:r>
        <w:r w:rsidR="00396EB6">
          <w:rPr>
            <w:noProof/>
            <w:webHidden/>
          </w:rPr>
          <w:tab/>
        </w:r>
        <w:r w:rsidR="00396EB6">
          <w:rPr>
            <w:noProof/>
            <w:webHidden/>
          </w:rPr>
          <w:fldChar w:fldCharType="begin"/>
        </w:r>
        <w:r w:rsidR="00396EB6">
          <w:rPr>
            <w:noProof/>
            <w:webHidden/>
          </w:rPr>
          <w:instrText xml:space="preserve"> PAGEREF _Toc227927287 \h </w:instrText>
        </w:r>
        <w:r w:rsidR="00396EB6">
          <w:rPr>
            <w:noProof/>
            <w:webHidden/>
          </w:rPr>
        </w:r>
        <w:r w:rsidR="00396EB6">
          <w:rPr>
            <w:noProof/>
            <w:webHidden/>
          </w:rPr>
          <w:fldChar w:fldCharType="separate"/>
        </w:r>
        <w:r w:rsidR="002952B2">
          <w:rPr>
            <w:noProof/>
            <w:webHidden/>
          </w:rPr>
          <w:t>36</w:t>
        </w:r>
        <w:r w:rsidR="00396EB6">
          <w:rPr>
            <w:noProof/>
            <w:webHidden/>
          </w:rPr>
          <w:fldChar w:fldCharType="end"/>
        </w:r>
      </w:hyperlink>
    </w:p>
    <w:p w14:paraId="2335CFF4" w14:textId="379E72C2" w:rsidR="00396EB6" w:rsidRDefault="00396EB6">
      <w:pPr>
        <w:pStyle w:val="TableofFigures"/>
        <w:tabs>
          <w:tab w:val="right" w:leader="dot" w:pos="9350"/>
        </w:tabs>
        <w:rPr>
          <w:rFonts w:asciiTheme="minorHAnsi" w:eastAsiaTheme="minorEastAsia" w:hAnsiTheme="minorHAnsi"/>
          <w:noProof/>
        </w:rPr>
      </w:pPr>
      <w:hyperlink w:anchor="_Toc227927288" w:history="1">
        <w:r w:rsidRPr="00EC0063">
          <w:rPr>
            <w:rStyle w:val="Hyperlink"/>
            <w:noProof/>
          </w:rPr>
          <w:t>Table 4: Accounting Rate of Return (ARR)</w:t>
        </w:r>
        <w:r>
          <w:rPr>
            <w:noProof/>
            <w:webHidden/>
          </w:rPr>
          <w:tab/>
        </w:r>
        <w:r>
          <w:rPr>
            <w:noProof/>
            <w:webHidden/>
          </w:rPr>
          <w:fldChar w:fldCharType="begin"/>
        </w:r>
        <w:r>
          <w:rPr>
            <w:noProof/>
            <w:webHidden/>
          </w:rPr>
          <w:instrText xml:space="preserve"> PAGEREF _Toc227927288 \h </w:instrText>
        </w:r>
        <w:r>
          <w:rPr>
            <w:noProof/>
            <w:webHidden/>
          </w:rPr>
        </w:r>
        <w:r>
          <w:rPr>
            <w:noProof/>
            <w:webHidden/>
          </w:rPr>
          <w:fldChar w:fldCharType="separate"/>
        </w:r>
        <w:r w:rsidR="002952B2">
          <w:rPr>
            <w:noProof/>
            <w:webHidden/>
          </w:rPr>
          <w:t>37</w:t>
        </w:r>
        <w:r>
          <w:rPr>
            <w:noProof/>
            <w:webHidden/>
          </w:rPr>
          <w:fldChar w:fldCharType="end"/>
        </w:r>
      </w:hyperlink>
    </w:p>
    <w:p w14:paraId="6277776A" w14:textId="62B15857" w:rsidR="00396EB6" w:rsidRDefault="00396EB6">
      <w:pPr>
        <w:pStyle w:val="TableofFigures"/>
        <w:tabs>
          <w:tab w:val="right" w:leader="dot" w:pos="9350"/>
        </w:tabs>
        <w:rPr>
          <w:rFonts w:asciiTheme="minorHAnsi" w:eastAsiaTheme="minorEastAsia" w:hAnsiTheme="minorHAnsi"/>
          <w:noProof/>
        </w:rPr>
      </w:pPr>
      <w:hyperlink w:anchor="_Toc227927289" w:history="1">
        <w:r w:rsidRPr="00EC0063">
          <w:rPr>
            <w:rStyle w:val="Hyperlink"/>
            <w:noProof/>
          </w:rPr>
          <w:t>Table 5: Net Present Value (NPV)</w:t>
        </w:r>
        <w:r>
          <w:rPr>
            <w:noProof/>
            <w:webHidden/>
          </w:rPr>
          <w:tab/>
        </w:r>
        <w:r>
          <w:rPr>
            <w:noProof/>
            <w:webHidden/>
          </w:rPr>
          <w:fldChar w:fldCharType="begin"/>
        </w:r>
        <w:r>
          <w:rPr>
            <w:noProof/>
            <w:webHidden/>
          </w:rPr>
          <w:instrText xml:space="preserve"> PAGEREF _Toc227927289 \h </w:instrText>
        </w:r>
        <w:r>
          <w:rPr>
            <w:noProof/>
            <w:webHidden/>
          </w:rPr>
        </w:r>
        <w:r>
          <w:rPr>
            <w:noProof/>
            <w:webHidden/>
          </w:rPr>
          <w:fldChar w:fldCharType="separate"/>
        </w:r>
        <w:r w:rsidR="002952B2">
          <w:rPr>
            <w:noProof/>
            <w:webHidden/>
          </w:rPr>
          <w:t>37</w:t>
        </w:r>
        <w:r>
          <w:rPr>
            <w:noProof/>
            <w:webHidden/>
          </w:rPr>
          <w:fldChar w:fldCharType="end"/>
        </w:r>
      </w:hyperlink>
    </w:p>
    <w:p w14:paraId="1C2D0B0E" w14:textId="63BFF8C9" w:rsidR="00396EB6" w:rsidRDefault="00396EB6">
      <w:pPr>
        <w:pStyle w:val="TableofFigures"/>
        <w:tabs>
          <w:tab w:val="right" w:leader="dot" w:pos="9350"/>
        </w:tabs>
        <w:rPr>
          <w:rFonts w:asciiTheme="minorHAnsi" w:eastAsiaTheme="minorEastAsia" w:hAnsiTheme="minorHAnsi"/>
          <w:noProof/>
        </w:rPr>
      </w:pPr>
      <w:hyperlink w:anchor="_Toc227927290" w:history="1">
        <w:r w:rsidRPr="00EC0063">
          <w:rPr>
            <w:rStyle w:val="Hyperlink"/>
            <w:noProof/>
          </w:rPr>
          <w:t>Table 6: Profitability Index (PI)</w:t>
        </w:r>
        <w:r>
          <w:rPr>
            <w:noProof/>
            <w:webHidden/>
          </w:rPr>
          <w:tab/>
        </w:r>
        <w:r>
          <w:rPr>
            <w:noProof/>
            <w:webHidden/>
          </w:rPr>
          <w:fldChar w:fldCharType="begin"/>
        </w:r>
        <w:r>
          <w:rPr>
            <w:noProof/>
            <w:webHidden/>
          </w:rPr>
          <w:instrText xml:space="preserve"> PAGEREF _Toc227927290 \h </w:instrText>
        </w:r>
        <w:r>
          <w:rPr>
            <w:noProof/>
            <w:webHidden/>
          </w:rPr>
        </w:r>
        <w:r>
          <w:rPr>
            <w:noProof/>
            <w:webHidden/>
          </w:rPr>
          <w:fldChar w:fldCharType="separate"/>
        </w:r>
        <w:r w:rsidR="002952B2">
          <w:rPr>
            <w:noProof/>
            <w:webHidden/>
          </w:rPr>
          <w:t>38</w:t>
        </w:r>
        <w:r>
          <w:rPr>
            <w:noProof/>
            <w:webHidden/>
          </w:rPr>
          <w:fldChar w:fldCharType="end"/>
        </w:r>
      </w:hyperlink>
    </w:p>
    <w:p w14:paraId="070DE0FF" w14:textId="6ED314EF" w:rsidR="00396EB6" w:rsidRDefault="00396EB6">
      <w:pPr>
        <w:pStyle w:val="TableofFigures"/>
        <w:tabs>
          <w:tab w:val="right" w:leader="dot" w:pos="9350"/>
        </w:tabs>
        <w:rPr>
          <w:rFonts w:asciiTheme="minorHAnsi" w:eastAsiaTheme="minorEastAsia" w:hAnsiTheme="minorHAnsi"/>
          <w:noProof/>
        </w:rPr>
      </w:pPr>
      <w:hyperlink w:anchor="_Toc227927291" w:history="1">
        <w:r w:rsidRPr="00EC0063">
          <w:rPr>
            <w:rStyle w:val="Hyperlink"/>
            <w:noProof/>
          </w:rPr>
          <w:t>Table 7: Internal Rate of Return (IRR)</w:t>
        </w:r>
        <w:r>
          <w:rPr>
            <w:noProof/>
            <w:webHidden/>
          </w:rPr>
          <w:tab/>
        </w:r>
        <w:r>
          <w:rPr>
            <w:noProof/>
            <w:webHidden/>
          </w:rPr>
          <w:fldChar w:fldCharType="begin"/>
        </w:r>
        <w:r>
          <w:rPr>
            <w:noProof/>
            <w:webHidden/>
          </w:rPr>
          <w:instrText xml:space="preserve"> PAGEREF _Toc227927291 \h </w:instrText>
        </w:r>
        <w:r>
          <w:rPr>
            <w:noProof/>
            <w:webHidden/>
          </w:rPr>
        </w:r>
        <w:r>
          <w:rPr>
            <w:noProof/>
            <w:webHidden/>
          </w:rPr>
          <w:fldChar w:fldCharType="separate"/>
        </w:r>
        <w:r w:rsidR="002952B2">
          <w:rPr>
            <w:noProof/>
            <w:webHidden/>
          </w:rPr>
          <w:t>38</w:t>
        </w:r>
        <w:r>
          <w:rPr>
            <w:noProof/>
            <w:webHidden/>
          </w:rPr>
          <w:fldChar w:fldCharType="end"/>
        </w:r>
      </w:hyperlink>
    </w:p>
    <w:p w14:paraId="3A7D3FFF" w14:textId="0100B747" w:rsidR="00396EB6" w:rsidRDefault="00396EB6">
      <w:pPr>
        <w:pStyle w:val="TableofFigures"/>
        <w:tabs>
          <w:tab w:val="right" w:leader="dot" w:pos="9350"/>
        </w:tabs>
        <w:rPr>
          <w:rFonts w:asciiTheme="minorHAnsi" w:eastAsiaTheme="minorEastAsia" w:hAnsiTheme="minorHAnsi"/>
          <w:noProof/>
        </w:rPr>
      </w:pPr>
      <w:hyperlink w:anchor="_Toc227927292" w:history="1">
        <w:r w:rsidRPr="00EC0063">
          <w:rPr>
            <w:rStyle w:val="Hyperlink"/>
            <w:noProof/>
          </w:rPr>
          <w:t>Table 8: Evaluation of Projects</w:t>
        </w:r>
        <w:r>
          <w:rPr>
            <w:noProof/>
            <w:webHidden/>
          </w:rPr>
          <w:tab/>
        </w:r>
        <w:r>
          <w:rPr>
            <w:noProof/>
            <w:webHidden/>
          </w:rPr>
          <w:fldChar w:fldCharType="begin"/>
        </w:r>
        <w:r>
          <w:rPr>
            <w:noProof/>
            <w:webHidden/>
          </w:rPr>
          <w:instrText xml:space="preserve"> PAGEREF _Toc227927292 \h </w:instrText>
        </w:r>
        <w:r>
          <w:rPr>
            <w:noProof/>
            <w:webHidden/>
          </w:rPr>
        </w:r>
        <w:r>
          <w:rPr>
            <w:noProof/>
            <w:webHidden/>
          </w:rPr>
          <w:fldChar w:fldCharType="separate"/>
        </w:r>
        <w:r w:rsidR="002952B2">
          <w:rPr>
            <w:noProof/>
            <w:webHidden/>
          </w:rPr>
          <w:t>39</w:t>
        </w:r>
        <w:r>
          <w:rPr>
            <w:noProof/>
            <w:webHidden/>
          </w:rPr>
          <w:fldChar w:fldCharType="end"/>
        </w:r>
      </w:hyperlink>
    </w:p>
    <w:p w14:paraId="720CFDAA" w14:textId="4054F333" w:rsidR="00396EB6" w:rsidRDefault="00396EB6">
      <w:pPr>
        <w:pStyle w:val="TableofFigures"/>
        <w:tabs>
          <w:tab w:val="right" w:leader="dot" w:pos="9350"/>
        </w:tabs>
        <w:rPr>
          <w:rFonts w:asciiTheme="minorHAnsi" w:eastAsiaTheme="minorEastAsia" w:hAnsiTheme="minorHAnsi"/>
          <w:noProof/>
        </w:rPr>
      </w:pPr>
      <w:hyperlink w:anchor="_Toc227927293" w:history="1">
        <w:r w:rsidRPr="00EC0063">
          <w:rPr>
            <w:rStyle w:val="Hyperlink"/>
            <w:noProof/>
          </w:rPr>
          <w:t>Table 9: Possible Project Combinations</w:t>
        </w:r>
        <w:r>
          <w:rPr>
            <w:noProof/>
            <w:webHidden/>
          </w:rPr>
          <w:tab/>
        </w:r>
        <w:r>
          <w:rPr>
            <w:noProof/>
            <w:webHidden/>
          </w:rPr>
          <w:fldChar w:fldCharType="begin"/>
        </w:r>
        <w:r>
          <w:rPr>
            <w:noProof/>
            <w:webHidden/>
          </w:rPr>
          <w:instrText xml:space="preserve"> PAGEREF _Toc227927293 \h </w:instrText>
        </w:r>
        <w:r>
          <w:rPr>
            <w:noProof/>
            <w:webHidden/>
          </w:rPr>
        </w:r>
        <w:r>
          <w:rPr>
            <w:noProof/>
            <w:webHidden/>
          </w:rPr>
          <w:fldChar w:fldCharType="separate"/>
        </w:r>
        <w:r w:rsidR="002952B2">
          <w:rPr>
            <w:noProof/>
            <w:webHidden/>
          </w:rPr>
          <w:t>40</w:t>
        </w:r>
        <w:r>
          <w:rPr>
            <w:noProof/>
            <w:webHidden/>
          </w:rPr>
          <w:fldChar w:fldCharType="end"/>
        </w:r>
      </w:hyperlink>
    </w:p>
    <w:p w14:paraId="776C4F67" w14:textId="04CBD82B" w:rsidR="00396EB6" w:rsidRDefault="00396EB6">
      <w:pPr>
        <w:pStyle w:val="TableofFigures"/>
        <w:tabs>
          <w:tab w:val="right" w:leader="dot" w:pos="9350"/>
        </w:tabs>
        <w:rPr>
          <w:rFonts w:asciiTheme="minorHAnsi" w:eastAsiaTheme="minorEastAsia" w:hAnsiTheme="minorHAnsi"/>
          <w:noProof/>
        </w:rPr>
      </w:pPr>
      <w:hyperlink w:anchor="_Toc227927294" w:history="1">
        <w:r w:rsidRPr="00EC0063">
          <w:rPr>
            <w:rStyle w:val="Hyperlink"/>
            <w:noProof/>
          </w:rPr>
          <w:t>Table 10: Optimal Combination Selection</w:t>
        </w:r>
        <w:r>
          <w:rPr>
            <w:noProof/>
            <w:webHidden/>
          </w:rPr>
          <w:tab/>
        </w:r>
        <w:r>
          <w:rPr>
            <w:noProof/>
            <w:webHidden/>
          </w:rPr>
          <w:fldChar w:fldCharType="begin"/>
        </w:r>
        <w:r>
          <w:rPr>
            <w:noProof/>
            <w:webHidden/>
          </w:rPr>
          <w:instrText xml:space="preserve"> PAGEREF _Toc227927294 \h </w:instrText>
        </w:r>
        <w:r>
          <w:rPr>
            <w:noProof/>
            <w:webHidden/>
          </w:rPr>
        </w:r>
        <w:r>
          <w:rPr>
            <w:noProof/>
            <w:webHidden/>
          </w:rPr>
          <w:fldChar w:fldCharType="separate"/>
        </w:r>
        <w:r w:rsidR="002952B2">
          <w:rPr>
            <w:noProof/>
            <w:webHidden/>
          </w:rPr>
          <w:t>41</w:t>
        </w:r>
        <w:r>
          <w:rPr>
            <w:noProof/>
            <w:webHidden/>
          </w:rPr>
          <w:fldChar w:fldCharType="end"/>
        </w:r>
      </w:hyperlink>
    </w:p>
    <w:p w14:paraId="4AD26730" w14:textId="112F0AF2" w:rsidR="00C23A3D" w:rsidRDefault="00C23A3D">
      <w:pPr>
        <w:rPr>
          <w:b/>
          <w:bCs/>
          <w:sz w:val="28"/>
          <w:szCs w:val="28"/>
        </w:rPr>
      </w:pPr>
      <w:r>
        <w:rPr>
          <w:b/>
          <w:bCs/>
          <w:sz w:val="28"/>
          <w:szCs w:val="28"/>
        </w:rPr>
        <w:fldChar w:fldCharType="end"/>
      </w:r>
    </w:p>
    <w:p w14:paraId="3057F612" w14:textId="77777777" w:rsidR="00416FD6" w:rsidRDefault="00416FD6">
      <w:pPr>
        <w:rPr>
          <w:b/>
          <w:bCs/>
          <w:sz w:val="28"/>
          <w:szCs w:val="28"/>
        </w:rPr>
      </w:pPr>
    </w:p>
    <w:p w14:paraId="2C9F2F47" w14:textId="77777777" w:rsidR="00416FD6" w:rsidRDefault="00416FD6">
      <w:pPr>
        <w:rPr>
          <w:b/>
          <w:bCs/>
          <w:sz w:val="28"/>
          <w:szCs w:val="28"/>
        </w:rPr>
      </w:pPr>
    </w:p>
    <w:p w14:paraId="0A8F1AB5" w14:textId="77777777" w:rsidR="00416FD6" w:rsidRDefault="00416FD6">
      <w:pPr>
        <w:rPr>
          <w:b/>
          <w:bCs/>
          <w:sz w:val="28"/>
          <w:szCs w:val="28"/>
        </w:rPr>
      </w:pPr>
    </w:p>
    <w:p w14:paraId="3689CFD5" w14:textId="77777777" w:rsidR="00416FD6" w:rsidRDefault="00416FD6">
      <w:pPr>
        <w:rPr>
          <w:b/>
          <w:bCs/>
          <w:sz w:val="28"/>
          <w:szCs w:val="28"/>
        </w:rPr>
      </w:pPr>
    </w:p>
    <w:p w14:paraId="20D10BB1" w14:textId="77777777" w:rsidR="00416FD6" w:rsidRDefault="00416FD6">
      <w:pPr>
        <w:rPr>
          <w:b/>
          <w:bCs/>
          <w:sz w:val="28"/>
          <w:szCs w:val="28"/>
        </w:rPr>
      </w:pPr>
    </w:p>
    <w:p w14:paraId="19717859" w14:textId="77777777" w:rsidR="00416FD6" w:rsidRDefault="00416FD6">
      <w:pPr>
        <w:rPr>
          <w:b/>
          <w:bCs/>
          <w:sz w:val="28"/>
          <w:szCs w:val="28"/>
        </w:rPr>
      </w:pPr>
    </w:p>
    <w:p w14:paraId="1889952B" w14:textId="77777777" w:rsidR="00416FD6" w:rsidRDefault="00416FD6">
      <w:pPr>
        <w:rPr>
          <w:b/>
          <w:bCs/>
          <w:sz w:val="28"/>
          <w:szCs w:val="28"/>
        </w:rPr>
      </w:pPr>
    </w:p>
    <w:p w14:paraId="4AE5FA9D" w14:textId="77777777" w:rsidR="00416FD6" w:rsidRDefault="00416FD6">
      <w:pPr>
        <w:rPr>
          <w:b/>
          <w:bCs/>
          <w:sz w:val="28"/>
          <w:szCs w:val="28"/>
        </w:rPr>
      </w:pPr>
    </w:p>
    <w:p w14:paraId="7EF8E851" w14:textId="77777777" w:rsidR="00416FD6" w:rsidRDefault="00416FD6">
      <w:pPr>
        <w:rPr>
          <w:b/>
          <w:bCs/>
          <w:sz w:val="28"/>
          <w:szCs w:val="28"/>
        </w:rPr>
      </w:pPr>
    </w:p>
    <w:p w14:paraId="3837F361" w14:textId="77777777" w:rsidR="00416FD6" w:rsidRDefault="00416FD6">
      <w:pPr>
        <w:rPr>
          <w:b/>
          <w:bCs/>
          <w:sz w:val="28"/>
          <w:szCs w:val="28"/>
        </w:rPr>
      </w:pPr>
    </w:p>
    <w:p w14:paraId="4154D21B" w14:textId="77777777" w:rsidR="00416FD6" w:rsidRDefault="00416FD6">
      <w:pPr>
        <w:rPr>
          <w:b/>
          <w:bCs/>
          <w:sz w:val="28"/>
          <w:szCs w:val="28"/>
        </w:rPr>
      </w:pPr>
    </w:p>
    <w:p w14:paraId="0458F1CF" w14:textId="77777777" w:rsidR="00416FD6" w:rsidRDefault="00416FD6">
      <w:pPr>
        <w:rPr>
          <w:b/>
          <w:bCs/>
          <w:sz w:val="28"/>
          <w:szCs w:val="28"/>
        </w:rPr>
      </w:pPr>
    </w:p>
    <w:p w14:paraId="42530F41" w14:textId="77777777" w:rsidR="00396EB6" w:rsidRPr="00416FD6" w:rsidRDefault="00396EB6">
      <w:pPr>
        <w:rPr>
          <w:b/>
          <w:bCs/>
          <w:sz w:val="28"/>
          <w:szCs w:val="28"/>
        </w:rPr>
      </w:pPr>
    </w:p>
    <w:p w14:paraId="1443CFD9" w14:textId="6551024B" w:rsidR="00416FD6" w:rsidRDefault="00416FD6">
      <w:pPr>
        <w:rPr>
          <w:b/>
          <w:bCs/>
          <w:sz w:val="28"/>
          <w:szCs w:val="28"/>
        </w:rPr>
      </w:pPr>
      <w:r w:rsidRPr="00416FD6">
        <w:rPr>
          <w:b/>
          <w:bCs/>
          <w:sz w:val="28"/>
          <w:szCs w:val="28"/>
        </w:rPr>
        <w:lastRenderedPageBreak/>
        <w:t>List of Figures</w:t>
      </w:r>
    </w:p>
    <w:p w14:paraId="76007E2C" w14:textId="627F8D17" w:rsidR="00396EB6" w:rsidRDefault="00C23A3D">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7927242" w:history="1">
        <w:r w:rsidR="00396EB6" w:rsidRPr="00721482">
          <w:rPr>
            <w:rStyle w:val="Hyperlink"/>
            <w:noProof/>
          </w:rPr>
          <w:t>Figure 1: Hyundai Motor Company</w:t>
        </w:r>
        <w:r w:rsidR="00396EB6">
          <w:rPr>
            <w:noProof/>
            <w:webHidden/>
          </w:rPr>
          <w:tab/>
        </w:r>
        <w:r w:rsidR="00396EB6">
          <w:rPr>
            <w:noProof/>
            <w:webHidden/>
          </w:rPr>
          <w:fldChar w:fldCharType="begin"/>
        </w:r>
        <w:r w:rsidR="00396EB6">
          <w:rPr>
            <w:noProof/>
            <w:webHidden/>
          </w:rPr>
          <w:instrText xml:space="preserve"> PAGEREF _Toc227927242 \h </w:instrText>
        </w:r>
        <w:r w:rsidR="00396EB6">
          <w:rPr>
            <w:noProof/>
            <w:webHidden/>
          </w:rPr>
        </w:r>
        <w:r w:rsidR="00396EB6">
          <w:rPr>
            <w:noProof/>
            <w:webHidden/>
          </w:rPr>
          <w:fldChar w:fldCharType="separate"/>
        </w:r>
        <w:r w:rsidR="002952B2">
          <w:rPr>
            <w:noProof/>
            <w:webHidden/>
          </w:rPr>
          <w:t>7</w:t>
        </w:r>
        <w:r w:rsidR="00396EB6">
          <w:rPr>
            <w:noProof/>
            <w:webHidden/>
          </w:rPr>
          <w:fldChar w:fldCharType="end"/>
        </w:r>
      </w:hyperlink>
    </w:p>
    <w:p w14:paraId="0BF55606" w14:textId="11D9A612" w:rsidR="00396EB6" w:rsidRDefault="00396EB6">
      <w:pPr>
        <w:pStyle w:val="TableofFigures"/>
        <w:tabs>
          <w:tab w:val="right" w:leader="dot" w:pos="9350"/>
        </w:tabs>
        <w:rPr>
          <w:rFonts w:asciiTheme="minorHAnsi" w:eastAsiaTheme="minorEastAsia" w:hAnsiTheme="minorHAnsi"/>
          <w:noProof/>
        </w:rPr>
      </w:pPr>
      <w:hyperlink w:anchor="_Toc227927243" w:history="1">
        <w:r w:rsidRPr="00721482">
          <w:rPr>
            <w:rStyle w:val="Hyperlink"/>
            <w:noProof/>
          </w:rPr>
          <w:t>Figure 3: Gross Profit Margin</w:t>
        </w:r>
        <w:r>
          <w:rPr>
            <w:noProof/>
            <w:webHidden/>
          </w:rPr>
          <w:tab/>
        </w:r>
        <w:r>
          <w:rPr>
            <w:noProof/>
            <w:webHidden/>
          </w:rPr>
          <w:fldChar w:fldCharType="begin"/>
        </w:r>
        <w:r>
          <w:rPr>
            <w:noProof/>
            <w:webHidden/>
          </w:rPr>
          <w:instrText xml:space="preserve"> PAGEREF _Toc227927243 \h </w:instrText>
        </w:r>
        <w:r>
          <w:rPr>
            <w:noProof/>
            <w:webHidden/>
          </w:rPr>
        </w:r>
        <w:r>
          <w:rPr>
            <w:noProof/>
            <w:webHidden/>
          </w:rPr>
          <w:fldChar w:fldCharType="separate"/>
        </w:r>
        <w:r w:rsidR="002952B2">
          <w:rPr>
            <w:noProof/>
            <w:webHidden/>
          </w:rPr>
          <w:t>8</w:t>
        </w:r>
        <w:r>
          <w:rPr>
            <w:noProof/>
            <w:webHidden/>
          </w:rPr>
          <w:fldChar w:fldCharType="end"/>
        </w:r>
      </w:hyperlink>
    </w:p>
    <w:p w14:paraId="5DF1D75B" w14:textId="44CDBF8D" w:rsidR="00396EB6" w:rsidRDefault="00396EB6">
      <w:pPr>
        <w:pStyle w:val="TableofFigures"/>
        <w:tabs>
          <w:tab w:val="right" w:leader="dot" w:pos="9350"/>
        </w:tabs>
        <w:rPr>
          <w:rFonts w:asciiTheme="minorHAnsi" w:eastAsiaTheme="minorEastAsia" w:hAnsiTheme="minorHAnsi"/>
          <w:noProof/>
        </w:rPr>
      </w:pPr>
      <w:hyperlink w:anchor="_Toc227927244" w:history="1">
        <w:r w:rsidRPr="00721482">
          <w:rPr>
            <w:rStyle w:val="Hyperlink"/>
            <w:noProof/>
          </w:rPr>
          <w:t>Figure 4: Net Profit Margin</w:t>
        </w:r>
        <w:r>
          <w:rPr>
            <w:noProof/>
            <w:webHidden/>
          </w:rPr>
          <w:tab/>
        </w:r>
        <w:r>
          <w:rPr>
            <w:noProof/>
            <w:webHidden/>
          </w:rPr>
          <w:fldChar w:fldCharType="begin"/>
        </w:r>
        <w:r>
          <w:rPr>
            <w:noProof/>
            <w:webHidden/>
          </w:rPr>
          <w:instrText xml:space="preserve"> PAGEREF _Toc227927244 \h </w:instrText>
        </w:r>
        <w:r>
          <w:rPr>
            <w:noProof/>
            <w:webHidden/>
          </w:rPr>
        </w:r>
        <w:r>
          <w:rPr>
            <w:noProof/>
            <w:webHidden/>
          </w:rPr>
          <w:fldChar w:fldCharType="separate"/>
        </w:r>
        <w:r w:rsidR="002952B2">
          <w:rPr>
            <w:noProof/>
            <w:webHidden/>
          </w:rPr>
          <w:t>9</w:t>
        </w:r>
        <w:r>
          <w:rPr>
            <w:noProof/>
            <w:webHidden/>
          </w:rPr>
          <w:fldChar w:fldCharType="end"/>
        </w:r>
      </w:hyperlink>
    </w:p>
    <w:p w14:paraId="21DF9A39" w14:textId="6C1815ED" w:rsidR="00396EB6" w:rsidRDefault="00396EB6">
      <w:pPr>
        <w:pStyle w:val="TableofFigures"/>
        <w:tabs>
          <w:tab w:val="right" w:leader="dot" w:pos="9350"/>
        </w:tabs>
        <w:rPr>
          <w:rFonts w:asciiTheme="minorHAnsi" w:eastAsiaTheme="minorEastAsia" w:hAnsiTheme="minorHAnsi"/>
          <w:noProof/>
        </w:rPr>
      </w:pPr>
      <w:hyperlink w:anchor="_Toc227927245" w:history="1">
        <w:r w:rsidRPr="00721482">
          <w:rPr>
            <w:rStyle w:val="Hyperlink"/>
            <w:noProof/>
          </w:rPr>
          <w:t>Figure 5: Operating Profit Margin</w:t>
        </w:r>
        <w:r>
          <w:rPr>
            <w:noProof/>
            <w:webHidden/>
          </w:rPr>
          <w:tab/>
        </w:r>
        <w:r>
          <w:rPr>
            <w:noProof/>
            <w:webHidden/>
          </w:rPr>
          <w:fldChar w:fldCharType="begin"/>
        </w:r>
        <w:r>
          <w:rPr>
            <w:noProof/>
            <w:webHidden/>
          </w:rPr>
          <w:instrText xml:space="preserve"> PAGEREF _Toc227927245 \h </w:instrText>
        </w:r>
        <w:r>
          <w:rPr>
            <w:noProof/>
            <w:webHidden/>
          </w:rPr>
        </w:r>
        <w:r>
          <w:rPr>
            <w:noProof/>
            <w:webHidden/>
          </w:rPr>
          <w:fldChar w:fldCharType="separate"/>
        </w:r>
        <w:r w:rsidR="002952B2">
          <w:rPr>
            <w:noProof/>
            <w:webHidden/>
          </w:rPr>
          <w:t>9</w:t>
        </w:r>
        <w:r>
          <w:rPr>
            <w:noProof/>
            <w:webHidden/>
          </w:rPr>
          <w:fldChar w:fldCharType="end"/>
        </w:r>
      </w:hyperlink>
    </w:p>
    <w:p w14:paraId="1A2C4038" w14:textId="7CA65B96" w:rsidR="00396EB6" w:rsidRDefault="00396EB6">
      <w:pPr>
        <w:pStyle w:val="TableofFigures"/>
        <w:tabs>
          <w:tab w:val="right" w:leader="dot" w:pos="9350"/>
        </w:tabs>
        <w:rPr>
          <w:rFonts w:asciiTheme="minorHAnsi" w:eastAsiaTheme="minorEastAsia" w:hAnsiTheme="minorHAnsi"/>
          <w:noProof/>
        </w:rPr>
      </w:pPr>
      <w:hyperlink w:anchor="_Toc227927246" w:history="1">
        <w:r w:rsidRPr="00721482">
          <w:rPr>
            <w:rStyle w:val="Hyperlink"/>
            <w:noProof/>
          </w:rPr>
          <w:t>Figure 6: Return on Assets (ROA)</w:t>
        </w:r>
        <w:r>
          <w:rPr>
            <w:noProof/>
            <w:webHidden/>
          </w:rPr>
          <w:tab/>
        </w:r>
        <w:r>
          <w:rPr>
            <w:noProof/>
            <w:webHidden/>
          </w:rPr>
          <w:fldChar w:fldCharType="begin"/>
        </w:r>
        <w:r>
          <w:rPr>
            <w:noProof/>
            <w:webHidden/>
          </w:rPr>
          <w:instrText xml:space="preserve"> PAGEREF _Toc227927246 \h </w:instrText>
        </w:r>
        <w:r>
          <w:rPr>
            <w:noProof/>
            <w:webHidden/>
          </w:rPr>
        </w:r>
        <w:r>
          <w:rPr>
            <w:noProof/>
            <w:webHidden/>
          </w:rPr>
          <w:fldChar w:fldCharType="separate"/>
        </w:r>
        <w:r w:rsidR="002952B2">
          <w:rPr>
            <w:noProof/>
            <w:webHidden/>
          </w:rPr>
          <w:t>10</w:t>
        </w:r>
        <w:r>
          <w:rPr>
            <w:noProof/>
            <w:webHidden/>
          </w:rPr>
          <w:fldChar w:fldCharType="end"/>
        </w:r>
      </w:hyperlink>
    </w:p>
    <w:p w14:paraId="2EA87112" w14:textId="4FDC4472" w:rsidR="00396EB6" w:rsidRDefault="00396EB6">
      <w:pPr>
        <w:pStyle w:val="TableofFigures"/>
        <w:tabs>
          <w:tab w:val="right" w:leader="dot" w:pos="9350"/>
        </w:tabs>
        <w:rPr>
          <w:rFonts w:asciiTheme="minorHAnsi" w:eastAsiaTheme="minorEastAsia" w:hAnsiTheme="minorHAnsi"/>
          <w:noProof/>
        </w:rPr>
      </w:pPr>
      <w:hyperlink w:anchor="_Toc227927247" w:history="1">
        <w:r w:rsidRPr="00721482">
          <w:rPr>
            <w:rStyle w:val="Hyperlink"/>
            <w:noProof/>
          </w:rPr>
          <w:t>Figure 7: Return on Equity (ROE)</w:t>
        </w:r>
        <w:r>
          <w:rPr>
            <w:noProof/>
            <w:webHidden/>
          </w:rPr>
          <w:tab/>
        </w:r>
        <w:r>
          <w:rPr>
            <w:noProof/>
            <w:webHidden/>
          </w:rPr>
          <w:fldChar w:fldCharType="begin"/>
        </w:r>
        <w:r>
          <w:rPr>
            <w:noProof/>
            <w:webHidden/>
          </w:rPr>
          <w:instrText xml:space="preserve"> PAGEREF _Toc227927247 \h </w:instrText>
        </w:r>
        <w:r>
          <w:rPr>
            <w:noProof/>
            <w:webHidden/>
          </w:rPr>
        </w:r>
        <w:r>
          <w:rPr>
            <w:noProof/>
            <w:webHidden/>
          </w:rPr>
          <w:fldChar w:fldCharType="separate"/>
        </w:r>
        <w:r w:rsidR="002952B2">
          <w:rPr>
            <w:noProof/>
            <w:webHidden/>
          </w:rPr>
          <w:t>11</w:t>
        </w:r>
        <w:r>
          <w:rPr>
            <w:noProof/>
            <w:webHidden/>
          </w:rPr>
          <w:fldChar w:fldCharType="end"/>
        </w:r>
      </w:hyperlink>
    </w:p>
    <w:p w14:paraId="0F069962" w14:textId="74C0E458" w:rsidR="00396EB6" w:rsidRDefault="00396EB6">
      <w:pPr>
        <w:pStyle w:val="TableofFigures"/>
        <w:tabs>
          <w:tab w:val="right" w:leader="dot" w:pos="9350"/>
        </w:tabs>
        <w:rPr>
          <w:rFonts w:asciiTheme="minorHAnsi" w:eastAsiaTheme="minorEastAsia" w:hAnsiTheme="minorHAnsi"/>
          <w:noProof/>
        </w:rPr>
      </w:pPr>
      <w:hyperlink w:anchor="_Toc227927248" w:history="1">
        <w:r w:rsidRPr="00721482">
          <w:rPr>
            <w:rStyle w:val="Hyperlink"/>
            <w:noProof/>
          </w:rPr>
          <w:t>Figure 8: Current Ratio</w:t>
        </w:r>
        <w:r>
          <w:rPr>
            <w:noProof/>
            <w:webHidden/>
          </w:rPr>
          <w:tab/>
        </w:r>
        <w:r>
          <w:rPr>
            <w:noProof/>
            <w:webHidden/>
          </w:rPr>
          <w:fldChar w:fldCharType="begin"/>
        </w:r>
        <w:r>
          <w:rPr>
            <w:noProof/>
            <w:webHidden/>
          </w:rPr>
          <w:instrText xml:space="preserve"> PAGEREF _Toc227927248 \h </w:instrText>
        </w:r>
        <w:r>
          <w:rPr>
            <w:noProof/>
            <w:webHidden/>
          </w:rPr>
        </w:r>
        <w:r>
          <w:rPr>
            <w:noProof/>
            <w:webHidden/>
          </w:rPr>
          <w:fldChar w:fldCharType="separate"/>
        </w:r>
        <w:r w:rsidR="002952B2">
          <w:rPr>
            <w:noProof/>
            <w:webHidden/>
          </w:rPr>
          <w:t>11</w:t>
        </w:r>
        <w:r>
          <w:rPr>
            <w:noProof/>
            <w:webHidden/>
          </w:rPr>
          <w:fldChar w:fldCharType="end"/>
        </w:r>
      </w:hyperlink>
    </w:p>
    <w:p w14:paraId="0B36EFEA" w14:textId="02E8E6EA" w:rsidR="00396EB6" w:rsidRDefault="00396EB6">
      <w:pPr>
        <w:pStyle w:val="TableofFigures"/>
        <w:tabs>
          <w:tab w:val="right" w:leader="dot" w:pos="9350"/>
        </w:tabs>
        <w:rPr>
          <w:rFonts w:asciiTheme="minorHAnsi" w:eastAsiaTheme="minorEastAsia" w:hAnsiTheme="minorHAnsi"/>
          <w:noProof/>
        </w:rPr>
      </w:pPr>
      <w:hyperlink w:anchor="_Toc227927249" w:history="1">
        <w:r w:rsidRPr="00721482">
          <w:rPr>
            <w:rStyle w:val="Hyperlink"/>
            <w:noProof/>
          </w:rPr>
          <w:t>Figure 9: Quick Ratio</w:t>
        </w:r>
        <w:r>
          <w:rPr>
            <w:noProof/>
            <w:webHidden/>
          </w:rPr>
          <w:tab/>
        </w:r>
        <w:r>
          <w:rPr>
            <w:noProof/>
            <w:webHidden/>
          </w:rPr>
          <w:fldChar w:fldCharType="begin"/>
        </w:r>
        <w:r>
          <w:rPr>
            <w:noProof/>
            <w:webHidden/>
          </w:rPr>
          <w:instrText xml:space="preserve"> PAGEREF _Toc227927249 \h </w:instrText>
        </w:r>
        <w:r>
          <w:rPr>
            <w:noProof/>
            <w:webHidden/>
          </w:rPr>
        </w:r>
        <w:r>
          <w:rPr>
            <w:noProof/>
            <w:webHidden/>
          </w:rPr>
          <w:fldChar w:fldCharType="separate"/>
        </w:r>
        <w:r w:rsidR="002952B2">
          <w:rPr>
            <w:noProof/>
            <w:webHidden/>
          </w:rPr>
          <w:t>12</w:t>
        </w:r>
        <w:r>
          <w:rPr>
            <w:noProof/>
            <w:webHidden/>
          </w:rPr>
          <w:fldChar w:fldCharType="end"/>
        </w:r>
      </w:hyperlink>
    </w:p>
    <w:p w14:paraId="559E9708" w14:textId="68B4BFC7" w:rsidR="00396EB6" w:rsidRDefault="00396EB6">
      <w:pPr>
        <w:pStyle w:val="TableofFigures"/>
        <w:tabs>
          <w:tab w:val="right" w:leader="dot" w:pos="9350"/>
        </w:tabs>
        <w:rPr>
          <w:rFonts w:asciiTheme="minorHAnsi" w:eastAsiaTheme="minorEastAsia" w:hAnsiTheme="minorHAnsi"/>
          <w:noProof/>
        </w:rPr>
      </w:pPr>
      <w:hyperlink w:anchor="_Toc227927250" w:history="1">
        <w:r w:rsidRPr="00721482">
          <w:rPr>
            <w:rStyle w:val="Hyperlink"/>
            <w:noProof/>
          </w:rPr>
          <w:t>Figure 10: Inventory Turnover</w:t>
        </w:r>
        <w:r>
          <w:rPr>
            <w:noProof/>
            <w:webHidden/>
          </w:rPr>
          <w:tab/>
        </w:r>
        <w:r>
          <w:rPr>
            <w:noProof/>
            <w:webHidden/>
          </w:rPr>
          <w:fldChar w:fldCharType="begin"/>
        </w:r>
        <w:r>
          <w:rPr>
            <w:noProof/>
            <w:webHidden/>
          </w:rPr>
          <w:instrText xml:space="preserve"> PAGEREF _Toc227927250 \h </w:instrText>
        </w:r>
        <w:r>
          <w:rPr>
            <w:noProof/>
            <w:webHidden/>
          </w:rPr>
        </w:r>
        <w:r>
          <w:rPr>
            <w:noProof/>
            <w:webHidden/>
          </w:rPr>
          <w:fldChar w:fldCharType="separate"/>
        </w:r>
        <w:r w:rsidR="002952B2">
          <w:rPr>
            <w:noProof/>
            <w:webHidden/>
          </w:rPr>
          <w:t>12</w:t>
        </w:r>
        <w:r>
          <w:rPr>
            <w:noProof/>
            <w:webHidden/>
          </w:rPr>
          <w:fldChar w:fldCharType="end"/>
        </w:r>
      </w:hyperlink>
    </w:p>
    <w:p w14:paraId="4015027F" w14:textId="79FE3AE1" w:rsidR="00396EB6" w:rsidRDefault="00396EB6">
      <w:pPr>
        <w:pStyle w:val="TableofFigures"/>
        <w:tabs>
          <w:tab w:val="right" w:leader="dot" w:pos="9350"/>
        </w:tabs>
        <w:rPr>
          <w:rFonts w:asciiTheme="minorHAnsi" w:eastAsiaTheme="minorEastAsia" w:hAnsiTheme="minorHAnsi"/>
          <w:noProof/>
        </w:rPr>
      </w:pPr>
      <w:hyperlink w:anchor="_Toc227927251" w:history="1">
        <w:r w:rsidRPr="00721482">
          <w:rPr>
            <w:rStyle w:val="Hyperlink"/>
            <w:noProof/>
          </w:rPr>
          <w:t>Figure 11: Receivables Collection Period</w:t>
        </w:r>
        <w:r>
          <w:rPr>
            <w:noProof/>
            <w:webHidden/>
          </w:rPr>
          <w:tab/>
        </w:r>
        <w:r>
          <w:rPr>
            <w:noProof/>
            <w:webHidden/>
          </w:rPr>
          <w:fldChar w:fldCharType="begin"/>
        </w:r>
        <w:r>
          <w:rPr>
            <w:noProof/>
            <w:webHidden/>
          </w:rPr>
          <w:instrText xml:space="preserve"> PAGEREF _Toc227927251 \h </w:instrText>
        </w:r>
        <w:r>
          <w:rPr>
            <w:noProof/>
            <w:webHidden/>
          </w:rPr>
        </w:r>
        <w:r>
          <w:rPr>
            <w:noProof/>
            <w:webHidden/>
          </w:rPr>
          <w:fldChar w:fldCharType="separate"/>
        </w:r>
        <w:r w:rsidR="002952B2">
          <w:rPr>
            <w:noProof/>
            <w:webHidden/>
          </w:rPr>
          <w:t>13</w:t>
        </w:r>
        <w:r>
          <w:rPr>
            <w:noProof/>
            <w:webHidden/>
          </w:rPr>
          <w:fldChar w:fldCharType="end"/>
        </w:r>
      </w:hyperlink>
    </w:p>
    <w:p w14:paraId="010D8DE5" w14:textId="27A48C9D" w:rsidR="00396EB6" w:rsidRDefault="00396EB6">
      <w:pPr>
        <w:pStyle w:val="TableofFigures"/>
        <w:tabs>
          <w:tab w:val="right" w:leader="dot" w:pos="9350"/>
        </w:tabs>
        <w:rPr>
          <w:rFonts w:asciiTheme="minorHAnsi" w:eastAsiaTheme="minorEastAsia" w:hAnsiTheme="minorHAnsi"/>
          <w:noProof/>
        </w:rPr>
      </w:pPr>
      <w:hyperlink w:anchor="_Toc227927252" w:history="1">
        <w:r w:rsidRPr="00721482">
          <w:rPr>
            <w:rStyle w:val="Hyperlink"/>
            <w:noProof/>
          </w:rPr>
          <w:t>Figure 12: Payables Payment Period</w:t>
        </w:r>
        <w:r>
          <w:rPr>
            <w:noProof/>
            <w:webHidden/>
          </w:rPr>
          <w:tab/>
        </w:r>
        <w:r>
          <w:rPr>
            <w:noProof/>
            <w:webHidden/>
          </w:rPr>
          <w:fldChar w:fldCharType="begin"/>
        </w:r>
        <w:r>
          <w:rPr>
            <w:noProof/>
            <w:webHidden/>
          </w:rPr>
          <w:instrText xml:space="preserve"> PAGEREF _Toc227927252 \h </w:instrText>
        </w:r>
        <w:r>
          <w:rPr>
            <w:noProof/>
            <w:webHidden/>
          </w:rPr>
        </w:r>
        <w:r>
          <w:rPr>
            <w:noProof/>
            <w:webHidden/>
          </w:rPr>
          <w:fldChar w:fldCharType="separate"/>
        </w:r>
        <w:r w:rsidR="002952B2">
          <w:rPr>
            <w:noProof/>
            <w:webHidden/>
          </w:rPr>
          <w:t>13</w:t>
        </w:r>
        <w:r>
          <w:rPr>
            <w:noProof/>
            <w:webHidden/>
          </w:rPr>
          <w:fldChar w:fldCharType="end"/>
        </w:r>
      </w:hyperlink>
    </w:p>
    <w:p w14:paraId="00092FCF" w14:textId="698CF913" w:rsidR="00396EB6" w:rsidRDefault="00396EB6">
      <w:pPr>
        <w:pStyle w:val="TableofFigures"/>
        <w:tabs>
          <w:tab w:val="right" w:leader="dot" w:pos="9350"/>
        </w:tabs>
        <w:rPr>
          <w:rFonts w:asciiTheme="minorHAnsi" w:eastAsiaTheme="minorEastAsia" w:hAnsiTheme="minorHAnsi"/>
          <w:noProof/>
        </w:rPr>
      </w:pPr>
      <w:hyperlink w:anchor="_Toc227927253" w:history="1">
        <w:r w:rsidRPr="00721482">
          <w:rPr>
            <w:rStyle w:val="Hyperlink"/>
            <w:noProof/>
          </w:rPr>
          <w:t>Figure 13: Total Asset Turnover</w:t>
        </w:r>
        <w:r>
          <w:rPr>
            <w:noProof/>
            <w:webHidden/>
          </w:rPr>
          <w:tab/>
        </w:r>
        <w:r>
          <w:rPr>
            <w:noProof/>
            <w:webHidden/>
          </w:rPr>
          <w:fldChar w:fldCharType="begin"/>
        </w:r>
        <w:r>
          <w:rPr>
            <w:noProof/>
            <w:webHidden/>
          </w:rPr>
          <w:instrText xml:space="preserve"> PAGEREF _Toc227927253 \h </w:instrText>
        </w:r>
        <w:r>
          <w:rPr>
            <w:noProof/>
            <w:webHidden/>
          </w:rPr>
        </w:r>
        <w:r>
          <w:rPr>
            <w:noProof/>
            <w:webHidden/>
          </w:rPr>
          <w:fldChar w:fldCharType="separate"/>
        </w:r>
        <w:r w:rsidR="002952B2">
          <w:rPr>
            <w:noProof/>
            <w:webHidden/>
          </w:rPr>
          <w:t>14</w:t>
        </w:r>
        <w:r>
          <w:rPr>
            <w:noProof/>
            <w:webHidden/>
          </w:rPr>
          <w:fldChar w:fldCharType="end"/>
        </w:r>
      </w:hyperlink>
    </w:p>
    <w:p w14:paraId="7B7BD2B7" w14:textId="03FD79F3" w:rsidR="00396EB6" w:rsidRDefault="00396EB6">
      <w:pPr>
        <w:pStyle w:val="TableofFigures"/>
        <w:tabs>
          <w:tab w:val="right" w:leader="dot" w:pos="9350"/>
        </w:tabs>
        <w:rPr>
          <w:rFonts w:asciiTheme="minorHAnsi" w:eastAsiaTheme="minorEastAsia" w:hAnsiTheme="minorHAnsi"/>
          <w:noProof/>
        </w:rPr>
      </w:pPr>
      <w:hyperlink w:anchor="_Toc227927254" w:history="1">
        <w:r w:rsidRPr="00721482">
          <w:rPr>
            <w:rStyle w:val="Hyperlink"/>
            <w:noProof/>
          </w:rPr>
          <w:t>Figure 14: Debt to Equity Ratio</w:t>
        </w:r>
        <w:r>
          <w:rPr>
            <w:noProof/>
            <w:webHidden/>
          </w:rPr>
          <w:tab/>
        </w:r>
        <w:r>
          <w:rPr>
            <w:noProof/>
            <w:webHidden/>
          </w:rPr>
          <w:fldChar w:fldCharType="begin"/>
        </w:r>
        <w:r>
          <w:rPr>
            <w:noProof/>
            <w:webHidden/>
          </w:rPr>
          <w:instrText xml:space="preserve"> PAGEREF _Toc227927254 \h </w:instrText>
        </w:r>
        <w:r>
          <w:rPr>
            <w:noProof/>
            <w:webHidden/>
          </w:rPr>
        </w:r>
        <w:r>
          <w:rPr>
            <w:noProof/>
            <w:webHidden/>
          </w:rPr>
          <w:fldChar w:fldCharType="separate"/>
        </w:r>
        <w:r w:rsidR="002952B2">
          <w:rPr>
            <w:noProof/>
            <w:webHidden/>
          </w:rPr>
          <w:t>15</w:t>
        </w:r>
        <w:r>
          <w:rPr>
            <w:noProof/>
            <w:webHidden/>
          </w:rPr>
          <w:fldChar w:fldCharType="end"/>
        </w:r>
      </w:hyperlink>
    </w:p>
    <w:p w14:paraId="584FBCDC" w14:textId="53B92FFD" w:rsidR="00396EB6" w:rsidRDefault="00396EB6">
      <w:pPr>
        <w:pStyle w:val="TableofFigures"/>
        <w:tabs>
          <w:tab w:val="right" w:leader="dot" w:pos="9350"/>
        </w:tabs>
        <w:rPr>
          <w:rFonts w:asciiTheme="minorHAnsi" w:eastAsiaTheme="minorEastAsia" w:hAnsiTheme="minorHAnsi"/>
          <w:noProof/>
        </w:rPr>
      </w:pPr>
      <w:hyperlink w:anchor="_Toc227927255" w:history="1">
        <w:r w:rsidRPr="00721482">
          <w:rPr>
            <w:rStyle w:val="Hyperlink"/>
            <w:noProof/>
          </w:rPr>
          <w:t>Figure 15: Interest Coverage Ratio</w:t>
        </w:r>
        <w:r>
          <w:rPr>
            <w:noProof/>
            <w:webHidden/>
          </w:rPr>
          <w:tab/>
        </w:r>
        <w:r>
          <w:rPr>
            <w:noProof/>
            <w:webHidden/>
          </w:rPr>
          <w:fldChar w:fldCharType="begin"/>
        </w:r>
        <w:r>
          <w:rPr>
            <w:noProof/>
            <w:webHidden/>
          </w:rPr>
          <w:instrText xml:space="preserve"> PAGEREF _Toc227927255 \h </w:instrText>
        </w:r>
        <w:r>
          <w:rPr>
            <w:noProof/>
            <w:webHidden/>
          </w:rPr>
        </w:r>
        <w:r>
          <w:rPr>
            <w:noProof/>
            <w:webHidden/>
          </w:rPr>
          <w:fldChar w:fldCharType="separate"/>
        </w:r>
        <w:r w:rsidR="002952B2">
          <w:rPr>
            <w:noProof/>
            <w:webHidden/>
          </w:rPr>
          <w:t>15</w:t>
        </w:r>
        <w:r>
          <w:rPr>
            <w:noProof/>
            <w:webHidden/>
          </w:rPr>
          <w:fldChar w:fldCharType="end"/>
        </w:r>
      </w:hyperlink>
    </w:p>
    <w:p w14:paraId="060D39CA" w14:textId="0BED06AF" w:rsidR="00396EB6" w:rsidRDefault="00396EB6">
      <w:pPr>
        <w:pStyle w:val="TableofFigures"/>
        <w:tabs>
          <w:tab w:val="right" w:leader="dot" w:pos="9350"/>
        </w:tabs>
        <w:rPr>
          <w:rFonts w:asciiTheme="minorHAnsi" w:eastAsiaTheme="minorEastAsia" w:hAnsiTheme="minorHAnsi"/>
          <w:noProof/>
        </w:rPr>
      </w:pPr>
      <w:hyperlink w:anchor="_Toc227927256" w:history="1">
        <w:r w:rsidRPr="00721482">
          <w:rPr>
            <w:rStyle w:val="Hyperlink"/>
            <w:noProof/>
          </w:rPr>
          <w:t>Figure 16: Earnings per Share (EPS)</w:t>
        </w:r>
        <w:r>
          <w:rPr>
            <w:noProof/>
            <w:webHidden/>
          </w:rPr>
          <w:tab/>
        </w:r>
        <w:r>
          <w:rPr>
            <w:noProof/>
            <w:webHidden/>
          </w:rPr>
          <w:fldChar w:fldCharType="begin"/>
        </w:r>
        <w:r>
          <w:rPr>
            <w:noProof/>
            <w:webHidden/>
          </w:rPr>
          <w:instrText xml:space="preserve"> PAGEREF _Toc227927256 \h </w:instrText>
        </w:r>
        <w:r>
          <w:rPr>
            <w:noProof/>
            <w:webHidden/>
          </w:rPr>
        </w:r>
        <w:r>
          <w:rPr>
            <w:noProof/>
            <w:webHidden/>
          </w:rPr>
          <w:fldChar w:fldCharType="separate"/>
        </w:r>
        <w:r w:rsidR="002952B2">
          <w:rPr>
            <w:noProof/>
            <w:webHidden/>
          </w:rPr>
          <w:t>16</w:t>
        </w:r>
        <w:r>
          <w:rPr>
            <w:noProof/>
            <w:webHidden/>
          </w:rPr>
          <w:fldChar w:fldCharType="end"/>
        </w:r>
      </w:hyperlink>
    </w:p>
    <w:p w14:paraId="446EA325" w14:textId="126D3B76" w:rsidR="00396EB6" w:rsidRDefault="00396EB6">
      <w:pPr>
        <w:pStyle w:val="TableofFigures"/>
        <w:tabs>
          <w:tab w:val="right" w:leader="dot" w:pos="9350"/>
        </w:tabs>
        <w:rPr>
          <w:rFonts w:asciiTheme="minorHAnsi" w:eastAsiaTheme="minorEastAsia" w:hAnsiTheme="minorHAnsi"/>
          <w:noProof/>
        </w:rPr>
      </w:pPr>
      <w:hyperlink w:anchor="_Toc227927257" w:history="1">
        <w:r w:rsidRPr="00721482">
          <w:rPr>
            <w:rStyle w:val="Hyperlink"/>
            <w:noProof/>
          </w:rPr>
          <w:t>Figure 17: Price/Earnings Ratio (P/E)</w:t>
        </w:r>
        <w:r>
          <w:rPr>
            <w:noProof/>
            <w:webHidden/>
          </w:rPr>
          <w:tab/>
        </w:r>
        <w:r>
          <w:rPr>
            <w:noProof/>
            <w:webHidden/>
          </w:rPr>
          <w:fldChar w:fldCharType="begin"/>
        </w:r>
        <w:r>
          <w:rPr>
            <w:noProof/>
            <w:webHidden/>
          </w:rPr>
          <w:instrText xml:space="preserve"> PAGEREF _Toc227927257 \h </w:instrText>
        </w:r>
        <w:r>
          <w:rPr>
            <w:noProof/>
            <w:webHidden/>
          </w:rPr>
        </w:r>
        <w:r>
          <w:rPr>
            <w:noProof/>
            <w:webHidden/>
          </w:rPr>
          <w:fldChar w:fldCharType="separate"/>
        </w:r>
        <w:r w:rsidR="002952B2">
          <w:rPr>
            <w:noProof/>
            <w:webHidden/>
          </w:rPr>
          <w:t>16</w:t>
        </w:r>
        <w:r>
          <w:rPr>
            <w:noProof/>
            <w:webHidden/>
          </w:rPr>
          <w:fldChar w:fldCharType="end"/>
        </w:r>
      </w:hyperlink>
    </w:p>
    <w:p w14:paraId="63759516" w14:textId="1C141B46" w:rsidR="00396EB6" w:rsidRDefault="00396EB6">
      <w:pPr>
        <w:pStyle w:val="TableofFigures"/>
        <w:tabs>
          <w:tab w:val="right" w:leader="dot" w:pos="9350"/>
        </w:tabs>
        <w:rPr>
          <w:rFonts w:asciiTheme="minorHAnsi" w:eastAsiaTheme="minorEastAsia" w:hAnsiTheme="minorHAnsi"/>
          <w:noProof/>
        </w:rPr>
      </w:pPr>
      <w:hyperlink w:anchor="_Toc227927258" w:history="1">
        <w:r w:rsidRPr="00721482">
          <w:rPr>
            <w:rStyle w:val="Hyperlink"/>
            <w:noProof/>
          </w:rPr>
          <w:t>Figure 18: Operating Cash Flow</w:t>
        </w:r>
        <w:r>
          <w:rPr>
            <w:noProof/>
            <w:webHidden/>
          </w:rPr>
          <w:tab/>
        </w:r>
        <w:r>
          <w:rPr>
            <w:noProof/>
            <w:webHidden/>
          </w:rPr>
          <w:fldChar w:fldCharType="begin"/>
        </w:r>
        <w:r>
          <w:rPr>
            <w:noProof/>
            <w:webHidden/>
          </w:rPr>
          <w:instrText xml:space="preserve"> PAGEREF _Toc227927258 \h </w:instrText>
        </w:r>
        <w:r>
          <w:rPr>
            <w:noProof/>
            <w:webHidden/>
          </w:rPr>
        </w:r>
        <w:r>
          <w:rPr>
            <w:noProof/>
            <w:webHidden/>
          </w:rPr>
          <w:fldChar w:fldCharType="separate"/>
        </w:r>
        <w:r w:rsidR="002952B2">
          <w:rPr>
            <w:noProof/>
            <w:webHidden/>
          </w:rPr>
          <w:t>17</w:t>
        </w:r>
        <w:r>
          <w:rPr>
            <w:noProof/>
            <w:webHidden/>
          </w:rPr>
          <w:fldChar w:fldCharType="end"/>
        </w:r>
      </w:hyperlink>
    </w:p>
    <w:p w14:paraId="30E5543F" w14:textId="6D13C1C6" w:rsidR="00396EB6" w:rsidRDefault="00396EB6">
      <w:pPr>
        <w:pStyle w:val="TableofFigures"/>
        <w:tabs>
          <w:tab w:val="right" w:leader="dot" w:pos="9350"/>
        </w:tabs>
        <w:rPr>
          <w:rFonts w:asciiTheme="minorHAnsi" w:eastAsiaTheme="minorEastAsia" w:hAnsiTheme="minorHAnsi"/>
          <w:noProof/>
        </w:rPr>
      </w:pPr>
      <w:hyperlink w:anchor="_Toc227927259" w:history="1">
        <w:r w:rsidRPr="00721482">
          <w:rPr>
            <w:rStyle w:val="Hyperlink"/>
            <w:noProof/>
          </w:rPr>
          <w:t>Figure 19: Free Cash Flow</w:t>
        </w:r>
        <w:r>
          <w:rPr>
            <w:noProof/>
            <w:webHidden/>
          </w:rPr>
          <w:tab/>
        </w:r>
        <w:r>
          <w:rPr>
            <w:noProof/>
            <w:webHidden/>
          </w:rPr>
          <w:fldChar w:fldCharType="begin"/>
        </w:r>
        <w:r>
          <w:rPr>
            <w:noProof/>
            <w:webHidden/>
          </w:rPr>
          <w:instrText xml:space="preserve"> PAGEREF _Toc227927259 \h </w:instrText>
        </w:r>
        <w:r>
          <w:rPr>
            <w:noProof/>
            <w:webHidden/>
          </w:rPr>
        </w:r>
        <w:r>
          <w:rPr>
            <w:noProof/>
            <w:webHidden/>
          </w:rPr>
          <w:fldChar w:fldCharType="separate"/>
        </w:r>
        <w:r w:rsidR="002952B2">
          <w:rPr>
            <w:noProof/>
            <w:webHidden/>
          </w:rPr>
          <w:t>18</w:t>
        </w:r>
        <w:r>
          <w:rPr>
            <w:noProof/>
            <w:webHidden/>
          </w:rPr>
          <w:fldChar w:fldCharType="end"/>
        </w:r>
      </w:hyperlink>
    </w:p>
    <w:p w14:paraId="68DDB3E6" w14:textId="055F6E74" w:rsidR="00396EB6" w:rsidRDefault="00396EB6">
      <w:pPr>
        <w:pStyle w:val="TableofFigures"/>
        <w:tabs>
          <w:tab w:val="right" w:leader="dot" w:pos="9350"/>
        </w:tabs>
        <w:rPr>
          <w:rFonts w:asciiTheme="minorHAnsi" w:eastAsiaTheme="minorEastAsia" w:hAnsiTheme="minorHAnsi"/>
          <w:noProof/>
        </w:rPr>
      </w:pPr>
      <w:hyperlink w:anchor="_Toc227927260" w:history="1">
        <w:r w:rsidRPr="00721482">
          <w:rPr>
            <w:rStyle w:val="Hyperlink"/>
            <w:noProof/>
          </w:rPr>
          <w:t>Figure 20: Cash Flow Adequacy</w:t>
        </w:r>
        <w:r>
          <w:rPr>
            <w:noProof/>
            <w:webHidden/>
          </w:rPr>
          <w:tab/>
        </w:r>
        <w:r>
          <w:rPr>
            <w:noProof/>
            <w:webHidden/>
          </w:rPr>
          <w:fldChar w:fldCharType="begin"/>
        </w:r>
        <w:r>
          <w:rPr>
            <w:noProof/>
            <w:webHidden/>
          </w:rPr>
          <w:instrText xml:space="preserve"> PAGEREF _Toc227927260 \h </w:instrText>
        </w:r>
        <w:r>
          <w:rPr>
            <w:noProof/>
            <w:webHidden/>
          </w:rPr>
        </w:r>
        <w:r>
          <w:rPr>
            <w:noProof/>
            <w:webHidden/>
          </w:rPr>
          <w:fldChar w:fldCharType="separate"/>
        </w:r>
        <w:r w:rsidR="002952B2">
          <w:rPr>
            <w:noProof/>
            <w:webHidden/>
          </w:rPr>
          <w:t>18</w:t>
        </w:r>
        <w:r>
          <w:rPr>
            <w:noProof/>
            <w:webHidden/>
          </w:rPr>
          <w:fldChar w:fldCharType="end"/>
        </w:r>
      </w:hyperlink>
    </w:p>
    <w:p w14:paraId="1C4B758B" w14:textId="2ADA97FE" w:rsidR="00396EB6" w:rsidRDefault="00396EB6">
      <w:pPr>
        <w:pStyle w:val="TableofFigures"/>
        <w:tabs>
          <w:tab w:val="right" w:leader="dot" w:pos="9350"/>
        </w:tabs>
        <w:rPr>
          <w:rFonts w:asciiTheme="minorHAnsi" w:eastAsiaTheme="minorEastAsia" w:hAnsiTheme="minorHAnsi"/>
          <w:noProof/>
        </w:rPr>
      </w:pPr>
      <w:hyperlink w:anchor="_Toc227927261" w:history="1">
        <w:r w:rsidRPr="00721482">
          <w:rPr>
            <w:rStyle w:val="Hyperlink"/>
            <w:noProof/>
          </w:rPr>
          <w:t>Figure 21: Trends, Strengths and Threats</w:t>
        </w:r>
        <w:r>
          <w:rPr>
            <w:noProof/>
            <w:webHidden/>
          </w:rPr>
          <w:tab/>
        </w:r>
        <w:r>
          <w:rPr>
            <w:noProof/>
            <w:webHidden/>
          </w:rPr>
          <w:fldChar w:fldCharType="begin"/>
        </w:r>
        <w:r>
          <w:rPr>
            <w:noProof/>
            <w:webHidden/>
          </w:rPr>
          <w:instrText xml:space="preserve"> PAGEREF _Toc227927261 \h </w:instrText>
        </w:r>
        <w:r>
          <w:rPr>
            <w:noProof/>
            <w:webHidden/>
          </w:rPr>
        </w:r>
        <w:r>
          <w:rPr>
            <w:noProof/>
            <w:webHidden/>
          </w:rPr>
          <w:fldChar w:fldCharType="separate"/>
        </w:r>
        <w:r w:rsidR="002952B2">
          <w:rPr>
            <w:noProof/>
            <w:webHidden/>
          </w:rPr>
          <w:t>19</w:t>
        </w:r>
        <w:r>
          <w:rPr>
            <w:noProof/>
            <w:webHidden/>
          </w:rPr>
          <w:fldChar w:fldCharType="end"/>
        </w:r>
      </w:hyperlink>
    </w:p>
    <w:p w14:paraId="15E91A0F" w14:textId="3B0E9F37" w:rsidR="00396EB6" w:rsidRDefault="00396EB6">
      <w:pPr>
        <w:pStyle w:val="TableofFigures"/>
        <w:tabs>
          <w:tab w:val="right" w:leader="dot" w:pos="9350"/>
        </w:tabs>
        <w:rPr>
          <w:rFonts w:asciiTheme="minorHAnsi" w:eastAsiaTheme="minorEastAsia" w:hAnsiTheme="minorHAnsi"/>
          <w:noProof/>
        </w:rPr>
      </w:pPr>
      <w:hyperlink w:anchor="_Toc227927262" w:history="1">
        <w:r w:rsidRPr="00721482">
          <w:rPr>
            <w:rStyle w:val="Hyperlink"/>
            <w:noProof/>
          </w:rPr>
          <w:t>Figure 22: Cash Operating Cycle Data</w:t>
        </w:r>
        <w:r>
          <w:rPr>
            <w:noProof/>
            <w:webHidden/>
          </w:rPr>
          <w:tab/>
        </w:r>
        <w:r>
          <w:rPr>
            <w:noProof/>
            <w:webHidden/>
          </w:rPr>
          <w:fldChar w:fldCharType="begin"/>
        </w:r>
        <w:r>
          <w:rPr>
            <w:noProof/>
            <w:webHidden/>
          </w:rPr>
          <w:instrText xml:space="preserve"> PAGEREF _Toc227927262 \h </w:instrText>
        </w:r>
        <w:r>
          <w:rPr>
            <w:noProof/>
            <w:webHidden/>
          </w:rPr>
        </w:r>
        <w:r>
          <w:rPr>
            <w:noProof/>
            <w:webHidden/>
          </w:rPr>
          <w:fldChar w:fldCharType="separate"/>
        </w:r>
        <w:r w:rsidR="002952B2">
          <w:rPr>
            <w:noProof/>
            <w:webHidden/>
          </w:rPr>
          <w:t>20</w:t>
        </w:r>
        <w:r>
          <w:rPr>
            <w:noProof/>
            <w:webHidden/>
          </w:rPr>
          <w:fldChar w:fldCharType="end"/>
        </w:r>
      </w:hyperlink>
    </w:p>
    <w:p w14:paraId="2A996CA5" w14:textId="5FF206E1" w:rsidR="00396EB6" w:rsidRDefault="00396EB6">
      <w:pPr>
        <w:pStyle w:val="TableofFigures"/>
        <w:tabs>
          <w:tab w:val="right" w:leader="dot" w:pos="9350"/>
        </w:tabs>
        <w:rPr>
          <w:rFonts w:asciiTheme="minorHAnsi" w:eastAsiaTheme="minorEastAsia" w:hAnsiTheme="minorHAnsi"/>
          <w:noProof/>
        </w:rPr>
      </w:pPr>
      <w:hyperlink w:anchor="_Toc227927263" w:history="1">
        <w:r w:rsidRPr="00721482">
          <w:rPr>
            <w:rStyle w:val="Hyperlink"/>
            <w:noProof/>
          </w:rPr>
          <w:t>Figure 23: Cash Conversion Cycle (CCC)</w:t>
        </w:r>
        <w:r>
          <w:rPr>
            <w:noProof/>
            <w:webHidden/>
          </w:rPr>
          <w:tab/>
        </w:r>
        <w:r>
          <w:rPr>
            <w:noProof/>
            <w:webHidden/>
          </w:rPr>
          <w:fldChar w:fldCharType="begin"/>
        </w:r>
        <w:r>
          <w:rPr>
            <w:noProof/>
            <w:webHidden/>
          </w:rPr>
          <w:instrText xml:space="preserve"> PAGEREF _Toc227927263 \h </w:instrText>
        </w:r>
        <w:r>
          <w:rPr>
            <w:noProof/>
            <w:webHidden/>
          </w:rPr>
        </w:r>
        <w:r>
          <w:rPr>
            <w:noProof/>
            <w:webHidden/>
          </w:rPr>
          <w:fldChar w:fldCharType="separate"/>
        </w:r>
        <w:r w:rsidR="002952B2">
          <w:rPr>
            <w:noProof/>
            <w:webHidden/>
          </w:rPr>
          <w:t>20</w:t>
        </w:r>
        <w:r>
          <w:rPr>
            <w:noProof/>
            <w:webHidden/>
          </w:rPr>
          <w:fldChar w:fldCharType="end"/>
        </w:r>
      </w:hyperlink>
    </w:p>
    <w:p w14:paraId="5AE9BC73" w14:textId="64C8A2C0" w:rsidR="00396EB6" w:rsidRDefault="00396EB6">
      <w:pPr>
        <w:pStyle w:val="TableofFigures"/>
        <w:tabs>
          <w:tab w:val="right" w:leader="dot" w:pos="9350"/>
        </w:tabs>
        <w:rPr>
          <w:rFonts w:asciiTheme="minorHAnsi" w:eastAsiaTheme="minorEastAsia" w:hAnsiTheme="minorHAnsi"/>
          <w:noProof/>
        </w:rPr>
      </w:pPr>
      <w:hyperlink w:anchor="_Toc227927264" w:history="1">
        <w:r w:rsidRPr="00721482">
          <w:rPr>
            <w:rStyle w:val="Hyperlink"/>
            <w:noProof/>
          </w:rPr>
          <w:t>Figure 24: Just-In-Time (JIT)</w:t>
        </w:r>
        <w:r>
          <w:rPr>
            <w:noProof/>
            <w:webHidden/>
          </w:rPr>
          <w:tab/>
        </w:r>
        <w:r>
          <w:rPr>
            <w:noProof/>
            <w:webHidden/>
          </w:rPr>
          <w:fldChar w:fldCharType="begin"/>
        </w:r>
        <w:r>
          <w:rPr>
            <w:noProof/>
            <w:webHidden/>
          </w:rPr>
          <w:instrText xml:space="preserve"> PAGEREF _Toc227927264 \h </w:instrText>
        </w:r>
        <w:r>
          <w:rPr>
            <w:noProof/>
            <w:webHidden/>
          </w:rPr>
        </w:r>
        <w:r>
          <w:rPr>
            <w:noProof/>
            <w:webHidden/>
          </w:rPr>
          <w:fldChar w:fldCharType="separate"/>
        </w:r>
        <w:r w:rsidR="002952B2">
          <w:rPr>
            <w:noProof/>
            <w:webHidden/>
          </w:rPr>
          <w:t>22</w:t>
        </w:r>
        <w:r>
          <w:rPr>
            <w:noProof/>
            <w:webHidden/>
          </w:rPr>
          <w:fldChar w:fldCharType="end"/>
        </w:r>
      </w:hyperlink>
    </w:p>
    <w:p w14:paraId="53EF5EB1" w14:textId="49D75B2B" w:rsidR="00396EB6" w:rsidRDefault="00396EB6">
      <w:pPr>
        <w:pStyle w:val="TableofFigures"/>
        <w:tabs>
          <w:tab w:val="right" w:leader="dot" w:pos="9350"/>
        </w:tabs>
        <w:rPr>
          <w:rFonts w:asciiTheme="minorHAnsi" w:eastAsiaTheme="minorEastAsia" w:hAnsiTheme="minorHAnsi"/>
          <w:noProof/>
        </w:rPr>
      </w:pPr>
      <w:hyperlink w:anchor="_Toc227927265" w:history="1">
        <w:r w:rsidRPr="00721482">
          <w:rPr>
            <w:rStyle w:val="Hyperlink"/>
            <w:noProof/>
          </w:rPr>
          <w:t>Figure 25: Receivables Management</w:t>
        </w:r>
        <w:r>
          <w:rPr>
            <w:noProof/>
            <w:webHidden/>
          </w:rPr>
          <w:tab/>
        </w:r>
        <w:r>
          <w:rPr>
            <w:noProof/>
            <w:webHidden/>
          </w:rPr>
          <w:fldChar w:fldCharType="begin"/>
        </w:r>
        <w:r>
          <w:rPr>
            <w:noProof/>
            <w:webHidden/>
          </w:rPr>
          <w:instrText xml:space="preserve"> PAGEREF _Toc227927265 \h </w:instrText>
        </w:r>
        <w:r>
          <w:rPr>
            <w:noProof/>
            <w:webHidden/>
          </w:rPr>
        </w:r>
        <w:r>
          <w:rPr>
            <w:noProof/>
            <w:webHidden/>
          </w:rPr>
          <w:fldChar w:fldCharType="separate"/>
        </w:r>
        <w:r w:rsidR="002952B2">
          <w:rPr>
            <w:noProof/>
            <w:webHidden/>
          </w:rPr>
          <w:t>22</w:t>
        </w:r>
        <w:r>
          <w:rPr>
            <w:noProof/>
            <w:webHidden/>
          </w:rPr>
          <w:fldChar w:fldCharType="end"/>
        </w:r>
      </w:hyperlink>
    </w:p>
    <w:p w14:paraId="2110A11E" w14:textId="2C5A16BD" w:rsidR="00396EB6" w:rsidRDefault="00396EB6">
      <w:pPr>
        <w:pStyle w:val="TableofFigures"/>
        <w:tabs>
          <w:tab w:val="right" w:leader="dot" w:pos="9350"/>
        </w:tabs>
        <w:rPr>
          <w:rFonts w:asciiTheme="minorHAnsi" w:eastAsiaTheme="minorEastAsia" w:hAnsiTheme="minorHAnsi"/>
          <w:noProof/>
        </w:rPr>
      </w:pPr>
      <w:hyperlink w:anchor="_Toc227927266" w:history="1">
        <w:r w:rsidRPr="00721482">
          <w:rPr>
            <w:rStyle w:val="Hyperlink"/>
            <w:noProof/>
          </w:rPr>
          <w:t>Figure 26: Supplier Negotiations</w:t>
        </w:r>
        <w:r>
          <w:rPr>
            <w:noProof/>
            <w:webHidden/>
          </w:rPr>
          <w:tab/>
        </w:r>
        <w:r>
          <w:rPr>
            <w:noProof/>
            <w:webHidden/>
          </w:rPr>
          <w:fldChar w:fldCharType="begin"/>
        </w:r>
        <w:r>
          <w:rPr>
            <w:noProof/>
            <w:webHidden/>
          </w:rPr>
          <w:instrText xml:space="preserve"> PAGEREF _Toc227927266 \h </w:instrText>
        </w:r>
        <w:r>
          <w:rPr>
            <w:noProof/>
            <w:webHidden/>
          </w:rPr>
        </w:r>
        <w:r>
          <w:rPr>
            <w:noProof/>
            <w:webHidden/>
          </w:rPr>
          <w:fldChar w:fldCharType="separate"/>
        </w:r>
        <w:r w:rsidR="002952B2">
          <w:rPr>
            <w:noProof/>
            <w:webHidden/>
          </w:rPr>
          <w:t>23</w:t>
        </w:r>
        <w:r>
          <w:rPr>
            <w:noProof/>
            <w:webHidden/>
          </w:rPr>
          <w:fldChar w:fldCharType="end"/>
        </w:r>
      </w:hyperlink>
    </w:p>
    <w:p w14:paraId="1601B632" w14:textId="500456CF" w:rsidR="00396EB6" w:rsidRDefault="00396EB6">
      <w:pPr>
        <w:pStyle w:val="TableofFigures"/>
        <w:tabs>
          <w:tab w:val="right" w:leader="dot" w:pos="9350"/>
        </w:tabs>
        <w:rPr>
          <w:rFonts w:asciiTheme="minorHAnsi" w:eastAsiaTheme="minorEastAsia" w:hAnsiTheme="minorHAnsi"/>
          <w:noProof/>
        </w:rPr>
      </w:pPr>
      <w:hyperlink w:anchor="_Toc227927267" w:history="1">
        <w:r w:rsidRPr="00721482">
          <w:rPr>
            <w:rStyle w:val="Hyperlink"/>
            <w:noProof/>
          </w:rPr>
          <w:t>Figure 27: Working Capital Management Strategies for Growing Businesses</w:t>
        </w:r>
        <w:r>
          <w:rPr>
            <w:noProof/>
            <w:webHidden/>
          </w:rPr>
          <w:tab/>
        </w:r>
        <w:r>
          <w:rPr>
            <w:noProof/>
            <w:webHidden/>
          </w:rPr>
          <w:fldChar w:fldCharType="begin"/>
        </w:r>
        <w:r>
          <w:rPr>
            <w:noProof/>
            <w:webHidden/>
          </w:rPr>
          <w:instrText xml:space="preserve"> PAGEREF _Toc227927267 \h </w:instrText>
        </w:r>
        <w:r>
          <w:rPr>
            <w:noProof/>
            <w:webHidden/>
          </w:rPr>
        </w:r>
        <w:r>
          <w:rPr>
            <w:noProof/>
            <w:webHidden/>
          </w:rPr>
          <w:fldChar w:fldCharType="separate"/>
        </w:r>
        <w:r w:rsidR="002952B2">
          <w:rPr>
            <w:noProof/>
            <w:webHidden/>
          </w:rPr>
          <w:t>23</w:t>
        </w:r>
        <w:r>
          <w:rPr>
            <w:noProof/>
            <w:webHidden/>
          </w:rPr>
          <w:fldChar w:fldCharType="end"/>
        </w:r>
      </w:hyperlink>
    </w:p>
    <w:p w14:paraId="5AB75BC7" w14:textId="2C518D93" w:rsidR="00396EB6" w:rsidRDefault="00396EB6">
      <w:pPr>
        <w:pStyle w:val="TableofFigures"/>
        <w:tabs>
          <w:tab w:val="right" w:leader="dot" w:pos="9350"/>
        </w:tabs>
        <w:rPr>
          <w:rFonts w:asciiTheme="minorHAnsi" w:eastAsiaTheme="minorEastAsia" w:hAnsiTheme="minorHAnsi"/>
          <w:noProof/>
        </w:rPr>
      </w:pPr>
      <w:hyperlink w:anchor="_Toc227927268" w:history="1">
        <w:r w:rsidRPr="00721482">
          <w:rPr>
            <w:rStyle w:val="Hyperlink"/>
            <w:noProof/>
          </w:rPr>
          <w:t>Figure 28: Short Term Loan</w:t>
        </w:r>
        <w:r>
          <w:rPr>
            <w:noProof/>
            <w:webHidden/>
          </w:rPr>
          <w:tab/>
        </w:r>
        <w:r>
          <w:rPr>
            <w:noProof/>
            <w:webHidden/>
          </w:rPr>
          <w:fldChar w:fldCharType="begin"/>
        </w:r>
        <w:r>
          <w:rPr>
            <w:noProof/>
            <w:webHidden/>
          </w:rPr>
          <w:instrText xml:space="preserve"> PAGEREF _Toc227927268 \h </w:instrText>
        </w:r>
        <w:r>
          <w:rPr>
            <w:noProof/>
            <w:webHidden/>
          </w:rPr>
        </w:r>
        <w:r>
          <w:rPr>
            <w:noProof/>
            <w:webHidden/>
          </w:rPr>
          <w:fldChar w:fldCharType="separate"/>
        </w:r>
        <w:r w:rsidR="002952B2">
          <w:rPr>
            <w:noProof/>
            <w:webHidden/>
          </w:rPr>
          <w:t>24</w:t>
        </w:r>
        <w:r>
          <w:rPr>
            <w:noProof/>
            <w:webHidden/>
          </w:rPr>
          <w:fldChar w:fldCharType="end"/>
        </w:r>
      </w:hyperlink>
    </w:p>
    <w:p w14:paraId="4748C34D" w14:textId="583FEE95" w:rsidR="00396EB6" w:rsidRDefault="00396EB6">
      <w:pPr>
        <w:pStyle w:val="TableofFigures"/>
        <w:tabs>
          <w:tab w:val="right" w:leader="dot" w:pos="9350"/>
        </w:tabs>
        <w:rPr>
          <w:rFonts w:asciiTheme="minorHAnsi" w:eastAsiaTheme="minorEastAsia" w:hAnsiTheme="minorHAnsi"/>
          <w:noProof/>
        </w:rPr>
      </w:pPr>
      <w:hyperlink w:anchor="_Toc227927269" w:history="1">
        <w:r w:rsidRPr="00721482">
          <w:rPr>
            <w:rStyle w:val="Hyperlink"/>
            <w:noProof/>
          </w:rPr>
          <w:t>Figure 29: Equity Financing</w:t>
        </w:r>
        <w:r>
          <w:rPr>
            <w:noProof/>
            <w:webHidden/>
          </w:rPr>
          <w:tab/>
        </w:r>
        <w:r>
          <w:rPr>
            <w:noProof/>
            <w:webHidden/>
          </w:rPr>
          <w:fldChar w:fldCharType="begin"/>
        </w:r>
        <w:r>
          <w:rPr>
            <w:noProof/>
            <w:webHidden/>
          </w:rPr>
          <w:instrText xml:space="preserve"> PAGEREF _Toc227927269 \h </w:instrText>
        </w:r>
        <w:r>
          <w:rPr>
            <w:noProof/>
            <w:webHidden/>
          </w:rPr>
        </w:r>
        <w:r>
          <w:rPr>
            <w:noProof/>
            <w:webHidden/>
          </w:rPr>
          <w:fldChar w:fldCharType="separate"/>
        </w:r>
        <w:r w:rsidR="002952B2">
          <w:rPr>
            <w:noProof/>
            <w:webHidden/>
          </w:rPr>
          <w:t>25</w:t>
        </w:r>
        <w:r>
          <w:rPr>
            <w:noProof/>
            <w:webHidden/>
          </w:rPr>
          <w:fldChar w:fldCharType="end"/>
        </w:r>
      </w:hyperlink>
    </w:p>
    <w:p w14:paraId="4D792AED" w14:textId="40583E34" w:rsidR="00396EB6" w:rsidRDefault="00396EB6">
      <w:pPr>
        <w:pStyle w:val="TableofFigures"/>
        <w:tabs>
          <w:tab w:val="right" w:leader="dot" w:pos="9350"/>
        </w:tabs>
        <w:rPr>
          <w:rFonts w:asciiTheme="minorHAnsi" w:eastAsiaTheme="minorEastAsia" w:hAnsiTheme="minorHAnsi"/>
          <w:noProof/>
        </w:rPr>
      </w:pPr>
      <w:hyperlink w:anchor="_Toc227927270" w:history="1">
        <w:r w:rsidRPr="00721482">
          <w:rPr>
            <w:rStyle w:val="Hyperlink"/>
            <w:noProof/>
          </w:rPr>
          <w:t>Figure 30: Importance of Cash Conversion Cycle</w:t>
        </w:r>
        <w:r>
          <w:rPr>
            <w:noProof/>
            <w:webHidden/>
          </w:rPr>
          <w:tab/>
        </w:r>
        <w:r>
          <w:rPr>
            <w:noProof/>
            <w:webHidden/>
          </w:rPr>
          <w:fldChar w:fldCharType="begin"/>
        </w:r>
        <w:r>
          <w:rPr>
            <w:noProof/>
            <w:webHidden/>
          </w:rPr>
          <w:instrText xml:space="preserve"> PAGEREF _Toc227927270 \h </w:instrText>
        </w:r>
        <w:r>
          <w:rPr>
            <w:noProof/>
            <w:webHidden/>
          </w:rPr>
        </w:r>
        <w:r>
          <w:rPr>
            <w:noProof/>
            <w:webHidden/>
          </w:rPr>
          <w:fldChar w:fldCharType="separate"/>
        </w:r>
        <w:r w:rsidR="002952B2">
          <w:rPr>
            <w:noProof/>
            <w:webHidden/>
          </w:rPr>
          <w:t>25</w:t>
        </w:r>
        <w:r>
          <w:rPr>
            <w:noProof/>
            <w:webHidden/>
          </w:rPr>
          <w:fldChar w:fldCharType="end"/>
        </w:r>
      </w:hyperlink>
    </w:p>
    <w:p w14:paraId="3C70AAA7" w14:textId="6E87FFAE" w:rsidR="00396EB6" w:rsidRDefault="00396EB6">
      <w:pPr>
        <w:pStyle w:val="TableofFigures"/>
        <w:tabs>
          <w:tab w:val="right" w:leader="dot" w:pos="9350"/>
        </w:tabs>
        <w:rPr>
          <w:rFonts w:asciiTheme="minorHAnsi" w:eastAsiaTheme="minorEastAsia" w:hAnsiTheme="minorHAnsi"/>
          <w:noProof/>
        </w:rPr>
      </w:pPr>
      <w:hyperlink w:anchor="_Toc227927271" w:history="1">
        <w:r w:rsidRPr="00721482">
          <w:rPr>
            <w:rStyle w:val="Hyperlink"/>
            <w:noProof/>
          </w:rPr>
          <w:t>Figure 31: Tips for Managing Working Capital Effectively</w:t>
        </w:r>
        <w:r>
          <w:rPr>
            <w:noProof/>
            <w:webHidden/>
          </w:rPr>
          <w:tab/>
        </w:r>
        <w:r>
          <w:rPr>
            <w:noProof/>
            <w:webHidden/>
          </w:rPr>
          <w:fldChar w:fldCharType="begin"/>
        </w:r>
        <w:r>
          <w:rPr>
            <w:noProof/>
            <w:webHidden/>
          </w:rPr>
          <w:instrText xml:space="preserve"> PAGEREF _Toc227927271 \h </w:instrText>
        </w:r>
        <w:r>
          <w:rPr>
            <w:noProof/>
            <w:webHidden/>
          </w:rPr>
        </w:r>
        <w:r>
          <w:rPr>
            <w:noProof/>
            <w:webHidden/>
          </w:rPr>
          <w:fldChar w:fldCharType="separate"/>
        </w:r>
        <w:r w:rsidR="002952B2">
          <w:rPr>
            <w:noProof/>
            <w:webHidden/>
          </w:rPr>
          <w:t>26</w:t>
        </w:r>
        <w:r>
          <w:rPr>
            <w:noProof/>
            <w:webHidden/>
          </w:rPr>
          <w:fldChar w:fldCharType="end"/>
        </w:r>
      </w:hyperlink>
    </w:p>
    <w:p w14:paraId="494F995E" w14:textId="36616FE0" w:rsidR="00396EB6" w:rsidRDefault="00396EB6">
      <w:pPr>
        <w:pStyle w:val="TableofFigures"/>
        <w:tabs>
          <w:tab w:val="right" w:leader="dot" w:pos="9350"/>
        </w:tabs>
        <w:rPr>
          <w:rFonts w:asciiTheme="minorHAnsi" w:eastAsiaTheme="minorEastAsia" w:hAnsiTheme="minorHAnsi"/>
          <w:noProof/>
        </w:rPr>
      </w:pPr>
      <w:hyperlink w:anchor="_Toc227927272" w:history="1">
        <w:r w:rsidRPr="00721482">
          <w:rPr>
            <w:rStyle w:val="Hyperlink"/>
            <w:noProof/>
          </w:rPr>
          <w:t>Figure 32: Divestiture</w:t>
        </w:r>
        <w:r>
          <w:rPr>
            <w:noProof/>
            <w:webHidden/>
          </w:rPr>
          <w:tab/>
        </w:r>
        <w:r>
          <w:rPr>
            <w:noProof/>
            <w:webHidden/>
          </w:rPr>
          <w:fldChar w:fldCharType="begin"/>
        </w:r>
        <w:r>
          <w:rPr>
            <w:noProof/>
            <w:webHidden/>
          </w:rPr>
          <w:instrText xml:space="preserve"> PAGEREF _Toc227927272 \h </w:instrText>
        </w:r>
        <w:r>
          <w:rPr>
            <w:noProof/>
            <w:webHidden/>
          </w:rPr>
        </w:r>
        <w:r>
          <w:rPr>
            <w:noProof/>
            <w:webHidden/>
          </w:rPr>
          <w:fldChar w:fldCharType="separate"/>
        </w:r>
        <w:r w:rsidR="002952B2">
          <w:rPr>
            <w:noProof/>
            <w:webHidden/>
          </w:rPr>
          <w:t>27</w:t>
        </w:r>
        <w:r>
          <w:rPr>
            <w:noProof/>
            <w:webHidden/>
          </w:rPr>
          <w:fldChar w:fldCharType="end"/>
        </w:r>
      </w:hyperlink>
    </w:p>
    <w:p w14:paraId="0DBB76AE" w14:textId="4D53432D" w:rsidR="00396EB6" w:rsidRDefault="00396EB6">
      <w:pPr>
        <w:pStyle w:val="TableofFigures"/>
        <w:tabs>
          <w:tab w:val="right" w:leader="dot" w:pos="9350"/>
        </w:tabs>
        <w:rPr>
          <w:rFonts w:asciiTheme="minorHAnsi" w:eastAsiaTheme="minorEastAsia" w:hAnsiTheme="minorHAnsi"/>
          <w:noProof/>
        </w:rPr>
      </w:pPr>
      <w:hyperlink w:anchor="_Toc227927273" w:history="1">
        <w:r w:rsidRPr="00721482">
          <w:rPr>
            <w:rStyle w:val="Hyperlink"/>
            <w:noProof/>
          </w:rPr>
          <w:t>Figure 33: Create Divestiture</w:t>
        </w:r>
        <w:r>
          <w:rPr>
            <w:noProof/>
            <w:webHidden/>
          </w:rPr>
          <w:tab/>
        </w:r>
        <w:r>
          <w:rPr>
            <w:noProof/>
            <w:webHidden/>
          </w:rPr>
          <w:fldChar w:fldCharType="begin"/>
        </w:r>
        <w:r>
          <w:rPr>
            <w:noProof/>
            <w:webHidden/>
          </w:rPr>
          <w:instrText xml:space="preserve"> PAGEREF _Toc227927273 \h </w:instrText>
        </w:r>
        <w:r>
          <w:rPr>
            <w:noProof/>
            <w:webHidden/>
          </w:rPr>
        </w:r>
        <w:r>
          <w:rPr>
            <w:noProof/>
            <w:webHidden/>
          </w:rPr>
          <w:fldChar w:fldCharType="separate"/>
        </w:r>
        <w:r w:rsidR="002952B2">
          <w:rPr>
            <w:noProof/>
            <w:webHidden/>
          </w:rPr>
          <w:t>27</w:t>
        </w:r>
        <w:r>
          <w:rPr>
            <w:noProof/>
            <w:webHidden/>
          </w:rPr>
          <w:fldChar w:fldCharType="end"/>
        </w:r>
      </w:hyperlink>
    </w:p>
    <w:p w14:paraId="6BC4A848" w14:textId="0473A34E" w:rsidR="00396EB6" w:rsidRDefault="00396EB6">
      <w:pPr>
        <w:pStyle w:val="TableofFigures"/>
        <w:tabs>
          <w:tab w:val="right" w:leader="dot" w:pos="9350"/>
        </w:tabs>
        <w:rPr>
          <w:rFonts w:asciiTheme="minorHAnsi" w:eastAsiaTheme="minorEastAsia" w:hAnsiTheme="minorHAnsi"/>
          <w:noProof/>
        </w:rPr>
      </w:pPr>
      <w:hyperlink w:anchor="_Toc227927274" w:history="1">
        <w:r w:rsidRPr="00721482">
          <w:rPr>
            <w:rStyle w:val="Hyperlink"/>
            <w:noProof/>
          </w:rPr>
          <w:t>Figure 34: Strategy of M&amp;A</w:t>
        </w:r>
        <w:r>
          <w:rPr>
            <w:noProof/>
            <w:webHidden/>
          </w:rPr>
          <w:tab/>
        </w:r>
        <w:r>
          <w:rPr>
            <w:noProof/>
            <w:webHidden/>
          </w:rPr>
          <w:fldChar w:fldCharType="begin"/>
        </w:r>
        <w:r>
          <w:rPr>
            <w:noProof/>
            <w:webHidden/>
          </w:rPr>
          <w:instrText xml:space="preserve"> PAGEREF _Toc227927274 \h </w:instrText>
        </w:r>
        <w:r>
          <w:rPr>
            <w:noProof/>
            <w:webHidden/>
          </w:rPr>
        </w:r>
        <w:r>
          <w:rPr>
            <w:noProof/>
            <w:webHidden/>
          </w:rPr>
          <w:fldChar w:fldCharType="separate"/>
        </w:r>
        <w:r w:rsidR="002952B2">
          <w:rPr>
            <w:noProof/>
            <w:webHidden/>
          </w:rPr>
          <w:t>28</w:t>
        </w:r>
        <w:r>
          <w:rPr>
            <w:noProof/>
            <w:webHidden/>
          </w:rPr>
          <w:fldChar w:fldCharType="end"/>
        </w:r>
      </w:hyperlink>
    </w:p>
    <w:p w14:paraId="7278BF66" w14:textId="0C8B72DC" w:rsidR="00396EB6" w:rsidRDefault="00396EB6">
      <w:pPr>
        <w:pStyle w:val="TableofFigures"/>
        <w:tabs>
          <w:tab w:val="right" w:leader="dot" w:pos="9350"/>
        </w:tabs>
        <w:rPr>
          <w:rFonts w:asciiTheme="minorHAnsi" w:eastAsiaTheme="minorEastAsia" w:hAnsiTheme="minorHAnsi"/>
          <w:noProof/>
        </w:rPr>
      </w:pPr>
      <w:hyperlink w:anchor="_Toc227927275" w:history="1">
        <w:r w:rsidRPr="00721482">
          <w:rPr>
            <w:rStyle w:val="Hyperlink"/>
            <w:noProof/>
          </w:rPr>
          <w:t>Figure 35: Technology in Business</w:t>
        </w:r>
        <w:r>
          <w:rPr>
            <w:noProof/>
            <w:webHidden/>
          </w:rPr>
          <w:tab/>
        </w:r>
        <w:r>
          <w:rPr>
            <w:noProof/>
            <w:webHidden/>
          </w:rPr>
          <w:fldChar w:fldCharType="begin"/>
        </w:r>
        <w:r>
          <w:rPr>
            <w:noProof/>
            <w:webHidden/>
          </w:rPr>
          <w:instrText xml:space="preserve"> PAGEREF _Toc227927275 \h </w:instrText>
        </w:r>
        <w:r>
          <w:rPr>
            <w:noProof/>
            <w:webHidden/>
          </w:rPr>
        </w:r>
        <w:r>
          <w:rPr>
            <w:noProof/>
            <w:webHidden/>
          </w:rPr>
          <w:fldChar w:fldCharType="separate"/>
        </w:r>
        <w:r w:rsidR="002952B2">
          <w:rPr>
            <w:noProof/>
            <w:webHidden/>
          </w:rPr>
          <w:t>28</w:t>
        </w:r>
        <w:r>
          <w:rPr>
            <w:noProof/>
            <w:webHidden/>
          </w:rPr>
          <w:fldChar w:fldCharType="end"/>
        </w:r>
      </w:hyperlink>
    </w:p>
    <w:p w14:paraId="1D53A5F7" w14:textId="1CB5FBFD" w:rsidR="00396EB6" w:rsidRDefault="00396EB6">
      <w:pPr>
        <w:pStyle w:val="TableofFigures"/>
        <w:tabs>
          <w:tab w:val="right" w:leader="dot" w:pos="9350"/>
        </w:tabs>
        <w:rPr>
          <w:rFonts w:asciiTheme="minorHAnsi" w:eastAsiaTheme="minorEastAsia" w:hAnsiTheme="minorHAnsi"/>
          <w:noProof/>
        </w:rPr>
      </w:pPr>
      <w:hyperlink w:anchor="_Toc227927276" w:history="1">
        <w:r w:rsidRPr="00721482">
          <w:rPr>
            <w:rStyle w:val="Hyperlink"/>
            <w:noProof/>
          </w:rPr>
          <w:t>Figure 36: Capital Injection</w:t>
        </w:r>
        <w:r>
          <w:rPr>
            <w:noProof/>
            <w:webHidden/>
          </w:rPr>
          <w:tab/>
        </w:r>
        <w:r>
          <w:rPr>
            <w:noProof/>
            <w:webHidden/>
          </w:rPr>
          <w:fldChar w:fldCharType="begin"/>
        </w:r>
        <w:r>
          <w:rPr>
            <w:noProof/>
            <w:webHidden/>
          </w:rPr>
          <w:instrText xml:space="preserve"> PAGEREF _Toc227927276 \h </w:instrText>
        </w:r>
        <w:r>
          <w:rPr>
            <w:noProof/>
            <w:webHidden/>
          </w:rPr>
        </w:r>
        <w:r>
          <w:rPr>
            <w:noProof/>
            <w:webHidden/>
          </w:rPr>
          <w:fldChar w:fldCharType="separate"/>
        </w:r>
        <w:r w:rsidR="002952B2">
          <w:rPr>
            <w:noProof/>
            <w:webHidden/>
          </w:rPr>
          <w:t>29</w:t>
        </w:r>
        <w:r>
          <w:rPr>
            <w:noProof/>
            <w:webHidden/>
          </w:rPr>
          <w:fldChar w:fldCharType="end"/>
        </w:r>
      </w:hyperlink>
    </w:p>
    <w:p w14:paraId="2D12BC97" w14:textId="2B28B630" w:rsidR="00396EB6" w:rsidRDefault="00396EB6">
      <w:pPr>
        <w:pStyle w:val="TableofFigures"/>
        <w:tabs>
          <w:tab w:val="right" w:leader="dot" w:pos="9350"/>
        </w:tabs>
        <w:rPr>
          <w:rFonts w:asciiTheme="minorHAnsi" w:eastAsiaTheme="minorEastAsia" w:hAnsiTheme="minorHAnsi"/>
          <w:noProof/>
        </w:rPr>
      </w:pPr>
      <w:hyperlink w:anchor="_Toc227927277" w:history="1">
        <w:r w:rsidRPr="00721482">
          <w:rPr>
            <w:rStyle w:val="Hyperlink"/>
            <w:noProof/>
          </w:rPr>
          <w:t>Figure 37: Shareholder Value</w:t>
        </w:r>
        <w:r>
          <w:rPr>
            <w:noProof/>
            <w:webHidden/>
          </w:rPr>
          <w:tab/>
        </w:r>
        <w:r>
          <w:rPr>
            <w:noProof/>
            <w:webHidden/>
          </w:rPr>
          <w:fldChar w:fldCharType="begin"/>
        </w:r>
        <w:r>
          <w:rPr>
            <w:noProof/>
            <w:webHidden/>
          </w:rPr>
          <w:instrText xml:space="preserve"> PAGEREF _Toc227927277 \h </w:instrText>
        </w:r>
        <w:r>
          <w:rPr>
            <w:noProof/>
            <w:webHidden/>
          </w:rPr>
        </w:r>
        <w:r>
          <w:rPr>
            <w:noProof/>
            <w:webHidden/>
          </w:rPr>
          <w:fldChar w:fldCharType="separate"/>
        </w:r>
        <w:r w:rsidR="002952B2">
          <w:rPr>
            <w:noProof/>
            <w:webHidden/>
          </w:rPr>
          <w:t>30</w:t>
        </w:r>
        <w:r>
          <w:rPr>
            <w:noProof/>
            <w:webHidden/>
          </w:rPr>
          <w:fldChar w:fldCharType="end"/>
        </w:r>
      </w:hyperlink>
    </w:p>
    <w:p w14:paraId="42D9A7C0" w14:textId="254826A0" w:rsidR="00396EB6" w:rsidRDefault="00396EB6">
      <w:pPr>
        <w:pStyle w:val="TableofFigures"/>
        <w:tabs>
          <w:tab w:val="right" w:leader="dot" w:pos="9350"/>
        </w:tabs>
        <w:rPr>
          <w:rFonts w:asciiTheme="minorHAnsi" w:eastAsiaTheme="minorEastAsia" w:hAnsiTheme="minorHAnsi"/>
          <w:noProof/>
        </w:rPr>
      </w:pPr>
      <w:hyperlink w:anchor="_Toc227927278" w:history="1">
        <w:r w:rsidRPr="00721482">
          <w:rPr>
            <w:rStyle w:val="Hyperlink"/>
            <w:noProof/>
          </w:rPr>
          <w:t>Figure 38: Debt Structure</w:t>
        </w:r>
        <w:r>
          <w:rPr>
            <w:noProof/>
            <w:webHidden/>
          </w:rPr>
          <w:tab/>
        </w:r>
        <w:r>
          <w:rPr>
            <w:noProof/>
            <w:webHidden/>
          </w:rPr>
          <w:fldChar w:fldCharType="begin"/>
        </w:r>
        <w:r>
          <w:rPr>
            <w:noProof/>
            <w:webHidden/>
          </w:rPr>
          <w:instrText xml:space="preserve"> PAGEREF _Toc227927278 \h </w:instrText>
        </w:r>
        <w:r>
          <w:rPr>
            <w:noProof/>
            <w:webHidden/>
          </w:rPr>
        </w:r>
        <w:r>
          <w:rPr>
            <w:noProof/>
            <w:webHidden/>
          </w:rPr>
          <w:fldChar w:fldCharType="separate"/>
        </w:r>
        <w:r w:rsidR="002952B2">
          <w:rPr>
            <w:noProof/>
            <w:webHidden/>
          </w:rPr>
          <w:t>31</w:t>
        </w:r>
        <w:r>
          <w:rPr>
            <w:noProof/>
            <w:webHidden/>
          </w:rPr>
          <w:fldChar w:fldCharType="end"/>
        </w:r>
      </w:hyperlink>
    </w:p>
    <w:p w14:paraId="330541C0" w14:textId="4D570EED" w:rsidR="00396EB6" w:rsidRDefault="00396EB6">
      <w:pPr>
        <w:pStyle w:val="TableofFigures"/>
        <w:tabs>
          <w:tab w:val="right" w:leader="dot" w:pos="9350"/>
        </w:tabs>
        <w:rPr>
          <w:rFonts w:asciiTheme="minorHAnsi" w:eastAsiaTheme="minorEastAsia" w:hAnsiTheme="minorHAnsi"/>
          <w:noProof/>
        </w:rPr>
      </w:pPr>
      <w:hyperlink w:anchor="_Toc227927279" w:history="1">
        <w:r w:rsidRPr="00721482">
          <w:rPr>
            <w:rStyle w:val="Hyperlink"/>
            <w:noProof/>
          </w:rPr>
          <w:t>Figure 39: Electric Vehicles Sector</w:t>
        </w:r>
        <w:r>
          <w:rPr>
            <w:noProof/>
            <w:webHidden/>
          </w:rPr>
          <w:tab/>
        </w:r>
        <w:r>
          <w:rPr>
            <w:noProof/>
            <w:webHidden/>
          </w:rPr>
          <w:fldChar w:fldCharType="begin"/>
        </w:r>
        <w:r>
          <w:rPr>
            <w:noProof/>
            <w:webHidden/>
          </w:rPr>
          <w:instrText xml:space="preserve"> PAGEREF _Toc227927279 \h </w:instrText>
        </w:r>
        <w:r>
          <w:rPr>
            <w:noProof/>
            <w:webHidden/>
          </w:rPr>
        </w:r>
        <w:r>
          <w:rPr>
            <w:noProof/>
            <w:webHidden/>
          </w:rPr>
          <w:fldChar w:fldCharType="separate"/>
        </w:r>
        <w:r w:rsidR="002952B2">
          <w:rPr>
            <w:noProof/>
            <w:webHidden/>
          </w:rPr>
          <w:t>31</w:t>
        </w:r>
        <w:r>
          <w:rPr>
            <w:noProof/>
            <w:webHidden/>
          </w:rPr>
          <w:fldChar w:fldCharType="end"/>
        </w:r>
      </w:hyperlink>
    </w:p>
    <w:p w14:paraId="6BB823C9" w14:textId="1BC1BE88" w:rsidR="00396EB6" w:rsidRDefault="00396EB6">
      <w:pPr>
        <w:pStyle w:val="TableofFigures"/>
        <w:tabs>
          <w:tab w:val="right" w:leader="dot" w:pos="9350"/>
        </w:tabs>
        <w:rPr>
          <w:rFonts w:asciiTheme="minorHAnsi" w:eastAsiaTheme="minorEastAsia" w:hAnsiTheme="minorHAnsi"/>
          <w:noProof/>
        </w:rPr>
      </w:pPr>
      <w:hyperlink w:anchor="_Toc227927280" w:history="1">
        <w:r w:rsidRPr="00721482">
          <w:rPr>
            <w:rStyle w:val="Hyperlink"/>
            <w:noProof/>
          </w:rPr>
          <w:t>Figure 40: Effective Tax Planning Strategies</w:t>
        </w:r>
        <w:r>
          <w:rPr>
            <w:noProof/>
            <w:webHidden/>
          </w:rPr>
          <w:tab/>
        </w:r>
        <w:r>
          <w:rPr>
            <w:noProof/>
            <w:webHidden/>
          </w:rPr>
          <w:fldChar w:fldCharType="begin"/>
        </w:r>
        <w:r>
          <w:rPr>
            <w:noProof/>
            <w:webHidden/>
          </w:rPr>
          <w:instrText xml:space="preserve"> PAGEREF _Toc227927280 \h </w:instrText>
        </w:r>
        <w:r>
          <w:rPr>
            <w:noProof/>
            <w:webHidden/>
          </w:rPr>
        </w:r>
        <w:r>
          <w:rPr>
            <w:noProof/>
            <w:webHidden/>
          </w:rPr>
          <w:fldChar w:fldCharType="separate"/>
        </w:r>
        <w:r w:rsidR="002952B2">
          <w:rPr>
            <w:noProof/>
            <w:webHidden/>
          </w:rPr>
          <w:t>32</w:t>
        </w:r>
        <w:r>
          <w:rPr>
            <w:noProof/>
            <w:webHidden/>
          </w:rPr>
          <w:fldChar w:fldCharType="end"/>
        </w:r>
      </w:hyperlink>
    </w:p>
    <w:p w14:paraId="1241C956" w14:textId="78F8FA75" w:rsidR="00396EB6" w:rsidRDefault="00396EB6">
      <w:pPr>
        <w:pStyle w:val="TableofFigures"/>
        <w:tabs>
          <w:tab w:val="right" w:leader="dot" w:pos="9350"/>
        </w:tabs>
        <w:rPr>
          <w:rFonts w:asciiTheme="minorHAnsi" w:eastAsiaTheme="minorEastAsia" w:hAnsiTheme="minorHAnsi"/>
          <w:noProof/>
        </w:rPr>
      </w:pPr>
      <w:hyperlink w:anchor="_Toc227927281" w:history="1">
        <w:r w:rsidRPr="00721482">
          <w:rPr>
            <w:rStyle w:val="Hyperlink"/>
            <w:noProof/>
          </w:rPr>
          <w:t>Figure 41: Currency Risk</w:t>
        </w:r>
        <w:r>
          <w:rPr>
            <w:noProof/>
            <w:webHidden/>
          </w:rPr>
          <w:tab/>
        </w:r>
        <w:r>
          <w:rPr>
            <w:noProof/>
            <w:webHidden/>
          </w:rPr>
          <w:fldChar w:fldCharType="begin"/>
        </w:r>
        <w:r>
          <w:rPr>
            <w:noProof/>
            <w:webHidden/>
          </w:rPr>
          <w:instrText xml:space="preserve"> PAGEREF _Toc227927281 \h </w:instrText>
        </w:r>
        <w:r>
          <w:rPr>
            <w:noProof/>
            <w:webHidden/>
          </w:rPr>
        </w:r>
        <w:r>
          <w:rPr>
            <w:noProof/>
            <w:webHidden/>
          </w:rPr>
          <w:fldChar w:fldCharType="separate"/>
        </w:r>
        <w:r w:rsidR="002952B2">
          <w:rPr>
            <w:noProof/>
            <w:webHidden/>
          </w:rPr>
          <w:t>33</w:t>
        </w:r>
        <w:r>
          <w:rPr>
            <w:noProof/>
            <w:webHidden/>
          </w:rPr>
          <w:fldChar w:fldCharType="end"/>
        </w:r>
      </w:hyperlink>
    </w:p>
    <w:p w14:paraId="00D5B0B4" w14:textId="4BAC4F79" w:rsidR="00396EB6" w:rsidRDefault="00396EB6">
      <w:pPr>
        <w:pStyle w:val="TableofFigures"/>
        <w:tabs>
          <w:tab w:val="right" w:leader="dot" w:pos="9350"/>
        </w:tabs>
        <w:rPr>
          <w:rFonts w:asciiTheme="minorHAnsi" w:eastAsiaTheme="minorEastAsia" w:hAnsiTheme="minorHAnsi"/>
          <w:noProof/>
        </w:rPr>
      </w:pPr>
      <w:hyperlink w:anchor="_Toc227927282" w:history="1">
        <w:r w:rsidRPr="00721482">
          <w:rPr>
            <w:rStyle w:val="Hyperlink"/>
            <w:noProof/>
          </w:rPr>
          <w:t>Figure 42: Inflation</w:t>
        </w:r>
        <w:r>
          <w:rPr>
            <w:noProof/>
            <w:webHidden/>
          </w:rPr>
          <w:tab/>
        </w:r>
        <w:r>
          <w:rPr>
            <w:noProof/>
            <w:webHidden/>
          </w:rPr>
          <w:fldChar w:fldCharType="begin"/>
        </w:r>
        <w:r>
          <w:rPr>
            <w:noProof/>
            <w:webHidden/>
          </w:rPr>
          <w:instrText xml:space="preserve"> PAGEREF _Toc227927282 \h </w:instrText>
        </w:r>
        <w:r>
          <w:rPr>
            <w:noProof/>
            <w:webHidden/>
          </w:rPr>
        </w:r>
        <w:r>
          <w:rPr>
            <w:noProof/>
            <w:webHidden/>
          </w:rPr>
          <w:fldChar w:fldCharType="separate"/>
        </w:r>
        <w:r w:rsidR="002952B2">
          <w:rPr>
            <w:noProof/>
            <w:webHidden/>
          </w:rPr>
          <w:t>34</w:t>
        </w:r>
        <w:r>
          <w:rPr>
            <w:noProof/>
            <w:webHidden/>
          </w:rPr>
          <w:fldChar w:fldCharType="end"/>
        </w:r>
      </w:hyperlink>
    </w:p>
    <w:p w14:paraId="20E88F4E" w14:textId="1E886517" w:rsidR="00396EB6" w:rsidRDefault="00396EB6">
      <w:pPr>
        <w:pStyle w:val="TableofFigures"/>
        <w:tabs>
          <w:tab w:val="right" w:leader="dot" w:pos="9350"/>
        </w:tabs>
        <w:rPr>
          <w:rFonts w:asciiTheme="minorHAnsi" w:eastAsiaTheme="minorEastAsia" w:hAnsiTheme="minorHAnsi"/>
          <w:noProof/>
        </w:rPr>
      </w:pPr>
      <w:hyperlink w:anchor="_Toc227927283" w:history="1">
        <w:r w:rsidRPr="00721482">
          <w:rPr>
            <w:rStyle w:val="Hyperlink"/>
            <w:noProof/>
          </w:rPr>
          <w:t>Figure 43: CSR</w:t>
        </w:r>
        <w:r>
          <w:rPr>
            <w:noProof/>
            <w:webHidden/>
          </w:rPr>
          <w:tab/>
        </w:r>
        <w:r>
          <w:rPr>
            <w:noProof/>
            <w:webHidden/>
          </w:rPr>
          <w:fldChar w:fldCharType="begin"/>
        </w:r>
        <w:r>
          <w:rPr>
            <w:noProof/>
            <w:webHidden/>
          </w:rPr>
          <w:instrText xml:space="preserve"> PAGEREF _Toc227927283 \h </w:instrText>
        </w:r>
        <w:r>
          <w:rPr>
            <w:noProof/>
            <w:webHidden/>
          </w:rPr>
        </w:r>
        <w:r>
          <w:rPr>
            <w:noProof/>
            <w:webHidden/>
          </w:rPr>
          <w:fldChar w:fldCharType="separate"/>
        </w:r>
        <w:r w:rsidR="002952B2">
          <w:rPr>
            <w:noProof/>
            <w:webHidden/>
          </w:rPr>
          <w:t>34</w:t>
        </w:r>
        <w:r>
          <w:rPr>
            <w:noProof/>
            <w:webHidden/>
          </w:rPr>
          <w:fldChar w:fldCharType="end"/>
        </w:r>
      </w:hyperlink>
    </w:p>
    <w:p w14:paraId="14CE79BB" w14:textId="5FBCD22F" w:rsidR="00396EB6" w:rsidRDefault="00396EB6">
      <w:pPr>
        <w:pStyle w:val="TableofFigures"/>
        <w:tabs>
          <w:tab w:val="right" w:leader="dot" w:pos="9350"/>
        </w:tabs>
        <w:rPr>
          <w:rFonts w:asciiTheme="minorHAnsi" w:eastAsiaTheme="minorEastAsia" w:hAnsiTheme="minorHAnsi"/>
          <w:noProof/>
        </w:rPr>
      </w:pPr>
      <w:hyperlink w:anchor="_Toc227927284" w:history="1">
        <w:r w:rsidRPr="00721482">
          <w:rPr>
            <w:rStyle w:val="Hyperlink"/>
            <w:noProof/>
          </w:rPr>
          <w:t>Figure 44: ESG</w:t>
        </w:r>
        <w:r>
          <w:rPr>
            <w:noProof/>
            <w:webHidden/>
          </w:rPr>
          <w:tab/>
        </w:r>
        <w:r>
          <w:rPr>
            <w:noProof/>
            <w:webHidden/>
          </w:rPr>
          <w:fldChar w:fldCharType="begin"/>
        </w:r>
        <w:r>
          <w:rPr>
            <w:noProof/>
            <w:webHidden/>
          </w:rPr>
          <w:instrText xml:space="preserve"> PAGEREF _Toc227927284 \h </w:instrText>
        </w:r>
        <w:r>
          <w:rPr>
            <w:noProof/>
            <w:webHidden/>
          </w:rPr>
        </w:r>
        <w:r>
          <w:rPr>
            <w:noProof/>
            <w:webHidden/>
          </w:rPr>
          <w:fldChar w:fldCharType="separate"/>
        </w:r>
        <w:r w:rsidR="002952B2">
          <w:rPr>
            <w:noProof/>
            <w:webHidden/>
          </w:rPr>
          <w:t>35</w:t>
        </w:r>
        <w:r>
          <w:rPr>
            <w:noProof/>
            <w:webHidden/>
          </w:rPr>
          <w:fldChar w:fldCharType="end"/>
        </w:r>
      </w:hyperlink>
    </w:p>
    <w:p w14:paraId="5020CA78" w14:textId="25D19594" w:rsidR="00396EB6" w:rsidRDefault="00396EB6">
      <w:pPr>
        <w:pStyle w:val="TableofFigures"/>
        <w:tabs>
          <w:tab w:val="right" w:leader="dot" w:pos="9350"/>
        </w:tabs>
        <w:rPr>
          <w:rFonts w:asciiTheme="minorHAnsi" w:eastAsiaTheme="minorEastAsia" w:hAnsiTheme="minorHAnsi"/>
          <w:noProof/>
        </w:rPr>
      </w:pPr>
      <w:hyperlink w:anchor="_Toc227927285" w:history="1">
        <w:r w:rsidRPr="00721482">
          <w:rPr>
            <w:rStyle w:val="Hyperlink"/>
            <w:noProof/>
          </w:rPr>
          <w:t>Figure 45: Ethical Considerations</w:t>
        </w:r>
        <w:r>
          <w:rPr>
            <w:noProof/>
            <w:webHidden/>
          </w:rPr>
          <w:tab/>
        </w:r>
        <w:r>
          <w:rPr>
            <w:noProof/>
            <w:webHidden/>
          </w:rPr>
          <w:fldChar w:fldCharType="begin"/>
        </w:r>
        <w:r>
          <w:rPr>
            <w:noProof/>
            <w:webHidden/>
          </w:rPr>
          <w:instrText xml:space="preserve"> PAGEREF _Toc227927285 \h </w:instrText>
        </w:r>
        <w:r>
          <w:rPr>
            <w:noProof/>
            <w:webHidden/>
          </w:rPr>
        </w:r>
        <w:r>
          <w:rPr>
            <w:noProof/>
            <w:webHidden/>
          </w:rPr>
          <w:fldChar w:fldCharType="separate"/>
        </w:r>
        <w:r w:rsidR="002952B2">
          <w:rPr>
            <w:noProof/>
            <w:webHidden/>
          </w:rPr>
          <w:t>35</w:t>
        </w:r>
        <w:r>
          <w:rPr>
            <w:noProof/>
            <w:webHidden/>
          </w:rPr>
          <w:fldChar w:fldCharType="end"/>
        </w:r>
      </w:hyperlink>
    </w:p>
    <w:p w14:paraId="15044363" w14:textId="3E127B0A" w:rsidR="00396EB6" w:rsidRDefault="00396EB6">
      <w:pPr>
        <w:pStyle w:val="TableofFigures"/>
        <w:tabs>
          <w:tab w:val="right" w:leader="dot" w:pos="9350"/>
        </w:tabs>
        <w:rPr>
          <w:rFonts w:asciiTheme="minorHAnsi" w:eastAsiaTheme="minorEastAsia" w:hAnsiTheme="minorHAnsi"/>
          <w:noProof/>
        </w:rPr>
      </w:pPr>
      <w:hyperlink w:anchor="_Toc227927286" w:history="1">
        <w:r w:rsidRPr="00721482">
          <w:rPr>
            <w:rStyle w:val="Hyperlink"/>
            <w:noProof/>
          </w:rPr>
          <w:t>Figure 46: Regulatory Environment</w:t>
        </w:r>
        <w:r>
          <w:rPr>
            <w:noProof/>
            <w:webHidden/>
          </w:rPr>
          <w:tab/>
        </w:r>
        <w:r>
          <w:rPr>
            <w:noProof/>
            <w:webHidden/>
          </w:rPr>
          <w:fldChar w:fldCharType="begin"/>
        </w:r>
        <w:r>
          <w:rPr>
            <w:noProof/>
            <w:webHidden/>
          </w:rPr>
          <w:instrText xml:space="preserve"> PAGEREF _Toc227927286 \h </w:instrText>
        </w:r>
        <w:r>
          <w:rPr>
            <w:noProof/>
            <w:webHidden/>
          </w:rPr>
        </w:r>
        <w:r>
          <w:rPr>
            <w:noProof/>
            <w:webHidden/>
          </w:rPr>
          <w:fldChar w:fldCharType="separate"/>
        </w:r>
        <w:r w:rsidR="002952B2">
          <w:rPr>
            <w:noProof/>
            <w:webHidden/>
          </w:rPr>
          <w:t>36</w:t>
        </w:r>
        <w:r>
          <w:rPr>
            <w:noProof/>
            <w:webHidden/>
          </w:rPr>
          <w:fldChar w:fldCharType="end"/>
        </w:r>
      </w:hyperlink>
    </w:p>
    <w:p w14:paraId="2E6F780D" w14:textId="5F99EA68" w:rsidR="00C23A3D" w:rsidRDefault="00C23A3D">
      <w:pPr>
        <w:rPr>
          <w:b/>
          <w:bCs/>
          <w:sz w:val="28"/>
          <w:szCs w:val="28"/>
        </w:rPr>
      </w:pPr>
      <w:r>
        <w:rPr>
          <w:b/>
          <w:bCs/>
          <w:sz w:val="28"/>
          <w:szCs w:val="28"/>
        </w:rPr>
        <w:fldChar w:fldCharType="end"/>
      </w:r>
    </w:p>
    <w:p w14:paraId="42506C8A" w14:textId="77777777" w:rsidR="00416FD6" w:rsidRDefault="00416FD6">
      <w:pPr>
        <w:rPr>
          <w:b/>
          <w:bCs/>
          <w:sz w:val="28"/>
          <w:szCs w:val="28"/>
        </w:rPr>
      </w:pPr>
    </w:p>
    <w:p w14:paraId="38B00C1F" w14:textId="77777777" w:rsidR="00D93F16" w:rsidRDefault="00D93F16">
      <w:pPr>
        <w:rPr>
          <w:b/>
          <w:bCs/>
          <w:sz w:val="28"/>
          <w:szCs w:val="28"/>
        </w:rPr>
      </w:pPr>
    </w:p>
    <w:p w14:paraId="0E54E8D5" w14:textId="77777777" w:rsidR="00D93F16" w:rsidRDefault="00D93F16">
      <w:pPr>
        <w:rPr>
          <w:b/>
          <w:bCs/>
          <w:sz w:val="28"/>
          <w:szCs w:val="28"/>
        </w:rPr>
      </w:pPr>
    </w:p>
    <w:p w14:paraId="2F98A9B3" w14:textId="77777777" w:rsidR="00D93F16" w:rsidRDefault="00D93F16">
      <w:pPr>
        <w:rPr>
          <w:b/>
          <w:bCs/>
          <w:sz w:val="28"/>
          <w:szCs w:val="28"/>
        </w:rPr>
      </w:pPr>
    </w:p>
    <w:p w14:paraId="3786C534" w14:textId="77777777" w:rsidR="00396EB6" w:rsidRDefault="00396EB6">
      <w:pPr>
        <w:rPr>
          <w:b/>
          <w:bCs/>
          <w:sz w:val="28"/>
          <w:szCs w:val="28"/>
        </w:rPr>
      </w:pPr>
    </w:p>
    <w:p w14:paraId="15CC1267" w14:textId="77777777" w:rsidR="00396EB6" w:rsidRDefault="00396EB6">
      <w:pPr>
        <w:rPr>
          <w:b/>
          <w:bCs/>
          <w:sz w:val="28"/>
          <w:szCs w:val="28"/>
        </w:rPr>
      </w:pPr>
    </w:p>
    <w:p w14:paraId="550069FC" w14:textId="77777777" w:rsidR="00396EB6" w:rsidRDefault="00396EB6">
      <w:pPr>
        <w:rPr>
          <w:b/>
          <w:bCs/>
          <w:sz w:val="28"/>
          <w:szCs w:val="28"/>
        </w:rPr>
      </w:pPr>
    </w:p>
    <w:p w14:paraId="34FF0426" w14:textId="77777777" w:rsidR="00D93F16" w:rsidRDefault="00D93F16">
      <w:pPr>
        <w:rPr>
          <w:b/>
          <w:bCs/>
          <w:sz w:val="28"/>
          <w:szCs w:val="28"/>
        </w:rPr>
      </w:pPr>
    </w:p>
    <w:p w14:paraId="44451CF9" w14:textId="2F1B05F9" w:rsidR="00416FD6" w:rsidRDefault="00416FD6" w:rsidP="00416FD6">
      <w:pPr>
        <w:pStyle w:val="Heading1"/>
      </w:pPr>
      <w:bookmarkStart w:id="0" w:name="_Toc227939041"/>
      <w:r>
        <w:lastRenderedPageBreak/>
        <w:t>1. Financial Health Check</w:t>
      </w:r>
      <w:bookmarkEnd w:id="0"/>
    </w:p>
    <w:p w14:paraId="360A46CE" w14:textId="2046C38C" w:rsidR="009F259E" w:rsidRDefault="00416FD6" w:rsidP="00A72391">
      <w:pPr>
        <w:pStyle w:val="Heading2"/>
      </w:pPr>
      <w:bookmarkStart w:id="1" w:name="_Toc227939042"/>
      <w:r>
        <w:t>1.1 Introduction</w:t>
      </w:r>
      <w:bookmarkEnd w:id="1"/>
      <w:r>
        <w:t xml:space="preserve"> </w:t>
      </w:r>
    </w:p>
    <w:p w14:paraId="75251D33" w14:textId="24E21E80" w:rsidR="007F55D7" w:rsidRDefault="008F0C50" w:rsidP="007F55D7">
      <w:r w:rsidRPr="008F0C50">
        <w:t>The Hyundai Motor Company is a familiar car manufacturer worldwide with an established presence in more than 200 countries, and with strong technological potential, as a crucial industry participant in the high-growth electric vehicle (EV) segment (Hyundai Motor Company, 2026; Han et al., 2026). The strategic emphasis of innovation, sustainability and global mobility solutions has enabled the firm to focus on its competitive edge in a dynamic market environment.</w:t>
      </w:r>
      <w:r w:rsidR="00937346" w:rsidRPr="00937346">
        <w:t xml:space="preserve"> </w:t>
      </w:r>
    </w:p>
    <w:p w14:paraId="02F25EA5" w14:textId="1C59305E" w:rsidR="00401166" w:rsidRDefault="004A27FA" w:rsidP="004A27FA">
      <w:pPr>
        <w:jc w:val="center"/>
      </w:pPr>
      <w:r>
        <w:rPr>
          <w:noProof/>
        </w:rPr>
        <w:drawing>
          <wp:inline distT="0" distB="0" distL="0" distR="0" wp14:anchorId="4E2881FB" wp14:editId="474B4A42">
            <wp:extent cx="5911909" cy="1895475"/>
            <wp:effectExtent l="0" t="0" r="0" b="0"/>
            <wp:docPr id="1519424259" name="Picture 1" descr="Hyundai Motor Company | California Governor's Office of Business and  Economic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undai Motor Company | California Governor's Office of Business and  Economic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9685" cy="1901174"/>
                    </a:xfrm>
                    <a:prstGeom prst="rect">
                      <a:avLst/>
                    </a:prstGeom>
                    <a:noFill/>
                    <a:ln>
                      <a:noFill/>
                    </a:ln>
                  </pic:spPr>
                </pic:pic>
              </a:graphicData>
            </a:graphic>
          </wp:inline>
        </w:drawing>
      </w:r>
    </w:p>
    <w:p w14:paraId="68C18CD4" w14:textId="4113F59F" w:rsidR="004A27FA" w:rsidRDefault="004A27FA" w:rsidP="004A27FA">
      <w:pPr>
        <w:pStyle w:val="Caption"/>
      </w:pPr>
      <w:bookmarkStart w:id="2" w:name="_Toc227927242"/>
      <w:r>
        <w:t xml:space="preserve">Figure </w:t>
      </w:r>
      <w:fldSimple w:instr=" SEQ Figure \* ARABIC ">
        <w:r w:rsidR="00494365">
          <w:rPr>
            <w:noProof/>
          </w:rPr>
          <w:t>1</w:t>
        </w:r>
      </w:fldSimple>
      <w:r>
        <w:t xml:space="preserve">: </w:t>
      </w:r>
      <w:r w:rsidRPr="008A070E">
        <w:t>Hyundai Motor Company</w:t>
      </w:r>
      <w:bookmarkEnd w:id="2"/>
    </w:p>
    <w:p w14:paraId="3689B1B8" w14:textId="5437A04C" w:rsidR="00937346" w:rsidRPr="00937346" w:rsidRDefault="003352AF" w:rsidP="00937346">
      <w:r w:rsidRPr="003352AF">
        <w:t>Financial analysis is essential for corporate performance evaluation, investment decision-making and risk management, as well as opportunity evaluation (Adesoye et al., 2021; Mom et al., 2025). This report evaluates the financial performance, working capital management, restructuring initiatives, and investment strategies of Hyundai through quantitative analysis and financial ratios to offer a holistic view of Hyundai's long-term financial stability and prospects.</w:t>
      </w:r>
    </w:p>
    <w:p w14:paraId="4C18BCCB" w14:textId="77777777" w:rsidR="00937346" w:rsidRPr="00937346" w:rsidRDefault="00937346" w:rsidP="00937346"/>
    <w:p w14:paraId="1C1522EB" w14:textId="54735AF8" w:rsidR="002A2C96" w:rsidRDefault="00416FD6" w:rsidP="00A72391">
      <w:pPr>
        <w:pStyle w:val="Heading2"/>
      </w:pPr>
      <w:bookmarkStart w:id="3" w:name="_Toc227939043"/>
      <w:r>
        <w:t>1.2 Financial Statements 5-year period</w:t>
      </w:r>
      <w:bookmarkEnd w:id="3"/>
    </w:p>
    <w:p w14:paraId="1D8466C5" w14:textId="25479BA4" w:rsidR="00C15E81" w:rsidRPr="00C15E81" w:rsidRDefault="004677E1" w:rsidP="00C15E81">
      <w:r w:rsidRPr="004677E1">
        <w:t>The financial statements of the company indicate that the funds earned increased considerably over the years as in 2020 the amount was KRW 103,997,601 million and in 2024 the revenues grew by twofold to KRW 175,231,153 million.</w:t>
      </w:r>
      <w:r w:rsidR="00C15E81" w:rsidRPr="00C15E81">
        <w:t xml:space="preserve"> </w:t>
      </w:r>
      <w:r w:rsidR="00B85E09" w:rsidRPr="00B85E09">
        <w:t xml:space="preserve">Net income also grew from KRW 1,924,553 million to KRW 13,229,908 million during the same </w:t>
      </w:r>
      <w:r w:rsidR="00E61A82" w:rsidRPr="00B85E09">
        <w:t>period and</w:t>
      </w:r>
      <w:r w:rsidR="00B85E09" w:rsidRPr="00B85E09">
        <w:t xml:space="preserve"> </w:t>
      </w:r>
      <w:r w:rsidR="00B85E09" w:rsidRPr="00B85E09">
        <w:lastRenderedPageBreak/>
        <w:t>demonstrates greater profitability.</w:t>
      </w:r>
      <w:r w:rsidR="00B85E09">
        <w:t xml:space="preserve"> </w:t>
      </w:r>
      <w:r w:rsidR="00DB3F25" w:rsidRPr="00DB3F25">
        <w:t>The total assets have increased by a significant amount of KRW 339,798,429 million as compared to 2020, KRW 209,344,212 million, which imply large-scale investment in capacity and technology. Such tendencies coincide with the growth of the industry, associated with EV demand and innovation (Han et al., 2026).</w:t>
      </w:r>
    </w:p>
    <w:p w14:paraId="5CE7C149" w14:textId="77777777" w:rsidR="00C15E81" w:rsidRPr="00C15E81" w:rsidRDefault="00C15E81" w:rsidP="00C15E81"/>
    <w:p w14:paraId="4882590A" w14:textId="77777777" w:rsidR="00416FD6" w:rsidRDefault="00416FD6" w:rsidP="00416FD6">
      <w:pPr>
        <w:pStyle w:val="Heading2"/>
      </w:pPr>
      <w:bookmarkStart w:id="4" w:name="_Toc227939044"/>
      <w:r>
        <w:t>1.3 Profitability Ratios</w:t>
      </w:r>
      <w:bookmarkEnd w:id="4"/>
    </w:p>
    <w:p w14:paraId="53887082" w14:textId="345A8C2F" w:rsidR="004765B6" w:rsidRPr="004765B6" w:rsidRDefault="00E61A82" w:rsidP="004765B6">
      <w:r w:rsidRPr="00E61A82">
        <w:t>Hyundai's profitability is trending upwards. The gross profit margin improved from 17.77% in 2020 to 20.59% in 2023 before slightly declining to 20.40% in 2024. This suggests efficient cost control and pricing practices.</w:t>
      </w:r>
      <w:r w:rsidR="004765B6" w:rsidRPr="004765B6">
        <w:t xml:space="preserve"> </w:t>
      </w:r>
    </w:p>
    <w:p w14:paraId="1D5946A0" w14:textId="6D19D735" w:rsidR="002A2C96" w:rsidRDefault="00D93F16" w:rsidP="002A2C96">
      <w:pPr>
        <w:jc w:val="center"/>
      </w:pPr>
      <w:r>
        <w:rPr>
          <w:noProof/>
        </w:rPr>
        <w:drawing>
          <wp:inline distT="0" distB="0" distL="0" distR="0" wp14:anchorId="1361F47B" wp14:editId="66C4207F">
            <wp:extent cx="5867400" cy="4467225"/>
            <wp:effectExtent l="0" t="0" r="0" b="9525"/>
            <wp:docPr id="713474680" name="Chart 1">
              <a:extLst xmlns:a="http://schemas.openxmlformats.org/drawingml/2006/main">
                <a:ext uri="{FF2B5EF4-FFF2-40B4-BE49-F238E27FC236}">
                  <a16:creationId xmlns:a16="http://schemas.microsoft.com/office/drawing/2014/main" id="{B8565FB7-F0A9-EF00-70E8-240888AAE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B11F23C" w14:textId="6D762892" w:rsidR="00925DCA" w:rsidRDefault="00812C51" w:rsidP="00437FED">
      <w:pPr>
        <w:pStyle w:val="Caption"/>
      </w:pPr>
      <w:bookmarkStart w:id="5" w:name="_Toc227927243"/>
      <w:r>
        <w:t xml:space="preserve">Figure </w:t>
      </w:r>
      <w:fldSimple w:instr=" SEQ Figure \* ARABIC ">
        <w:r w:rsidR="00494365">
          <w:rPr>
            <w:noProof/>
          </w:rPr>
          <w:t>3</w:t>
        </w:r>
      </w:fldSimple>
      <w:r>
        <w:t xml:space="preserve">: </w:t>
      </w:r>
      <w:r w:rsidRPr="00470761">
        <w:t>Gross Profit Margin</w:t>
      </w:r>
      <w:bookmarkEnd w:id="5"/>
    </w:p>
    <w:p w14:paraId="1B5DF8C6" w14:textId="77C34999" w:rsidR="004765B6" w:rsidRPr="004765B6" w:rsidRDefault="00E61A82" w:rsidP="004765B6">
      <w:r w:rsidRPr="00E61A82">
        <w:t>The net profit margin grew after 2020 more substantially, not 1.85% to 7.55% and showed improved overall profitability and efficiency.</w:t>
      </w:r>
      <w:r w:rsidR="004765B6" w:rsidRPr="004765B6">
        <w:t xml:space="preserve"> </w:t>
      </w:r>
    </w:p>
    <w:p w14:paraId="6F8F5C69" w14:textId="26B91C1A" w:rsidR="00734BE0" w:rsidRDefault="00D93F16" w:rsidP="00734BE0">
      <w:pPr>
        <w:jc w:val="center"/>
      </w:pPr>
      <w:r>
        <w:rPr>
          <w:noProof/>
        </w:rPr>
        <w:lastRenderedPageBreak/>
        <w:drawing>
          <wp:inline distT="0" distB="0" distL="0" distR="0" wp14:anchorId="2677CDC4" wp14:editId="466077AC">
            <wp:extent cx="5248275" cy="3438525"/>
            <wp:effectExtent l="0" t="0" r="9525" b="9525"/>
            <wp:docPr id="956627479" name="Chart 1">
              <a:extLst xmlns:a="http://schemas.openxmlformats.org/drawingml/2006/main">
                <a:ext uri="{FF2B5EF4-FFF2-40B4-BE49-F238E27FC236}">
                  <a16:creationId xmlns:a16="http://schemas.microsoft.com/office/drawing/2014/main" id="{74BB3CBA-918D-98B4-3E97-F69D08A5F4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BA375DC" w14:textId="00A981D5" w:rsidR="00237C14" w:rsidRDefault="00237C14" w:rsidP="00237C14">
      <w:pPr>
        <w:pStyle w:val="Caption"/>
      </w:pPr>
      <w:bookmarkStart w:id="6" w:name="_Toc227927244"/>
      <w:r>
        <w:t xml:space="preserve">Figure </w:t>
      </w:r>
      <w:fldSimple w:instr=" SEQ Figure \* ARABIC ">
        <w:r w:rsidR="00494365">
          <w:rPr>
            <w:noProof/>
          </w:rPr>
          <w:t>4</w:t>
        </w:r>
      </w:fldSimple>
      <w:r>
        <w:t xml:space="preserve">: </w:t>
      </w:r>
      <w:r w:rsidR="00A94553" w:rsidRPr="005C2D98">
        <w:t>Net Profit Margin</w:t>
      </w:r>
      <w:bookmarkEnd w:id="6"/>
    </w:p>
    <w:p w14:paraId="40C5E8DD" w14:textId="02DAC1C4" w:rsidR="004765B6" w:rsidRPr="004765B6" w:rsidRDefault="00E61A82" w:rsidP="004765B6">
      <w:r w:rsidRPr="00E61A82">
        <w:t>The operating profit margin increased to 9.30% in 2023, but declined slightly to 8.13% in 2024, indicating that there has been a degree of cost pressure in recent working.</w:t>
      </w:r>
    </w:p>
    <w:p w14:paraId="46B200E9" w14:textId="1597B879" w:rsidR="00734BE0" w:rsidRDefault="00D93F16" w:rsidP="00734BE0">
      <w:pPr>
        <w:jc w:val="center"/>
      </w:pPr>
      <w:r>
        <w:rPr>
          <w:noProof/>
        </w:rPr>
        <w:drawing>
          <wp:inline distT="0" distB="0" distL="0" distR="0" wp14:anchorId="788CB260" wp14:editId="7CC41B3D">
            <wp:extent cx="5276850" cy="3209925"/>
            <wp:effectExtent l="0" t="0" r="0" b="9525"/>
            <wp:docPr id="1351903651" name="Chart 1">
              <a:extLst xmlns:a="http://schemas.openxmlformats.org/drawingml/2006/main">
                <a:ext uri="{FF2B5EF4-FFF2-40B4-BE49-F238E27FC236}">
                  <a16:creationId xmlns:a16="http://schemas.microsoft.com/office/drawing/2014/main" id="{46F9A1C2-F715-4D16-D777-F450B0028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85B70A" w14:textId="405A4AF2" w:rsidR="00DE01D0" w:rsidRPr="00DE01D0" w:rsidRDefault="008C02A6" w:rsidP="00842DF7">
      <w:pPr>
        <w:pStyle w:val="Caption"/>
      </w:pPr>
      <w:bookmarkStart w:id="7" w:name="_Toc227927245"/>
      <w:r>
        <w:t xml:space="preserve">Figure </w:t>
      </w:r>
      <w:fldSimple w:instr=" SEQ Figure \* ARABIC ">
        <w:r w:rsidR="00494365">
          <w:rPr>
            <w:noProof/>
          </w:rPr>
          <w:t>5</w:t>
        </w:r>
      </w:fldSimple>
      <w:r>
        <w:t xml:space="preserve">: </w:t>
      </w:r>
      <w:r w:rsidR="00A94553" w:rsidRPr="000B372F">
        <w:t>Operating Profit Margin</w:t>
      </w:r>
      <w:bookmarkEnd w:id="7"/>
      <w:r w:rsidR="00A94553" w:rsidRPr="005C2D98">
        <w:t xml:space="preserve"> </w:t>
      </w:r>
      <w:r w:rsidR="00A94553">
        <w:t xml:space="preserve"> </w:t>
      </w:r>
    </w:p>
    <w:p w14:paraId="7D7644AC" w14:textId="7A6A3F55" w:rsidR="00734BE0" w:rsidRDefault="00D93F16" w:rsidP="00734BE0">
      <w:pPr>
        <w:jc w:val="center"/>
      </w:pPr>
      <w:r>
        <w:rPr>
          <w:noProof/>
        </w:rPr>
        <w:lastRenderedPageBreak/>
        <w:drawing>
          <wp:inline distT="0" distB="0" distL="0" distR="0" wp14:anchorId="590C955E" wp14:editId="6E9E6328">
            <wp:extent cx="5105400" cy="3409950"/>
            <wp:effectExtent l="0" t="0" r="0" b="0"/>
            <wp:docPr id="1752881534" name="Chart 1">
              <a:extLst xmlns:a="http://schemas.openxmlformats.org/drawingml/2006/main">
                <a:ext uri="{FF2B5EF4-FFF2-40B4-BE49-F238E27FC236}">
                  <a16:creationId xmlns:a16="http://schemas.microsoft.com/office/drawing/2014/main" id="{71AB12A5-D0A1-6DC8-7004-6442655600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1D8A39" w14:textId="4B55A86F" w:rsidR="00713552" w:rsidRDefault="00713552" w:rsidP="00713552">
      <w:pPr>
        <w:pStyle w:val="Caption"/>
      </w:pPr>
      <w:bookmarkStart w:id="8" w:name="_Toc227927246"/>
      <w:r>
        <w:t xml:space="preserve">Figure </w:t>
      </w:r>
      <w:fldSimple w:instr=" SEQ Figure \* ARABIC ">
        <w:r w:rsidR="00494365">
          <w:rPr>
            <w:noProof/>
          </w:rPr>
          <w:t>6</w:t>
        </w:r>
      </w:fldSimple>
      <w:r>
        <w:t xml:space="preserve">: </w:t>
      </w:r>
      <w:r w:rsidRPr="003339F1">
        <w:t>Return on Assets (ROA)</w:t>
      </w:r>
      <w:bookmarkEnd w:id="8"/>
    </w:p>
    <w:p w14:paraId="1310D29A" w14:textId="75416458" w:rsidR="004765B6" w:rsidRPr="004765B6" w:rsidRDefault="00E61A82" w:rsidP="004765B6">
      <w:r w:rsidRPr="00E61A82">
        <w:t>The Return on Asset (ROA) rose to 4.34</w:t>
      </w:r>
      <w:r>
        <w:t>%</w:t>
      </w:r>
      <w:r w:rsidRPr="00E61A82">
        <w:t xml:space="preserve"> in 2023 after increasing 0.92</w:t>
      </w:r>
      <w:r>
        <w:t>%</w:t>
      </w:r>
      <w:r w:rsidRPr="00E61A82">
        <w:t xml:space="preserve"> in 2020 and slightly reducing to 3.89</w:t>
      </w:r>
      <w:r>
        <w:t>%</w:t>
      </w:r>
      <w:r w:rsidRPr="00E61A82">
        <w:t xml:space="preserve"> in 2024, per better utilisation of assets.</w:t>
      </w:r>
      <w:r w:rsidR="004765B6" w:rsidRPr="004765B6">
        <w:t xml:space="preserve"> </w:t>
      </w:r>
    </w:p>
    <w:p w14:paraId="4D1728D4" w14:textId="1C2F1D56" w:rsidR="00416FD6" w:rsidRDefault="00D93F16" w:rsidP="00AB5AED">
      <w:pPr>
        <w:jc w:val="center"/>
      </w:pPr>
      <w:r>
        <w:rPr>
          <w:noProof/>
        </w:rPr>
        <w:drawing>
          <wp:inline distT="0" distB="0" distL="0" distR="0" wp14:anchorId="56852B7B" wp14:editId="087665D0">
            <wp:extent cx="5095875" cy="3533775"/>
            <wp:effectExtent l="0" t="0" r="9525" b="9525"/>
            <wp:docPr id="2146319601" name="Chart 1">
              <a:extLst xmlns:a="http://schemas.openxmlformats.org/drawingml/2006/main">
                <a:ext uri="{FF2B5EF4-FFF2-40B4-BE49-F238E27FC236}">
                  <a16:creationId xmlns:a16="http://schemas.microsoft.com/office/drawing/2014/main" id="{5AE9C86F-D700-8086-08C0-3F2FEE3946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2D75C3" w14:textId="09DE9E02" w:rsidR="00734BE0" w:rsidRDefault="006939B5" w:rsidP="006939B5">
      <w:pPr>
        <w:pStyle w:val="Caption"/>
      </w:pPr>
      <w:bookmarkStart w:id="9" w:name="_Toc227927247"/>
      <w:r>
        <w:lastRenderedPageBreak/>
        <w:t xml:space="preserve">Figure </w:t>
      </w:r>
      <w:fldSimple w:instr=" SEQ Figure \* ARABIC ">
        <w:r w:rsidR="00494365">
          <w:rPr>
            <w:noProof/>
          </w:rPr>
          <w:t>7</w:t>
        </w:r>
      </w:fldSimple>
      <w:r>
        <w:t xml:space="preserve">: </w:t>
      </w:r>
      <w:r w:rsidRPr="00BC2B7E">
        <w:t>Return on Equity (ROE)</w:t>
      </w:r>
      <w:bookmarkEnd w:id="9"/>
    </w:p>
    <w:p w14:paraId="25A96D73" w14:textId="31CAB06D" w:rsidR="004765B6" w:rsidRPr="004765B6" w:rsidRDefault="00E61A82" w:rsidP="004765B6">
      <w:r w:rsidRPr="00E61A82">
        <w:t>Similarly, Return on Equity (ROE) rose from 2.77% in 2020 to 13.27% in 2023 before declining to 12.13% in 2024. This portrays good shareholder value generation. These profitability ratios provide important performance indicators of firms and depend on the cost structure and investment choices (Astuti et al., 2025; Nguyen et al., 2026).</w:t>
      </w:r>
    </w:p>
    <w:p w14:paraId="6E870C05" w14:textId="77777777" w:rsidR="00DA554D" w:rsidRPr="00A94553" w:rsidRDefault="00DA554D" w:rsidP="00A94553"/>
    <w:p w14:paraId="0C8631DF" w14:textId="77777777" w:rsidR="00416FD6" w:rsidRDefault="00416FD6" w:rsidP="00416FD6">
      <w:pPr>
        <w:pStyle w:val="Heading2"/>
      </w:pPr>
      <w:bookmarkStart w:id="10" w:name="_Toc227939045"/>
      <w:r>
        <w:t>1.4 Liquidity Ratios</w:t>
      </w:r>
      <w:bookmarkEnd w:id="10"/>
    </w:p>
    <w:p w14:paraId="6E051E6D" w14:textId="19E571F2" w:rsidR="00987F2B" w:rsidRPr="00987F2B" w:rsidRDefault="00DF360A" w:rsidP="00987F2B">
      <w:r w:rsidRPr="00DF360A">
        <w:t>Liquidity analysis indicates moderate financial stability. The current ratio declined from 1.41 in 2020 to 1.30 in 2022, before recovering to 1.46 in 2024. This reflects enhanced short-term liquidity following declined.</w:t>
      </w:r>
      <w:r w:rsidR="00987F2B" w:rsidRPr="00987F2B">
        <w:t xml:space="preserve"> </w:t>
      </w:r>
    </w:p>
    <w:p w14:paraId="4089B741" w14:textId="67E3EC93" w:rsidR="00350067" w:rsidRDefault="00D93F16" w:rsidP="00350067">
      <w:pPr>
        <w:jc w:val="center"/>
      </w:pPr>
      <w:r>
        <w:rPr>
          <w:noProof/>
        </w:rPr>
        <w:drawing>
          <wp:inline distT="0" distB="0" distL="0" distR="0" wp14:anchorId="2DF7B5D2" wp14:editId="54A6D020">
            <wp:extent cx="5095875" cy="3505200"/>
            <wp:effectExtent l="0" t="0" r="9525" b="0"/>
            <wp:docPr id="1216891871" name="Chart 1">
              <a:extLst xmlns:a="http://schemas.openxmlformats.org/drawingml/2006/main">
                <a:ext uri="{FF2B5EF4-FFF2-40B4-BE49-F238E27FC236}">
                  <a16:creationId xmlns:a16="http://schemas.microsoft.com/office/drawing/2014/main" id="{1F08228A-E158-8C30-6F2B-C11C1CD18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F47784" w14:textId="2F653CB3" w:rsidR="00DF07BE" w:rsidRDefault="00DF07BE" w:rsidP="00DF07BE">
      <w:pPr>
        <w:pStyle w:val="Caption"/>
      </w:pPr>
      <w:bookmarkStart w:id="11" w:name="_Toc227927248"/>
      <w:r>
        <w:t xml:space="preserve">Figure </w:t>
      </w:r>
      <w:fldSimple w:instr=" SEQ Figure \* ARABIC ">
        <w:r w:rsidR="00494365">
          <w:rPr>
            <w:noProof/>
          </w:rPr>
          <w:t>8</w:t>
        </w:r>
      </w:fldSimple>
      <w:r>
        <w:t xml:space="preserve">: </w:t>
      </w:r>
      <w:r w:rsidRPr="00E223F2">
        <w:t>Current Ratio</w:t>
      </w:r>
      <w:bookmarkEnd w:id="11"/>
    </w:p>
    <w:p w14:paraId="34B043AB" w14:textId="7A4AF08F" w:rsidR="00987F2B" w:rsidRPr="00987F2B" w:rsidRDefault="00DF360A" w:rsidP="00987F2B">
      <w:r w:rsidRPr="00DF360A">
        <w:t>The quick ratio followed a similar pattern, decreasing from 1.22 in 2020 to 1.11 in 2022, then rising to 1.21 in 2024. These ratios suggest Hyundai has adequate liquidity to meet short-term liabilities.</w:t>
      </w:r>
    </w:p>
    <w:p w14:paraId="127A23B0" w14:textId="47A58B74" w:rsidR="00416FD6" w:rsidRDefault="00D93F16" w:rsidP="00350067">
      <w:pPr>
        <w:jc w:val="center"/>
      </w:pPr>
      <w:r>
        <w:rPr>
          <w:noProof/>
        </w:rPr>
        <w:lastRenderedPageBreak/>
        <w:drawing>
          <wp:inline distT="0" distB="0" distL="0" distR="0" wp14:anchorId="34E3C64B" wp14:editId="1EFB22DF">
            <wp:extent cx="5124450" cy="2390775"/>
            <wp:effectExtent l="0" t="0" r="0" b="9525"/>
            <wp:docPr id="1883325485" name="Chart 1">
              <a:extLst xmlns:a="http://schemas.openxmlformats.org/drawingml/2006/main">
                <a:ext uri="{FF2B5EF4-FFF2-40B4-BE49-F238E27FC236}">
                  <a16:creationId xmlns:a16="http://schemas.microsoft.com/office/drawing/2014/main" id="{C60619EA-64AA-5B36-5FE5-04E775084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709F02" w14:textId="678273AD" w:rsidR="00350067" w:rsidRDefault="00815BEE" w:rsidP="00815BEE">
      <w:pPr>
        <w:pStyle w:val="Caption"/>
      </w:pPr>
      <w:bookmarkStart w:id="12" w:name="_Toc227927249"/>
      <w:r>
        <w:t xml:space="preserve">Figure </w:t>
      </w:r>
      <w:fldSimple w:instr=" SEQ Figure \* ARABIC ">
        <w:r w:rsidR="00494365">
          <w:rPr>
            <w:noProof/>
          </w:rPr>
          <w:t>9</w:t>
        </w:r>
      </w:fldSimple>
      <w:r>
        <w:t xml:space="preserve">: </w:t>
      </w:r>
      <w:r w:rsidRPr="008B6B21">
        <w:t>Quick Ratio</w:t>
      </w:r>
      <w:bookmarkEnd w:id="12"/>
    </w:p>
    <w:p w14:paraId="35AB5674" w14:textId="6EBDF2D9" w:rsidR="00987F2B" w:rsidRPr="00987F2B" w:rsidRDefault="00DF360A" w:rsidP="00987F2B">
      <w:r w:rsidRPr="00DF360A">
        <w:t>But the 2022 decline suggests potential challenges in working capital, perhaps as a result of higher investment activities. Good liquidity management is imperative to ensure business continuity and profitability (Hasibuan et al., 2026; Effendie et al., 2022).</w:t>
      </w:r>
    </w:p>
    <w:p w14:paraId="63F722D3" w14:textId="77777777" w:rsidR="00E024C0" w:rsidRPr="00815BEE" w:rsidRDefault="00E024C0" w:rsidP="00815BEE"/>
    <w:p w14:paraId="72B7CFBB" w14:textId="77777777" w:rsidR="00416FD6" w:rsidRDefault="00416FD6" w:rsidP="00416FD6">
      <w:pPr>
        <w:pStyle w:val="Heading2"/>
      </w:pPr>
      <w:bookmarkStart w:id="13" w:name="_Toc227939046"/>
      <w:r>
        <w:t>1.5 Efficiency Ratios</w:t>
      </w:r>
      <w:bookmarkEnd w:id="13"/>
    </w:p>
    <w:p w14:paraId="3A7C2BD1" w14:textId="45F0C4DE" w:rsidR="00987F2B" w:rsidRPr="00987F2B" w:rsidRDefault="0013705B" w:rsidP="00987F2B">
      <w:r w:rsidRPr="0013705B">
        <w:t>The ratios of efficiency give an idea of the effectiveness with which the firm manages its assets. The inventory turnover rose to 8.81 times in 2022 and decreased to 7.50 times in 2024, starting with the growth of 6.84 in 2020. This implies better inventory management in the early years with the possible inventory accumulation in the later years.</w:t>
      </w:r>
    </w:p>
    <w:p w14:paraId="0E268B94" w14:textId="3F949DB1" w:rsidR="00503700" w:rsidRDefault="00D93F16" w:rsidP="00503700">
      <w:pPr>
        <w:jc w:val="center"/>
      </w:pPr>
      <w:r>
        <w:rPr>
          <w:noProof/>
        </w:rPr>
        <w:drawing>
          <wp:inline distT="0" distB="0" distL="0" distR="0" wp14:anchorId="43726C70" wp14:editId="5CCA8140">
            <wp:extent cx="4933950" cy="2228850"/>
            <wp:effectExtent l="0" t="0" r="0" b="0"/>
            <wp:docPr id="1124216931" name="Chart 1">
              <a:extLst xmlns:a="http://schemas.openxmlformats.org/drawingml/2006/main">
                <a:ext uri="{FF2B5EF4-FFF2-40B4-BE49-F238E27FC236}">
                  <a16:creationId xmlns:a16="http://schemas.microsoft.com/office/drawing/2014/main" id="{EE9A42F6-F9F0-AED5-72AB-90C71D632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F7017D" w14:textId="3C8B6A3B" w:rsidR="009335AF" w:rsidRDefault="009335AF" w:rsidP="009335AF">
      <w:pPr>
        <w:pStyle w:val="Caption"/>
      </w:pPr>
      <w:bookmarkStart w:id="14" w:name="_Toc227927250"/>
      <w:r>
        <w:t xml:space="preserve">Figure </w:t>
      </w:r>
      <w:fldSimple w:instr=" SEQ Figure \* ARABIC ">
        <w:r w:rsidR="00494365">
          <w:rPr>
            <w:noProof/>
          </w:rPr>
          <w:t>10</w:t>
        </w:r>
      </w:fldSimple>
      <w:r>
        <w:t xml:space="preserve">: </w:t>
      </w:r>
      <w:r w:rsidRPr="00697672">
        <w:t>Inventory Turnover</w:t>
      </w:r>
      <w:bookmarkEnd w:id="14"/>
    </w:p>
    <w:p w14:paraId="600AFBB1" w14:textId="5F00CC18" w:rsidR="00987F2B" w:rsidRPr="00987F2B" w:rsidRDefault="0013705B" w:rsidP="00987F2B">
      <w:r w:rsidRPr="0013705B">
        <w:lastRenderedPageBreak/>
        <w:t>The receivables were collected fairly even with the ranges being 10-12 days, and the collection shows a good use of credit.</w:t>
      </w:r>
      <w:r w:rsidR="00987F2B" w:rsidRPr="00987F2B">
        <w:t xml:space="preserve"> </w:t>
      </w:r>
    </w:p>
    <w:p w14:paraId="380FF8EC" w14:textId="3D46F256" w:rsidR="00503700" w:rsidRDefault="00D93F16" w:rsidP="00503700">
      <w:pPr>
        <w:jc w:val="center"/>
      </w:pPr>
      <w:r>
        <w:rPr>
          <w:noProof/>
        </w:rPr>
        <w:drawing>
          <wp:inline distT="0" distB="0" distL="0" distR="0" wp14:anchorId="65CBAFD9" wp14:editId="5225F32B">
            <wp:extent cx="4572000" cy="2857500"/>
            <wp:effectExtent l="0" t="0" r="0" b="0"/>
            <wp:docPr id="1302244409" name="Chart 1">
              <a:extLst xmlns:a="http://schemas.openxmlformats.org/drawingml/2006/main">
                <a:ext uri="{FF2B5EF4-FFF2-40B4-BE49-F238E27FC236}">
                  <a16:creationId xmlns:a16="http://schemas.microsoft.com/office/drawing/2014/main" id="{8DF3994D-F5F1-2B62-69FD-3047ADF011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1A55789" w14:textId="5F13F9C6" w:rsidR="003C359E" w:rsidRDefault="003C359E" w:rsidP="003C359E">
      <w:pPr>
        <w:pStyle w:val="Caption"/>
      </w:pPr>
      <w:bookmarkStart w:id="15" w:name="_Toc227927251"/>
      <w:r>
        <w:t xml:space="preserve">Figure </w:t>
      </w:r>
      <w:fldSimple w:instr=" SEQ Figure \* ARABIC ">
        <w:r w:rsidR="00494365">
          <w:rPr>
            <w:noProof/>
          </w:rPr>
          <w:t>11</w:t>
        </w:r>
      </w:fldSimple>
      <w:r>
        <w:t xml:space="preserve">: </w:t>
      </w:r>
      <w:r w:rsidRPr="00AC4B2B">
        <w:t>Receivables Collection Period</w:t>
      </w:r>
      <w:bookmarkEnd w:id="15"/>
    </w:p>
    <w:p w14:paraId="0E0E9D21" w14:textId="6B199A67" w:rsidR="00987F2B" w:rsidRPr="00987F2B" w:rsidRDefault="0013705B" w:rsidP="00987F2B">
      <w:r w:rsidRPr="0013705B">
        <w:t>Contrarily, payables payment period went down to 31 days in 2023 compared with 38 days in 2020 and thereafter increased marginally to 33 days in 2024. This would mean Hyundai is paying its suppliers quicker and this could lessen the liquidity brokerage.</w:t>
      </w:r>
    </w:p>
    <w:p w14:paraId="33BAD012" w14:textId="041F6D46" w:rsidR="00503700" w:rsidRDefault="00D93F16" w:rsidP="00DD7401">
      <w:pPr>
        <w:jc w:val="center"/>
      </w:pPr>
      <w:r>
        <w:rPr>
          <w:noProof/>
        </w:rPr>
        <w:drawing>
          <wp:inline distT="0" distB="0" distL="0" distR="0" wp14:anchorId="44AFCA0E" wp14:editId="26E75AB2">
            <wp:extent cx="4572000" cy="2876550"/>
            <wp:effectExtent l="0" t="0" r="0" b="0"/>
            <wp:docPr id="1581188086" name="Chart 1">
              <a:extLst xmlns:a="http://schemas.openxmlformats.org/drawingml/2006/main">
                <a:ext uri="{FF2B5EF4-FFF2-40B4-BE49-F238E27FC236}">
                  <a16:creationId xmlns:a16="http://schemas.microsoft.com/office/drawing/2014/main" id="{55F6AE90-B68C-6059-C12A-95042D6F57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F618795" w14:textId="468A47D8" w:rsidR="00EE0920" w:rsidRDefault="00661B65" w:rsidP="00EE0920">
      <w:pPr>
        <w:pStyle w:val="Caption"/>
      </w:pPr>
      <w:bookmarkStart w:id="16" w:name="_Toc227927252"/>
      <w:r>
        <w:t xml:space="preserve">Figure </w:t>
      </w:r>
      <w:fldSimple w:instr=" SEQ Figure \* ARABIC ">
        <w:r w:rsidR="00494365">
          <w:rPr>
            <w:noProof/>
          </w:rPr>
          <w:t>12</w:t>
        </w:r>
      </w:fldSimple>
      <w:r>
        <w:t xml:space="preserve">: </w:t>
      </w:r>
      <w:r w:rsidRPr="00CE60F3">
        <w:t>Payables Payment Period</w:t>
      </w:r>
      <w:bookmarkEnd w:id="16"/>
    </w:p>
    <w:p w14:paraId="09CA1951" w14:textId="5773475F" w:rsidR="00987F2B" w:rsidRPr="00987F2B" w:rsidRDefault="00806BDF" w:rsidP="00987F2B">
      <w:r w:rsidRPr="00806BDF">
        <w:lastRenderedPageBreak/>
        <w:t>Asset turnover has improved from 0.50 in 2020 to 0.58 in 2023 but dropped to 0.52 in 2024, implying a marginally lower efficiency in the usage of assets. Effective working capital management is important for improving profitability and performance (Aldubhani et al., 2022; Galil et al., 2026).</w:t>
      </w:r>
    </w:p>
    <w:p w14:paraId="2AD4109E" w14:textId="3A02D1E5" w:rsidR="00503700" w:rsidRPr="00503700" w:rsidRDefault="00D93F16" w:rsidP="00DD7401">
      <w:pPr>
        <w:jc w:val="center"/>
      </w:pPr>
      <w:r>
        <w:rPr>
          <w:noProof/>
        </w:rPr>
        <w:drawing>
          <wp:inline distT="0" distB="0" distL="0" distR="0" wp14:anchorId="193B10B1" wp14:editId="606ED2BF">
            <wp:extent cx="4905375" cy="2428875"/>
            <wp:effectExtent l="0" t="0" r="9525" b="9525"/>
            <wp:docPr id="365291301" name="Chart 1">
              <a:extLst xmlns:a="http://schemas.openxmlformats.org/drawingml/2006/main">
                <a:ext uri="{FF2B5EF4-FFF2-40B4-BE49-F238E27FC236}">
                  <a16:creationId xmlns:a16="http://schemas.microsoft.com/office/drawing/2014/main" id="{DBB50AE5-071D-F285-05D0-956910CA7C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FDD0FB3" w14:textId="2E81D04F" w:rsidR="00416FD6" w:rsidRDefault="00DF3EC4" w:rsidP="00DF3EC4">
      <w:pPr>
        <w:pStyle w:val="Caption"/>
      </w:pPr>
      <w:bookmarkStart w:id="17" w:name="_Toc227927253"/>
      <w:r>
        <w:t xml:space="preserve">Figure </w:t>
      </w:r>
      <w:fldSimple w:instr=" SEQ Figure \* ARABIC ">
        <w:r w:rsidR="00494365">
          <w:rPr>
            <w:noProof/>
          </w:rPr>
          <w:t>13</w:t>
        </w:r>
      </w:fldSimple>
      <w:r>
        <w:t xml:space="preserve">: </w:t>
      </w:r>
      <w:r w:rsidRPr="00867EF9">
        <w:t>Total Asset Turnover</w:t>
      </w:r>
      <w:bookmarkEnd w:id="17"/>
    </w:p>
    <w:p w14:paraId="4ACD6DF3" w14:textId="77777777" w:rsidR="005244A2" w:rsidRPr="00DF3EC4" w:rsidRDefault="005244A2" w:rsidP="00DF3EC4"/>
    <w:p w14:paraId="7EB00F14" w14:textId="77777777" w:rsidR="00416FD6" w:rsidRDefault="00416FD6" w:rsidP="00416FD6">
      <w:pPr>
        <w:pStyle w:val="Heading2"/>
      </w:pPr>
      <w:bookmarkStart w:id="18" w:name="_Toc227939047"/>
      <w:r>
        <w:t>1.6 Gearing (Leverage) Ratios</w:t>
      </w:r>
      <w:bookmarkEnd w:id="18"/>
    </w:p>
    <w:p w14:paraId="5259683C" w14:textId="5455ABB7" w:rsidR="00A170EA" w:rsidRPr="00A170EA" w:rsidRDefault="009D7F86" w:rsidP="00A170EA">
      <w:r w:rsidRPr="009D7F86">
        <w:t>Hyundai has quite a high leverage. It is a debt driven business as it grew the debt-to-equity ratio to 1.83 in 2024 as opposed to 1.74 in 2020. Leverage may boost returns, but at the same time, it imparts financial risk (Chen et al., 2025).</w:t>
      </w:r>
    </w:p>
    <w:p w14:paraId="1312B823" w14:textId="07C7AAAB" w:rsidR="00503700" w:rsidRDefault="00D93F16" w:rsidP="00503700">
      <w:pPr>
        <w:jc w:val="center"/>
      </w:pPr>
      <w:r>
        <w:rPr>
          <w:noProof/>
        </w:rPr>
        <w:drawing>
          <wp:inline distT="0" distB="0" distL="0" distR="0" wp14:anchorId="11EB117B" wp14:editId="7661B8CD">
            <wp:extent cx="4895850" cy="2457450"/>
            <wp:effectExtent l="0" t="0" r="0" b="0"/>
            <wp:docPr id="1575497132" name="Chart 1">
              <a:extLst xmlns:a="http://schemas.openxmlformats.org/drawingml/2006/main">
                <a:ext uri="{FF2B5EF4-FFF2-40B4-BE49-F238E27FC236}">
                  <a16:creationId xmlns:a16="http://schemas.microsoft.com/office/drawing/2014/main" id="{3FFA4D90-DDC4-1A99-4691-DD8DD9EDCE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666260" w14:textId="27115B46" w:rsidR="008F7A42" w:rsidRDefault="008F7A42" w:rsidP="008F7A42">
      <w:pPr>
        <w:pStyle w:val="Caption"/>
      </w:pPr>
      <w:bookmarkStart w:id="19" w:name="_Toc227927254"/>
      <w:r>
        <w:lastRenderedPageBreak/>
        <w:t xml:space="preserve">Figure </w:t>
      </w:r>
      <w:fldSimple w:instr=" SEQ Figure \* ARABIC ">
        <w:r w:rsidR="00494365">
          <w:rPr>
            <w:noProof/>
          </w:rPr>
          <w:t>14</w:t>
        </w:r>
      </w:fldSimple>
      <w:r>
        <w:t xml:space="preserve">: </w:t>
      </w:r>
      <w:r w:rsidRPr="002C0046">
        <w:t>Debt to Equity Ratio</w:t>
      </w:r>
      <w:bookmarkEnd w:id="19"/>
    </w:p>
    <w:p w14:paraId="6B13A53E" w14:textId="1E1B2286" w:rsidR="00A170EA" w:rsidRPr="00A170EA" w:rsidRDefault="0053397C" w:rsidP="00A170EA">
      <w:r w:rsidRPr="0053397C">
        <w:t>The interest coverage ratio showed improvement from 2.50 in 2020 to 15.85 in 2024, indicating improved likelihood of meeting interest payments. This implies that, although heavily leveraged, Hyundai's profitability has improved to cover its debt. Gearing affects risk and investors' ratings (Aldo, 2022; Oranefo et al., 2023).</w:t>
      </w:r>
    </w:p>
    <w:p w14:paraId="50BCF62D" w14:textId="2B0631E7" w:rsidR="00503700" w:rsidRDefault="00D93F16" w:rsidP="00503700">
      <w:pPr>
        <w:jc w:val="center"/>
      </w:pPr>
      <w:r>
        <w:rPr>
          <w:noProof/>
        </w:rPr>
        <w:drawing>
          <wp:inline distT="0" distB="0" distL="0" distR="0" wp14:anchorId="27B538C5" wp14:editId="38A0D884">
            <wp:extent cx="5276850" cy="4200525"/>
            <wp:effectExtent l="0" t="0" r="0" b="9525"/>
            <wp:docPr id="641837774" name="Chart 1">
              <a:extLst xmlns:a="http://schemas.openxmlformats.org/drawingml/2006/main">
                <a:ext uri="{FF2B5EF4-FFF2-40B4-BE49-F238E27FC236}">
                  <a16:creationId xmlns:a16="http://schemas.microsoft.com/office/drawing/2014/main" id="{90508744-6903-09F7-7C6D-1593E9569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81C0027" w14:textId="6B8049CD" w:rsidR="00EA01D5" w:rsidRDefault="00EA01D5" w:rsidP="00EA01D5">
      <w:pPr>
        <w:pStyle w:val="Caption"/>
      </w:pPr>
      <w:bookmarkStart w:id="20" w:name="_Toc227927255"/>
      <w:r>
        <w:t xml:space="preserve">Figure </w:t>
      </w:r>
      <w:fldSimple w:instr=" SEQ Figure \* ARABIC ">
        <w:r w:rsidR="00494365">
          <w:rPr>
            <w:noProof/>
          </w:rPr>
          <w:t>15</w:t>
        </w:r>
      </w:fldSimple>
      <w:r>
        <w:t xml:space="preserve">: </w:t>
      </w:r>
      <w:r w:rsidRPr="00C96D2C">
        <w:t>Interest Coverage Ratio</w:t>
      </w:r>
      <w:bookmarkEnd w:id="20"/>
    </w:p>
    <w:p w14:paraId="31BCDD42" w14:textId="77777777" w:rsidR="00416FD6" w:rsidRDefault="00416FD6" w:rsidP="00416FD6"/>
    <w:p w14:paraId="35810638" w14:textId="77777777" w:rsidR="00416FD6" w:rsidRDefault="00416FD6" w:rsidP="00416FD6">
      <w:pPr>
        <w:pStyle w:val="Heading2"/>
      </w:pPr>
      <w:bookmarkStart w:id="21" w:name="_Toc227939048"/>
      <w:r>
        <w:t>1.7 Investment Ratios</w:t>
      </w:r>
      <w:bookmarkEnd w:id="21"/>
    </w:p>
    <w:p w14:paraId="1F4A3198" w14:textId="24D5DA59" w:rsidR="00746387" w:rsidRPr="00746387" w:rsidRDefault="00002B6E" w:rsidP="00746387">
      <w:r w:rsidRPr="00002B6E">
        <w:t>There is good growth in investment performance. Shareholder returns were improved as earnings per share (EPS) rose in 2024 to an improved 47,615 after improving to 5,454 in 2020.</w:t>
      </w:r>
      <w:r w:rsidR="00746387" w:rsidRPr="00746387">
        <w:t xml:space="preserve"> </w:t>
      </w:r>
    </w:p>
    <w:p w14:paraId="07B7753F" w14:textId="597B8CD5" w:rsidR="00503700" w:rsidRDefault="00D93F16" w:rsidP="00434A3B">
      <w:pPr>
        <w:jc w:val="center"/>
      </w:pPr>
      <w:r>
        <w:rPr>
          <w:noProof/>
        </w:rPr>
        <w:lastRenderedPageBreak/>
        <w:drawing>
          <wp:inline distT="0" distB="0" distL="0" distR="0" wp14:anchorId="73D6A87C" wp14:editId="0D0A8679">
            <wp:extent cx="4572000" cy="2743200"/>
            <wp:effectExtent l="0" t="0" r="0" b="0"/>
            <wp:docPr id="233710082" name="Chart 1">
              <a:extLst xmlns:a="http://schemas.openxmlformats.org/drawingml/2006/main">
                <a:ext uri="{FF2B5EF4-FFF2-40B4-BE49-F238E27FC236}">
                  <a16:creationId xmlns:a16="http://schemas.microsoft.com/office/drawing/2014/main" id="{D61B4BCB-2394-F613-E358-6B30559269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340FBA6" w14:textId="62A9837D" w:rsidR="007F7C16" w:rsidRDefault="007F7C16" w:rsidP="007F7C16">
      <w:pPr>
        <w:pStyle w:val="Caption"/>
      </w:pPr>
      <w:bookmarkStart w:id="22" w:name="_Toc227927256"/>
      <w:r>
        <w:t xml:space="preserve">Figure </w:t>
      </w:r>
      <w:fldSimple w:instr=" SEQ Figure \* ARABIC ">
        <w:r w:rsidR="00494365">
          <w:rPr>
            <w:noProof/>
          </w:rPr>
          <w:t>16</w:t>
        </w:r>
      </w:fldSimple>
      <w:r>
        <w:t xml:space="preserve">: </w:t>
      </w:r>
      <w:r w:rsidRPr="00EB3F98">
        <w:t>Earnings per Share (EPS)</w:t>
      </w:r>
      <w:bookmarkEnd w:id="22"/>
    </w:p>
    <w:p w14:paraId="53DF4D6D" w14:textId="4F64A945" w:rsidR="00746387" w:rsidRPr="00746387" w:rsidRDefault="00002B6E" w:rsidP="00746387">
      <w:r w:rsidRPr="00002B6E">
        <w:t>The price-to-earnings (P/E) ratio declined from 33.00 in 2020 to 5.03 in 2023, before rising to 8.40 in 2024. This indicates that the stock of the company was under-ugpriced in comparison with earnings at the time, which prospects of investment.</w:t>
      </w:r>
    </w:p>
    <w:p w14:paraId="7EE6240E" w14:textId="4B06E1F5" w:rsidR="00416FD6" w:rsidRDefault="00D93F16" w:rsidP="007705C2">
      <w:pPr>
        <w:jc w:val="center"/>
      </w:pPr>
      <w:r>
        <w:rPr>
          <w:noProof/>
        </w:rPr>
        <w:drawing>
          <wp:inline distT="0" distB="0" distL="0" distR="0" wp14:anchorId="621756AF" wp14:editId="346559E2">
            <wp:extent cx="5057775" cy="2667000"/>
            <wp:effectExtent l="0" t="0" r="9525" b="0"/>
            <wp:docPr id="429753562" name="Chart 1">
              <a:extLst xmlns:a="http://schemas.openxmlformats.org/drawingml/2006/main">
                <a:ext uri="{FF2B5EF4-FFF2-40B4-BE49-F238E27FC236}">
                  <a16:creationId xmlns:a16="http://schemas.microsoft.com/office/drawing/2014/main" id="{CA611992-85AC-5233-8CF5-E70CB0D186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0605FE6" w14:textId="2BDBC723" w:rsidR="007705C2" w:rsidRDefault="0002768F" w:rsidP="0002768F">
      <w:pPr>
        <w:pStyle w:val="Caption"/>
      </w:pPr>
      <w:bookmarkStart w:id="23" w:name="_Toc227927257"/>
      <w:r>
        <w:t xml:space="preserve">Figure </w:t>
      </w:r>
      <w:fldSimple w:instr=" SEQ Figure \* ARABIC ">
        <w:r w:rsidR="00494365">
          <w:rPr>
            <w:noProof/>
          </w:rPr>
          <w:t>17</w:t>
        </w:r>
      </w:fldSimple>
      <w:r>
        <w:t xml:space="preserve">: </w:t>
      </w:r>
      <w:r w:rsidRPr="00F86E24">
        <w:t>Price/Earnings Ratio (P/E)</w:t>
      </w:r>
      <w:bookmarkEnd w:id="23"/>
    </w:p>
    <w:p w14:paraId="411781F0" w14:textId="1DFCC6E2" w:rsidR="00746387" w:rsidRPr="00746387" w:rsidRDefault="00002B6E" w:rsidP="00746387">
      <w:r w:rsidRPr="00002B6E">
        <w:t>Ratios of investments are essential in the evaluation of the market performance and investor confidence (Khan et al., 2025; Toraşan et al., 2026).</w:t>
      </w:r>
    </w:p>
    <w:p w14:paraId="30FDC010" w14:textId="77777777" w:rsidR="00F1066D" w:rsidRPr="0002768F" w:rsidRDefault="00F1066D" w:rsidP="0002768F"/>
    <w:p w14:paraId="5E023B60" w14:textId="77777777" w:rsidR="00416FD6" w:rsidRDefault="00416FD6" w:rsidP="00416FD6">
      <w:pPr>
        <w:pStyle w:val="Heading2"/>
      </w:pPr>
      <w:bookmarkStart w:id="24" w:name="_Toc227939049"/>
      <w:r>
        <w:lastRenderedPageBreak/>
        <w:t>1.8 Cash Flow Analysis</w:t>
      </w:r>
      <w:bookmarkEnd w:id="24"/>
    </w:p>
    <w:p w14:paraId="6FF12F2B" w14:textId="5FCEEE70" w:rsidR="00746387" w:rsidRPr="00746387" w:rsidRDefault="00AB7801" w:rsidP="00746387">
      <w:r w:rsidRPr="00AB7801">
        <w:t>Operating cash flows fluctuate in the cash flow analysis. OCF was negative in 2020 (-409,807) and 2021 (-1,176,416), turned positive in 2022 (10,627,311), and again became negative in 2023 (-2,518,760) and 2024 (-5,661,641). This suggests varying operating cash flows.</w:t>
      </w:r>
    </w:p>
    <w:p w14:paraId="466E200C" w14:textId="2C32F431" w:rsidR="00EE73C5" w:rsidRDefault="00D93F16" w:rsidP="00EE73C5">
      <w:pPr>
        <w:jc w:val="center"/>
      </w:pPr>
      <w:r>
        <w:rPr>
          <w:noProof/>
        </w:rPr>
        <w:drawing>
          <wp:inline distT="0" distB="0" distL="0" distR="0" wp14:anchorId="39CEC35C" wp14:editId="11AB3E80">
            <wp:extent cx="5638800" cy="4838700"/>
            <wp:effectExtent l="0" t="0" r="0" b="0"/>
            <wp:docPr id="2086940458" name="Chart 1">
              <a:extLst xmlns:a="http://schemas.openxmlformats.org/drawingml/2006/main">
                <a:ext uri="{FF2B5EF4-FFF2-40B4-BE49-F238E27FC236}">
                  <a16:creationId xmlns:a16="http://schemas.microsoft.com/office/drawing/2014/main" id="{5947B4DB-2FC1-2F50-324A-FC476A62FE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19D611F" w14:textId="2832A7E7" w:rsidR="00E86853" w:rsidRDefault="00E86853" w:rsidP="00E86853">
      <w:pPr>
        <w:pStyle w:val="Caption"/>
      </w:pPr>
      <w:bookmarkStart w:id="25" w:name="_Toc227927258"/>
      <w:r>
        <w:t xml:space="preserve">Figure </w:t>
      </w:r>
      <w:fldSimple w:instr=" SEQ Figure \* ARABIC ">
        <w:r w:rsidR="00494365">
          <w:rPr>
            <w:noProof/>
          </w:rPr>
          <w:t>18</w:t>
        </w:r>
      </w:fldSimple>
      <w:r>
        <w:t xml:space="preserve">: </w:t>
      </w:r>
      <w:r w:rsidRPr="006D242B">
        <w:t>Operating Cash Flow</w:t>
      </w:r>
      <w:bookmarkEnd w:id="25"/>
    </w:p>
    <w:p w14:paraId="295439A4" w14:textId="1219817B" w:rsidR="00746387" w:rsidRPr="00746387" w:rsidRDefault="00EA4D27" w:rsidP="00746387">
      <w:r w:rsidRPr="00EA4D27">
        <w:t>Free Cash Flow (FCF) remained positive throughout the period, increasing from KRW 4,278,035 in 2020 to a peak of KRW 14,642,280 in 2022, before declining to KRW 2,399,692 in 2024. This is an indication that though there have been weak operating cash flow in certain years, Hyundai still has investment capacity.</w:t>
      </w:r>
    </w:p>
    <w:p w14:paraId="563BB3E3" w14:textId="6FD9021A" w:rsidR="00EE73C5" w:rsidRDefault="00D93F16" w:rsidP="00EE73C5">
      <w:pPr>
        <w:jc w:val="center"/>
      </w:pPr>
      <w:r>
        <w:rPr>
          <w:noProof/>
        </w:rPr>
        <w:lastRenderedPageBreak/>
        <w:drawing>
          <wp:inline distT="0" distB="0" distL="0" distR="0" wp14:anchorId="733294C8" wp14:editId="7682A7E0">
            <wp:extent cx="4572000" cy="2857500"/>
            <wp:effectExtent l="0" t="0" r="0" b="0"/>
            <wp:docPr id="142804349" name="Chart 1">
              <a:extLst xmlns:a="http://schemas.openxmlformats.org/drawingml/2006/main">
                <a:ext uri="{FF2B5EF4-FFF2-40B4-BE49-F238E27FC236}">
                  <a16:creationId xmlns:a16="http://schemas.microsoft.com/office/drawing/2014/main" id="{22CF2E93-84E9-D625-A7EE-7C7FCFDFE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C31A429" w14:textId="79C53D54" w:rsidR="002F58B7" w:rsidRDefault="002F58B7" w:rsidP="002F58B7">
      <w:pPr>
        <w:pStyle w:val="Caption"/>
      </w:pPr>
      <w:bookmarkStart w:id="26" w:name="_Toc227927259"/>
      <w:r>
        <w:t xml:space="preserve">Figure </w:t>
      </w:r>
      <w:fldSimple w:instr=" SEQ Figure \* ARABIC ">
        <w:r w:rsidR="00494365">
          <w:rPr>
            <w:noProof/>
          </w:rPr>
          <w:t>19</w:t>
        </w:r>
      </w:fldSimple>
      <w:r>
        <w:t xml:space="preserve">: </w:t>
      </w:r>
      <w:r w:rsidRPr="004747D5">
        <w:t>Free Cash Flow</w:t>
      </w:r>
      <w:bookmarkEnd w:id="26"/>
    </w:p>
    <w:p w14:paraId="56F52259" w14:textId="2D44C477" w:rsidR="00746387" w:rsidRPr="00746387" w:rsidRDefault="00F77DBB" w:rsidP="00746387">
      <w:r w:rsidRPr="00F77DBB">
        <w:t>The OCF/CapEx ratio varied considerably, reaching a maximum of 2.65 in 2022, and being lower in other years (0.09 in 2020 and 0.70 in 2024). This shows that the cash generated within the company is not enough to sustain its investment in capital expenditure, and external investments are needed. Cash flow ratios offer a more comprehensive view of financial performance than traditional profit-based measures (Petriashvili, 2018; Seretidou et al., 2023).</w:t>
      </w:r>
    </w:p>
    <w:p w14:paraId="5FFE87C2" w14:textId="0DC8B31F" w:rsidR="00416FD6" w:rsidRDefault="00D93F16" w:rsidP="002846AE">
      <w:pPr>
        <w:jc w:val="center"/>
      </w:pPr>
      <w:r>
        <w:rPr>
          <w:noProof/>
        </w:rPr>
        <w:drawing>
          <wp:inline distT="0" distB="0" distL="0" distR="0" wp14:anchorId="678C570B" wp14:editId="0DF43656">
            <wp:extent cx="4572000" cy="2809875"/>
            <wp:effectExtent l="0" t="0" r="0" b="9525"/>
            <wp:docPr id="1927073679" name="Chart 1">
              <a:extLst xmlns:a="http://schemas.openxmlformats.org/drawingml/2006/main">
                <a:ext uri="{FF2B5EF4-FFF2-40B4-BE49-F238E27FC236}">
                  <a16:creationId xmlns:a16="http://schemas.microsoft.com/office/drawing/2014/main" id="{180DE5DF-5F44-A37E-9F81-75E5A544C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6D179DA" w14:textId="4231E385" w:rsidR="00B56E65" w:rsidRDefault="008356C9" w:rsidP="00F77DBB">
      <w:pPr>
        <w:pStyle w:val="Caption"/>
      </w:pPr>
      <w:bookmarkStart w:id="27" w:name="_Toc227927260"/>
      <w:r>
        <w:t xml:space="preserve">Figure </w:t>
      </w:r>
      <w:fldSimple w:instr=" SEQ Figure \* ARABIC ">
        <w:r w:rsidR="00494365">
          <w:rPr>
            <w:noProof/>
          </w:rPr>
          <w:t>20</w:t>
        </w:r>
      </w:fldSimple>
      <w:r>
        <w:t xml:space="preserve">: </w:t>
      </w:r>
      <w:r w:rsidRPr="006C0502">
        <w:t>Cash Flow Adequacy</w:t>
      </w:r>
      <w:bookmarkEnd w:id="27"/>
    </w:p>
    <w:p w14:paraId="75757BA4" w14:textId="5F5ED41A" w:rsidR="009E5B93" w:rsidRDefault="00416FD6" w:rsidP="00B56E65">
      <w:pPr>
        <w:pStyle w:val="Heading2"/>
      </w:pPr>
      <w:bookmarkStart w:id="28" w:name="_Toc227939050"/>
      <w:r>
        <w:lastRenderedPageBreak/>
        <w:t>1.9 Trend</w:t>
      </w:r>
      <w:r w:rsidR="00B56E65" w:rsidRPr="00B56E65">
        <w:t xml:space="preserve">s, </w:t>
      </w:r>
      <w:r w:rsidR="009F4F6E">
        <w:t>S</w:t>
      </w:r>
      <w:r w:rsidR="00B56E65" w:rsidRPr="00B56E65">
        <w:t xml:space="preserve">trengths and </w:t>
      </w:r>
      <w:r w:rsidR="009F4F6E">
        <w:t>T</w:t>
      </w:r>
      <w:r w:rsidR="00B56E65" w:rsidRPr="00B56E65">
        <w:t>hreats</w:t>
      </w:r>
      <w:bookmarkEnd w:id="28"/>
    </w:p>
    <w:p w14:paraId="0B6A41CD" w14:textId="27E81392" w:rsidR="00AA58B3" w:rsidRPr="00AA58B3" w:rsidRDefault="00CF3B44" w:rsidP="00AA58B3">
      <w:r w:rsidRPr="00CF3B44">
        <w:t>In general Hyundai is showing very good results in terms of profitability and performance in investments. The main strengths are that the margins, EPS, and interest coverage are increasing, which means that financial performance is quite strong, and the market position is well-established.</w:t>
      </w:r>
      <w:r>
        <w:t xml:space="preserve"> </w:t>
      </w:r>
      <w:r w:rsidRPr="00CF3B44">
        <w:t>The company's capacity to generate FCF despite variable OCF shows its strength and its investment prowess.</w:t>
      </w:r>
    </w:p>
    <w:p w14:paraId="066B177D" w14:textId="7BD0E1A8" w:rsidR="00AA58B3" w:rsidRPr="00AA58B3" w:rsidRDefault="00016BBE" w:rsidP="00AA58B3">
      <w:r w:rsidRPr="00016BBE">
        <w:t>Nevertheless, there are a number of threats. The leverages are high, financial risk is high, and asset turnover and inventory efficiency is lower indicating the possible operational inefficiencies. The unstable operating cash flows also present issues on the liquidity and sustainability.</w:t>
      </w:r>
    </w:p>
    <w:p w14:paraId="5570CADC" w14:textId="7A65BE7D" w:rsidR="00AA58B3" w:rsidRPr="00AA58B3" w:rsidRDefault="006C09D0" w:rsidP="00AA58B3">
      <w:r w:rsidRPr="006C09D0">
        <w:t>In summary, Hyundai is economically strong with strong growth in the EV market, but should manage its leverage, efficiency and cash flow to ensure long-term success. Financial ratios remain a vital tool for recognising such opportunities and threats in business decisions (Adesoye et al., 2021; Muslim et al., 2023).</w:t>
      </w:r>
    </w:p>
    <w:p w14:paraId="6F6A8BBF" w14:textId="07449B4A" w:rsidR="00DB7114" w:rsidRDefault="007B3E16" w:rsidP="00837333">
      <w:r>
        <w:rPr>
          <w:noProof/>
        </w:rPr>
        <w:drawing>
          <wp:inline distT="0" distB="0" distL="0" distR="0" wp14:anchorId="0F992437" wp14:editId="4BBF5C4C">
            <wp:extent cx="5901690" cy="3249295"/>
            <wp:effectExtent l="0" t="0" r="3810" b="8255"/>
            <wp:docPr id="41381624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01690" cy="3249295"/>
                    </a:xfrm>
                    <a:prstGeom prst="rect">
                      <a:avLst/>
                    </a:prstGeom>
                    <a:noFill/>
                  </pic:spPr>
                </pic:pic>
              </a:graphicData>
            </a:graphic>
          </wp:inline>
        </w:drawing>
      </w:r>
    </w:p>
    <w:p w14:paraId="26B1F456" w14:textId="50D12981" w:rsidR="003A3C02" w:rsidRDefault="003A3C02" w:rsidP="003A3C02">
      <w:pPr>
        <w:pStyle w:val="Caption"/>
      </w:pPr>
      <w:bookmarkStart w:id="29" w:name="_Toc227927261"/>
      <w:r>
        <w:t xml:space="preserve">Figure </w:t>
      </w:r>
      <w:fldSimple w:instr=" SEQ Figure \* ARABIC ">
        <w:r w:rsidR="00494365">
          <w:rPr>
            <w:noProof/>
          </w:rPr>
          <w:t>21</w:t>
        </w:r>
      </w:fldSimple>
      <w:r>
        <w:t xml:space="preserve">: </w:t>
      </w:r>
      <w:r w:rsidRPr="00B31215">
        <w:t>Trends, Strengths and Threats</w:t>
      </w:r>
      <w:bookmarkEnd w:id="29"/>
    </w:p>
    <w:p w14:paraId="28754D67" w14:textId="77777777" w:rsidR="00280D11" w:rsidRPr="00280D11" w:rsidRDefault="00280D11" w:rsidP="00280D11"/>
    <w:p w14:paraId="22087062" w14:textId="5EC31912" w:rsidR="00D1378E" w:rsidRDefault="00D1378E" w:rsidP="00D1378E">
      <w:pPr>
        <w:pStyle w:val="Heading1"/>
      </w:pPr>
      <w:bookmarkStart w:id="30" w:name="_Toc227939051"/>
      <w:r>
        <w:lastRenderedPageBreak/>
        <w:t>2. Working Capital Management Analysis</w:t>
      </w:r>
      <w:bookmarkEnd w:id="30"/>
      <w:r>
        <w:t xml:space="preserve"> </w:t>
      </w:r>
    </w:p>
    <w:p w14:paraId="1E8FB536" w14:textId="244804AF" w:rsidR="008E06CA" w:rsidRPr="008E06CA" w:rsidRDefault="008E06CA" w:rsidP="008E06CA">
      <w:pPr>
        <w:pStyle w:val="Heading2"/>
      </w:pPr>
      <w:bookmarkStart w:id="31" w:name="_Toc227939052"/>
      <w:r w:rsidRPr="008E06CA">
        <w:t>2.1 Cash Operating Cycle (CCC)</w:t>
      </w:r>
      <w:bookmarkEnd w:id="31"/>
    </w:p>
    <w:p w14:paraId="05AFE8D6" w14:textId="1EB42F3C" w:rsidR="0061791E" w:rsidRDefault="000E227D" w:rsidP="008E06CA">
      <w:r w:rsidRPr="000E227D">
        <w:t>The cash conversion cycle (CCC) is a measure that is used to determine how much time Hyundai takes in transforming its investments in inventory and receivables into cash flows</w:t>
      </w:r>
      <w:r w:rsidR="008E06CA" w:rsidRPr="008E06CA">
        <w:t xml:space="preserve">. </w:t>
      </w:r>
      <w:r w:rsidR="00055D69" w:rsidRPr="00055D69">
        <w:t>Hyundai's CCC has varied widely over the past five years, from 27.34 days in 2020, down to 18.67 days in 2021 and 17.90 days in 2022, up to 24.33 days in 2023 and 28.13 days in 2024.</w:t>
      </w:r>
      <w:r w:rsidR="008E06CA" w:rsidRPr="008E06CA">
        <w:t xml:space="preserve"> </w:t>
      </w:r>
    </w:p>
    <w:p w14:paraId="0ABA2903" w14:textId="0DB230C0" w:rsidR="0061791E" w:rsidRDefault="0061791E" w:rsidP="008E06CA">
      <w:r w:rsidRPr="0061791E">
        <w:rPr>
          <w:noProof/>
        </w:rPr>
        <w:drawing>
          <wp:inline distT="0" distB="0" distL="0" distR="0" wp14:anchorId="72068951" wp14:editId="1504F620">
            <wp:extent cx="5943600" cy="883285"/>
            <wp:effectExtent l="0" t="0" r="0" b="0"/>
            <wp:docPr id="86532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883285"/>
                    </a:xfrm>
                    <a:prstGeom prst="rect">
                      <a:avLst/>
                    </a:prstGeom>
                    <a:noFill/>
                    <a:ln>
                      <a:noFill/>
                    </a:ln>
                  </pic:spPr>
                </pic:pic>
              </a:graphicData>
            </a:graphic>
          </wp:inline>
        </w:drawing>
      </w:r>
    </w:p>
    <w:p w14:paraId="686EE160" w14:textId="757ED114" w:rsidR="0061791E" w:rsidRDefault="0061791E" w:rsidP="0061791E">
      <w:pPr>
        <w:pStyle w:val="Caption"/>
      </w:pPr>
      <w:bookmarkStart w:id="32" w:name="_Toc227927262"/>
      <w:r>
        <w:t xml:space="preserve">Figure </w:t>
      </w:r>
      <w:fldSimple w:instr=" SEQ Figure \* ARABIC ">
        <w:r w:rsidR="00494365">
          <w:rPr>
            <w:noProof/>
          </w:rPr>
          <w:t>22</w:t>
        </w:r>
      </w:fldSimple>
      <w:r>
        <w:t xml:space="preserve">: </w:t>
      </w:r>
      <w:r w:rsidRPr="007E25A0">
        <w:t>Cash Operating Cycle</w:t>
      </w:r>
      <w:r>
        <w:t xml:space="preserve"> Data</w:t>
      </w:r>
      <w:bookmarkEnd w:id="32"/>
    </w:p>
    <w:p w14:paraId="0A2789EC" w14:textId="6B43AB3C" w:rsidR="008E06CA" w:rsidRDefault="006C37B0" w:rsidP="008E06CA">
      <w:r w:rsidRPr="006C37B0">
        <w:t>The decline that occurred in 2020-2022 implies enhanced working capital efficiency since the company could cut down the period that it took it to turn inventory and receivables into cash. Nevertheless, the following growth indicates a decline in efficiency, probably caused by a reduction in inventory turns and a reduction in operating cycles.</w:t>
      </w:r>
    </w:p>
    <w:p w14:paraId="3DADA837" w14:textId="656A6C8B" w:rsidR="008E06CA" w:rsidRDefault="008E06CA" w:rsidP="008E06CA">
      <w:r>
        <w:rPr>
          <w:noProof/>
        </w:rPr>
        <w:drawing>
          <wp:inline distT="0" distB="0" distL="0" distR="0" wp14:anchorId="3ED2FEA4" wp14:editId="3F7FB3DE">
            <wp:extent cx="5791200" cy="2743200"/>
            <wp:effectExtent l="0" t="0" r="0" b="0"/>
            <wp:docPr id="57974643" name="Chart 1">
              <a:extLst xmlns:a="http://schemas.openxmlformats.org/drawingml/2006/main">
                <a:ext uri="{FF2B5EF4-FFF2-40B4-BE49-F238E27FC236}">
                  <a16:creationId xmlns:a16="http://schemas.microsoft.com/office/drawing/2014/main" id="{BCC0B05E-D904-C399-CF21-314FAAE01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3689140" w14:textId="737E8236" w:rsidR="008E06CA" w:rsidRPr="008E06CA" w:rsidRDefault="008E06CA" w:rsidP="008E06CA">
      <w:pPr>
        <w:pStyle w:val="Caption"/>
      </w:pPr>
      <w:bookmarkStart w:id="33" w:name="_Toc227927263"/>
      <w:r>
        <w:t xml:space="preserve">Figure </w:t>
      </w:r>
      <w:fldSimple w:instr=" SEQ Figure \* ARABIC ">
        <w:r w:rsidR="00494365">
          <w:rPr>
            <w:noProof/>
          </w:rPr>
          <w:t>23</w:t>
        </w:r>
      </w:fldSimple>
      <w:r>
        <w:t xml:space="preserve">: </w:t>
      </w:r>
      <w:r w:rsidRPr="00F474CB">
        <w:t>Cash Conversion Cycle (CCC)</w:t>
      </w:r>
      <w:bookmarkEnd w:id="33"/>
    </w:p>
    <w:p w14:paraId="4DEDEDEB" w14:textId="526F159D" w:rsidR="00ED05A1" w:rsidRDefault="006729CB" w:rsidP="008E06CA">
      <w:r w:rsidRPr="006729CB">
        <w:lastRenderedPageBreak/>
        <w:t>The trend in CCC is driven by the trend in its components. Inventory days fell from 53 days in 2020 to 41 days in 2022 due to better inventory management, but rose to 49 days in 2024, suggesting over-investment in inventory or a slowing of growth in demand. Receivables days have remained steady in the 10-12 days range, suggesting good credit management and collection practices.</w:t>
      </w:r>
      <w:r w:rsidR="008E06CA" w:rsidRPr="008E06CA">
        <w:t xml:space="preserve"> </w:t>
      </w:r>
    </w:p>
    <w:p w14:paraId="29E2EA25" w14:textId="23854CF6" w:rsidR="008E06CA" w:rsidRPr="008E06CA" w:rsidRDefault="001D3E01" w:rsidP="008E06CA">
      <w:r w:rsidRPr="001D3E01">
        <w:t>Conversely, the number of payables days dropped to 31 days in 2023 after a decrease of 38 days in 2020 which indicated quicker payments to suppliers although slightly decreased to 33 days in 2024, which could hinder liquidity flexibility.</w:t>
      </w:r>
      <w:r>
        <w:t xml:space="preserve"> </w:t>
      </w:r>
      <w:r w:rsidR="00E625DD" w:rsidRPr="00E625DD">
        <w:t>A lower CCC typically translates into stronger liquidity and profitability, given the quicker cash inflow (Kavyashree et al., 2024; Galil et al., 2026). The recent increase of Hyundai's CCC indicates some problems with working capital management efforts.</w:t>
      </w:r>
    </w:p>
    <w:p w14:paraId="013D44E4" w14:textId="028C4AFB" w:rsidR="008E06CA" w:rsidRPr="008E06CA" w:rsidRDefault="008E06CA" w:rsidP="008E06CA"/>
    <w:p w14:paraId="2688A231" w14:textId="77777777" w:rsidR="008E06CA" w:rsidRPr="008E06CA" w:rsidRDefault="008E06CA" w:rsidP="008E06CA">
      <w:pPr>
        <w:pStyle w:val="Heading2"/>
      </w:pPr>
      <w:bookmarkStart w:id="34" w:name="_Toc227939053"/>
      <w:r w:rsidRPr="008E06CA">
        <w:t>2.2 Strategies to Improve Liquidity through Working Capital Reforms</w:t>
      </w:r>
      <w:bookmarkEnd w:id="34"/>
    </w:p>
    <w:p w14:paraId="62C2F097" w14:textId="4EBAD38E" w:rsidR="008E06CA" w:rsidRDefault="003224E0" w:rsidP="008E06CA">
      <w:r w:rsidRPr="003224E0">
        <w:t>In order to improve liquidity, Hyundai ought to work on maximising on its working capital position especially inventory and payables management. To begin with, it is important to cut on inventory holding time. The growth of 41 days in 2022 to 49 days in 2024 implies that there are inefficiencies in inventory management.</w:t>
      </w:r>
      <w:r w:rsidR="008E06CA" w:rsidRPr="008E06CA">
        <w:t xml:space="preserve"> </w:t>
      </w:r>
      <w:r w:rsidR="00EC1233" w:rsidRPr="00EC1233">
        <w:t>Finally, excess stock and turnover can be minimized through the installment of high-tech demand forecasting systems, just-in time (JIT) inventory systems, and the enhancement of the supply chain coordination. The effective management of inventory directly increases the cash flow and decreases holding costs (Pandey et al., 2026).</w:t>
      </w:r>
    </w:p>
    <w:p w14:paraId="2C490887" w14:textId="1EFBFDAC" w:rsidR="00787FE6" w:rsidRDefault="00787FE6" w:rsidP="00937346">
      <w:pPr>
        <w:jc w:val="center"/>
      </w:pPr>
      <w:r>
        <w:rPr>
          <w:noProof/>
        </w:rPr>
        <w:drawing>
          <wp:inline distT="0" distB="0" distL="0" distR="0" wp14:anchorId="67A1796A" wp14:editId="366D12A7">
            <wp:extent cx="4478339" cy="2066925"/>
            <wp:effectExtent l="0" t="0" r="0" b="0"/>
            <wp:docPr id="2005539161" name="Picture 4" descr="Just-In-Time (JIT) - Meaning, Example, Advantages/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Just-In-Time (JIT) - Meaning, Example, Advantages/Disadvantages"/>
                    <pic:cNvPicPr>
                      <a:picLocks noChangeAspect="1" noChangeArrowheads="1"/>
                    </pic:cNvPicPr>
                  </pic:nvPicPr>
                  <pic:blipFill rotWithShape="1">
                    <a:blip r:embed="rId30">
                      <a:extLst>
                        <a:ext uri="{28A0092B-C50C-407E-A947-70E740481C1C}">
                          <a14:useLocalDpi xmlns:a14="http://schemas.microsoft.com/office/drawing/2010/main" val="0"/>
                        </a:ext>
                      </a:extLst>
                    </a:blip>
                    <a:srcRect b="18475"/>
                    <a:stretch>
                      <a:fillRect/>
                    </a:stretch>
                  </pic:blipFill>
                  <pic:spPr bwMode="auto">
                    <a:xfrm>
                      <a:off x="0" y="0"/>
                      <a:ext cx="4485556" cy="2070256"/>
                    </a:xfrm>
                    <a:prstGeom prst="rect">
                      <a:avLst/>
                    </a:prstGeom>
                    <a:noFill/>
                    <a:ln>
                      <a:noFill/>
                    </a:ln>
                    <a:extLst>
                      <a:ext uri="{53640926-AAD7-44D8-BBD7-CCE9431645EC}">
                        <a14:shadowObscured xmlns:a14="http://schemas.microsoft.com/office/drawing/2010/main"/>
                      </a:ext>
                    </a:extLst>
                  </pic:spPr>
                </pic:pic>
              </a:graphicData>
            </a:graphic>
          </wp:inline>
        </w:drawing>
      </w:r>
    </w:p>
    <w:p w14:paraId="39AA3B0A" w14:textId="26C6F405" w:rsidR="00787FE6" w:rsidRPr="008E06CA" w:rsidRDefault="00787FE6" w:rsidP="00787FE6">
      <w:pPr>
        <w:pStyle w:val="Caption"/>
      </w:pPr>
      <w:bookmarkStart w:id="35" w:name="_Toc227927264"/>
      <w:r>
        <w:lastRenderedPageBreak/>
        <w:t xml:space="preserve">Figure </w:t>
      </w:r>
      <w:fldSimple w:instr=" SEQ Figure \* ARABIC ">
        <w:r w:rsidR="00494365">
          <w:rPr>
            <w:noProof/>
          </w:rPr>
          <w:t>24</w:t>
        </w:r>
      </w:fldSimple>
      <w:r>
        <w:t xml:space="preserve">: </w:t>
      </w:r>
      <w:r w:rsidRPr="002E476D">
        <w:t>Just-In-Time (JIT)</w:t>
      </w:r>
      <w:bookmarkEnd w:id="35"/>
    </w:p>
    <w:p w14:paraId="6B94BE70" w14:textId="1024034C" w:rsidR="008E06CA" w:rsidRDefault="00B3304E" w:rsidP="008E06CA">
      <w:r w:rsidRPr="00B3304E">
        <w:t>Second, although receivables management is relatively effective, more efficient collections could happen by enforcing a stringent credit policy and utilising digital payment systems. The Remaining 10-12 days receivables at Hyundai suggests good credit discipline, which needs to be maintained. But without impacting customer relationships too much, providing biased early payment discount rates or automated receivables tracking systems would be a good way to increase cash flows.</w:t>
      </w:r>
    </w:p>
    <w:p w14:paraId="7A799ECC" w14:textId="18683865" w:rsidR="00774D8F" w:rsidRDefault="00774D8F" w:rsidP="008E06CA">
      <w:r>
        <w:rPr>
          <w:noProof/>
        </w:rPr>
        <w:drawing>
          <wp:inline distT="0" distB="0" distL="0" distR="0" wp14:anchorId="7FD2DD8D" wp14:editId="0E5631F7">
            <wp:extent cx="5943600" cy="3189605"/>
            <wp:effectExtent l="0" t="0" r="0" b="0"/>
            <wp:docPr id="469549537" name="Picture 5" descr="Receivables Management: How to Choose the Best Tool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Receivables Management: How to Choose the Best Tool (20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189605"/>
                    </a:xfrm>
                    <a:prstGeom prst="rect">
                      <a:avLst/>
                    </a:prstGeom>
                    <a:noFill/>
                    <a:ln>
                      <a:noFill/>
                    </a:ln>
                  </pic:spPr>
                </pic:pic>
              </a:graphicData>
            </a:graphic>
          </wp:inline>
        </w:drawing>
      </w:r>
    </w:p>
    <w:p w14:paraId="51E542E1" w14:textId="29BC372A" w:rsidR="00774D8F" w:rsidRPr="008E06CA" w:rsidRDefault="00774D8F" w:rsidP="00774D8F">
      <w:pPr>
        <w:pStyle w:val="Caption"/>
      </w:pPr>
      <w:bookmarkStart w:id="36" w:name="_Toc227927265"/>
      <w:r>
        <w:t xml:space="preserve">Figure </w:t>
      </w:r>
      <w:fldSimple w:instr=" SEQ Figure \* ARABIC ">
        <w:r w:rsidR="00494365">
          <w:rPr>
            <w:noProof/>
          </w:rPr>
          <w:t>25</w:t>
        </w:r>
      </w:fldSimple>
      <w:r>
        <w:t xml:space="preserve">: </w:t>
      </w:r>
      <w:r w:rsidRPr="00EA4118">
        <w:t>Receivables Management</w:t>
      </w:r>
      <w:bookmarkEnd w:id="36"/>
    </w:p>
    <w:p w14:paraId="445AAE4C" w14:textId="55A0C229" w:rsidR="008E06CA" w:rsidRDefault="00812F1C" w:rsidP="008E06CA">
      <w:r w:rsidRPr="00812F1C">
        <w:t>Third, Hyundai should rethink its payables strategy. The decrease in payables days (from 38 days to 31 days) may indicate the company is accelerating payments to its suppliers, potentially reducing cash flow. Where possible, extending supplier credit can enhance cash flow without adversely affecting vendor relationships. Negotiating with suppliers and managing supply chain financing can optimise balance between liquidity and efficiency (Aldubhani et al., 2022).</w:t>
      </w:r>
    </w:p>
    <w:p w14:paraId="7781D185" w14:textId="2ACC7A65" w:rsidR="008B4EC8" w:rsidRDefault="008B4EC8" w:rsidP="008E06CA">
      <w:r>
        <w:rPr>
          <w:noProof/>
        </w:rPr>
        <w:lastRenderedPageBreak/>
        <w:drawing>
          <wp:inline distT="0" distB="0" distL="0" distR="0" wp14:anchorId="0141A5DE" wp14:editId="49B4213A">
            <wp:extent cx="5943600" cy="2800350"/>
            <wp:effectExtent l="0" t="0" r="0" b="0"/>
            <wp:docPr id="1017242747" name="Picture 6" descr="Supplier Negotiation Mastery: From Basics to Advanced Tac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upplier Negotiation Mastery: From Basics to Advanced Tactics"/>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16761"/>
                    <a:stretch>
                      <a:fillRect/>
                    </a:stretch>
                  </pic:blipFill>
                  <pic:spPr bwMode="auto">
                    <a:xfrm>
                      <a:off x="0" y="0"/>
                      <a:ext cx="5943600"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57A3C21F" w14:textId="79D6087E" w:rsidR="008B4EC8" w:rsidRPr="008E06CA" w:rsidRDefault="008B4EC8" w:rsidP="008B4EC8">
      <w:pPr>
        <w:pStyle w:val="Caption"/>
      </w:pPr>
      <w:bookmarkStart w:id="37" w:name="_Toc227927266"/>
      <w:r>
        <w:t xml:space="preserve">Figure </w:t>
      </w:r>
      <w:fldSimple w:instr=" SEQ Figure \* ARABIC ">
        <w:r w:rsidR="00494365">
          <w:rPr>
            <w:noProof/>
          </w:rPr>
          <w:t>26</w:t>
        </w:r>
      </w:fldSimple>
      <w:r>
        <w:t xml:space="preserve">: </w:t>
      </w:r>
      <w:r w:rsidRPr="006B6CEF">
        <w:t>Supplier Negotiation</w:t>
      </w:r>
      <w:r>
        <w:t>s</w:t>
      </w:r>
      <w:bookmarkEnd w:id="37"/>
    </w:p>
    <w:p w14:paraId="65DD6AC1" w14:textId="051B6357" w:rsidR="008E06CA" w:rsidRPr="008E06CA" w:rsidRDefault="009B4B64" w:rsidP="008E06CA">
      <w:r w:rsidRPr="009B4B64">
        <w:t>Also, it is necessary to combine the working capital management with an overall financial strategy. Effective management of working capital can enhance profitability and financial stability, especially in capital intensive sectors like vehicles production (Silva et al., 2026). Hyundai has to consider a middle way that maximizes liquidity without affecting the operational performance or relationship with the suppliers.</w:t>
      </w:r>
    </w:p>
    <w:p w14:paraId="7A556373" w14:textId="1BC6B8A8" w:rsidR="008E06CA" w:rsidRDefault="007F11DE" w:rsidP="00937346">
      <w:pPr>
        <w:jc w:val="center"/>
      </w:pPr>
      <w:r>
        <w:rPr>
          <w:noProof/>
        </w:rPr>
        <w:drawing>
          <wp:inline distT="0" distB="0" distL="0" distR="0" wp14:anchorId="698A3F27" wp14:editId="58FB3B36">
            <wp:extent cx="4914900" cy="3000925"/>
            <wp:effectExtent l="0" t="0" r="0" b="9525"/>
            <wp:docPr id="781715047" name="Picture 7" descr="Working Capital Management Strategies for Growing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Working Capital Management Strategies for Growing Businesses"/>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7776" b="7569"/>
                    <a:stretch>
                      <a:fillRect/>
                    </a:stretch>
                  </pic:blipFill>
                  <pic:spPr bwMode="auto">
                    <a:xfrm>
                      <a:off x="0" y="0"/>
                      <a:ext cx="4917419" cy="3002463"/>
                    </a:xfrm>
                    <a:prstGeom prst="rect">
                      <a:avLst/>
                    </a:prstGeom>
                    <a:noFill/>
                    <a:ln>
                      <a:noFill/>
                    </a:ln>
                    <a:extLst>
                      <a:ext uri="{53640926-AAD7-44D8-BBD7-CCE9431645EC}">
                        <a14:shadowObscured xmlns:a14="http://schemas.microsoft.com/office/drawing/2010/main"/>
                      </a:ext>
                    </a:extLst>
                  </pic:spPr>
                </pic:pic>
              </a:graphicData>
            </a:graphic>
          </wp:inline>
        </w:drawing>
      </w:r>
    </w:p>
    <w:p w14:paraId="135B603D" w14:textId="1364E69B" w:rsidR="007F11DE" w:rsidRPr="008E06CA" w:rsidRDefault="00446E1B" w:rsidP="00937346">
      <w:pPr>
        <w:pStyle w:val="Caption"/>
      </w:pPr>
      <w:bookmarkStart w:id="38" w:name="_Toc227927267"/>
      <w:r>
        <w:t xml:space="preserve">Figure </w:t>
      </w:r>
      <w:fldSimple w:instr=" SEQ Figure \* ARABIC ">
        <w:r w:rsidR="00494365">
          <w:rPr>
            <w:noProof/>
          </w:rPr>
          <w:t>27</w:t>
        </w:r>
      </w:fldSimple>
      <w:r>
        <w:t xml:space="preserve">: </w:t>
      </w:r>
      <w:r w:rsidRPr="00853157">
        <w:t>Working Capital Management Strategies for Growing Businesses</w:t>
      </w:r>
      <w:bookmarkEnd w:id="38"/>
    </w:p>
    <w:p w14:paraId="38D51DDA" w14:textId="77777777" w:rsidR="008E06CA" w:rsidRPr="008E06CA" w:rsidRDefault="008E06CA" w:rsidP="008E06CA">
      <w:pPr>
        <w:pStyle w:val="Heading2"/>
      </w:pPr>
      <w:bookmarkStart w:id="39" w:name="_Toc227939054"/>
      <w:r w:rsidRPr="008E06CA">
        <w:lastRenderedPageBreak/>
        <w:t>2.3 Comparison of Short-term vs Long-term Financing Options</w:t>
      </w:r>
      <w:bookmarkEnd w:id="39"/>
    </w:p>
    <w:p w14:paraId="62E6FD66" w14:textId="6CCC7A44" w:rsidR="008E06CA" w:rsidRDefault="006549F9" w:rsidP="008E06CA">
      <w:r w:rsidRPr="006549F9">
        <w:t>Hyundai can raise capital for its working capital needs in the short-term or long-term market, with each having its own merits and drawbacks. Short-term finance options, like bank overdraft, trade credit and short-term loans, are often applied to finance operating and working capital. Long-term financing options are more permanent, have higher upfront costs, but can be used to fund long-term needs. But they involve refinancing risks and expose Hyundai to interest rate risk (Aldo, 2022).</w:t>
      </w:r>
    </w:p>
    <w:p w14:paraId="43BE149E" w14:textId="5B9C76BD" w:rsidR="00224854" w:rsidRDefault="00224854" w:rsidP="008E06CA">
      <w:r>
        <w:rPr>
          <w:noProof/>
        </w:rPr>
        <w:drawing>
          <wp:inline distT="0" distB="0" distL="0" distR="0" wp14:anchorId="66E4A25D" wp14:editId="1720F3D1">
            <wp:extent cx="5943600" cy="3686175"/>
            <wp:effectExtent l="0" t="0" r="0" b="9525"/>
            <wp:docPr id="1673775020" name="Picture 8" descr="Short Term Loan | Characteristics and Types of Short Term Lo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hort Term Loan | Characteristics and Types of Short Term Loan"/>
                    <pic:cNvPicPr>
                      <a:picLocks noChangeAspect="1" noChangeArrowheads="1"/>
                    </pic:cNvPicPr>
                  </pic:nvPicPr>
                  <pic:blipFill rotWithShape="1">
                    <a:blip r:embed="rId34">
                      <a:extLst>
                        <a:ext uri="{28A0092B-C50C-407E-A947-70E740481C1C}">
                          <a14:useLocalDpi xmlns:a14="http://schemas.microsoft.com/office/drawing/2010/main" val="0"/>
                        </a:ext>
                      </a:extLst>
                    </a:blip>
                    <a:srcRect b="11215"/>
                    <a:stretch>
                      <a:fillRect/>
                    </a:stretch>
                  </pic:blipFill>
                  <pic:spPr bwMode="auto">
                    <a:xfrm>
                      <a:off x="0" y="0"/>
                      <a:ext cx="5943600" cy="3686175"/>
                    </a:xfrm>
                    <a:prstGeom prst="rect">
                      <a:avLst/>
                    </a:prstGeom>
                    <a:noFill/>
                    <a:ln>
                      <a:noFill/>
                    </a:ln>
                    <a:extLst>
                      <a:ext uri="{53640926-AAD7-44D8-BBD7-CCE9431645EC}">
                        <a14:shadowObscured xmlns:a14="http://schemas.microsoft.com/office/drawing/2010/main"/>
                      </a:ext>
                    </a:extLst>
                  </pic:spPr>
                </pic:pic>
              </a:graphicData>
            </a:graphic>
          </wp:inline>
        </w:drawing>
      </w:r>
    </w:p>
    <w:p w14:paraId="72F3FE42" w14:textId="010223D5" w:rsidR="00224854" w:rsidRPr="008E06CA" w:rsidRDefault="005B5DB5" w:rsidP="005B5DB5">
      <w:pPr>
        <w:pStyle w:val="Caption"/>
      </w:pPr>
      <w:bookmarkStart w:id="40" w:name="_Toc227927268"/>
      <w:r>
        <w:t xml:space="preserve">Figure </w:t>
      </w:r>
      <w:fldSimple w:instr=" SEQ Figure \* ARABIC ">
        <w:r w:rsidR="00494365">
          <w:rPr>
            <w:noProof/>
          </w:rPr>
          <w:t>28</w:t>
        </w:r>
      </w:fldSimple>
      <w:r>
        <w:t xml:space="preserve">: </w:t>
      </w:r>
      <w:r w:rsidRPr="00461D93">
        <w:t>Short Term Loan</w:t>
      </w:r>
      <w:bookmarkEnd w:id="40"/>
    </w:p>
    <w:p w14:paraId="52941DA7" w14:textId="147320B8" w:rsidR="008E06CA" w:rsidRDefault="0063471E" w:rsidP="008E06CA">
      <w:r w:rsidRPr="0063471E">
        <w:t>Conversely, long-term sources of finance, such as long-term loans, bonds, and equity finance are more stable and have lower liquidity risk. This is especially useful in financing capital-intensive projects, like the growth of EV technology and infrastructure by Hyundai. Although the cost of long-term financing is generally higher and the commitment is longer, it has the benefit of not spearheading the short-term liquidity and financial stability (Chen et al., 2025).</w:t>
      </w:r>
    </w:p>
    <w:p w14:paraId="74DD7ED5" w14:textId="2FC42935" w:rsidR="00B65270" w:rsidRDefault="00B65270" w:rsidP="00B65270">
      <w:pPr>
        <w:jc w:val="center"/>
      </w:pPr>
      <w:r>
        <w:rPr>
          <w:noProof/>
        </w:rPr>
        <w:lastRenderedPageBreak/>
        <w:drawing>
          <wp:inline distT="0" distB="0" distL="0" distR="0" wp14:anchorId="533EE565" wp14:editId="08CD5EA2">
            <wp:extent cx="5600700" cy="2543175"/>
            <wp:effectExtent l="0" t="0" r="0" b="9525"/>
            <wp:docPr id="307734711" name="Picture 9" descr="Equity Financing - What Is It, Types, Example, Relev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Equity Financing - What Is It, Types, Example, Relevance"/>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724" t="7500" r="3045" b="15481"/>
                    <a:stretch>
                      <a:fillRect/>
                    </a:stretch>
                  </pic:blipFill>
                  <pic:spPr bwMode="auto">
                    <a:xfrm>
                      <a:off x="0" y="0"/>
                      <a:ext cx="5600700" cy="2543175"/>
                    </a:xfrm>
                    <a:prstGeom prst="rect">
                      <a:avLst/>
                    </a:prstGeom>
                    <a:noFill/>
                    <a:ln>
                      <a:noFill/>
                    </a:ln>
                    <a:extLst>
                      <a:ext uri="{53640926-AAD7-44D8-BBD7-CCE9431645EC}">
                        <a14:shadowObscured xmlns:a14="http://schemas.microsoft.com/office/drawing/2010/main"/>
                      </a:ext>
                    </a:extLst>
                  </pic:spPr>
                </pic:pic>
              </a:graphicData>
            </a:graphic>
          </wp:inline>
        </w:drawing>
      </w:r>
    </w:p>
    <w:p w14:paraId="545A66F9" w14:textId="29544F8B" w:rsidR="00B65270" w:rsidRPr="008E06CA" w:rsidRDefault="00B65270" w:rsidP="00B65270">
      <w:pPr>
        <w:pStyle w:val="Caption"/>
      </w:pPr>
      <w:bookmarkStart w:id="41" w:name="_Toc227927269"/>
      <w:r>
        <w:t xml:space="preserve">Figure </w:t>
      </w:r>
      <w:fldSimple w:instr=" SEQ Figure \* ARABIC ">
        <w:r w:rsidR="00494365">
          <w:rPr>
            <w:noProof/>
          </w:rPr>
          <w:t>29</w:t>
        </w:r>
      </w:fldSimple>
      <w:r>
        <w:t xml:space="preserve">: </w:t>
      </w:r>
      <w:r w:rsidRPr="007B5AD3">
        <w:t>Equity Financing</w:t>
      </w:r>
      <w:bookmarkEnd w:id="41"/>
    </w:p>
    <w:p w14:paraId="17426337" w14:textId="79951D49" w:rsidR="008E06CA" w:rsidRDefault="00D17CD5" w:rsidP="008E06CA">
      <w:r w:rsidRPr="00D17CD5">
        <w:t>Hyundai needs a mix of financing sources With cash flow variations and a rising CCC in recent years, exclusive reliance on short-term financing may also lead to high risk. Instead, a balance of long-term finance for investment and short term finance for day-to-day operations is key to manage stability and flexibility. This strategy is in line with theories of capital structure that highlight the importance of managing risk and return through a mix of different financing options (Malik et al., 2026).</w:t>
      </w:r>
    </w:p>
    <w:p w14:paraId="2FEC7E17" w14:textId="56744C75" w:rsidR="00AD176E" w:rsidRDefault="00AD176E" w:rsidP="000A7334">
      <w:pPr>
        <w:jc w:val="center"/>
      </w:pPr>
      <w:r>
        <w:rPr>
          <w:noProof/>
        </w:rPr>
        <w:drawing>
          <wp:inline distT="0" distB="0" distL="0" distR="0" wp14:anchorId="4C8F1FD6" wp14:editId="1AA039DE">
            <wp:extent cx="3733800" cy="1779938"/>
            <wp:effectExtent l="0" t="0" r="0" b="0"/>
            <wp:docPr id="756770157" name="Picture 10" descr="Cash Conversion Cycle - How to Calculate and Improv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ash Conversion Cycle - How to Calculate and Improve I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41090" cy="1783413"/>
                    </a:xfrm>
                    <a:prstGeom prst="rect">
                      <a:avLst/>
                    </a:prstGeom>
                    <a:noFill/>
                    <a:ln>
                      <a:noFill/>
                    </a:ln>
                  </pic:spPr>
                </pic:pic>
              </a:graphicData>
            </a:graphic>
          </wp:inline>
        </w:drawing>
      </w:r>
    </w:p>
    <w:p w14:paraId="2359AFCC" w14:textId="68AF420E" w:rsidR="00AD176E" w:rsidRPr="008E06CA" w:rsidRDefault="0017005B" w:rsidP="0017005B">
      <w:pPr>
        <w:pStyle w:val="Caption"/>
      </w:pPr>
      <w:bookmarkStart w:id="42" w:name="_Toc227927270"/>
      <w:r>
        <w:t xml:space="preserve">Figure </w:t>
      </w:r>
      <w:fldSimple w:instr=" SEQ Figure \* ARABIC ">
        <w:r w:rsidR="00494365">
          <w:rPr>
            <w:noProof/>
          </w:rPr>
          <w:t>30</w:t>
        </w:r>
      </w:fldSimple>
      <w:r>
        <w:t xml:space="preserve">: Importance of </w:t>
      </w:r>
      <w:r w:rsidRPr="006C6463">
        <w:t>Cash Conversion Cycle</w:t>
      </w:r>
      <w:bookmarkEnd w:id="42"/>
    </w:p>
    <w:p w14:paraId="68E4FCC2" w14:textId="47E4E32D" w:rsidR="008E06CA" w:rsidRPr="008E06CA" w:rsidRDefault="00B77092" w:rsidP="008E06CA">
      <w:r w:rsidRPr="00B77092">
        <w:t xml:space="preserve">In addition, the working capital can be effectively managed so that external financing is also unnecessary. Companies that are optimizing inventory, receivables and payables can internally create adequate liquidity which reduces the cost of financing and financial risk. Proper working capital practices are not just an important element of liquidity </w:t>
      </w:r>
      <w:r w:rsidRPr="00B77092">
        <w:lastRenderedPageBreak/>
        <w:t>management, but also the financial performance and sustainability as a whole (Levický et al., 2026).</w:t>
      </w:r>
    </w:p>
    <w:p w14:paraId="33C19F21" w14:textId="63B12268" w:rsidR="008E06CA" w:rsidRPr="008E06CA" w:rsidRDefault="000A7334" w:rsidP="000A7334">
      <w:pPr>
        <w:jc w:val="center"/>
      </w:pPr>
      <w:r>
        <w:rPr>
          <w:noProof/>
        </w:rPr>
        <w:drawing>
          <wp:inline distT="0" distB="0" distL="0" distR="0" wp14:anchorId="403BBCF4" wp14:editId="0E3E5847">
            <wp:extent cx="4228392" cy="2190750"/>
            <wp:effectExtent l="0" t="0" r="1270" b="0"/>
            <wp:docPr id="17407873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b="9926"/>
                    <a:stretch>
                      <a:fillRect/>
                    </a:stretch>
                  </pic:blipFill>
                  <pic:spPr bwMode="auto">
                    <a:xfrm>
                      <a:off x="0" y="0"/>
                      <a:ext cx="4253163" cy="2203584"/>
                    </a:xfrm>
                    <a:prstGeom prst="rect">
                      <a:avLst/>
                    </a:prstGeom>
                    <a:noFill/>
                    <a:ln>
                      <a:noFill/>
                    </a:ln>
                    <a:extLst>
                      <a:ext uri="{53640926-AAD7-44D8-BBD7-CCE9431645EC}">
                        <a14:shadowObscured xmlns:a14="http://schemas.microsoft.com/office/drawing/2010/main"/>
                      </a:ext>
                    </a:extLst>
                  </pic:spPr>
                </pic:pic>
              </a:graphicData>
            </a:graphic>
          </wp:inline>
        </w:drawing>
      </w:r>
    </w:p>
    <w:p w14:paraId="305CC5AB" w14:textId="0C47A99E" w:rsidR="0004155B" w:rsidRDefault="0004155B" w:rsidP="0004155B">
      <w:pPr>
        <w:pStyle w:val="Caption"/>
      </w:pPr>
      <w:bookmarkStart w:id="43" w:name="_Toc227927271"/>
      <w:r>
        <w:t xml:space="preserve">Figure </w:t>
      </w:r>
      <w:fldSimple w:instr=" SEQ Figure \* ARABIC ">
        <w:r w:rsidR="00494365">
          <w:rPr>
            <w:noProof/>
          </w:rPr>
          <w:t>31</w:t>
        </w:r>
      </w:fldSimple>
      <w:r>
        <w:t xml:space="preserve">: </w:t>
      </w:r>
      <w:r w:rsidRPr="00D5202D">
        <w:t>Tips for Managing Working Capital Effectively</w:t>
      </w:r>
      <w:bookmarkEnd w:id="43"/>
    </w:p>
    <w:p w14:paraId="1E474160" w14:textId="77777777" w:rsidR="00937346" w:rsidRPr="00937346" w:rsidRDefault="00937346" w:rsidP="00937346"/>
    <w:p w14:paraId="22873E7A" w14:textId="7B502835" w:rsidR="00E920F1" w:rsidRDefault="00865EB9" w:rsidP="00865EB9">
      <w:pPr>
        <w:pStyle w:val="Heading1"/>
      </w:pPr>
      <w:bookmarkStart w:id="44" w:name="_Toc227939055"/>
      <w:r w:rsidRPr="00865EB9">
        <w:t>3. Strategic Financial Restructuring Plan</w:t>
      </w:r>
      <w:bookmarkEnd w:id="44"/>
    </w:p>
    <w:p w14:paraId="71A82EAE" w14:textId="77777777" w:rsidR="00E2371B" w:rsidRPr="00E2371B" w:rsidRDefault="00E2371B" w:rsidP="00E2371B">
      <w:pPr>
        <w:pStyle w:val="Heading2"/>
      </w:pPr>
      <w:bookmarkStart w:id="45" w:name="_Toc227939056"/>
      <w:r w:rsidRPr="00E2371B">
        <w:t>3.1 Recommended Financial Restructuring Options</w:t>
      </w:r>
      <w:bookmarkEnd w:id="45"/>
    </w:p>
    <w:p w14:paraId="2AB695F9" w14:textId="488AE191" w:rsidR="0083514D" w:rsidRDefault="00F77FB6" w:rsidP="00E2371B">
      <w:r w:rsidRPr="00F77FB6">
        <w:t>The financial analysis of Hyundai shows robust profit growth, but also some structural problems such as inconsistent operating cash flows and high leverage, with a debt-to-equity ratio between 1.74-1.83 from 2020-2024. There are a number of options for restructuring to remedy these problems. A primary option is asset sales of non-core business.</w:t>
      </w:r>
      <w:r w:rsidR="00E2371B" w:rsidRPr="00E2371B">
        <w:t xml:space="preserve"> </w:t>
      </w:r>
    </w:p>
    <w:p w14:paraId="6CBEAD3D" w14:textId="36A8824B" w:rsidR="0083514D" w:rsidRDefault="0083514D" w:rsidP="00937346">
      <w:pPr>
        <w:jc w:val="center"/>
      </w:pPr>
      <w:r>
        <w:rPr>
          <w:noProof/>
        </w:rPr>
        <w:drawing>
          <wp:inline distT="0" distB="0" distL="0" distR="0" wp14:anchorId="46280A89" wp14:editId="11925B92">
            <wp:extent cx="4101465" cy="2116898"/>
            <wp:effectExtent l="0" t="0" r="0" b="0"/>
            <wp:docPr id="1486818923" name="Picture 12" descr="A Guide to Corporate Divestiture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A Guide to Corporate Divestiture Project Managemen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14468" cy="2123609"/>
                    </a:xfrm>
                    <a:prstGeom prst="rect">
                      <a:avLst/>
                    </a:prstGeom>
                    <a:noFill/>
                    <a:ln>
                      <a:noFill/>
                    </a:ln>
                  </pic:spPr>
                </pic:pic>
              </a:graphicData>
            </a:graphic>
          </wp:inline>
        </w:drawing>
      </w:r>
    </w:p>
    <w:p w14:paraId="69546B1A" w14:textId="55C36C6C" w:rsidR="0083514D" w:rsidRDefault="0083514D" w:rsidP="0083514D">
      <w:pPr>
        <w:pStyle w:val="Caption"/>
      </w:pPr>
      <w:bookmarkStart w:id="46" w:name="_Toc227927272"/>
      <w:r>
        <w:lastRenderedPageBreak/>
        <w:t xml:space="preserve">Figure </w:t>
      </w:r>
      <w:fldSimple w:instr=" SEQ Figure \* ARABIC ">
        <w:r w:rsidR="00494365">
          <w:rPr>
            <w:noProof/>
          </w:rPr>
          <w:t>32</w:t>
        </w:r>
      </w:fldSimple>
      <w:r>
        <w:t xml:space="preserve">: </w:t>
      </w:r>
      <w:r w:rsidRPr="00931043">
        <w:t>Divestiture</w:t>
      </w:r>
      <w:bookmarkEnd w:id="46"/>
    </w:p>
    <w:p w14:paraId="5C13C956" w14:textId="4B4E314A" w:rsidR="00E2371B" w:rsidRDefault="00EB5A5F" w:rsidP="00E2371B">
      <w:r w:rsidRPr="00EB5A5F">
        <w:t>The rising assets base of Hyundai with a decreasing asset turnover of 0.58 in 2023 to 0.52 in 2024 indicates that the company is not utilising its assets efficiently. Disposing non-strategic investments or low performing divisions can release capital, increase operational effectiveness and increase the turnover on assets. Divestiture policies frequently are implemented to enhance the focus of the firm and simplify its operations to raise the overall performance (Menon, 2013; Chen et al., 2025).</w:t>
      </w:r>
    </w:p>
    <w:p w14:paraId="1D320FB4" w14:textId="0DDB3F7F" w:rsidR="0083514D" w:rsidRDefault="0083514D" w:rsidP="00526771">
      <w:pPr>
        <w:jc w:val="center"/>
      </w:pPr>
      <w:r>
        <w:rPr>
          <w:noProof/>
        </w:rPr>
        <w:drawing>
          <wp:inline distT="0" distB="0" distL="0" distR="0" wp14:anchorId="7070DAB0" wp14:editId="6A594B40">
            <wp:extent cx="5038237" cy="4010025"/>
            <wp:effectExtent l="0" t="0" r="0" b="0"/>
            <wp:docPr id="472505911" name="Picture 13" descr="Divestiture: Strategy, Examples, Types, and Rea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Divestiture: Strategy, Examples, Types, and Reasons"/>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r="29327"/>
                    <a:stretch>
                      <a:fillRect/>
                    </a:stretch>
                  </pic:blipFill>
                  <pic:spPr bwMode="auto">
                    <a:xfrm>
                      <a:off x="0" y="0"/>
                      <a:ext cx="5053106" cy="4021860"/>
                    </a:xfrm>
                    <a:prstGeom prst="rect">
                      <a:avLst/>
                    </a:prstGeom>
                    <a:noFill/>
                    <a:ln>
                      <a:noFill/>
                    </a:ln>
                    <a:extLst>
                      <a:ext uri="{53640926-AAD7-44D8-BBD7-CCE9431645EC}">
                        <a14:shadowObscured xmlns:a14="http://schemas.microsoft.com/office/drawing/2010/main"/>
                      </a:ext>
                    </a:extLst>
                  </pic:spPr>
                </pic:pic>
              </a:graphicData>
            </a:graphic>
          </wp:inline>
        </w:drawing>
      </w:r>
    </w:p>
    <w:p w14:paraId="60D1020D" w14:textId="09B993FB" w:rsidR="00C42EE8" w:rsidRPr="00E2371B" w:rsidRDefault="00C42EE8" w:rsidP="00C42EE8">
      <w:pPr>
        <w:pStyle w:val="Caption"/>
      </w:pPr>
      <w:bookmarkStart w:id="47" w:name="_Toc227927273"/>
      <w:r>
        <w:t xml:space="preserve">Figure </w:t>
      </w:r>
      <w:fldSimple w:instr=" SEQ Figure \* ARABIC ">
        <w:r w:rsidR="00494365">
          <w:rPr>
            <w:noProof/>
          </w:rPr>
          <w:t>33</w:t>
        </w:r>
      </w:fldSimple>
      <w:r>
        <w:t xml:space="preserve">: Create </w:t>
      </w:r>
      <w:r w:rsidRPr="005A16E8">
        <w:t>Divestiture</w:t>
      </w:r>
      <w:bookmarkEnd w:id="47"/>
    </w:p>
    <w:p w14:paraId="05F79A9B" w14:textId="482A0BAC" w:rsidR="00526771" w:rsidRDefault="00FD1E8D" w:rsidP="00E2371B">
      <w:r w:rsidRPr="00FD1E8D">
        <w:t>A further approach is consolidation and partnerships, with a focus on the EV and technology industries. The company's improving profitability (increasing from 1.85% in 2020 to 7.55% in 2024) gives a good foundation for an increase in mergers.</w:t>
      </w:r>
      <w:r w:rsidR="00E2371B" w:rsidRPr="00E2371B">
        <w:t xml:space="preserve"> </w:t>
      </w:r>
    </w:p>
    <w:p w14:paraId="2C9FE94A" w14:textId="1EF422F1" w:rsidR="00526771" w:rsidRDefault="00FD1E8D" w:rsidP="00526771">
      <w:pPr>
        <w:jc w:val="center"/>
      </w:pPr>
      <w:r>
        <w:rPr>
          <w:noProof/>
        </w:rPr>
        <w:lastRenderedPageBreak/>
        <mc:AlternateContent>
          <mc:Choice Requires="wps">
            <w:drawing>
              <wp:anchor distT="0" distB="0" distL="114300" distR="114300" simplePos="0" relativeHeight="251659264" behindDoc="0" locked="0" layoutInCell="1" allowOverlap="1" wp14:anchorId="16ED4B66" wp14:editId="19B3309B">
                <wp:simplePos x="0" y="0"/>
                <wp:positionH relativeFrom="column">
                  <wp:posOffset>200025</wp:posOffset>
                </wp:positionH>
                <wp:positionV relativeFrom="paragraph">
                  <wp:posOffset>3476625</wp:posOffset>
                </wp:positionV>
                <wp:extent cx="1028700" cy="495300"/>
                <wp:effectExtent l="0" t="0" r="19050" b="19050"/>
                <wp:wrapNone/>
                <wp:docPr id="511095564" name="Rectangle 30"/>
                <wp:cNvGraphicFramePr/>
                <a:graphic xmlns:a="http://schemas.openxmlformats.org/drawingml/2006/main">
                  <a:graphicData uri="http://schemas.microsoft.com/office/word/2010/wordprocessingShape">
                    <wps:wsp>
                      <wps:cNvSpPr/>
                      <wps:spPr>
                        <a:xfrm>
                          <a:off x="0" y="0"/>
                          <a:ext cx="1028700" cy="49530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1D68B7" id="Rectangle 30" o:spid="_x0000_s1026" style="position:absolute;margin-left:15.75pt;margin-top:273.75pt;width:81pt;height:3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" fillcolor="white [3212]" strokecolor="white [3212]" strokeweight="1pt"/>
            </w:pict>
          </mc:Fallback>
        </mc:AlternateContent>
      </w:r>
      <w:r w:rsidR="00526771">
        <w:rPr>
          <w:noProof/>
        </w:rPr>
        <w:drawing>
          <wp:inline distT="0" distB="0" distL="0" distR="0" wp14:anchorId="78E23198" wp14:editId="14D1A5F4">
            <wp:extent cx="5739584" cy="4019550"/>
            <wp:effectExtent l="0" t="0" r="0" b="0"/>
            <wp:docPr id="1317451955" name="Picture 14" descr="Strategy and the Proper Use of M&amp;A - Remis AS / Ketil W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Strategy and the Proper Use of M&amp;A - Remis AS / Ketil Wi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52467" cy="4028572"/>
                    </a:xfrm>
                    <a:prstGeom prst="rect">
                      <a:avLst/>
                    </a:prstGeom>
                    <a:noFill/>
                    <a:ln>
                      <a:noFill/>
                    </a:ln>
                  </pic:spPr>
                </pic:pic>
              </a:graphicData>
            </a:graphic>
          </wp:inline>
        </w:drawing>
      </w:r>
    </w:p>
    <w:p w14:paraId="4ABC5F4D" w14:textId="4F083D92" w:rsidR="00723067" w:rsidRDefault="00723067" w:rsidP="00723067">
      <w:pPr>
        <w:pStyle w:val="Caption"/>
      </w:pPr>
      <w:bookmarkStart w:id="48" w:name="_Toc227927274"/>
      <w:r>
        <w:t xml:space="preserve">Figure </w:t>
      </w:r>
      <w:fldSimple w:instr=" SEQ Figure \* ARABIC ">
        <w:r w:rsidR="00494365">
          <w:rPr>
            <w:noProof/>
          </w:rPr>
          <w:t>34</w:t>
        </w:r>
      </w:fldSimple>
      <w:r>
        <w:t xml:space="preserve">: </w:t>
      </w:r>
      <w:r w:rsidRPr="00921C33">
        <w:t>Strategy of M&amp;</w:t>
      </w:r>
      <w:r>
        <w:t>A</w:t>
      </w:r>
      <w:bookmarkEnd w:id="48"/>
    </w:p>
    <w:p w14:paraId="7E1FD975" w14:textId="4CBE5530" w:rsidR="00E2371B" w:rsidRDefault="00427264" w:rsidP="00E2371B">
      <w:r w:rsidRPr="00427264">
        <w:t>Cooperation with technological companies or battery suppliers all over the world can consolidate the Hyundai position in the EV market. Economies of scale, increased innovation capabilities as well as lowered operational costs can also be achieved through strategic mergers. These collaborative approaches are becoming increasingly crucial in the rapidly changing EV market (Kumalawati et al., 2026).</w:t>
      </w:r>
    </w:p>
    <w:p w14:paraId="4BFFDC97" w14:textId="400C153E" w:rsidR="008052A0" w:rsidRDefault="003242BC" w:rsidP="00E2371B">
      <w:r>
        <w:rPr>
          <w:noProof/>
        </w:rPr>
        <w:drawing>
          <wp:inline distT="0" distB="0" distL="0" distR="0" wp14:anchorId="19623940" wp14:editId="0A3E52AE">
            <wp:extent cx="5943600" cy="1838325"/>
            <wp:effectExtent l="0" t="0" r="0" b="9525"/>
            <wp:docPr id="1028754030" name="Picture 15" descr="Technology in Business: Why 94% of Companies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Technology in Business: Why 94% of Companies Use I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1838325"/>
                    </a:xfrm>
                    <a:prstGeom prst="rect">
                      <a:avLst/>
                    </a:prstGeom>
                    <a:noFill/>
                    <a:ln>
                      <a:noFill/>
                    </a:ln>
                  </pic:spPr>
                </pic:pic>
              </a:graphicData>
            </a:graphic>
          </wp:inline>
        </w:drawing>
      </w:r>
    </w:p>
    <w:p w14:paraId="736A5501" w14:textId="426F3B03" w:rsidR="003242BC" w:rsidRPr="00E2371B" w:rsidRDefault="003242BC" w:rsidP="003242BC">
      <w:pPr>
        <w:pStyle w:val="Caption"/>
      </w:pPr>
      <w:bookmarkStart w:id="49" w:name="_Toc227927275"/>
      <w:r>
        <w:t xml:space="preserve">Figure </w:t>
      </w:r>
      <w:fldSimple w:instr=" SEQ Figure \* ARABIC ">
        <w:r w:rsidR="00494365">
          <w:rPr>
            <w:noProof/>
          </w:rPr>
          <w:t>35</w:t>
        </w:r>
      </w:fldSimple>
      <w:r>
        <w:t xml:space="preserve">: </w:t>
      </w:r>
      <w:r w:rsidRPr="009B74DB">
        <w:t>Technology in Business</w:t>
      </w:r>
      <w:bookmarkEnd w:id="49"/>
    </w:p>
    <w:p w14:paraId="26E648F4" w14:textId="5A5FCA76" w:rsidR="00E2371B" w:rsidRPr="00E2371B" w:rsidRDefault="000A132E" w:rsidP="00E2371B">
      <w:r w:rsidRPr="000A132E">
        <w:lastRenderedPageBreak/>
        <w:t>Third alternative is capital restructuring or equity issuance. With Hyundai's high leverage, equity injection can lead to increased financial stability by decreasing the reliance on debt. Debt can increase firm performance by using leverage, but if used excessively, then risk is increased, especially during challenging cash flow seasons (Aldo, 2022). Equity injection offers more capital for advancement and could reduce the stress on interest payments, thereby enhancing the company's capital structure and financial sustainability.</w:t>
      </w:r>
    </w:p>
    <w:p w14:paraId="6B897E66" w14:textId="3B74D457" w:rsidR="00E2371B" w:rsidRDefault="003242BC" w:rsidP="00E2371B">
      <w:r>
        <w:rPr>
          <w:noProof/>
        </w:rPr>
        <w:drawing>
          <wp:inline distT="0" distB="0" distL="0" distR="0" wp14:anchorId="5D04039A" wp14:editId="38193193">
            <wp:extent cx="5734050" cy="3276600"/>
            <wp:effectExtent l="0" t="0" r="0" b="0"/>
            <wp:docPr id="1751832389" name="Picture 17" descr="Capital Injection - Definition, Explained, Examples,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apital Injection - Definition, Explained, Examples, How it Works?"/>
                    <pic:cNvPicPr>
                      <a:picLocks noChangeAspect="1" noChangeArrowheads="1"/>
                    </pic:cNvPicPr>
                  </pic:nvPicPr>
                  <pic:blipFill rotWithShape="1">
                    <a:blip r:embed="rId42">
                      <a:extLst>
                        <a:ext uri="{28A0092B-C50C-407E-A947-70E740481C1C}">
                          <a14:useLocalDpi xmlns:a14="http://schemas.microsoft.com/office/drawing/2010/main" val="0"/>
                        </a:ext>
                      </a:extLst>
                    </a:blip>
                    <a:srcRect b="14907"/>
                    <a:stretch>
                      <a:fillRect/>
                    </a:stretch>
                  </pic:blipFill>
                  <pic:spPr bwMode="auto">
                    <a:xfrm>
                      <a:off x="0" y="0"/>
                      <a:ext cx="5734050" cy="3276600"/>
                    </a:xfrm>
                    <a:prstGeom prst="rect">
                      <a:avLst/>
                    </a:prstGeom>
                    <a:noFill/>
                    <a:ln>
                      <a:noFill/>
                    </a:ln>
                    <a:extLst>
                      <a:ext uri="{53640926-AAD7-44D8-BBD7-CCE9431645EC}">
                        <a14:shadowObscured xmlns:a14="http://schemas.microsoft.com/office/drawing/2010/main"/>
                      </a:ext>
                    </a:extLst>
                  </pic:spPr>
                </pic:pic>
              </a:graphicData>
            </a:graphic>
          </wp:inline>
        </w:drawing>
      </w:r>
    </w:p>
    <w:p w14:paraId="651CE19A" w14:textId="31C0B6E2" w:rsidR="003242BC" w:rsidRDefault="003242BC" w:rsidP="003242BC">
      <w:pPr>
        <w:pStyle w:val="Caption"/>
      </w:pPr>
      <w:bookmarkStart w:id="50" w:name="_Toc227927276"/>
      <w:r>
        <w:t xml:space="preserve">Figure </w:t>
      </w:r>
      <w:fldSimple w:instr=" SEQ Figure \* ARABIC ">
        <w:r w:rsidR="00494365">
          <w:rPr>
            <w:noProof/>
          </w:rPr>
          <w:t>36</w:t>
        </w:r>
      </w:fldSimple>
      <w:r>
        <w:t xml:space="preserve">: </w:t>
      </w:r>
      <w:r w:rsidRPr="00A70740">
        <w:t>Capital Injection</w:t>
      </w:r>
      <w:bookmarkEnd w:id="50"/>
    </w:p>
    <w:p w14:paraId="2E5A7043" w14:textId="77777777" w:rsidR="00937346" w:rsidRPr="00937346" w:rsidRDefault="00937346" w:rsidP="00937346"/>
    <w:p w14:paraId="14C2ED05" w14:textId="77777777" w:rsidR="00E2371B" w:rsidRPr="00E2371B" w:rsidRDefault="00E2371B" w:rsidP="00E2371B">
      <w:pPr>
        <w:pStyle w:val="Heading2"/>
      </w:pPr>
      <w:bookmarkStart w:id="51" w:name="_Toc227939057"/>
      <w:r w:rsidRPr="00E2371B">
        <w:t>3.2 Impact on Shareholder Value, Debt Structure and Operational Flexibility</w:t>
      </w:r>
      <w:bookmarkEnd w:id="51"/>
    </w:p>
    <w:p w14:paraId="5201542B" w14:textId="486A4133" w:rsidR="001A2932" w:rsidRDefault="005738E9" w:rsidP="001A2932">
      <w:r w:rsidRPr="005738E9">
        <w:t xml:space="preserve">Shareholder value is directly influenced by </w:t>
      </w:r>
      <w:r w:rsidR="00A35BC4" w:rsidRPr="005738E9">
        <w:t>financial</w:t>
      </w:r>
      <w:r w:rsidRPr="005738E9">
        <w:t xml:space="preserve"> organizational structure decisions. The firm could have created considerable value, as the earnings per share (EPS) grew between KRW 5,454 in 2020 and KRW 47,615 in 2024 (Adesoye et al., 2021; Astuti et al., 2025). Disposing of non-performing assets can additionally boost the shareholder value as it helps to increase </w:t>
      </w:r>
      <w:r w:rsidR="00A35BC4" w:rsidRPr="005738E9">
        <w:t>profitability</w:t>
      </w:r>
      <w:r w:rsidRPr="005738E9">
        <w:t xml:space="preserve"> and concentrate on high-growth areas, including EVs. Nevertheless, restructuring should be well orchestrated to reduce temporary </w:t>
      </w:r>
      <w:r w:rsidRPr="005738E9">
        <w:lastRenderedPageBreak/>
        <w:t>setbacks, which can be detrimental to investor confidence (Muslim et al., 2023; Khan et al., 2025).</w:t>
      </w:r>
    </w:p>
    <w:p w14:paraId="7EA7AB66" w14:textId="07EE5374" w:rsidR="007348F6" w:rsidRDefault="007348F6" w:rsidP="007348F6">
      <w:pPr>
        <w:jc w:val="center"/>
      </w:pPr>
      <w:r>
        <w:rPr>
          <w:noProof/>
        </w:rPr>
        <w:drawing>
          <wp:inline distT="0" distB="0" distL="0" distR="0" wp14:anchorId="5AAE28B4" wp14:editId="3684585A">
            <wp:extent cx="5667375" cy="2543175"/>
            <wp:effectExtent l="0" t="0" r="9525" b="9525"/>
            <wp:docPr id="27437068" name="Picture 18" descr="Shareholders Value - What Is It, Importance, Value Maxim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Shareholders Value - What Is It, Importance, Value Maximization"/>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1282" t="6634" r="3366" b="16347"/>
                    <a:stretch>
                      <a:fillRect/>
                    </a:stretch>
                  </pic:blipFill>
                  <pic:spPr bwMode="auto">
                    <a:xfrm>
                      <a:off x="0" y="0"/>
                      <a:ext cx="5667375" cy="2543175"/>
                    </a:xfrm>
                    <a:prstGeom prst="rect">
                      <a:avLst/>
                    </a:prstGeom>
                    <a:noFill/>
                    <a:ln>
                      <a:noFill/>
                    </a:ln>
                    <a:extLst>
                      <a:ext uri="{53640926-AAD7-44D8-BBD7-CCE9431645EC}">
                        <a14:shadowObscured xmlns:a14="http://schemas.microsoft.com/office/drawing/2010/main"/>
                      </a:ext>
                    </a:extLst>
                  </pic:spPr>
                </pic:pic>
              </a:graphicData>
            </a:graphic>
          </wp:inline>
        </w:drawing>
      </w:r>
    </w:p>
    <w:p w14:paraId="07AC7829" w14:textId="240E69EF" w:rsidR="007348F6" w:rsidRPr="001A2932" w:rsidRDefault="007348F6" w:rsidP="007348F6">
      <w:pPr>
        <w:pStyle w:val="Caption"/>
      </w:pPr>
      <w:bookmarkStart w:id="52" w:name="_Toc227927277"/>
      <w:r>
        <w:t xml:space="preserve">Figure </w:t>
      </w:r>
      <w:fldSimple w:instr=" SEQ Figure \* ARABIC ">
        <w:r w:rsidR="00494365">
          <w:rPr>
            <w:noProof/>
          </w:rPr>
          <w:t>37</w:t>
        </w:r>
      </w:fldSimple>
      <w:r>
        <w:t xml:space="preserve">: </w:t>
      </w:r>
      <w:r w:rsidRPr="00F65438">
        <w:t>Shareholder Value</w:t>
      </w:r>
      <w:bookmarkEnd w:id="52"/>
    </w:p>
    <w:p w14:paraId="1806E4E4" w14:textId="672209ED" w:rsidR="001A2932" w:rsidRDefault="00C37975" w:rsidP="001A2932">
      <w:r w:rsidRPr="00C37975">
        <w:t>With regard to its debt structure, lowering leverage through equity injection or refinancing will decrease systematic risk and enhance credit risk. Hyundai's interest coverage ratio increased from 2.50 in 2020 to 15.85 in 2024, showing that it has low financial distress risk (Aldo, 2022; Oranefo et al., 2023).</w:t>
      </w:r>
      <w:r>
        <w:t xml:space="preserve"> </w:t>
      </w:r>
      <w:r w:rsidR="00791909" w:rsidRPr="00791909">
        <w:t xml:space="preserve">Although this has improved, the company remains at high levels of debt which can subject it to interest rates and the risks of refinancing. An </w:t>
      </w:r>
      <w:r w:rsidR="00A92563" w:rsidRPr="00791909">
        <w:t>optimized</w:t>
      </w:r>
      <w:r w:rsidR="00791909" w:rsidRPr="00791909">
        <w:t xml:space="preserve"> financial performance and a reduced amount of risk demands a balanced capital structure, comprising of both debt and equity (Malik et al., 2026; Chen et al., 2025).</w:t>
      </w:r>
    </w:p>
    <w:p w14:paraId="76B5A724" w14:textId="7BD678A2" w:rsidR="007348F6" w:rsidRDefault="007348F6" w:rsidP="00721F8B">
      <w:pPr>
        <w:jc w:val="center"/>
      </w:pPr>
      <w:r>
        <w:rPr>
          <w:noProof/>
        </w:rPr>
        <w:drawing>
          <wp:inline distT="0" distB="0" distL="0" distR="0" wp14:anchorId="0FC05058" wp14:editId="4614D906">
            <wp:extent cx="3980618" cy="2610353"/>
            <wp:effectExtent l="0" t="0" r="1270" b="0"/>
            <wp:docPr id="1115627106" name="Picture 19" descr="Senior Debt: General Structure and Overview | Foresight - Webflow HTML  Websit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Senior Debt: General Structure and Overview | Foresight - Webflow HTML  Website Template"/>
                    <pic:cNvPicPr>
                      <a:picLocks noChangeAspect="1" noChangeArrowheads="1"/>
                    </pic:cNvPicPr>
                  </pic:nvPicPr>
                  <pic:blipFill rotWithShape="1">
                    <a:blip r:embed="rId44">
                      <a:extLst>
                        <a:ext uri="{28A0092B-C50C-407E-A947-70E740481C1C}">
                          <a14:useLocalDpi xmlns:a14="http://schemas.microsoft.com/office/drawing/2010/main" val="0"/>
                        </a:ext>
                      </a:extLst>
                    </a:blip>
                    <a:srcRect l="1922" t="2302" r="4969" b="10019"/>
                    <a:stretch>
                      <a:fillRect/>
                    </a:stretch>
                  </pic:blipFill>
                  <pic:spPr bwMode="auto">
                    <a:xfrm>
                      <a:off x="0" y="0"/>
                      <a:ext cx="3984527" cy="2612916"/>
                    </a:xfrm>
                    <a:prstGeom prst="rect">
                      <a:avLst/>
                    </a:prstGeom>
                    <a:noFill/>
                    <a:ln>
                      <a:noFill/>
                    </a:ln>
                    <a:extLst>
                      <a:ext uri="{53640926-AAD7-44D8-BBD7-CCE9431645EC}">
                        <a14:shadowObscured xmlns:a14="http://schemas.microsoft.com/office/drawing/2010/main"/>
                      </a:ext>
                    </a:extLst>
                  </pic:spPr>
                </pic:pic>
              </a:graphicData>
            </a:graphic>
          </wp:inline>
        </w:drawing>
      </w:r>
    </w:p>
    <w:p w14:paraId="7DD99065" w14:textId="053D5452" w:rsidR="007348F6" w:rsidRPr="001A2932" w:rsidRDefault="00207D2E" w:rsidP="00207D2E">
      <w:pPr>
        <w:pStyle w:val="Caption"/>
      </w:pPr>
      <w:bookmarkStart w:id="53" w:name="_Toc227927278"/>
      <w:r>
        <w:lastRenderedPageBreak/>
        <w:t xml:space="preserve">Figure </w:t>
      </w:r>
      <w:fldSimple w:instr=" SEQ Figure \* ARABIC ">
        <w:r w:rsidR="00494365">
          <w:rPr>
            <w:noProof/>
          </w:rPr>
          <w:t>38</w:t>
        </w:r>
      </w:fldSimple>
      <w:r>
        <w:t xml:space="preserve">: </w:t>
      </w:r>
      <w:r w:rsidRPr="0069757D">
        <w:t>Debt Structure</w:t>
      </w:r>
      <w:bookmarkEnd w:id="53"/>
    </w:p>
    <w:p w14:paraId="5B87CE8D" w14:textId="5F21A926" w:rsidR="001A2932" w:rsidRDefault="00140DD3" w:rsidP="001A2932">
      <w:r w:rsidRPr="00140DD3">
        <w:t>Another important factor is the flexibility of operations. Flexibility can be improved through divestiture and strategic partnerships because they will enable Hyundai to become more resource-efficient and concentrate on the core competencies (Nguyen et al., 2026; Kumalawati et al., 2026).</w:t>
      </w:r>
      <w:r>
        <w:t xml:space="preserve"> </w:t>
      </w:r>
      <w:r w:rsidR="003A560F" w:rsidRPr="003A560F">
        <w:t>But an excessive external financing or partnering strategy may come with a loss in managerial discretion and a higher dependence on external stakeholders. Flexibility is derived even more significantly in EV sector where rapid technological changes require constant adjustments and investments (Nguyen et al., 2026; Dobrowolski et al., 2026).</w:t>
      </w:r>
    </w:p>
    <w:p w14:paraId="5798B928" w14:textId="6D093AE4" w:rsidR="00E3722E" w:rsidRDefault="00E3722E" w:rsidP="00E3722E">
      <w:pPr>
        <w:jc w:val="center"/>
      </w:pPr>
      <w:r>
        <w:rPr>
          <w:noProof/>
        </w:rPr>
        <w:drawing>
          <wp:inline distT="0" distB="0" distL="0" distR="0" wp14:anchorId="7A056F34" wp14:editId="28D68356">
            <wp:extent cx="4114548" cy="2588736"/>
            <wp:effectExtent l="0" t="0" r="635" b="2540"/>
            <wp:docPr id="1071087333" name="Picture 20" descr="Electric Vehicles: Benefits, Challenges, and Potential Solutions for  Widespread Adap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Electric Vehicles: Benefits, Challenges, and Potential Solutions for  Widespread Adaptation"/>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117731" cy="2590738"/>
                    </a:xfrm>
                    <a:prstGeom prst="rect">
                      <a:avLst/>
                    </a:prstGeom>
                    <a:noFill/>
                    <a:ln>
                      <a:noFill/>
                    </a:ln>
                  </pic:spPr>
                </pic:pic>
              </a:graphicData>
            </a:graphic>
          </wp:inline>
        </w:drawing>
      </w:r>
    </w:p>
    <w:p w14:paraId="2B1D9E23" w14:textId="502A99DF" w:rsidR="00CF3232" w:rsidRPr="001A2932" w:rsidRDefault="00CF3232" w:rsidP="00CF3232">
      <w:pPr>
        <w:pStyle w:val="Caption"/>
      </w:pPr>
      <w:bookmarkStart w:id="54" w:name="_Toc227927279"/>
      <w:r>
        <w:t xml:space="preserve">Figure </w:t>
      </w:r>
      <w:fldSimple w:instr=" SEQ Figure \* ARABIC ">
        <w:r w:rsidR="00494365">
          <w:rPr>
            <w:noProof/>
          </w:rPr>
          <w:t>39</w:t>
        </w:r>
      </w:fldSimple>
      <w:r>
        <w:t xml:space="preserve">: </w:t>
      </w:r>
      <w:r w:rsidRPr="00D11027">
        <w:t>Electric Vehicles</w:t>
      </w:r>
      <w:r>
        <w:t xml:space="preserve"> Sector</w:t>
      </w:r>
      <w:bookmarkEnd w:id="54"/>
    </w:p>
    <w:p w14:paraId="040BDB42" w14:textId="4653DF68" w:rsidR="001A2932" w:rsidRPr="001A2932" w:rsidRDefault="00032488" w:rsidP="001A2932">
      <w:r w:rsidRPr="00032488">
        <w:t xml:space="preserve">Additionally, the efficiency of working capital may be considerably increased to </w:t>
      </w:r>
      <w:r w:rsidR="00C65946" w:rsidRPr="00032488">
        <w:t>increase</w:t>
      </w:r>
      <w:r w:rsidRPr="00032488">
        <w:t xml:space="preserve"> the flexibility of the operations. Slow cash recovery is evidenced by an increase in the cash conversion cycle of Hyundai of 17.90 days in 2022 to 28.13 in 2024 (Kavyashree et al., 2024; Galil et al., 2026).</w:t>
      </w:r>
      <w:r>
        <w:t xml:space="preserve"> </w:t>
      </w:r>
      <w:r w:rsidR="00157545" w:rsidRPr="00157545">
        <w:t xml:space="preserve">The company can decrease </w:t>
      </w:r>
      <w:r w:rsidR="00425CDD" w:rsidRPr="00157545">
        <w:t>dependence</w:t>
      </w:r>
      <w:r w:rsidR="00157545" w:rsidRPr="00157545">
        <w:t xml:space="preserve"> on </w:t>
      </w:r>
      <w:r w:rsidR="00425CDD" w:rsidRPr="00157545">
        <w:t>external</w:t>
      </w:r>
      <w:r w:rsidR="00157545" w:rsidRPr="00157545">
        <w:t xml:space="preserve"> financing and enhance liquidity by optimising inventory, receivables and payables. The profitability and financial strength are closely associated with an efficient working capital management (Levický et al., 2026; Silva et al., 2026).</w:t>
      </w:r>
    </w:p>
    <w:p w14:paraId="44B8AB79" w14:textId="561F1D4A" w:rsidR="00E2371B" w:rsidRPr="00E2371B" w:rsidRDefault="00E2371B" w:rsidP="00E2371B"/>
    <w:p w14:paraId="7B970ECE" w14:textId="77777777" w:rsidR="00E2371B" w:rsidRPr="00E2371B" w:rsidRDefault="00E2371B" w:rsidP="00E2371B">
      <w:pPr>
        <w:pStyle w:val="Heading2"/>
      </w:pPr>
      <w:bookmarkStart w:id="55" w:name="_Toc227939058"/>
      <w:r w:rsidRPr="00E2371B">
        <w:lastRenderedPageBreak/>
        <w:t>3.3 International and Ethical Considerations</w:t>
      </w:r>
      <w:bookmarkEnd w:id="55"/>
    </w:p>
    <w:p w14:paraId="3C5D061E" w14:textId="00D86461" w:rsidR="007D3100" w:rsidRDefault="00ED5172" w:rsidP="007D3100">
      <w:r w:rsidRPr="00ED5172">
        <w:t xml:space="preserve">Hyundai, as an international company operating in more than 200 nations, has to </w:t>
      </w:r>
      <w:r w:rsidR="004819AB" w:rsidRPr="00ED5172">
        <w:t>consider</w:t>
      </w:r>
      <w:r w:rsidRPr="00ED5172">
        <w:t xml:space="preserve"> several international financial and ethical factors regarding restructuring. Different countries have different tax laws affecting profitability (Adesoye et al., 2021; Malik et al., 2026).</w:t>
      </w:r>
      <w:r>
        <w:t xml:space="preserve"> </w:t>
      </w:r>
      <w:r w:rsidR="004C562D" w:rsidRPr="004C562D">
        <w:t>Such restructuring (divestiture or merger) should be structured so that it would maximise tax efficiency without crossing international regulations. Through an effective tax planning, net returns and shareholder value can improve, whereas the unethical tax avoidance activities could ruin the corporate reputation (Muslim et al., 2023; Chen et al., 2025).</w:t>
      </w:r>
    </w:p>
    <w:p w14:paraId="5EB3808A" w14:textId="52D41BA1" w:rsidR="005D08C3" w:rsidRDefault="005D08C3" w:rsidP="005D08C3">
      <w:pPr>
        <w:jc w:val="center"/>
      </w:pPr>
      <w:r>
        <w:rPr>
          <w:noProof/>
        </w:rPr>
        <w:drawing>
          <wp:inline distT="0" distB="0" distL="0" distR="0" wp14:anchorId="38447DAA" wp14:editId="272E2155">
            <wp:extent cx="4720049" cy="5029200"/>
            <wp:effectExtent l="0" t="0" r="4445" b="0"/>
            <wp:docPr id="1317094559" name="Picture 22" descr="How to Implement Effective Tax Planning Strategies - Sager CPAs and Advi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How to Implement Effective Tax Planning Strategies - Sager CPAs and Advisors"/>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t="23958" b="13657"/>
                    <a:stretch>
                      <a:fillRect/>
                    </a:stretch>
                  </pic:blipFill>
                  <pic:spPr bwMode="auto">
                    <a:xfrm>
                      <a:off x="0" y="0"/>
                      <a:ext cx="4737524" cy="5047820"/>
                    </a:xfrm>
                    <a:prstGeom prst="rect">
                      <a:avLst/>
                    </a:prstGeom>
                    <a:noFill/>
                    <a:ln>
                      <a:noFill/>
                    </a:ln>
                    <a:extLst>
                      <a:ext uri="{53640926-AAD7-44D8-BBD7-CCE9431645EC}">
                        <a14:shadowObscured xmlns:a14="http://schemas.microsoft.com/office/drawing/2010/main"/>
                      </a:ext>
                    </a:extLst>
                  </pic:spPr>
                </pic:pic>
              </a:graphicData>
            </a:graphic>
          </wp:inline>
        </w:drawing>
      </w:r>
    </w:p>
    <w:p w14:paraId="7CE79E60" w14:textId="53F3260A" w:rsidR="005D08C3" w:rsidRPr="007D3100" w:rsidRDefault="00387C6A" w:rsidP="00387C6A">
      <w:pPr>
        <w:pStyle w:val="Caption"/>
      </w:pPr>
      <w:bookmarkStart w:id="56" w:name="_Toc227927280"/>
      <w:r>
        <w:t xml:space="preserve">Figure </w:t>
      </w:r>
      <w:fldSimple w:instr=" SEQ Figure \* ARABIC ">
        <w:r w:rsidR="00494365">
          <w:rPr>
            <w:noProof/>
          </w:rPr>
          <w:t>40</w:t>
        </w:r>
      </w:fldSimple>
      <w:r>
        <w:t xml:space="preserve">: </w:t>
      </w:r>
      <w:r w:rsidRPr="006E4A52">
        <w:t>Effective Tax Planning Strategies</w:t>
      </w:r>
      <w:bookmarkEnd w:id="56"/>
    </w:p>
    <w:p w14:paraId="57C07188" w14:textId="09EFF6AA" w:rsidR="007D3100" w:rsidRDefault="00F40451" w:rsidP="007D3100">
      <w:r w:rsidRPr="00F40451">
        <w:lastRenderedPageBreak/>
        <w:t>The other important issue is currency risk, given the company's international business and revenues. Currency volatility can impact both revenue and expenses to affect profitability and cash position (Enyi et al., 2026; Aldo, 2022). For instance, the fluctuations in operating cash flow from -1,176,416 in 2021 to 10,627,311 in 2022 might be partly due to currency risks. Hedging opportunities, such as forward contracts and currency swaps, can help manage these risks and enhance stability (Enyi et al., 2026; Sekhar, 2026).</w:t>
      </w:r>
    </w:p>
    <w:p w14:paraId="77F9EF41" w14:textId="191E057B" w:rsidR="00937032" w:rsidRDefault="00937032" w:rsidP="00937032">
      <w:pPr>
        <w:jc w:val="center"/>
      </w:pPr>
      <w:r>
        <w:rPr>
          <w:noProof/>
        </w:rPr>
        <w:drawing>
          <wp:inline distT="0" distB="0" distL="0" distR="0" wp14:anchorId="52452286" wp14:editId="4A1C83BC">
            <wp:extent cx="5854235" cy="3524250"/>
            <wp:effectExtent l="0" t="0" r="0" b="0"/>
            <wp:docPr id="690420902" name="Picture 23" descr="How and Why Companies Should Manage Currency Risk (Topic 8) | Julian  Shovlin Applied Fi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How and Why Companies Should Manage Currency Risk (Topic 8) | Julian  Shovlin Applied Financ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861091" cy="3528377"/>
                    </a:xfrm>
                    <a:prstGeom prst="rect">
                      <a:avLst/>
                    </a:prstGeom>
                    <a:noFill/>
                    <a:ln>
                      <a:noFill/>
                    </a:ln>
                  </pic:spPr>
                </pic:pic>
              </a:graphicData>
            </a:graphic>
          </wp:inline>
        </w:drawing>
      </w:r>
    </w:p>
    <w:p w14:paraId="33E78417" w14:textId="6F21CE9A" w:rsidR="00937032" w:rsidRPr="007D3100" w:rsidRDefault="00937032" w:rsidP="00937032">
      <w:pPr>
        <w:pStyle w:val="Caption"/>
      </w:pPr>
      <w:bookmarkStart w:id="57" w:name="_Toc227927281"/>
      <w:r>
        <w:t xml:space="preserve">Figure </w:t>
      </w:r>
      <w:fldSimple w:instr=" SEQ Figure \* ARABIC ">
        <w:r w:rsidR="00494365">
          <w:rPr>
            <w:noProof/>
          </w:rPr>
          <w:t>41</w:t>
        </w:r>
      </w:fldSimple>
      <w:r>
        <w:t xml:space="preserve">: </w:t>
      </w:r>
      <w:r w:rsidRPr="00591ED2">
        <w:t xml:space="preserve">Currency </w:t>
      </w:r>
      <w:r>
        <w:t>R</w:t>
      </w:r>
      <w:r w:rsidRPr="00591ED2">
        <w:t>isk</w:t>
      </w:r>
      <w:bookmarkEnd w:id="57"/>
    </w:p>
    <w:p w14:paraId="0CD056EF" w14:textId="69C20DE7" w:rsidR="007D3100" w:rsidRDefault="00883D06" w:rsidP="007D3100">
      <w:r w:rsidRPr="00883D06">
        <w:t>Financial restructuring decisions are also largely influenced by inflation. Inflation is rising, which leads to higher costs in the production process, influences pricing policy, and decreases buying power (Laitinen, 2024; Nguyen et al., 2026).</w:t>
      </w:r>
      <w:r>
        <w:t xml:space="preserve"> </w:t>
      </w:r>
      <w:r w:rsidR="00A97D29" w:rsidRPr="00A97D29">
        <w:t xml:space="preserve">The marginal reduction in Hyundai's gross profit margin from 20.59% in 2023 to 20.40% in 2024 could be due to inflationary pressures. Price setting, cost management and supply chain management are </w:t>
      </w:r>
      <w:r w:rsidR="00972568" w:rsidRPr="00A97D29">
        <w:t>keyways</w:t>
      </w:r>
      <w:r w:rsidR="00A97D29" w:rsidRPr="00A97D29">
        <w:t xml:space="preserve"> to combat inflation and ensure profitability (Astuti et al., 2025; Silva et al., 2026).</w:t>
      </w:r>
    </w:p>
    <w:p w14:paraId="4988B82B" w14:textId="758E3983" w:rsidR="00652660" w:rsidRDefault="00652660" w:rsidP="00937346">
      <w:pPr>
        <w:jc w:val="center"/>
      </w:pPr>
      <w:r>
        <w:rPr>
          <w:noProof/>
        </w:rPr>
        <w:lastRenderedPageBreak/>
        <w:drawing>
          <wp:inline distT="0" distB="0" distL="0" distR="0" wp14:anchorId="4B53480F" wp14:editId="6FDE197A">
            <wp:extent cx="5010150" cy="2858355"/>
            <wp:effectExtent l="0" t="0" r="0" b="0"/>
            <wp:docPr id="1217602643" name="Picture 24" descr="Inflation: What It Is and How to Control Inflation 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Inflation: What It Is and How to Control Inflation Rates"/>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b="14423"/>
                    <a:stretch>
                      <a:fillRect/>
                    </a:stretch>
                  </pic:blipFill>
                  <pic:spPr bwMode="auto">
                    <a:xfrm>
                      <a:off x="0" y="0"/>
                      <a:ext cx="5013084" cy="2860029"/>
                    </a:xfrm>
                    <a:prstGeom prst="rect">
                      <a:avLst/>
                    </a:prstGeom>
                    <a:noFill/>
                    <a:ln>
                      <a:noFill/>
                    </a:ln>
                    <a:extLst>
                      <a:ext uri="{53640926-AAD7-44D8-BBD7-CCE9431645EC}">
                        <a14:shadowObscured xmlns:a14="http://schemas.microsoft.com/office/drawing/2010/main"/>
                      </a:ext>
                    </a:extLst>
                  </pic:spPr>
                </pic:pic>
              </a:graphicData>
            </a:graphic>
          </wp:inline>
        </w:drawing>
      </w:r>
    </w:p>
    <w:p w14:paraId="6CD3827D" w14:textId="17883B18" w:rsidR="00652660" w:rsidRPr="007D3100" w:rsidRDefault="00652660" w:rsidP="00652660">
      <w:pPr>
        <w:pStyle w:val="Caption"/>
      </w:pPr>
      <w:bookmarkStart w:id="58" w:name="_Toc227927282"/>
      <w:r>
        <w:t xml:space="preserve">Figure </w:t>
      </w:r>
      <w:fldSimple w:instr=" SEQ Figure \* ARABIC ">
        <w:r w:rsidR="00494365">
          <w:rPr>
            <w:noProof/>
          </w:rPr>
          <w:t>42</w:t>
        </w:r>
      </w:fldSimple>
      <w:r>
        <w:t xml:space="preserve">: </w:t>
      </w:r>
      <w:r w:rsidRPr="009C57AD">
        <w:t>Inflation</w:t>
      </w:r>
      <w:bookmarkEnd w:id="58"/>
    </w:p>
    <w:p w14:paraId="1D829D03" w14:textId="156639B6" w:rsidR="00E0667D" w:rsidRDefault="00FC7A5A" w:rsidP="007D3100">
      <w:r w:rsidRPr="00FC7A5A">
        <w:t>The ethical aspect especially regarding corporate social responsibility (CSR) is becoming crucial in the EV Industry. The topicality of Hyundai to environmental-friendly technologies and sustainable mobility is in line with the environmental objectives of the global level (Dobrowolski et al., 2026; Kumalawati et al., 2026).</w:t>
      </w:r>
      <w:r w:rsidR="007D3100" w:rsidRPr="007D3100">
        <w:t xml:space="preserve"> </w:t>
      </w:r>
    </w:p>
    <w:p w14:paraId="23AF698D" w14:textId="782AA76F" w:rsidR="00E0667D" w:rsidRDefault="00B25AEC" w:rsidP="00937346">
      <w:pPr>
        <w:jc w:val="center"/>
      </w:pPr>
      <w:r>
        <w:rPr>
          <w:noProof/>
        </w:rPr>
        <w:drawing>
          <wp:inline distT="0" distB="0" distL="0" distR="0" wp14:anchorId="51A423D5" wp14:editId="14D79B35">
            <wp:extent cx="4367502" cy="2190750"/>
            <wp:effectExtent l="0" t="0" r="0" b="0"/>
            <wp:docPr id="926493073" name="Picture 26" descr="Corporate Social Responsibility: Embracing Environmental Steward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orporate Social Responsibility: Embracing Environmental Stewardship"/>
                    <pic:cNvPicPr>
                      <a:picLocks noChangeAspect="1" noChangeArrowheads="1"/>
                    </pic:cNvPicPr>
                  </pic:nvPicPr>
                  <pic:blipFill rotWithShape="1">
                    <a:blip r:embed="rId49">
                      <a:extLst>
                        <a:ext uri="{28A0092B-C50C-407E-A947-70E740481C1C}">
                          <a14:useLocalDpi xmlns:a14="http://schemas.microsoft.com/office/drawing/2010/main" val="0"/>
                        </a:ext>
                      </a:extLst>
                    </a:blip>
                    <a:srcRect t="4100" b="4199"/>
                    <a:stretch>
                      <a:fillRect/>
                    </a:stretch>
                  </pic:blipFill>
                  <pic:spPr bwMode="auto">
                    <a:xfrm>
                      <a:off x="0" y="0"/>
                      <a:ext cx="4376255" cy="2195141"/>
                    </a:xfrm>
                    <a:prstGeom prst="rect">
                      <a:avLst/>
                    </a:prstGeom>
                    <a:noFill/>
                    <a:ln>
                      <a:noFill/>
                    </a:ln>
                    <a:extLst>
                      <a:ext uri="{53640926-AAD7-44D8-BBD7-CCE9431645EC}">
                        <a14:shadowObscured xmlns:a14="http://schemas.microsoft.com/office/drawing/2010/main"/>
                      </a:ext>
                    </a:extLst>
                  </pic:spPr>
                </pic:pic>
              </a:graphicData>
            </a:graphic>
          </wp:inline>
        </w:drawing>
      </w:r>
    </w:p>
    <w:p w14:paraId="054497CE" w14:textId="13132ABC" w:rsidR="00B25AEC" w:rsidRDefault="00B25AEC" w:rsidP="00B25AEC">
      <w:pPr>
        <w:pStyle w:val="Caption"/>
      </w:pPr>
      <w:bookmarkStart w:id="59" w:name="_Toc227927283"/>
      <w:r>
        <w:t xml:space="preserve">Figure </w:t>
      </w:r>
      <w:fldSimple w:instr=" SEQ Figure \* ARABIC ">
        <w:r w:rsidR="00494365">
          <w:rPr>
            <w:noProof/>
          </w:rPr>
          <w:t>43</w:t>
        </w:r>
      </w:fldSimple>
      <w:r>
        <w:t xml:space="preserve">: </w:t>
      </w:r>
      <w:r w:rsidRPr="001B7C5F">
        <w:t>CSR</w:t>
      </w:r>
      <w:bookmarkEnd w:id="59"/>
    </w:p>
    <w:p w14:paraId="2FA3D136" w14:textId="179ABB3F" w:rsidR="007D3100" w:rsidRDefault="00E358F3" w:rsidP="007D3100">
      <w:r w:rsidRPr="00E358F3">
        <w:t>The strategies of financial restructurings should provide support for these goals by favouring investments in clean technologies and sustainable practices. ESG (Environmental, Social, and Governance) considerations are important factors for investors and long-term performance (Dobrowolski et al., 2026; Toraşan et al., 2026).</w:t>
      </w:r>
    </w:p>
    <w:p w14:paraId="7ADFC7CB" w14:textId="0D977A37" w:rsidR="00B25AEC" w:rsidRDefault="00B25AEC" w:rsidP="00937346">
      <w:pPr>
        <w:jc w:val="center"/>
      </w:pPr>
      <w:r>
        <w:rPr>
          <w:noProof/>
        </w:rPr>
        <w:lastRenderedPageBreak/>
        <w:drawing>
          <wp:inline distT="0" distB="0" distL="0" distR="0" wp14:anchorId="6BC7F43D" wp14:editId="62736D76">
            <wp:extent cx="3095365" cy="2064568"/>
            <wp:effectExtent l="0" t="0" r="0" b="0"/>
            <wp:docPr id="779877184" name="Picture 27" descr="ESG: Navigating Responsible Business in a Changing World - Center for  Empowerment &amp; Development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ESG: Navigating Responsible Business in a Changing World - Center for  Empowerment &amp; Development Studi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098934" cy="2066949"/>
                    </a:xfrm>
                    <a:prstGeom prst="rect">
                      <a:avLst/>
                    </a:prstGeom>
                    <a:noFill/>
                    <a:ln>
                      <a:noFill/>
                    </a:ln>
                  </pic:spPr>
                </pic:pic>
              </a:graphicData>
            </a:graphic>
          </wp:inline>
        </w:drawing>
      </w:r>
    </w:p>
    <w:p w14:paraId="27AC19F6" w14:textId="549F11C4" w:rsidR="00B25AEC" w:rsidRPr="007D3100" w:rsidRDefault="00B25AEC" w:rsidP="00B25AEC">
      <w:pPr>
        <w:pStyle w:val="Caption"/>
      </w:pPr>
      <w:bookmarkStart w:id="60" w:name="_Toc227927284"/>
      <w:r>
        <w:t xml:space="preserve">Figure </w:t>
      </w:r>
      <w:fldSimple w:instr=" SEQ Figure \* ARABIC ">
        <w:r w:rsidR="00494365">
          <w:rPr>
            <w:noProof/>
          </w:rPr>
          <w:t>44</w:t>
        </w:r>
      </w:fldSimple>
      <w:r>
        <w:t>: ESG</w:t>
      </w:r>
      <w:bookmarkEnd w:id="60"/>
    </w:p>
    <w:p w14:paraId="3A9DDBE9" w14:textId="1778051F" w:rsidR="007D3100" w:rsidRDefault="00211F7D" w:rsidP="007D3100">
      <w:r w:rsidRPr="00211F7D">
        <w:t xml:space="preserve">Moreover, there is the ethical aspect on </w:t>
      </w:r>
      <w:r w:rsidR="00744AE8" w:rsidRPr="00211F7D">
        <w:t>stakeholders’</w:t>
      </w:r>
      <w:r w:rsidRPr="00211F7D">
        <w:t xml:space="preserve"> management, which involves management of employees, suppliers, and communities. The resulting activities of divestitures or restructuring can be associated with job loss or operational hiccups and have to be dealt with in a responsible manner (Muslim et al., 2023; Tarawallie et al., 2025).</w:t>
      </w:r>
      <w:r>
        <w:t xml:space="preserve"> </w:t>
      </w:r>
      <w:r w:rsidR="00744AE8" w:rsidRPr="00744AE8">
        <w:t>Open disclosure and equity are crucial to win stakeholder confidence and brand reputation. The incorporation of ethical considerations in financial practices elevates long-term sustainability and is in line with international standards (Muslim et al., 2023; Mom et al., 2025).</w:t>
      </w:r>
    </w:p>
    <w:p w14:paraId="67F4C203" w14:textId="37C83195" w:rsidR="00C34D53" w:rsidRDefault="00287439" w:rsidP="007D3100">
      <w:r>
        <w:rPr>
          <w:noProof/>
        </w:rPr>
        <w:drawing>
          <wp:inline distT="0" distB="0" distL="0" distR="0" wp14:anchorId="2A38FDA9" wp14:editId="388A96CE">
            <wp:extent cx="5993130" cy="2115185"/>
            <wp:effectExtent l="0" t="0" r="7620" b="0"/>
            <wp:docPr id="149046412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93130" cy="2115185"/>
                    </a:xfrm>
                    <a:prstGeom prst="rect">
                      <a:avLst/>
                    </a:prstGeom>
                    <a:noFill/>
                  </pic:spPr>
                </pic:pic>
              </a:graphicData>
            </a:graphic>
          </wp:inline>
        </w:drawing>
      </w:r>
    </w:p>
    <w:p w14:paraId="6CC53CAC" w14:textId="31C48A13" w:rsidR="00C34D53" w:rsidRPr="007D3100" w:rsidRDefault="00C34D53" w:rsidP="00C34D53">
      <w:pPr>
        <w:pStyle w:val="Caption"/>
      </w:pPr>
      <w:bookmarkStart w:id="61" w:name="_Toc227927285"/>
      <w:r>
        <w:t xml:space="preserve">Figure </w:t>
      </w:r>
      <w:fldSimple w:instr=" SEQ Figure \* ARABIC ">
        <w:r w:rsidR="00494365">
          <w:rPr>
            <w:noProof/>
          </w:rPr>
          <w:t>45</w:t>
        </w:r>
      </w:fldSimple>
      <w:r>
        <w:t>: E</w:t>
      </w:r>
      <w:r w:rsidRPr="0089747D">
        <w:t xml:space="preserve">thical </w:t>
      </w:r>
      <w:r>
        <w:t>C</w:t>
      </w:r>
      <w:r w:rsidRPr="0089747D">
        <w:t>onsiderations</w:t>
      </w:r>
      <w:bookmarkEnd w:id="61"/>
    </w:p>
    <w:p w14:paraId="1132B64A" w14:textId="1C2A44FE" w:rsidR="00E2371B" w:rsidRPr="00E2371B" w:rsidRDefault="001B16E4" w:rsidP="00E2371B">
      <w:r w:rsidRPr="001B16E4">
        <w:t>Last</w:t>
      </w:r>
      <w:r>
        <w:t xml:space="preserve">ly, </w:t>
      </w:r>
      <w:r w:rsidRPr="001B16E4">
        <w:t xml:space="preserve">is the consideration of international regulatory, and compliance standards. Restructuring decisions can be affected by different legal and regulatory environments in different markets in which Hyundai operates (Adesoye et al., 2021; Enyi et al., 2026). It is </w:t>
      </w:r>
      <w:r w:rsidRPr="001B16E4">
        <w:lastRenderedPageBreak/>
        <w:t>imperative to ensure that all the international standards and regulations have been followed to prevent legal risks and to ensure continuity in operations. Risk management practices and good governance are thus important elements of any financial restructuring strategy (Adesoye et al., 2021; Chen et al., 2025).</w:t>
      </w:r>
    </w:p>
    <w:p w14:paraId="3CA6A70D" w14:textId="486726ED" w:rsidR="00732ABA" w:rsidRDefault="001B16E4" w:rsidP="00732ABA">
      <w:r>
        <w:rPr>
          <w:noProof/>
        </w:rPr>
        <w:drawing>
          <wp:inline distT="0" distB="0" distL="0" distR="0" wp14:anchorId="299E74D3" wp14:editId="076F0032">
            <wp:extent cx="6017260" cy="1816735"/>
            <wp:effectExtent l="0" t="0" r="0" b="0"/>
            <wp:docPr id="124379009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017260" cy="1816735"/>
                    </a:xfrm>
                    <a:prstGeom prst="rect">
                      <a:avLst/>
                    </a:prstGeom>
                    <a:noFill/>
                  </pic:spPr>
                </pic:pic>
              </a:graphicData>
            </a:graphic>
          </wp:inline>
        </w:drawing>
      </w:r>
    </w:p>
    <w:p w14:paraId="605DEC0E" w14:textId="312559C4" w:rsidR="00273F03" w:rsidRDefault="00494365" w:rsidP="00494365">
      <w:pPr>
        <w:pStyle w:val="Caption"/>
      </w:pPr>
      <w:bookmarkStart w:id="62" w:name="_Toc227927286"/>
      <w:r>
        <w:t xml:space="preserve">Figure </w:t>
      </w:r>
      <w:fldSimple w:instr=" SEQ Figure \* ARABIC ">
        <w:r>
          <w:rPr>
            <w:noProof/>
          </w:rPr>
          <w:t>46</w:t>
        </w:r>
      </w:fldSimple>
      <w:r>
        <w:t xml:space="preserve">: </w:t>
      </w:r>
      <w:r w:rsidRPr="0001024A">
        <w:t>Regulatory Environment</w:t>
      </w:r>
      <w:bookmarkEnd w:id="62"/>
    </w:p>
    <w:p w14:paraId="1DB21138" w14:textId="77777777" w:rsidR="001B16E4" w:rsidRPr="001B16E4" w:rsidRDefault="001B16E4" w:rsidP="001B16E4"/>
    <w:p w14:paraId="6D27E658" w14:textId="218486CF" w:rsidR="00AD2B37" w:rsidRDefault="00AD2B37" w:rsidP="00AD2B37">
      <w:pPr>
        <w:pStyle w:val="Heading1"/>
      </w:pPr>
      <w:bookmarkStart w:id="63" w:name="_Toc227939059"/>
      <w:r>
        <w:t>4. Investment Appraisal and Capital Budgeting</w:t>
      </w:r>
      <w:bookmarkEnd w:id="63"/>
      <w:r>
        <w:t xml:space="preserve"> </w:t>
      </w:r>
    </w:p>
    <w:p w14:paraId="7ABFD08E" w14:textId="77777777" w:rsidR="00A61755" w:rsidRPr="00A61755" w:rsidRDefault="00A61755" w:rsidP="00A61755">
      <w:pPr>
        <w:pStyle w:val="Heading2"/>
      </w:pPr>
      <w:bookmarkStart w:id="64" w:name="_Toc227939060"/>
      <w:r w:rsidRPr="00A61755">
        <w:t>4.1 Payback Period (PBP) Evaluation</w:t>
      </w:r>
      <w:bookmarkEnd w:id="64"/>
    </w:p>
    <w:p w14:paraId="100C18C9" w14:textId="10945972" w:rsidR="00AD2B37" w:rsidRDefault="009E2EA2" w:rsidP="00D13430">
      <w:r w:rsidRPr="009E2EA2">
        <w:t>Payback period (PBP) indicates how long it takes to pay back the initial investment. Project A's PBP is 4.50 years, Project B's is 4.55 years, and Project C with the lowest PBP of 3.60 years, means that Project C pays for itself earliest (Khan et al, 2025; Purnamasari et al, 2024).</w:t>
      </w:r>
      <w:r>
        <w:t xml:space="preserve"> </w:t>
      </w:r>
      <w:r w:rsidR="006056B0" w:rsidRPr="006056B0">
        <w:t xml:space="preserve">The shorter period of payback means that risks are less exposed, especially in industries that are capital intensive like automotive manufacturing. Nevertheless, </w:t>
      </w:r>
      <w:r w:rsidR="00864CCA" w:rsidRPr="006056B0">
        <w:t>although</w:t>
      </w:r>
      <w:r w:rsidR="006056B0" w:rsidRPr="006056B0">
        <w:t xml:space="preserve"> Project C is more appealing when compared to the project using PBP, the technique does not take into consideration the time value of money and cash flows that are not within the payback period, which restricts its application as an independent decision-making tool (Sekhar, 2026; Enyi et al., 2026).</w:t>
      </w:r>
    </w:p>
    <w:tbl>
      <w:tblPr>
        <w:tblStyle w:val="TableGrid"/>
        <w:tblW w:w="5000" w:type="pct"/>
        <w:tblLook w:val="04A0" w:firstRow="1" w:lastRow="0" w:firstColumn="1" w:lastColumn="0" w:noHBand="0" w:noVBand="1"/>
      </w:tblPr>
      <w:tblGrid>
        <w:gridCol w:w="4104"/>
        <w:gridCol w:w="1749"/>
        <w:gridCol w:w="1749"/>
        <w:gridCol w:w="1748"/>
      </w:tblGrid>
      <w:tr w:rsidR="008006DF" w:rsidRPr="008006DF" w14:paraId="679B4D8F" w14:textId="77777777" w:rsidTr="008006DF">
        <w:tc>
          <w:tcPr>
            <w:tcW w:w="2194" w:type="pct"/>
            <w:hideMark/>
          </w:tcPr>
          <w:p w14:paraId="45B2E5C9" w14:textId="77777777" w:rsidR="008006DF" w:rsidRPr="008006DF" w:rsidRDefault="008006DF" w:rsidP="008006DF">
            <w:pPr>
              <w:spacing w:after="160"/>
              <w:rPr>
                <w:b/>
                <w:bCs/>
              </w:rPr>
            </w:pPr>
            <w:r w:rsidRPr="008006DF">
              <w:rPr>
                <w:b/>
                <w:bCs/>
              </w:rPr>
              <w:t>Year/Project</w:t>
            </w:r>
          </w:p>
        </w:tc>
        <w:tc>
          <w:tcPr>
            <w:tcW w:w="935" w:type="pct"/>
            <w:hideMark/>
          </w:tcPr>
          <w:p w14:paraId="7B26243C" w14:textId="77777777" w:rsidR="008006DF" w:rsidRPr="008006DF" w:rsidRDefault="008006DF" w:rsidP="008006DF">
            <w:pPr>
              <w:spacing w:after="160"/>
              <w:rPr>
                <w:b/>
                <w:bCs/>
              </w:rPr>
            </w:pPr>
            <w:r w:rsidRPr="008006DF">
              <w:rPr>
                <w:b/>
                <w:bCs/>
              </w:rPr>
              <w:t>A</w:t>
            </w:r>
          </w:p>
        </w:tc>
        <w:tc>
          <w:tcPr>
            <w:tcW w:w="935" w:type="pct"/>
            <w:hideMark/>
          </w:tcPr>
          <w:p w14:paraId="0149184C" w14:textId="77777777" w:rsidR="008006DF" w:rsidRPr="008006DF" w:rsidRDefault="008006DF" w:rsidP="008006DF">
            <w:pPr>
              <w:spacing w:after="160"/>
              <w:rPr>
                <w:b/>
                <w:bCs/>
              </w:rPr>
            </w:pPr>
            <w:r w:rsidRPr="008006DF">
              <w:rPr>
                <w:b/>
                <w:bCs/>
              </w:rPr>
              <w:t>B</w:t>
            </w:r>
          </w:p>
        </w:tc>
        <w:tc>
          <w:tcPr>
            <w:tcW w:w="935" w:type="pct"/>
            <w:hideMark/>
          </w:tcPr>
          <w:p w14:paraId="6C35D0E2" w14:textId="77777777" w:rsidR="008006DF" w:rsidRPr="008006DF" w:rsidRDefault="008006DF" w:rsidP="008006DF">
            <w:pPr>
              <w:spacing w:after="160"/>
              <w:rPr>
                <w:b/>
                <w:bCs/>
              </w:rPr>
            </w:pPr>
            <w:r w:rsidRPr="008006DF">
              <w:rPr>
                <w:b/>
                <w:bCs/>
              </w:rPr>
              <w:t>C</w:t>
            </w:r>
          </w:p>
        </w:tc>
      </w:tr>
      <w:tr w:rsidR="008006DF" w:rsidRPr="008006DF" w14:paraId="1A77B3EE" w14:textId="77777777" w:rsidTr="008006DF">
        <w:tc>
          <w:tcPr>
            <w:tcW w:w="2194" w:type="pct"/>
            <w:hideMark/>
          </w:tcPr>
          <w:p w14:paraId="4BFB5C10" w14:textId="77777777" w:rsidR="008006DF" w:rsidRPr="008006DF" w:rsidRDefault="008006DF" w:rsidP="008006DF">
            <w:pPr>
              <w:spacing w:after="160"/>
            </w:pPr>
            <w:r w:rsidRPr="008006DF">
              <w:rPr>
                <w:b/>
                <w:bCs/>
              </w:rPr>
              <w:t>PBP (Years)</w:t>
            </w:r>
          </w:p>
        </w:tc>
        <w:tc>
          <w:tcPr>
            <w:tcW w:w="935" w:type="pct"/>
            <w:hideMark/>
          </w:tcPr>
          <w:p w14:paraId="0507A7FC" w14:textId="77777777" w:rsidR="008006DF" w:rsidRPr="008006DF" w:rsidRDefault="008006DF" w:rsidP="008006DF">
            <w:pPr>
              <w:spacing w:after="160"/>
            </w:pPr>
            <w:r w:rsidRPr="008006DF">
              <w:t>4.50</w:t>
            </w:r>
          </w:p>
        </w:tc>
        <w:tc>
          <w:tcPr>
            <w:tcW w:w="935" w:type="pct"/>
            <w:hideMark/>
          </w:tcPr>
          <w:p w14:paraId="11C41DAE" w14:textId="77777777" w:rsidR="008006DF" w:rsidRPr="008006DF" w:rsidRDefault="008006DF" w:rsidP="008006DF">
            <w:pPr>
              <w:spacing w:after="160"/>
            </w:pPr>
            <w:r w:rsidRPr="008006DF">
              <w:t>4.55</w:t>
            </w:r>
          </w:p>
        </w:tc>
        <w:tc>
          <w:tcPr>
            <w:tcW w:w="935" w:type="pct"/>
            <w:hideMark/>
          </w:tcPr>
          <w:p w14:paraId="2BB3595B" w14:textId="77777777" w:rsidR="008006DF" w:rsidRPr="008006DF" w:rsidRDefault="008006DF" w:rsidP="008006DF">
            <w:pPr>
              <w:spacing w:after="160"/>
            </w:pPr>
            <w:r w:rsidRPr="008006DF">
              <w:t>3.60</w:t>
            </w:r>
          </w:p>
        </w:tc>
      </w:tr>
    </w:tbl>
    <w:p w14:paraId="7584B166" w14:textId="6A0E7F60" w:rsidR="007069BF" w:rsidRPr="007069BF" w:rsidRDefault="00C73F5E" w:rsidP="006056B0">
      <w:pPr>
        <w:pStyle w:val="Caption"/>
      </w:pPr>
      <w:bookmarkStart w:id="65" w:name="_Toc227927287"/>
      <w:r>
        <w:t xml:space="preserve">Table </w:t>
      </w:r>
      <w:fldSimple w:instr=" SEQ Table \* ARABIC ">
        <w:r w:rsidR="007140A2">
          <w:rPr>
            <w:noProof/>
          </w:rPr>
          <w:t>3</w:t>
        </w:r>
      </w:fldSimple>
      <w:r>
        <w:t xml:space="preserve">: </w:t>
      </w:r>
      <w:r w:rsidRPr="00310CD5">
        <w:t>Payback Period (PBP)</w:t>
      </w:r>
      <w:bookmarkEnd w:id="65"/>
    </w:p>
    <w:p w14:paraId="27AC453F" w14:textId="77777777" w:rsidR="00A61755" w:rsidRPr="00A61755" w:rsidRDefault="00A61755" w:rsidP="00A61755">
      <w:pPr>
        <w:pStyle w:val="Heading2"/>
      </w:pPr>
      <w:bookmarkStart w:id="66" w:name="_Toc227939061"/>
      <w:r w:rsidRPr="00A61755">
        <w:lastRenderedPageBreak/>
        <w:t>4.2 Accounting Rate of Return (ARR) Analysis</w:t>
      </w:r>
      <w:bookmarkEnd w:id="66"/>
    </w:p>
    <w:p w14:paraId="6784B17E" w14:textId="11B8429F" w:rsidR="00AD2B37" w:rsidRDefault="00C82D3B" w:rsidP="00F5672D">
      <w:r w:rsidRPr="00C82D3B">
        <w:t>The accounting rate of return (ARR) is used to measure return on investment. Project A has 1.60% ARR, Project B has 2.00% ARR and Project C has 6.00% ARR and therefore superior accounting profitability (Astuti et al., 2025; Adesoye et al., 2021).</w:t>
      </w:r>
      <w:r>
        <w:t xml:space="preserve"> </w:t>
      </w:r>
      <w:r w:rsidR="004F21EE" w:rsidRPr="004F21EE">
        <w:t xml:space="preserve">And this implies that Project C returns more returns on accounting profits. Nevertheless, ARR does not </w:t>
      </w:r>
      <w:r w:rsidR="00730DD8" w:rsidRPr="004F21EE">
        <w:t>consider</w:t>
      </w:r>
      <w:r w:rsidR="004F21EE" w:rsidRPr="004F21EE">
        <w:t xml:space="preserve"> cash flows or a time value of money, so it is not so reliable as compared to discounted cash flow methods.</w:t>
      </w:r>
      <w:r w:rsidR="004F21EE">
        <w:t xml:space="preserve"> </w:t>
      </w:r>
      <w:r w:rsidR="00200B43" w:rsidRPr="00200B43">
        <w:t>Notwithstanding this, the much higher ARR of Project C supports its relative merits among the alternatives (Laitinen, 2018; Nguyen et al., 2026).</w:t>
      </w:r>
    </w:p>
    <w:tbl>
      <w:tblPr>
        <w:tblStyle w:val="TableGrid"/>
        <w:tblW w:w="5000" w:type="pct"/>
        <w:tblLook w:val="04A0" w:firstRow="1" w:lastRow="0" w:firstColumn="1" w:lastColumn="0" w:noHBand="0" w:noVBand="1"/>
      </w:tblPr>
      <w:tblGrid>
        <w:gridCol w:w="3492"/>
        <w:gridCol w:w="1953"/>
        <w:gridCol w:w="1953"/>
        <w:gridCol w:w="1952"/>
      </w:tblGrid>
      <w:tr w:rsidR="008006DF" w:rsidRPr="008006DF" w14:paraId="044347AE" w14:textId="77777777" w:rsidTr="008006DF">
        <w:tc>
          <w:tcPr>
            <w:tcW w:w="1867" w:type="pct"/>
            <w:hideMark/>
          </w:tcPr>
          <w:p w14:paraId="47445715" w14:textId="77777777" w:rsidR="008006DF" w:rsidRPr="008006DF" w:rsidRDefault="008006DF" w:rsidP="008006DF">
            <w:pPr>
              <w:spacing w:after="160"/>
              <w:rPr>
                <w:b/>
                <w:bCs/>
              </w:rPr>
            </w:pPr>
            <w:r w:rsidRPr="008006DF">
              <w:rPr>
                <w:b/>
                <w:bCs/>
              </w:rPr>
              <w:t>Year/Project</w:t>
            </w:r>
          </w:p>
        </w:tc>
        <w:tc>
          <w:tcPr>
            <w:tcW w:w="1044" w:type="pct"/>
            <w:hideMark/>
          </w:tcPr>
          <w:p w14:paraId="23CD8CE9" w14:textId="77777777" w:rsidR="008006DF" w:rsidRPr="008006DF" w:rsidRDefault="008006DF" w:rsidP="008006DF">
            <w:pPr>
              <w:spacing w:after="160"/>
              <w:rPr>
                <w:b/>
                <w:bCs/>
              </w:rPr>
            </w:pPr>
            <w:r w:rsidRPr="008006DF">
              <w:rPr>
                <w:b/>
                <w:bCs/>
              </w:rPr>
              <w:t>A</w:t>
            </w:r>
          </w:p>
        </w:tc>
        <w:tc>
          <w:tcPr>
            <w:tcW w:w="1044" w:type="pct"/>
            <w:hideMark/>
          </w:tcPr>
          <w:p w14:paraId="1FA38DAE" w14:textId="77777777" w:rsidR="008006DF" w:rsidRPr="008006DF" w:rsidRDefault="008006DF" w:rsidP="008006DF">
            <w:pPr>
              <w:spacing w:after="160"/>
              <w:rPr>
                <w:b/>
                <w:bCs/>
              </w:rPr>
            </w:pPr>
            <w:r w:rsidRPr="008006DF">
              <w:rPr>
                <w:b/>
                <w:bCs/>
              </w:rPr>
              <w:t>B</w:t>
            </w:r>
          </w:p>
        </w:tc>
        <w:tc>
          <w:tcPr>
            <w:tcW w:w="1044" w:type="pct"/>
            <w:hideMark/>
          </w:tcPr>
          <w:p w14:paraId="607F072E" w14:textId="77777777" w:rsidR="008006DF" w:rsidRPr="008006DF" w:rsidRDefault="008006DF" w:rsidP="008006DF">
            <w:pPr>
              <w:spacing w:after="160"/>
              <w:rPr>
                <w:b/>
                <w:bCs/>
              </w:rPr>
            </w:pPr>
            <w:r w:rsidRPr="008006DF">
              <w:rPr>
                <w:b/>
                <w:bCs/>
              </w:rPr>
              <w:t>C</w:t>
            </w:r>
          </w:p>
        </w:tc>
      </w:tr>
      <w:tr w:rsidR="008006DF" w:rsidRPr="008006DF" w14:paraId="72840FE0" w14:textId="77777777" w:rsidTr="008006DF">
        <w:tc>
          <w:tcPr>
            <w:tcW w:w="1867" w:type="pct"/>
            <w:hideMark/>
          </w:tcPr>
          <w:p w14:paraId="24219B21" w14:textId="77777777" w:rsidR="008006DF" w:rsidRPr="008006DF" w:rsidRDefault="008006DF" w:rsidP="008006DF">
            <w:pPr>
              <w:spacing w:after="160"/>
            </w:pPr>
            <w:r w:rsidRPr="008006DF">
              <w:rPr>
                <w:b/>
                <w:bCs/>
              </w:rPr>
              <w:t>ARR (%)</w:t>
            </w:r>
          </w:p>
        </w:tc>
        <w:tc>
          <w:tcPr>
            <w:tcW w:w="1044" w:type="pct"/>
            <w:hideMark/>
          </w:tcPr>
          <w:p w14:paraId="38490E51" w14:textId="77777777" w:rsidR="008006DF" w:rsidRPr="008006DF" w:rsidRDefault="008006DF" w:rsidP="008006DF">
            <w:pPr>
              <w:spacing w:after="160"/>
            </w:pPr>
            <w:r w:rsidRPr="008006DF">
              <w:t>1.60%</w:t>
            </w:r>
          </w:p>
        </w:tc>
        <w:tc>
          <w:tcPr>
            <w:tcW w:w="1044" w:type="pct"/>
            <w:hideMark/>
          </w:tcPr>
          <w:p w14:paraId="65B6FE48" w14:textId="77777777" w:rsidR="008006DF" w:rsidRPr="008006DF" w:rsidRDefault="008006DF" w:rsidP="008006DF">
            <w:pPr>
              <w:spacing w:after="160"/>
            </w:pPr>
            <w:r w:rsidRPr="008006DF">
              <w:t>2.00%</w:t>
            </w:r>
          </w:p>
        </w:tc>
        <w:tc>
          <w:tcPr>
            <w:tcW w:w="1044" w:type="pct"/>
            <w:hideMark/>
          </w:tcPr>
          <w:p w14:paraId="38460D96" w14:textId="77777777" w:rsidR="008006DF" w:rsidRPr="008006DF" w:rsidRDefault="008006DF" w:rsidP="008006DF">
            <w:pPr>
              <w:spacing w:after="160"/>
            </w:pPr>
            <w:r w:rsidRPr="008006DF">
              <w:t>6.00%</w:t>
            </w:r>
          </w:p>
        </w:tc>
      </w:tr>
    </w:tbl>
    <w:p w14:paraId="258F7623" w14:textId="6A0E11D7" w:rsidR="00C73F5E" w:rsidRDefault="00C73F5E" w:rsidP="00C73F5E">
      <w:pPr>
        <w:pStyle w:val="Caption"/>
      </w:pPr>
      <w:bookmarkStart w:id="67" w:name="_Toc227927288"/>
      <w:r>
        <w:t xml:space="preserve">Table </w:t>
      </w:r>
      <w:fldSimple w:instr=" SEQ Table \* ARABIC ">
        <w:r w:rsidR="007140A2">
          <w:rPr>
            <w:noProof/>
          </w:rPr>
          <w:t>4</w:t>
        </w:r>
      </w:fldSimple>
      <w:r>
        <w:t xml:space="preserve">: </w:t>
      </w:r>
      <w:r w:rsidRPr="008D0CF7">
        <w:t>Accounting Rate of Return (ARR)</w:t>
      </w:r>
      <w:bookmarkEnd w:id="67"/>
    </w:p>
    <w:p w14:paraId="1407471F" w14:textId="77777777" w:rsidR="00200B43" w:rsidRPr="00200B43" w:rsidRDefault="00200B43" w:rsidP="00200B43"/>
    <w:p w14:paraId="5727E3FA" w14:textId="77777777" w:rsidR="00A61755" w:rsidRPr="00A61755" w:rsidRDefault="00A61755" w:rsidP="00A61755">
      <w:pPr>
        <w:pStyle w:val="Heading2"/>
      </w:pPr>
      <w:bookmarkStart w:id="68" w:name="_Toc227939062"/>
      <w:r w:rsidRPr="00A61755">
        <w:t>4.3 Net Present Value (NPV) Assessment</w:t>
      </w:r>
      <w:bookmarkEnd w:id="68"/>
    </w:p>
    <w:p w14:paraId="24AC8DE0" w14:textId="78DD430E" w:rsidR="00AD2B37" w:rsidRDefault="00C064DE" w:rsidP="00F5672D">
      <w:r w:rsidRPr="00C064DE">
        <w:t>One of the most important investment appraisal tools is the net present value (NPV) that includes a time value of money. Each of the three projects presents negative NPV values in years discounted at 10</w:t>
      </w:r>
      <w:r>
        <w:t>%</w:t>
      </w:r>
      <w:r w:rsidRPr="00C064DE">
        <w:t xml:space="preserve">, Project A of </w:t>
      </w:r>
      <w:r>
        <w:t>-</w:t>
      </w:r>
      <w:r w:rsidRPr="00C064DE">
        <w:t xml:space="preserve">0.868M, Project B of </w:t>
      </w:r>
      <w:r>
        <w:t>-</w:t>
      </w:r>
      <w:r w:rsidRPr="00C064DE">
        <w:t xml:space="preserve">0.83M and Project C </w:t>
      </w:r>
      <w:r w:rsidR="00A63BCC">
        <w:t>-</w:t>
      </w:r>
      <w:r w:rsidRPr="00C064DE">
        <w:t>1.98M; all of which suggests none of the projects with the liabilities can deliver the necessary rate of return (Sekhar, 2026; Enyi et al., 2026).</w:t>
      </w:r>
      <w:r>
        <w:t xml:space="preserve"> </w:t>
      </w:r>
      <w:r w:rsidR="00FF6059" w:rsidRPr="00FF6059">
        <w:t>But Project C has the smallest negative NPV, implying it does the least damage (least negative impact) to shareholder value of the three projects. In financial theory, projects with negative NPV must be avoided as they destroy value.</w:t>
      </w:r>
      <w:r w:rsidR="00FF6059">
        <w:t xml:space="preserve"> </w:t>
      </w:r>
      <w:r w:rsidR="004B4F83" w:rsidRPr="004B4F83">
        <w:t>However, strategies like market growth and technology could make the investment worthwhile even with adverse NPV estimates (Muslim et al., 2023; Kumalawati et al., 2026).</w:t>
      </w:r>
    </w:p>
    <w:tbl>
      <w:tblPr>
        <w:tblStyle w:val="TableGrid"/>
        <w:tblW w:w="5000" w:type="pct"/>
        <w:tblLook w:val="04A0" w:firstRow="1" w:lastRow="0" w:firstColumn="1" w:lastColumn="0" w:noHBand="0" w:noVBand="1"/>
      </w:tblPr>
      <w:tblGrid>
        <w:gridCol w:w="3851"/>
        <w:gridCol w:w="1833"/>
        <w:gridCol w:w="1833"/>
        <w:gridCol w:w="1833"/>
      </w:tblGrid>
      <w:tr w:rsidR="008006DF" w:rsidRPr="008006DF" w14:paraId="6DDB5C23" w14:textId="77777777" w:rsidTr="008006DF">
        <w:tc>
          <w:tcPr>
            <w:tcW w:w="2059" w:type="pct"/>
            <w:hideMark/>
          </w:tcPr>
          <w:p w14:paraId="6E0FB672" w14:textId="77777777" w:rsidR="008006DF" w:rsidRPr="008006DF" w:rsidRDefault="008006DF" w:rsidP="008006DF">
            <w:pPr>
              <w:spacing w:after="160"/>
              <w:rPr>
                <w:b/>
                <w:bCs/>
              </w:rPr>
            </w:pPr>
            <w:r w:rsidRPr="008006DF">
              <w:rPr>
                <w:b/>
                <w:bCs/>
              </w:rPr>
              <w:t>Year/Project</w:t>
            </w:r>
          </w:p>
        </w:tc>
        <w:tc>
          <w:tcPr>
            <w:tcW w:w="980" w:type="pct"/>
            <w:hideMark/>
          </w:tcPr>
          <w:p w14:paraId="6BD73317" w14:textId="77777777" w:rsidR="008006DF" w:rsidRPr="008006DF" w:rsidRDefault="008006DF" w:rsidP="008006DF">
            <w:pPr>
              <w:spacing w:after="160"/>
              <w:rPr>
                <w:b/>
                <w:bCs/>
              </w:rPr>
            </w:pPr>
            <w:r w:rsidRPr="008006DF">
              <w:rPr>
                <w:b/>
                <w:bCs/>
              </w:rPr>
              <w:t>A</w:t>
            </w:r>
          </w:p>
        </w:tc>
        <w:tc>
          <w:tcPr>
            <w:tcW w:w="980" w:type="pct"/>
            <w:hideMark/>
          </w:tcPr>
          <w:p w14:paraId="39CFE6FA" w14:textId="77777777" w:rsidR="008006DF" w:rsidRPr="008006DF" w:rsidRDefault="008006DF" w:rsidP="008006DF">
            <w:pPr>
              <w:spacing w:after="160"/>
              <w:rPr>
                <w:b/>
                <w:bCs/>
              </w:rPr>
            </w:pPr>
            <w:r w:rsidRPr="008006DF">
              <w:rPr>
                <w:b/>
                <w:bCs/>
              </w:rPr>
              <w:t>B</w:t>
            </w:r>
          </w:p>
        </w:tc>
        <w:tc>
          <w:tcPr>
            <w:tcW w:w="980" w:type="pct"/>
            <w:hideMark/>
          </w:tcPr>
          <w:p w14:paraId="77DCD4C4" w14:textId="77777777" w:rsidR="008006DF" w:rsidRPr="008006DF" w:rsidRDefault="008006DF" w:rsidP="008006DF">
            <w:pPr>
              <w:spacing w:after="160"/>
              <w:rPr>
                <w:b/>
                <w:bCs/>
              </w:rPr>
            </w:pPr>
            <w:r w:rsidRPr="008006DF">
              <w:rPr>
                <w:b/>
                <w:bCs/>
              </w:rPr>
              <w:t>C</w:t>
            </w:r>
          </w:p>
        </w:tc>
      </w:tr>
      <w:tr w:rsidR="008006DF" w:rsidRPr="008006DF" w14:paraId="48FBC10B" w14:textId="77777777" w:rsidTr="008006DF">
        <w:tc>
          <w:tcPr>
            <w:tcW w:w="2059" w:type="pct"/>
            <w:hideMark/>
          </w:tcPr>
          <w:p w14:paraId="136A8B27" w14:textId="640992B6" w:rsidR="008006DF" w:rsidRPr="008006DF" w:rsidRDefault="008006DF" w:rsidP="008006DF">
            <w:pPr>
              <w:spacing w:after="160"/>
            </w:pPr>
            <w:r w:rsidRPr="008006DF">
              <w:rPr>
                <w:b/>
                <w:bCs/>
              </w:rPr>
              <w:t xml:space="preserve">NPV </w:t>
            </w:r>
          </w:p>
        </w:tc>
        <w:tc>
          <w:tcPr>
            <w:tcW w:w="980" w:type="pct"/>
            <w:hideMark/>
          </w:tcPr>
          <w:p w14:paraId="796901F3" w14:textId="77777777" w:rsidR="008006DF" w:rsidRPr="008006DF" w:rsidRDefault="008006DF" w:rsidP="008006DF">
            <w:pPr>
              <w:spacing w:after="160"/>
            </w:pPr>
            <w:r w:rsidRPr="008006DF">
              <w:t>-8.68</w:t>
            </w:r>
          </w:p>
        </w:tc>
        <w:tc>
          <w:tcPr>
            <w:tcW w:w="980" w:type="pct"/>
            <w:hideMark/>
          </w:tcPr>
          <w:p w14:paraId="4C7CBC9D" w14:textId="77777777" w:rsidR="008006DF" w:rsidRPr="008006DF" w:rsidRDefault="008006DF" w:rsidP="008006DF">
            <w:pPr>
              <w:spacing w:after="160"/>
            </w:pPr>
            <w:r w:rsidRPr="008006DF">
              <w:t>-8.30</w:t>
            </w:r>
          </w:p>
        </w:tc>
        <w:tc>
          <w:tcPr>
            <w:tcW w:w="980" w:type="pct"/>
            <w:hideMark/>
          </w:tcPr>
          <w:p w14:paraId="685CBE41" w14:textId="77777777" w:rsidR="008006DF" w:rsidRPr="008006DF" w:rsidRDefault="008006DF" w:rsidP="008006DF">
            <w:pPr>
              <w:spacing w:after="160"/>
            </w:pPr>
            <w:r w:rsidRPr="008006DF">
              <w:t>-1.98</w:t>
            </w:r>
          </w:p>
        </w:tc>
      </w:tr>
    </w:tbl>
    <w:p w14:paraId="2D79125D" w14:textId="500EF150" w:rsidR="003A6306" w:rsidRDefault="00C73F5E" w:rsidP="00C73F5E">
      <w:pPr>
        <w:pStyle w:val="Caption"/>
      </w:pPr>
      <w:bookmarkStart w:id="69" w:name="_Toc227927289"/>
      <w:r>
        <w:t xml:space="preserve">Table </w:t>
      </w:r>
      <w:fldSimple w:instr=" SEQ Table \* ARABIC ">
        <w:r w:rsidR="007140A2">
          <w:rPr>
            <w:noProof/>
          </w:rPr>
          <w:t>5</w:t>
        </w:r>
      </w:fldSimple>
      <w:r>
        <w:t xml:space="preserve">: </w:t>
      </w:r>
      <w:r w:rsidRPr="00265C22">
        <w:t>Net Present Value (NPV)</w:t>
      </w:r>
      <w:bookmarkEnd w:id="69"/>
    </w:p>
    <w:p w14:paraId="6F99AFF8" w14:textId="77777777" w:rsidR="007069BF" w:rsidRPr="007069BF" w:rsidRDefault="007069BF" w:rsidP="007069BF"/>
    <w:p w14:paraId="25BF1A8F" w14:textId="77777777" w:rsidR="00A61755" w:rsidRPr="00A61755" w:rsidRDefault="00A61755" w:rsidP="00A61755">
      <w:pPr>
        <w:pStyle w:val="Heading2"/>
      </w:pPr>
      <w:bookmarkStart w:id="70" w:name="_Toc227939063"/>
      <w:r w:rsidRPr="00A61755">
        <w:lastRenderedPageBreak/>
        <w:t>4.4 Profitability Index (PI) Evaluation</w:t>
      </w:r>
      <w:bookmarkEnd w:id="70"/>
    </w:p>
    <w:p w14:paraId="0ACB9AA0" w14:textId="6FF2CF1E" w:rsidR="00AD2B37" w:rsidRDefault="00AC5D9D" w:rsidP="00F5672D">
      <w:r w:rsidRPr="00AC5D9D">
        <w:t>The profitability index (PI) is the ratio of all present values to the initial investment. Project A and Project B are both ranked 0.83, with Project C ranked 0.96, which shows Project C has a higher return on every dollar invested in the project (Khan et al., 2025; Purnamasari et al., 2024).</w:t>
      </w:r>
      <w:r>
        <w:t xml:space="preserve"> </w:t>
      </w:r>
      <w:r w:rsidR="009B5314" w:rsidRPr="009B5314">
        <w:t>The PI is below 1, which states that the net inflows of the project in terms of the present value is lower than the initial investment, which proves that all the projects are not financially viable according to strict financial guidelines. Nonetheless, the PI of Project C is relatively higher, and thus this project proves to be most efficient when compared to the others (Sekhar, 2026; Enyi et al., 2026).</w:t>
      </w:r>
    </w:p>
    <w:tbl>
      <w:tblPr>
        <w:tblStyle w:val="TableGrid"/>
        <w:tblW w:w="5000" w:type="pct"/>
        <w:tblLook w:val="04A0" w:firstRow="1" w:lastRow="0" w:firstColumn="1" w:lastColumn="0" w:noHBand="0" w:noVBand="1"/>
      </w:tblPr>
      <w:tblGrid>
        <w:gridCol w:w="4104"/>
        <w:gridCol w:w="1749"/>
        <w:gridCol w:w="1749"/>
        <w:gridCol w:w="1748"/>
      </w:tblGrid>
      <w:tr w:rsidR="00033E9F" w:rsidRPr="00033E9F" w14:paraId="14C2E3E6" w14:textId="77777777" w:rsidTr="00033E9F">
        <w:tc>
          <w:tcPr>
            <w:tcW w:w="2194" w:type="pct"/>
            <w:hideMark/>
          </w:tcPr>
          <w:p w14:paraId="114486EE" w14:textId="77777777" w:rsidR="00033E9F" w:rsidRPr="00033E9F" w:rsidRDefault="00033E9F" w:rsidP="00033E9F">
            <w:pPr>
              <w:spacing w:after="160"/>
              <w:rPr>
                <w:b/>
                <w:bCs/>
              </w:rPr>
            </w:pPr>
            <w:r w:rsidRPr="00033E9F">
              <w:rPr>
                <w:b/>
                <w:bCs/>
              </w:rPr>
              <w:t>Year/Project</w:t>
            </w:r>
          </w:p>
        </w:tc>
        <w:tc>
          <w:tcPr>
            <w:tcW w:w="935" w:type="pct"/>
            <w:hideMark/>
          </w:tcPr>
          <w:p w14:paraId="0CF91C6D" w14:textId="77777777" w:rsidR="00033E9F" w:rsidRPr="00033E9F" w:rsidRDefault="00033E9F" w:rsidP="00033E9F">
            <w:pPr>
              <w:spacing w:after="160"/>
              <w:rPr>
                <w:b/>
                <w:bCs/>
              </w:rPr>
            </w:pPr>
            <w:r w:rsidRPr="00033E9F">
              <w:rPr>
                <w:b/>
                <w:bCs/>
              </w:rPr>
              <w:t>A</w:t>
            </w:r>
          </w:p>
        </w:tc>
        <w:tc>
          <w:tcPr>
            <w:tcW w:w="935" w:type="pct"/>
            <w:hideMark/>
          </w:tcPr>
          <w:p w14:paraId="4BC42B68" w14:textId="77777777" w:rsidR="00033E9F" w:rsidRPr="00033E9F" w:rsidRDefault="00033E9F" w:rsidP="00033E9F">
            <w:pPr>
              <w:spacing w:after="160"/>
              <w:rPr>
                <w:b/>
                <w:bCs/>
              </w:rPr>
            </w:pPr>
            <w:r w:rsidRPr="00033E9F">
              <w:rPr>
                <w:b/>
                <w:bCs/>
              </w:rPr>
              <w:t>B</w:t>
            </w:r>
          </w:p>
        </w:tc>
        <w:tc>
          <w:tcPr>
            <w:tcW w:w="935" w:type="pct"/>
            <w:hideMark/>
          </w:tcPr>
          <w:p w14:paraId="3FC21C42" w14:textId="77777777" w:rsidR="00033E9F" w:rsidRPr="00033E9F" w:rsidRDefault="00033E9F" w:rsidP="00033E9F">
            <w:pPr>
              <w:spacing w:after="160"/>
              <w:rPr>
                <w:b/>
                <w:bCs/>
              </w:rPr>
            </w:pPr>
            <w:r w:rsidRPr="00033E9F">
              <w:rPr>
                <w:b/>
                <w:bCs/>
              </w:rPr>
              <w:t>C</w:t>
            </w:r>
          </w:p>
        </w:tc>
      </w:tr>
      <w:tr w:rsidR="00033E9F" w:rsidRPr="00033E9F" w14:paraId="5F0341E2" w14:textId="77777777" w:rsidTr="00033E9F">
        <w:tc>
          <w:tcPr>
            <w:tcW w:w="2194" w:type="pct"/>
            <w:hideMark/>
          </w:tcPr>
          <w:p w14:paraId="13ADB2D1" w14:textId="77777777" w:rsidR="00033E9F" w:rsidRPr="00033E9F" w:rsidRDefault="00033E9F" w:rsidP="00033E9F">
            <w:pPr>
              <w:spacing w:after="160"/>
            </w:pPr>
            <w:r w:rsidRPr="00033E9F">
              <w:rPr>
                <w:b/>
                <w:bCs/>
              </w:rPr>
              <w:t>PI</w:t>
            </w:r>
          </w:p>
        </w:tc>
        <w:tc>
          <w:tcPr>
            <w:tcW w:w="935" w:type="pct"/>
            <w:hideMark/>
          </w:tcPr>
          <w:p w14:paraId="09B1C19D" w14:textId="77777777" w:rsidR="00033E9F" w:rsidRPr="00033E9F" w:rsidRDefault="00033E9F" w:rsidP="00033E9F">
            <w:pPr>
              <w:spacing w:after="160"/>
            </w:pPr>
            <w:r w:rsidRPr="00033E9F">
              <w:t>0.83</w:t>
            </w:r>
          </w:p>
        </w:tc>
        <w:tc>
          <w:tcPr>
            <w:tcW w:w="935" w:type="pct"/>
            <w:hideMark/>
          </w:tcPr>
          <w:p w14:paraId="035D54AB" w14:textId="77777777" w:rsidR="00033E9F" w:rsidRPr="00033E9F" w:rsidRDefault="00033E9F" w:rsidP="00033E9F">
            <w:pPr>
              <w:spacing w:after="160"/>
            </w:pPr>
            <w:r w:rsidRPr="00033E9F">
              <w:t>0.83</w:t>
            </w:r>
          </w:p>
        </w:tc>
        <w:tc>
          <w:tcPr>
            <w:tcW w:w="935" w:type="pct"/>
            <w:hideMark/>
          </w:tcPr>
          <w:p w14:paraId="2E85D32D" w14:textId="77777777" w:rsidR="00033E9F" w:rsidRPr="00033E9F" w:rsidRDefault="00033E9F" w:rsidP="00033E9F">
            <w:pPr>
              <w:spacing w:after="160"/>
            </w:pPr>
            <w:r w:rsidRPr="00033E9F">
              <w:t>0.96</w:t>
            </w:r>
          </w:p>
        </w:tc>
      </w:tr>
    </w:tbl>
    <w:p w14:paraId="7C01BC86" w14:textId="5B5838F4" w:rsidR="003A6306" w:rsidRDefault="00812985" w:rsidP="00812985">
      <w:pPr>
        <w:pStyle w:val="Caption"/>
      </w:pPr>
      <w:bookmarkStart w:id="71" w:name="_Toc227927290"/>
      <w:r>
        <w:t xml:space="preserve">Table </w:t>
      </w:r>
      <w:fldSimple w:instr=" SEQ Table \* ARABIC ">
        <w:r w:rsidR="007140A2">
          <w:rPr>
            <w:noProof/>
          </w:rPr>
          <w:t>6</w:t>
        </w:r>
      </w:fldSimple>
      <w:r>
        <w:t xml:space="preserve">: </w:t>
      </w:r>
      <w:r w:rsidRPr="0060169D">
        <w:t>Profitability Index (PI)</w:t>
      </w:r>
      <w:bookmarkEnd w:id="71"/>
    </w:p>
    <w:p w14:paraId="33DF3AD4" w14:textId="77777777" w:rsidR="00A22F77" w:rsidRPr="00A22F77" w:rsidRDefault="00A22F77" w:rsidP="00A22F77"/>
    <w:p w14:paraId="547C6619" w14:textId="77777777" w:rsidR="00A61755" w:rsidRPr="00A61755" w:rsidRDefault="00A61755" w:rsidP="00A61755">
      <w:pPr>
        <w:pStyle w:val="Heading2"/>
      </w:pPr>
      <w:bookmarkStart w:id="72" w:name="_Toc227939064"/>
      <w:r w:rsidRPr="00A61755">
        <w:t>4.5 Internal Rate of Return (IRR) Comparison</w:t>
      </w:r>
      <w:bookmarkEnd w:id="72"/>
    </w:p>
    <w:p w14:paraId="49BBEBF9" w14:textId="579BC258" w:rsidR="00AD2B37" w:rsidRDefault="0041603F" w:rsidP="00F5672D">
      <w:r w:rsidRPr="0041603F">
        <w:t>The internal rate of return (IRR) is the discount rate which makes NPV zero. The IRR for Project A is 2.72%, Project B is 3.26%, and Project C is has the highest IRR of 8.59% - the best performer (Astuti et al., 2025; Nguyen et al., 2026).</w:t>
      </w:r>
      <w:r>
        <w:t xml:space="preserve"> </w:t>
      </w:r>
      <w:r w:rsidR="00AD4C97" w:rsidRPr="00AD4C97">
        <w:t>But the values of all the IRRs are lower than the minimum required discount of 10% and the indication is that none of the projects can produce the required minimum level of returns to the company. Even so, Project C proves to be the best alternative as it provides the greatest payoff of the three variants (Khan et al., 2025; Sekhar, 2026).</w:t>
      </w:r>
    </w:p>
    <w:tbl>
      <w:tblPr>
        <w:tblStyle w:val="TableGrid"/>
        <w:tblW w:w="5000" w:type="pct"/>
        <w:tblLook w:val="04A0" w:firstRow="1" w:lastRow="0" w:firstColumn="1" w:lastColumn="0" w:noHBand="0" w:noVBand="1"/>
      </w:tblPr>
      <w:tblGrid>
        <w:gridCol w:w="3492"/>
        <w:gridCol w:w="1953"/>
        <w:gridCol w:w="1953"/>
        <w:gridCol w:w="1952"/>
      </w:tblGrid>
      <w:tr w:rsidR="00033E9F" w:rsidRPr="00033E9F" w14:paraId="7D9A5347" w14:textId="77777777" w:rsidTr="00033E9F">
        <w:tc>
          <w:tcPr>
            <w:tcW w:w="1867" w:type="pct"/>
            <w:hideMark/>
          </w:tcPr>
          <w:p w14:paraId="532BC2E3" w14:textId="77777777" w:rsidR="00033E9F" w:rsidRPr="00033E9F" w:rsidRDefault="00033E9F" w:rsidP="00033E9F">
            <w:pPr>
              <w:spacing w:after="160"/>
              <w:rPr>
                <w:b/>
                <w:bCs/>
              </w:rPr>
            </w:pPr>
            <w:r w:rsidRPr="00033E9F">
              <w:rPr>
                <w:b/>
                <w:bCs/>
              </w:rPr>
              <w:t>Year/Project</w:t>
            </w:r>
          </w:p>
        </w:tc>
        <w:tc>
          <w:tcPr>
            <w:tcW w:w="1044" w:type="pct"/>
            <w:hideMark/>
          </w:tcPr>
          <w:p w14:paraId="50E051B6" w14:textId="77777777" w:rsidR="00033E9F" w:rsidRPr="00033E9F" w:rsidRDefault="00033E9F" w:rsidP="00033E9F">
            <w:pPr>
              <w:spacing w:after="160"/>
              <w:rPr>
                <w:b/>
                <w:bCs/>
              </w:rPr>
            </w:pPr>
            <w:r w:rsidRPr="00033E9F">
              <w:rPr>
                <w:b/>
                <w:bCs/>
              </w:rPr>
              <w:t>A</w:t>
            </w:r>
          </w:p>
        </w:tc>
        <w:tc>
          <w:tcPr>
            <w:tcW w:w="1044" w:type="pct"/>
            <w:hideMark/>
          </w:tcPr>
          <w:p w14:paraId="48AB8563" w14:textId="77777777" w:rsidR="00033E9F" w:rsidRPr="00033E9F" w:rsidRDefault="00033E9F" w:rsidP="00033E9F">
            <w:pPr>
              <w:spacing w:after="160"/>
              <w:rPr>
                <w:b/>
                <w:bCs/>
              </w:rPr>
            </w:pPr>
            <w:r w:rsidRPr="00033E9F">
              <w:rPr>
                <w:b/>
                <w:bCs/>
              </w:rPr>
              <w:t>B</w:t>
            </w:r>
          </w:p>
        </w:tc>
        <w:tc>
          <w:tcPr>
            <w:tcW w:w="1044" w:type="pct"/>
            <w:hideMark/>
          </w:tcPr>
          <w:p w14:paraId="772911BC" w14:textId="77777777" w:rsidR="00033E9F" w:rsidRPr="00033E9F" w:rsidRDefault="00033E9F" w:rsidP="00033E9F">
            <w:pPr>
              <w:spacing w:after="160"/>
              <w:rPr>
                <w:b/>
                <w:bCs/>
              </w:rPr>
            </w:pPr>
            <w:r w:rsidRPr="00033E9F">
              <w:rPr>
                <w:b/>
                <w:bCs/>
              </w:rPr>
              <w:t>C</w:t>
            </w:r>
          </w:p>
        </w:tc>
      </w:tr>
      <w:tr w:rsidR="00033E9F" w:rsidRPr="00033E9F" w14:paraId="5E252F36" w14:textId="77777777" w:rsidTr="00033E9F">
        <w:tc>
          <w:tcPr>
            <w:tcW w:w="1867" w:type="pct"/>
            <w:hideMark/>
          </w:tcPr>
          <w:p w14:paraId="2479BFE8" w14:textId="77777777" w:rsidR="00033E9F" w:rsidRPr="00033E9F" w:rsidRDefault="00033E9F" w:rsidP="00033E9F">
            <w:pPr>
              <w:spacing w:after="160"/>
            </w:pPr>
            <w:r w:rsidRPr="00033E9F">
              <w:rPr>
                <w:b/>
                <w:bCs/>
              </w:rPr>
              <w:t>IRR (%)</w:t>
            </w:r>
          </w:p>
        </w:tc>
        <w:tc>
          <w:tcPr>
            <w:tcW w:w="1044" w:type="pct"/>
            <w:hideMark/>
          </w:tcPr>
          <w:p w14:paraId="6DC3FD85" w14:textId="77777777" w:rsidR="00033E9F" w:rsidRPr="00033E9F" w:rsidRDefault="00033E9F" w:rsidP="00033E9F">
            <w:pPr>
              <w:spacing w:after="160"/>
            </w:pPr>
            <w:r w:rsidRPr="00033E9F">
              <w:t>2.72%</w:t>
            </w:r>
          </w:p>
        </w:tc>
        <w:tc>
          <w:tcPr>
            <w:tcW w:w="1044" w:type="pct"/>
            <w:hideMark/>
          </w:tcPr>
          <w:p w14:paraId="12E1DA25" w14:textId="77777777" w:rsidR="00033E9F" w:rsidRPr="00033E9F" w:rsidRDefault="00033E9F" w:rsidP="00033E9F">
            <w:pPr>
              <w:spacing w:after="160"/>
            </w:pPr>
            <w:r w:rsidRPr="00033E9F">
              <w:t>3.26%</w:t>
            </w:r>
          </w:p>
        </w:tc>
        <w:tc>
          <w:tcPr>
            <w:tcW w:w="1044" w:type="pct"/>
            <w:hideMark/>
          </w:tcPr>
          <w:p w14:paraId="7D7A769C" w14:textId="77777777" w:rsidR="00033E9F" w:rsidRPr="00033E9F" w:rsidRDefault="00033E9F" w:rsidP="00033E9F">
            <w:pPr>
              <w:spacing w:after="160"/>
            </w:pPr>
            <w:r w:rsidRPr="00033E9F">
              <w:t>8.59%</w:t>
            </w:r>
          </w:p>
        </w:tc>
      </w:tr>
    </w:tbl>
    <w:p w14:paraId="5253F034" w14:textId="3AEC19AA" w:rsidR="00BA19BA" w:rsidRDefault="006448D7" w:rsidP="006448D7">
      <w:pPr>
        <w:pStyle w:val="Caption"/>
      </w:pPr>
      <w:bookmarkStart w:id="73" w:name="_Toc227927291"/>
      <w:r>
        <w:t xml:space="preserve">Table </w:t>
      </w:r>
      <w:fldSimple w:instr=" SEQ Table \* ARABIC ">
        <w:r w:rsidR="007140A2">
          <w:rPr>
            <w:noProof/>
          </w:rPr>
          <w:t>7</w:t>
        </w:r>
      </w:fldSimple>
      <w:r>
        <w:t>:</w:t>
      </w:r>
      <w:r w:rsidR="00893A12">
        <w:t xml:space="preserve"> </w:t>
      </w:r>
      <w:r w:rsidRPr="00275D1F">
        <w:t>Internal Rate of Return (IRR)</w:t>
      </w:r>
      <w:bookmarkEnd w:id="73"/>
    </w:p>
    <w:p w14:paraId="12A1FE6F" w14:textId="77777777" w:rsidR="007069BF" w:rsidRPr="007069BF" w:rsidRDefault="007069BF" w:rsidP="007069BF"/>
    <w:p w14:paraId="1CC84992" w14:textId="77777777" w:rsidR="00A61755" w:rsidRPr="00A61755" w:rsidRDefault="00A61755" w:rsidP="00A61755">
      <w:pPr>
        <w:pStyle w:val="Heading2"/>
      </w:pPr>
      <w:bookmarkStart w:id="74" w:name="_Toc227939065"/>
      <w:r w:rsidRPr="00A61755">
        <w:lastRenderedPageBreak/>
        <w:t>4.6 Overall Evaluation of Individual Projects</w:t>
      </w:r>
      <w:bookmarkEnd w:id="74"/>
    </w:p>
    <w:p w14:paraId="58236E61" w14:textId="5159D90D" w:rsidR="00742DAF" w:rsidRDefault="001F78FF" w:rsidP="00D13430">
      <w:r w:rsidRPr="001F78FF">
        <w:t>The comparisons between the investment metrics in this study show that Project C is better compared to Project A and Project B across PBP, ARR, PI, and IRR measures, and has the least negative NPV (-£1.98 million) (Adesoye et al., 2021; Muslim et al., 2023). Projects A and B are comparable with slightly lower performance in all indicators.</w:t>
      </w:r>
      <w:r>
        <w:t xml:space="preserve"> </w:t>
      </w:r>
      <w:r w:rsidR="00FD748F" w:rsidRPr="00FD748F">
        <w:t>The projects are all infeasible in respect to the needed threshold in the returns but Project C stands out as the best choice in a constrained situation. Project C should then be preferred in terms of investment when it is mandatory, as the project will have a lower financial risk, and capital recovery is quicker (Khan et al., 2025; Purnamasari et al., 2024).</w:t>
      </w:r>
    </w:p>
    <w:tbl>
      <w:tblPr>
        <w:tblStyle w:val="TableGrid"/>
        <w:tblW w:w="5000" w:type="pct"/>
        <w:tblLook w:val="04A0" w:firstRow="1" w:lastRow="0" w:firstColumn="1" w:lastColumn="0" w:noHBand="0" w:noVBand="1"/>
      </w:tblPr>
      <w:tblGrid>
        <w:gridCol w:w="3451"/>
        <w:gridCol w:w="1967"/>
        <w:gridCol w:w="1967"/>
        <w:gridCol w:w="1965"/>
      </w:tblGrid>
      <w:tr w:rsidR="00742DAF" w:rsidRPr="005C0CAD" w14:paraId="160A11E4" w14:textId="77777777" w:rsidTr="003569D0">
        <w:tc>
          <w:tcPr>
            <w:tcW w:w="1845" w:type="pct"/>
            <w:hideMark/>
          </w:tcPr>
          <w:p w14:paraId="631745D7" w14:textId="77777777" w:rsidR="00742DAF" w:rsidRPr="005C0CAD" w:rsidRDefault="00742DAF" w:rsidP="003569D0">
            <w:pPr>
              <w:spacing w:after="160"/>
              <w:rPr>
                <w:b/>
                <w:bCs/>
              </w:rPr>
            </w:pPr>
            <w:r w:rsidRPr="005C0CAD">
              <w:rPr>
                <w:b/>
                <w:bCs/>
              </w:rPr>
              <w:t>Metric</w:t>
            </w:r>
          </w:p>
        </w:tc>
        <w:tc>
          <w:tcPr>
            <w:tcW w:w="1052" w:type="pct"/>
            <w:hideMark/>
          </w:tcPr>
          <w:p w14:paraId="0EDF21AD" w14:textId="77777777" w:rsidR="00742DAF" w:rsidRPr="005C0CAD" w:rsidRDefault="00742DAF" w:rsidP="003569D0">
            <w:pPr>
              <w:spacing w:after="160"/>
              <w:rPr>
                <w:b/>
                <w:bCs/>
              </w:rPr>
            </w:pPr>
            <w:r w:rsidRPr="005C0CAD">
              <w:rPr>
                <w:b/>
                <w:bCs/>
              </w:rPr>
              <w:t>A</w:t>
            </w:r>
          </w:p>
        </w:tc>
        <w:tc>
          <w:tcPr>
            <w:tcW w:w="1052" w:type="pct"/>
            <w:hideMark/>
          </w:tcPr>
          <w:p w14:paraId="211BA02C" w14:textId="77777777" w:rsidR="00742DAF" w:rsidRPr="005C0CAD" w:rsidRDefault="00742DAF" w:rsidP="003569D0">
            <w:pPr>
              <w:spacing w:after="160"/>
              <w:rPr>
                <w:b/>
                <w:bCs/>
              </w:rPr>
            </w:pPr>
            <w:r w:rsidRPr="005C0CAD">
              <w:rPr>
                <w:b/>
                <w:bCs/>
              </w:rPr>
              <w:t>B</w:t>
            </w:r>
          </w:p>
        </w:tc>
        <w:tc>
          <w:tcPr>
            <w:tcW w:w="1052" w:type="pct"/>
            <w:hideMark/>
          </w:tcPr>
          <w:p w14:paraId="3BDC85E9" w14:textId="77777777" w:rsidR="00742DAF" w:rsidRPr="005C0CAD" w:rsidRDefault="00742DAF" w:rsidP="003569D0">
            <w:pPr>
              <w:spacing w:after="160"/>
              <w:rPr>
                <w:b/>
                <w:bCs/>
              </w:rPr>
            </w:pPr>
            <w:r w:rsidRPr="005C0CAD">
              <w:rPr>
                <w:b/>
                <w:bCs/>
              </w:rPr>
              <w:t>C</w:t>
            </w:r>
          </w:p>
        </w:tc>
      </w:tr>
      <w:tr w:rsidR="00742DAF" w:rsidRPr="005C0CAD" w14:paraId="2F945D4B" w14:textId="77777777" w:rsidTr="003569D0">
        <w:tc>
          <w:tcPr>
            <w:tcW w:w="1845" w:type="pct"/>
            <w:hideMark/>
          </w:tcPr>
          <w:p w14:paraId="1B5D0DEE" w14:textId="77777777" w:rsidR="00742DAF" w:rsidRPr="005C0CAD" w:rsidRDefault="00742DAF" w:rsidP="003569D0">
            <w:pPr>
              <w:spacing w:after="160"/>
            </w:pPr>
            <w:r w:rsidRPr="005C0CAD">
              <w:rPr>
                <w:b/>
                <w:bCs/>
              </w:rPr>
              <w:t>PBP (Years)</w:t>
            </w:r>
          </w:p>
        </w:tc>
        <w:tc>
          <w:tcPr>
            <w:tcW w:w="1052" w:type="pct"/>
            <w:hideMark/>
          </w:tcPr>
          <w:p w14:paraId="5BEC1C7B" w14:textId="77777777" w:rsidR="00742DAF" w:rsidRPr="005C0CAD" w:rsidRDefault="00742DAF" w:rsidP="003569D0">
            <w:pPr>
              <w:spacing w:after="160"/>
            </w:pPr>
            <w:r w:rsidRPr="005C0CAD">
              <w:t>4.50</w:t>
            </w:r>
          </w:p>
        </w:tc>
        <w:tc>
          <w:tcPr>
            <w:tcW w:w="1052" w:type="pct"/>
            <w:hideMark/>
          </w:tcPr>
          <w:p w14:paraId="0C0D7D4B" w14:textId="77777777" w:rsidR="00742DAF" w:rsidRPr="005C0CAD" w:rsidRDefault="00742DAF" w:rsidP="003569D0">
            <w:pPr>
              <w:spacing w:after="160"/>
            </w:pPr>
            <w:r w:rsidRPr="005C0CAD">
              <w:t>4.55</w:t>
            </w:r>
          </w:p>
        </w:tc>
        <w:tc>
          <w:tcPr>
            <w:tcW w:w="1052" w:type="pct"/>
            <w:hideMark/>
          </w:tcPr>
          <w:p w14:paraId="7C8C5B38" w14:textId="77777777" w:rsidR="00742DAF" w:rsidRPr="005C0CAD" w:rsidRDefault="00742DAF" w:rsidP="003569D0">
            <w:pPr>
              <w:spacing w:after="160"/>
            </w:pPr>
            <w:r w:rsidRPr="005C0CAD">
              <w:t>3.60</w:t>
            </w:r>
          </w:p>
        </w:tc>
      </w:tr>
      <w:tr w:rsidR="00742DAF" w:rsidRPr="005C0CAD" w14:paraId="126BCD24" w14:textId="77777777" w:rsidTr="003569D0">
        <w:tc>
          <w:tcPr>
            <w:tcW w:w="1845" w:type="pct"/>
            <w:hideMark/>
          </w:tcPr>
          <w:p w14:paraId="69CBDA17" w14:textId="77777777" w:rsidR="00742DAF" w:rsidRPr="005C0CAD" w:rsidRDefault="00742DAF" w:rsidP="003569D0">
            <w:pPr>
              <w:spacing w:after="160"/>
            </w:pPr>
            <w:r w:rsidRPr="005C0CAD">
              <w:rPr>
                <w:b/>
                <w:bCs/>
              </w:rPr>
              <w:t>ARR (%)</w:t>
            </w:r>
          </w:p>
        </w:tc>
        <w:tc>
          <w:tcPr>
            <w:tcW w:w="1052" w:type="pct"/>
            <w:hideMark/>
          </w:tcPr>
          <w:p w14:paraId="4C7A8802" w14:textId="77777777" w:rsidR="00742DAF" w:rsidRPr="005C0CAD" w:rsidRDefault="00742DAF" w:rsidP="003569D0">
            <w:pPr>
              <w:spacing w:after="160"/>
            </w:pPr>
            <w:r w:rsidRPr="005C0CAD">
              <w:t>1.60%</w:t>
            </w:r>
          </w:p>
        </w:tc>
        <w:tc>
          <w:tcPr>
            <w:tcW w:w="1052" w:type="pct"/>
            <w:hideMark/>
          </w:tcPr>
          <w:p w14:paraId="13C0A4E6" w14:textId="77777777" w:rsidR="00742DAF" w:rsidRPr="005C0CAD" w:rsidRDefault="00742DAF" w:rsidP="003569D0">
            <w:pPr>
              <w:spacing w:after="160"/>
            </w:pPr>
            <w:r w:rsidRPr="005C0CAD">
              <w:t>2.00%</w:t>
            </w:r>
          </w:p>
        </w:tc>
        <w:tc>
          <w:tcPr>
            <w:tcW w:w="1052" w:type="pct"/>
            <w:hideMark/>
          </w:tcPr>
          <w:p w14:paraId="6082BBCF" w14:textId="77777777" w:rsidR="00742DAF" w:rsidRPr="005C0CAD" w:rsidRDefault="00742DAF" w:rsidP="003569D0">
            <w:pPr>
              <w:spacing w:after="160"/>
            </w:pPr>
            <w:r w:rsidRPr="005C0CAD">
              <w:t>6.00%</w:t>
            </w:r>
          </w:p>
        </w:tc>
      </w:tr>
      <w:tr w:rsidR="00742DAF" w:rsidRPr="005C0CAD" w14:paraId="4679E963" w14:textId="77777777" w:rsidTr="003569D0">
        <w:tc>
          <w:tcPr>
            <w:tcW w:w="1845" w:type="pct"/>
            <w:hideMark/>
          </w:tcPr>
          <w:p w14:paraId="4CA9A8DB" w14:textId="77777777" w:rsidR="00742DAF" w:rsidRPr="005C0CAD" w:rsidRDefault="00742DAF" w:rsidP="003569D0">
            <w:pPr>
              <w:spacing w:after="160"/>
            </w:pPr>
            <w:r w:rsidRPr="005C0CAD">
              <w:rPr>
                <w:b/>
                <w:bCs/>
              </w:rPr>
              <w:t>NPV (£m)</w:t>
            </w:r>
          </w:p>
        </w:tc>
        <w:tc>
          <w:tcPr>
            <w:tcW w:w="1052" w:type="pct"/>
            <w:hideMark/>
          </w:tcPr>
          <w:p w14:paraId="23BFBE0A" w14:textId="77777777" w:rsidR="00742DAF" w:rsidRPr="005C0CAD" w:rsidRDefault="00742DAF" w:rsidP="003569D0">
            <w:pPr>
              <w:spacing w:after="160"/>
            </w:pPr>
            <w:r w:rsidRPr="005C0CAD">
              <w:t>-8.68</w:t>
            </w:r>
          </w:p>
        </w:tc>
        <w:tc>
          <w:tcPr>
            <w:tcW w:w="1052" w:type="pct"/>
            <w:hideMark/>
          </w:tcPr>
          <w:p w14:paraId="0DEA4F5E" w14:textId="77777777" w:rsidR="00742DAF" w:rsidRPr="005C0CAD" w:rsidRDefault="00742DAF" w:rsidP="003569D0">
            <w:pPr>
              <w:spacing w:after="160"/>
            </w:pPr>
            <w:r w:rsidRPr="005C0CAD">
              <w:t>-8.30</w:t>
            </w:r>
          </w:p>
        </w:tc>
        <w:tc>
          <w:tcPr>
            <w:tcW w:w="1052" w:type="pct"/>
            <w:hideMark/>
          </w:tcPr>
          <w:p w14:paraId="70F3726E" w14:textId="77777777" w:rsidR="00742DAF" w:rsidRPr="005C0CAD" w:rsidRDefault="00742DAF" w:rsidP="003569D0">
            <w:pPr>
              <w:spacing w:after="160"/>
            </w:pPr>
            <w:r w:rsidRPr="005C0CAD">
              <w:t>-1.98</w:t>
            </w:r>
          </w:p>
        </w:tc>
      </w:tr>
      <w:tr w:rsidR="00742DAF" w:rsidRPr="005C0CAD" w14:paraId="7237CD9A" w14:textId="77777777" w:rsidTr="003569D0">
        <w:tc>
          <w:tcPr>
            <w:tcW w:w="1845" w:type="pct"/>
            <w:hideMark/>
          </w:tcPr>
          <w:p w14:paraId="4DFB4585" w14:textId="77777777" w:rsidR="00742DAF" w:rsidRPr="005C0CAD" w:rsidRDefault="00742DAF" w:rsidP="003569D0">
            <w:pPr>
              <w:spacing w:after="160"/>
            </w:pPr>
            <w:r w:rsidRPr="005C0CAD">
              <w:rPr>
                <w:b/>
                <w:bCs/>
              </w:rPr>
              <w:t>PI</w:t>
            </w:r>
          </w:p>
        </w:tc>
        <w:tc>
          <w:tcPr>
            <w:tcW w:w="1052" w:type="pct"/>
            <w:hideMark/>
          </w:tcPr>
          <w:p w14:paraId="3BA6CEE4" w14:textId="77777777" w:rsidR="00742DAF" w:rsidRPr="005C0CAD" w:rsidRDefault="00742DAF" w:rsidP="003569D0">
            <w:pPr>
              <w:spacing w:after="160"/>
            </w:pPr>
            <w:r w:rsidRPr="005C0CAD">
              <w:t>0.83</w:t>
            </w:r>
          </w:p>
        </w:tc>
        <w:tc>
          <w:tcPr>
            <w:tcW w:w="1052" w:type="pct"/>
            <w:hideMark/>
          </w:tcPr>
          <w:p w14:paraId="095BD6ED" w14:textId="77777777" w:rsidR="00742DAF" w:rsidRPr="005C0CAD" w:rsidRDefault="00742DAF" w:rsidP="003569D0">
            <w:pPr>
              <w:spacing w:after="160"/>
            </w:pPr>
            <w:r w:rsidRPr="005C0CAD">
              <w:t>0.83</w:t>
            </w:r>
          </w:p>
        </w:tc>
        <w:tc>
          <w:tcPr>
            <w:tcW w:w="1052" w:type="pct"/>
            <w:hideMark/>
          </w:tcPr>
          <w:p w14:paraId="2350EA43" w14:textId="77777777" w:rsidR="00742DAF" w:rsidRPr="005C0CAD" w:rsidRDefault="00742DAF" w:rsidP="003569D0">
            <w:pPr>
              <w:spacing w:after="160"/>
            </w:pPr>
            <w:r w:rsidRPr="005C0CAD">
              <w:t>0.96</w:t>
            </w:r>
          </w:p>
        </w:tc>
      </w:tr>
      <w:tr w:rsidR="00742DAF" w:rsidRPr="005C0CAD" w14:paraId="0CFCBCB0" w14:textId="77777777" w:rsidTr="003569D0">
        <w:tc>
          <w:tcPr>
            <w:tcW w:w="1845" w:type="pct"/>
            <w:hideMark/>
          </w:tcPr>
          <w:p w14:paraId="61D76ECD" w14:textId="77777777" w:rsidR="00742DAF" w:rsidRPr="005C0CAD" w:rsidRDefault="00742DAF" w:rsidP="003569D0">
            <w:pPr>
              <w:spacing w:after="160"/>
            </w:pPr>
            <w:r w:rsidRPr="005C0CAD">
              <w:rPr>
                <w:b/>
                <w:bCs/>
              </w:rPr>
              <w:t>IRR (%)</w:t>
            </w:r>
          </w:p>
        </w:tc>
        <w:tc>
          <w:tcPr>
            <w:tcW w:w="1052" w:type="pct"/>
            <w:hideMark/>
          </w:tcPr>
          <w:p w14:paraId="20C29101" w14:textId="77777777" w:rsidR="00742DAF" w:rsidRPr="005C0CAD" w:rsidRDefault="00742DAF" w:rsidP="003569D0">
            <w:pPr>
              <w:spacing w:after="160"/>
            </w:pPr>
            <w:r w:rsidRPr="005C0CAD">
              <w:t>2.72%</w:t>
            </w:r>
          </w:p>
        </w:tc>
        <w:tc>
          <w:tcPr>
            <w:tcW w:w="1052" w:type="pct"/>
            <w:hideMark/>
          </w:tcPr>
          <w:p w14:paraId="6341A7BB" w14:textId="77777777" w:rsidR="00742DAF" w:rsidRPr="005C0CAD" w:rsidRDefault="00742DAF" w:rsidP="003569D0">
            <w:pPr>
              <w:spacing w:after="160"/>
            </w:pPr>
            <w:r w:rsidRPr="005C0CAD">
              <w:t>3.26%</w:t>
            </w:r>
          </w:p>
        </w:tc>
        <w:tc>
          <w:tcPr>
            <w:tcW w:w="1052" w:type="pct"/>
            <w:hideMark/>
          </w:tcPr>
          <w:p w14:paraId="68CC9F00" w14:textId="77777777" w:rsidR="00742DAF" w:rsidRPr="005C0CAD" w:rsidRDefault="00742DAF" w:rsidP="003569D0">
            <w:pPr>
              <w:spacing w:after="160"/>
            </w:pPr>
            <w:r w:rsidRPr="005C0CAD">
              <w:t>8.59%</w:t>
            </w:r>
          </w:p>
        </w:tc>
      </w:tr>
    </w:tbl>
    <w:p w14:paraId="0047F1E3" w14:textId="06F071D3" w:rsidR="00742DAF" w:rsidRPr="00742DAF" w:rsidRDefault="00742DAF" w:rsidP="00742DAF">
      <w:pPr>
        <w:pStyle w:val="Caption"/>
      </w:pPr>
      <w:bookmarkStart w:id="75" w:name="_Toc227927292"/>
      <w:r>
        <w:t xml:space="preserve">Table </w:t>
      </w:r>
      <w:fldSimple w:instr=" SEQ Table \* ARABIC ">
        <w:r w:rsidR="007140A2">
          <w:rPr>
            <w:noProof/>
          </w:rPr>
          <w:t>8</w:t>
        </w:r>
      </w:fldSimple>
      <w:r>
        <w:t xml:space="preserve">: </w:t>
      </w:r>
      <w:r w:rsidRPr="00CB3484">
        <w:t>Evaluation of Projects</w:t>
      </w:r>
      <w:bookmarkEnd w:id="75"/>
    </w:p>
    <w:p w14:paraId="52B9434C" w14:textId="4DC9F8C0" w:rsidR="00742DAF" w:rsidRDefault="00742DAF" w:rsidP="00742DAF"/>
    <w:p w14:paraId="4072EA2D" w14:textId="77777777" w:rsidR="00A61755" w:rsidRPr="00A61755" w:rsidRDefault="00A61755" w:rsidP="00A61755">
      <w:pPr>
        <w:pStyle w:val="Heading2"/>
      </w:pPr>
      <w:bookmarkStart w:id="76" w:name="_Toc227939066"/>
      <w:r w:rsidRPr="00A61755">
        <w:t>4.7 Recommendation Based on Financial and Non-Financial Factors</w:t>
      </w:r>
      <w:bookmarkEnd w:id="76"/>
    </w:p>
    <w:p w14:paraId="138E9804" w14:textId="1BE54FC7" w:rsidR="00A61755" w:rsidRPr="00A61755" w:rsidRDefault="009377C1" w:rsidP="00A61755">
      <w:r w:rsidRPr="009377C1">
        <w:t>In terms of financial aspects, Hyundai's profitability improvement, represented by an increasing net profit margin from 1.85% in 2020 to 7.55% in 2024, justifies its ability to make strategic investments (Astuti et al., 2025; Nguyen et al., 2026).</w:t>
      </w:r>
      <w:r>
        <w:t xml:space="preserve"> </w:t>
      </w:r>
      <w:r w:rsidR="0091400D" w:rsidRPr="0091400D">
        <w:t>Nevertheless, the liquidity issues, which the fluctuating operating cash flows of (-1,176,416) in 2021 and (10,627,311) in 2022 demonstrate, indicate that caution should be taken when it comes to making decisions on capital allocation. Project C, which has a shorter payback period and demonstrates more advantageous returns, is closer to the finances of Hyundai and its risk tolerance (Seretidou et al., 2023; Petriashvili, 2018).</w:t>
      </w:r>
    </w:p>
    <w:p w14:paraId="606A98DC" w14:textId="7E22194E" w:rsidR="00A61755" w:rsidRPr="00A61755" w:rsidRDefault="001D082E" w:rsidP="00A61755">
      <w:r w:rsidRPr="001D082E">
        <w:lastRenderedPageBreak/>
        <w:t>There are also non-financial risks. Political and regulatory challenges and technological risks associated with the EV market can affect project delivery. Brand loyalty and market positioning is crucial, especially in a global market (Han et al., 2026; Sunanda et al., 2026).</w:t>
      </w:r>
      <w:r>
        <w:t xml:space="preserve"> </w:t>
      </w:r>
      <w:r w:rsidR="00261F1F" w:rsidRPr="00261F1F">
        <w:t>The cash flow trend of project C, an increase in returns later in the years, could be subjected to long term market risks, yet the project is aiming towards outward-looking, a core aspect of the Hyundai business model.</w:t>
      </w:r>
    </w:p>
    <w:p w14:paraId="6C679B40" w14:textId="77777777" w:rsidR="00A61755" w:rsidRPr="00742DAF" w:rsidRDefault="00A61755" w:rsidP="00742DAF"/>
    <w:p w14:paraId="7A7FF6FA" w14:textId="77777777" w:rsidR="00A61755" w:rsidRPr="00A61755" w:rsidRDefault="00A61755" w:rsidP="00A61755">
      <w:pPr>
        <w:pStyle w:val="Heading2"/>
      </w:pPr>
      <w:bookmarkStart w:id="77" w:name="_Toc227939067"/>
      <w:r w:rsidRPr="00A61755">
        <w:t>4.8 Capital Rationing and Project Combination Analysis</w:t>
      </w:r>
      <w:bookmarkEnd w:id="77"/>
    </w:p>
    <w:p w14:paraId="1A32C84A" w14:textId="183D8D10" w:rsidR="00A61755" w:rsidRPr="00A61755" w:rsidRDefault="008C0787" w:rsidP="00A61755">
      <w:r w:rsidRPr="008C0787">
        <w:t>Hyundai has an investment budget of £100 million, allowing choices of two projects. The possible combinations include A + B, A + C, and B + C, with total NPVs of -£16.98 million, -£10.66 million, and -£10.28 million, respectively (Khan et al., 2025; Purnamasari et al., 2024).</w:t>
      </w:r>
      <w:r>
        <w:t xml:space="preserve"> </w:t>
      </w:r>
      <w:r w:rsidR="00597716" w:rsidRPr="00597716">
        <w:t>Of all these combinations, the combination of B + C gives the lowest negative NPV (-£10.28 million), which makes it the best option in terms of capital restrictions.</w:t>
      </w:r>
    </w:p>
    <w:p w14:paraId="16A5E8FA" w14:textId="29A84C37" w:rsidR="00742DAF" w:rsidRPr="00742DAF" w:rsidRDefault="004E011D" w:rsidP="00D13430">
      <w:r w:rsidRPr="004E011D">
        <w:t>Combining Projects B and C, risk is reduced and value maximised via the combination of the cash flows of Project B and the higher returns of Project C. While the NPV is still negative, it's the least negative option.</w:t>
      </w:r>
      <w:r>
        <w:t xml:space="preserve"> </w:t>
      </w:r>
      <w:r w:rsidR="00100FDA" w:rsidRPr="00100FDA">
        <w:t>The capital rationing decision must be able to maximise the overall NPV given a budget constraint to be efficient in allocating limited resources (Sekhar, 2026; Enyi et al., 2026).</w:t>
      </w:r>
    </w:p>
    <w:tbl>
      <w:tblPr>
        <w:tblStyle w:val="TableGrid"/>
        <w:tblW w:w="5000" w:type="pct"/>
        <w:tblLook w:val="04A0" w:firstRow="1" w:lastRow="0" w:firstColumn="1" w:lastColumn="0" w:noHBand="0" w:noVBand="1"/>
      </w:tblPr>
      <w:tblGrid>
        <w:gridCol w:w="4106"/>
        <w:gridCol w:w="1748"/>
        <w:gridCol w:w="1748"/>
        <w:gridCol w:w="1748"/>
      </w:tblGrid>
      <w:tr w:rsidR="002013B9" w:rsidRPr="002013B9" w14:paraId="5C632F45" w14:textId="77777777" w:rsidTr="002013B9">
        <w:tc>
          <w:tcPr>
            <w:tcW w:w="2195" w:type="pct"/>
            <w:hideMark/>
          </w:tcPr>
          <w:p w14:paraId="50C903D2" w14:textId="77777777" w:rsidR="002013B9" w:rsidRPr="002013B9" w:rsidRDefault="002013B9" w:rsidP="002013B9">
            <w:pPr>
              <w:spacing w:after="160"/>
              <w:rPr>
                <w:b/>
                <w:bCs/>
              </w:rPr>
            </w:pPr>
            <w:r w:rsidRPr="002013B9">
              <w:rPr>
                <w:b/>
                <w:bCs/>
              </w:rPr>
              <w:t>Metric</w:t>
            </w:r>
          </w:p>
        </w:tc>
        <w:tc>
          <w:tcPr>
            <w:tcW w:w="935" w:type="pct"/>
            <w:hideMark/>
          </w:tcPr>
          <w:p w14:paraId="4AA47A23" w14:textId="77777777" w:rsidR="002013B9" w:rsidRPr="002013B9" w:rsidRDefault="002013B9" w:rsidP="002013B9">
            <w:pPr>
              <w:spacing w:after="160"/>
              <w:rPr>
                <w:b/>
                <w:bCs/>
              </w:rPr>
            </w:pPr>
            <w:r w:rsidRPr="002013B9">
              <w:rPr>
                <w:b/>
                <w:bCs/>
              </w:rPr>
              <w:t>A + B</w:t>
            </w:r>
          </w:p>
        </w:tc>
        <w:tc>
          <w:tcPr>
            <w:tcW w:w="935" w:type="pct"/>
            <w:hideMark/>
          </w:tcPr>
          <w:p w14:paraId="22EE6B4E" w14:textId="77777777" w:rsidR="002013B9" w:rsidRPr="002013B9" w:rsidRDefault="002013B9" w:rsidP="002013B9">
            <w:pPr>
              <w:spacing w:after="160"/>
              <w:rPr>
                <w:b/>
                <w:bCs/>
              </w:rPr>
            </w:pPr>
            <w:r w:rsidRPr="002013B9">
              <w:rPr>
                <w:b/>
                <w:bCs/>
              </w:rPr>
              <w:t>A + C</w:t>
            </w:r>
          </w:p>
        </w:tc>
        <w:tc>
          <w:tcPr>
            <w:tcW w:w="935" w:type="pct"/>
            <w:hideMark/>
          </w:tcPr>
          <w:p w14:paraId="2F9759F7" w14:textId="77777777" w:rsidR="002013B9" w:rsidRPr="002013B9" w:rsidRDefault="002013B9" w:rsidP="002013B9">
            <w:pPr>
              <w:spacing w:after="160"/>
              <w:rPr>
                <w:b/>
                <w:bCs/>
              </w:rPr>
            </w:pPr>
            <w:r w:rsidRPr="002013B9">
              <w:rPr>
                <w:b/>
                <w:bCs/>
              </w:rPr>
              <w:t>B + C</w:t>
            </w:r>
          </w:p>
        </w:tc>
      </w:tr>
      <w:tr w:rsidR="002013B9" w:rsidRPr="002013B9" w14:paraId="3DFD7E49" w14:textId="77777777" w:rsidTr="002013B9">
        <w:tc>
          <w:tcPr>
            <w:tcW w:w="2195" w:type="pct"/>
            <w:hideMark/>
          </w:tcPr>
          <w:p w14:paraId="64196266" w14:textId="77777777" w:rsidR="002013B9" w:rsidRPr="002013B9" w:rsidRDefault="002013B9" w:rsidP="002013B9">
            <w:pPr>
              <w:spacing w:after="160"/>
            </w:pPr>
            <w:r w:rsidRPr="002013B9">
              <w:rPr>
                <w:b/>
                <w:bCs/>
              </w:rPr>
              <w:t>Total Investment</w:t>
            </w:r>
          </w:p>
        </w:tc>
        <w:tc>
          <w:tcPr>
            <w:tcW w:w="935" w:type="pct"/>
            <w:hideMark/>
          </w:tcPr>
          <w:p w14:paraId="3CE0D851" w14:textId="77777777" w:rsidR="002013B9" w:rsidRPr="002013B9" w:rsidRDefault="002013B9" w:rsidP="002013B9">
            <w:pPr>
              <w:spacing w:after="160"/>
            </w:pPr>
            <w:r w:rsidRPr="002013B9">
              <w:t>100</w:t>
            </w:r>
          </w:p>
        </w:tc>
        <w:tc>
          <w:tcPr>
            <w:tcW w:w="935" w:type="pct"/>
            <w:hideMark/>
          </w:tcPr>
          <w:p w14:paraId="18D77F88" w14:textId="77777777" w:rsidR="002013B9" w:rsidRPr="002013B9" w:rsidRDefault="002013B9" w:rsidP="002013B9">
            <w:pPr>
              <w:spacing w:after="160"/>
            </w:pPr>
            <w:r w:rsidRPr="002013B9">
              <w:t>100</w:t>
            </w:r>
          </w:p>
        </w:tc>
        <w:tc>
          <w:tcPr>
            <w:tcW w:w="935" w:type="pct"/>
            <w:hideMark/>
          </w:tcPr>
          <w:p w14:paraId="1E4451A9" w14:textId="77777777" w:rsidR="002013B9" w:rsidRPr="002013B9" w:rsidRDefault="002013B9" w:rsidP="002013B9">
            <w:pPr>
              <w:spacing w:after="160"/>
            </w:pPr>
            <w:r w:rsidRPr="002013B9">
              <w:t>100</w:t>
            </w:r>
          </w:p>
        </w:tc>
      </w:tr>
      <w:tr w:rsidR="002013B9" w:rsidRPr="002013B9" w14:paraId="12305274" w14:textId="77777777" w:rsidTr="002013B9">
        <w:tc>
          <w:tcPr>
            <w:tcW w:w="2195" w:type="pct"/>
            <w:hideMark/>
          </w:tcPr>
          <w:p w14:paraId="40E291B5" w14:textId="77777777" w:rsidR="002013B9" w:rsidRPr="002013B9" w:rsidRDefault="002013B9" w:rsidP="002013B9">
            <w:pPr>
              <w:spacing w:after="160"/>
            </w:pPr>
            <w:r w:rsidRPr="002013B9">
              <w:rPr>
                <w:b/>
                <w:bCs/>
              </w:rPr>
              <w:t>Total NPV</w:t>
            </w:r>
          </w:p>
        </w:tc>
        <w:tc>
          <w:tcPr>
            <w:tcW w:w="935" w:type="pct"/>
            <w:hideMark/>
          </w:tcPr>
          <w:p w14:paraId="4EFCA8C4" w14:textId="77777777" w:rsidR="002013B9" w:rsidRPr="002013B9" w:rsidRDefault="002013B9" w:rsidP="002013B9">
            <w:pPr>
              <w:spacing w:after="160"/>
            </w:pPr>
            <w:r w:rsidRPr="002013B9">
              <w:t>-16.98</w:t>
            </w:r>
          </w:p>
        </w:tc>
        <w:tc>
          <w:tcPr>
            <w:tcW w:w="935" w:type="pct"/>
            <w:hideMark/>
          </w:tcPr>
          <w:p w14:paraId="4DE34324" w14:textId="77777777" w:rsidR="002013B9" w:rsidRPr="002013B9" w:rsidRDefault="002013B9" w:rsidP="002013B9">
            <w:pPr>
              <w:spacing w:after="160"/>
            </w:pPr>
            <w:r w:rsidRPr="002013B9">
              <w:t>-10.66</w:t>
            </w:r>
          </w:p>
        </w:tc>
        <w:tc>
          <w:tcPr>
            <w:tcW w:w="935" w:type="pct"/>
            <w:hideMark/>
          </w:tcPr>
          <w:p w14:paraId="2293910D" w14:textId="77777777" w:rsidR="002013B9" w:rsidRPr="002013B9" w:rsidRDefault="002013B9" w:rsidP="002013B9">
            <w:pPr>
              <w:spacing w:after="160"/>
            </w:pPr>
            <w:r w:rsidRPr="002013B9">
              <w:t>-10.28</w:t>
            </w:r>
          </w:p>
        </w:tc>
      </w:tr>
    </w:tbl>
    <w:p w14:paraId="19BD667E" w14:textId="40EF7C08" w:rsidR="003874E4" w:rsidRDefault="00C8436E" w:rsidP="00C8436E">
      <w:pPr>
        <w:pStyle w:val="Caption"/>
      </w:pPr>
      <w:bookmarkStart w:id="78" w:name="_Toc227927293"/>
      <w:r>
        <w:t xml:space="preserve">Table </w:t>
      </w:r>
      <w:fldSimple w:instr=" SEQ Table \* ARABIC ">
        <w:r w:rsidR="007140A2">
          <w:rPr>
            <w:noProof/>
          </w:rPr>
          <w:t>9</w:t>
        </w:r>
      </w:fldSimple>
      <w:r>
        <w:t xml:space="preserve">: </w:t>
      </w:r>
      <w:r w:rsidRPr="00405EA7">
        <w:t>Possible Project Combinations</w:t>
      </w:r>
      <w:bookmarkEnd w:id="78"/>
    </w:p>
    <w:p w14:paraId="19CEAC2D" w14:textId="509DE5EE" w:rsidR="00AD2B37" w:rsidRDefault="00AD2B37" w:rsidP="0046360E"/>
    <w:p w14:paraId="0BEC5E23" w14:textId="77777777" w:rsidR="00A61755" w:rsidRPr="00A61755" w:rsidRDefault="00A61755" w:rsidP="00A61755">
      <w:pPr>
        <w:pStyle w:val="Heading2"/>
      </w:pPr>
      <w:bookmarkStart w:id="79" w:name="_Toc227939068"/>
      <w:r w:rsidRPr="00A61755">
        <w:t>4.9 Final Recommendation under Capital Constraints</w:t>
      </w:r>
      <w:bookmarkEnd w:id="79"/>
    </w:p>
    <w:p w14:paraId="05E427C8" w14:textId="075E8DD4" w:rsidR="00A61755" w:rsidRPr="00A61755" w:rsidRDefault="00BF2C46" w:rsidP="00A61755">
      <w:r w:rsidRPr="00BF2C46">
        <w:t xml:space="preserve">In terms of both the performance and portfolio of projects, Project C alone is recommended as an investment, as it outperforms the others on several metrics. When facing capital rationing, investing in B + C is the best option since the total NPV is greater </w:t>
      </w:r>
      <w:r w:rsidRPr="00BF2C46">
        <w:lastRenderedPageBreak/>
        <w:t>than for other options (Adesoye et al., 2021; Muslim et al., 2023). This approach resonates with Hyundai, given its financial circumstances, and addresses issues of profitability, risk, and liquidity.</w:t>
      </w:r>
    </w:p>
    <w:p w14:paraId="448E9D2B" w14:textId="6507535D" w:rsidR="00A61755" w:rsidRDefault="00383593" w:rsidP="0046360E">
      <w:r w:rsidRPr="00383593">
        <w:t>Moreover, combining financial analysis and strategic, non-financial elements contends that the investment decision is in place.</w:t>
      </w:r>
      <w:r>
        <w:t xml:space="preserve"> </w:t>
      </w:r>
      <w:r w:rsidR="00A35067" w:rsidRPr="00A35067">
        <w:t>Hyundai's market leadership, technological expertise, and commitment to sustainable mobility enable targeted investment in initiatives that meet long-term growth goals (Kumalawati et al., 2026; Dobrowolski et al., 2026).</w:t>
      </w:r>
    </w:p>
    <w:tbl>
      <w:tblPr>
        <w:tblStyle w:val="TableGrid"/>
        <w:tblW w:w="5000" w:type="pct"/>
        <w:tblLook w:val="04A0" w:firstRow="1" w:lastRow="0" w:firstColumn="1" w:lastColumn="0" w:noHBand="0" w:noVBand="1"/>
      </w:tblPr>
      <w:tblGrid>
        <w:gridCol w:w="6556"/>
        <w:gridCol w:w="2794"/>
      </w:tblGrid>
      <w:tr w:rsidR="002013B9" w:rsidRPr="002013B9" w14:paraId="56A194B1" w14:textId="77777777" w:rsidTr="002013B9">
        <w:tc>
          <w:tcPr>
            <w:tcW w:w="3506" w:type="pct"/>
            <w:hideMark/>
          </w:tcPr>
          <w:p w14:paraId="2E0FA578" w14:textId="77777777" w:rsidR="002013B9" w:rsidRPr="002013B9" w:rsidRDefault="002013B9" w:rsidP="002013B9">
            <w:pPr>
              <w:spacing w:after="160"/>
              <w:rPr>
                <w:b/>
                <w:bCs/>
              </w:rPr>
            </w:pPr>
            <w:r w:rsidRPr="002013B9">
              <w:rPr>
                <w:b/>
                <w:bCs/>
              </w:rPr>
              <w:t>Metric</w:t>
            </w:r>
          </w:p>
        </w:tc>
        <w:tc>
          <w:tcPr>
            <w:tcW w:w="1494" w:type="pct"/>
            <w:hideMark/>
          </w:tcPr>
          <w:p w14:paraId="294BA910" w14:textId="77777777" w:rsidR="002013B9" w:rsidRPr="002013B9" w:rsidRDefault="002013B9" w:rsidP="002013B9">
            <w:pPr>
              <w:spacing w:after="160"/>
              <w:rPr>
                <w:b/>
                <w:bCs/>
              </w:rPr>
            </w:pPr>
            <w:r w:rsidRPr="002013B9">
              <w:rPr>
                <w:b/>
                <w:bCs/>
              </w:rPr>
              <w:t>B + C</w:t>
            </w:r>
          </w:p>
        </w:tc>
      </w:tr>
      <w:tr w:rsidR="002013B9" w:rsidRPr="002013B9" w14:paraId="1B1E2FAD" w14:textId="77777777" w:rsidTr="002013B9">
        <w:tc>
          <w:tcPr>
            <w:tcW w:w="3506" w:type="pct"/>
            <w:hideMark/>
          </w:tcPr>
          <w:p w14:paraId="0FD227E4" w14:textId="77777777" w:rsidR="002013B9" w:rsidRPr="002013B9" w:rsidRDefault="002013B9" w:rsidP="002013B9">
            <w:pPr>
              <w:spacing w:after="160"/>
            </w:pPr>
            <w:r w:rsidRPr="002013B9">
              <w:rPr>
                <w:b/>
                <w:bCs/>
              </w:rPr>
              <w:t>Total Investment</w:t>
            </w:r>
          </w:p>
        </w:tc>
        <w:tc>
          <w:tcPr>
            <w:tcW w:w="1494" w:type="pct"/>
            <w:hideMark/>
          </w:tcPr>
          <w:p w14:paraId="0C51044A" w14:textId="77777777" w:rsidR="002013B9" w:rsidRPr="002013B9" w:rsidRDefault="002013B9" w:rsidP="002013B9">
            <w:pPr>
              <w:spacing w:after="160"/>
            </w:pPr>
            <w:r w:rsidRPr="002013B9">
              <w:t>100</w:t>
            </w:r>
          </w:p>
        </w:tc>
      </w:tr>
      <w:tr w:rsidR="002013B9" w:rsidRPr="002013B9" w14:paraId="2DE2EBBB" w14:textId="77777777" w:rsidTr="002013B9">
        <w:tc>
          <w:tcPr>
            <w:tcW w:w="3506" w:type="pct"/>
            <w:hideMark/>
          </w:tcPr>
          <w:p w14:paraId="7017BA70" w14:textId="77777777" w:rsidR="002013B9" w:rsidRPr="002013B9" w:rsidRDefault="002013B9" w:rsidP="002013B9">
            <w:pPr>
              <w:spacing w:after="160"/>
            </w:pPr>
            <w:r w:rsidRPr="002013B9">
              <w:rPr>
                <w:b/>
                <w:bCs/>
              </w:rPr>
              <w:t>Total NPV</w:t>
            </w:r>
          </w:p>
        </w:tc>
        <w:tc>
          <w:tcPr>
            <w:tcW w:w="1494" w:type="pct"/>
            <w:hideMark/>
          </w:tcPr>
          <w:p w14:paraId="59585C89" w14:textId="77777777" w:rsidR="002013B9" w:rsidRPr="002013B9" w:rsidRDefault="002013B9" w:rsidP="002013B9">
            <w:pPr>
              <w:spacing w:after="160"/>
            </w:pPr>
            <w:r w:rsidRPr="002013B9">
              <w:t>-10.28</w:t>
            </w:r>
          </w:p>
        </w:tc>
      </w:tr>
    </w:tbl>
    <w:p w14:paraId="69AB54EB" w14:textId="2C095FE7" w:rsidR="00812237" w:rsidRDefault="00AC714F" w:rsidP="00AC714F">
      <w:pPr>
        <w:pStyle w:val="Caption"/>
      </w:pPr>
      <w:bookmarkStart w:id="80" w:name="_Toc227927294"/>
      <w:r>
        <w:t xml:space="preserve">Table </w:t>
      </w:r>
      <w:fldSimple w:instr=" SEQ Table \* ARABIC ">
        <w:r w:rsidR="007140A2">
          <w:rPr>
            <w:noProof/>
          </w:rPr>
          <w:t>10</w:t>
        </w:r>
      </w:fldSimple>
      <w:r>
        <w:t xml:space="preserve">: </w:t>
      </w:r>
      <w:r w:rsidRPr="009A2265">
        <w:t>Optimal Combination Selection</w:t>
      </w:r>
      <w:bookmarkEnd w:id="80"/>
    </w:p>
    <w:p w14:paraId="6C1E621C" w14:textId="77777777" w:rsidR="00A61755" w:rsidRPr="00E8189F" w:rsidRDefault="00A61755" w:rsidP="00E8189F"/>
    <w:p w14:paraId="2F19F34B" w14:textId="6FDA1E06" w:rsidR="008E7995" w:rsidRDefault="00D82C38" w:rsidP="00D82C38">
      <w:pPr>
        <w:pStyle w:val="Heading1"/>
      </w:pPr>
      <w:bookmarkStart w:id="81" w:name="_Toc227939069"/>
      <w:r>
        <w:t>5. Conclusion</w:t>
      </w:r>
      <w:bookmarkEnd w:id="81"/>
    </w:p>
    <w:p w14:paraId="225AF582" w14:textId="011708B6" w:rsidR="00C67763" w:rsidRDefault="00B242E7" w:rsidP="00A61755">
      <w:r w:rsidRPr="00B242E7">
        <w:t>In general, Hyundai has high financial performance, as the profitability increases, the EPS becomes higher, and the interest coverage is high, which suggests successful value creation.</w:t>
      </w:r>
      <w:r>
        <w:t xml:space="preserve"> </w:t>
      </w:r>
      <w:r w:rsidR="008F572C" w:rsidRPr="008F572C">
        <w:t>But there are issues with cash management, efficiency and cash flow. The working capital analysis indicates longer cash conversion cycles, so better inventory management and payables payments must be pursued.</w:t>
      </w:r>
      <w:r w:rsidR="008F572C">
        <w:t xml:space="preserve"> </w:t>
      </w:r>
      <w:r w:rsidR="00A01499" w:rsidRPr="00A01499">
        <w:t>The flexibility and a lesser risk of strategically restructuring can be achieved by divesting, partnering, and funding the operations of a business. Findings of investment appraisal indicate that Project C will be the best alternative to invest in and the combination of B + C will be the best alternative when there is capital rationing.</w:t>
      </w:r>
      <w:r w:rsidR="00A01499">
        <w:t xml:space="preserve"> </w:t>
      </w:r>
      <w:r w:rsidR="00C810E2" w:rsidRPr="00C810E2">
        <w:t>Hyundai must strike a balance between financial performance, risk management and growth to ensure its sustainability.</w:t>
      </w:r>
    </w:p>
    <w:p w14:paraId="3DC93C6F" w14:textId="77777777" w:rsidR="00A72391" w:rsidRDefault="00A72391"/>
    <w:p w14:paraId="1A8164EC" w14:textId="0CD06041" w:rsidR="004B2A68" w:rsidRDefault="004B2A68" w:rsidP="004B2A68">
      <w:pPr>
        <w:pStyle w:val="Heading1"/>
      </w:pPr>
      <w:bookmarkStart w:id="82" w:name="_Toc227939070"/>
      <w:r>
        <w:lastRenderedPageBreak/>
        <w:t>References</w:t>
      </w:r>
      <w:bookmarkEnd w:id="82"/>
    </w:p>
    <w:p w14:paraId="1B152757" w14:textId="77777777" w:rsidR="00A72391" w:rsidRPr="00783829" w:rsidRDefault="00A72391" w:rsidP="00783829">
      <w:r w:rsidRPr="00783829">
        <w:t xml:space="preserve">Adesoye, I. and Sanusi, E. (2021) </w:t>
      </w:r>
      <w:r w:rsidRPr="00783829">
        <w:rPr>
          <w:i/>
          <w:iCs/>
        </w:rPr>
        <w:t>The impact of ratio analysis on investment decision (2016–2020)</w:t>
      </w:r>
      <w:r w:rsidRPr="00783829">
        <w:t>.</w:t>
      </w:r>
    </w:p>
    <w:p w14:paraId="1592E829" w14:textId="77777777" w:rsidR="00A72391" w:rsidRDefault="00A72391" w:rsidP="00783829">
      <w:r w:rsidRPr="00783829">
        <w:t xml:space="preserve">Aldo, M. (2022) ‘The effect of gearing, price earning ratio, interest rate, risk on abnormal return’, </w:t>
      </w:r>
      <w:r w:rsidRPr="00783829">
        <w:rPr>
          <w:i/>
          <w:iCs/>
        </w:rPr>
        <w:t>Indonesian Interdisciplinary Journal of Sharia Economics (IIJSE)</w:t>
      </w:r>
      <w:r w:rsidRPr="00783829">
        <w:t xml:space="preserve">, 5(2), pp. 752–768. Available at: </w:t>
      </w:r>
      <w:hyperlink r:id="rId53" w:history="1">
        <w:r w:rsidRPr="00C761DE">
          <w:rPr>
            <w:rStyle w:val="Hyperlink"/>
          </w:rPr>
          <w:t>https://doi.org/10.31538/iijse.v5i2.2195</w:t>
        </w:r>
      </w:hyperlink>
      <w:r w:rsidRPr="00783829">
        <w:t>.</w:t>
      </w:r>
    </w:p>
    <w:p w14:paraId="3FE11F2C" w14:textId="4ED96148" w:rsidR="00A72391" w:rsidRDefault="00A72391" w:rsidP="00783829">
      <w:r w:rsidRPr="00783829">
        <w:t xml:space="preserve">Aldubhani, M.A.Q., Wang, J., Gong, T. and Maudhah, R.A. (2022) ‘Impact of working capital management on profitability: Evidence from listed companies in Qatar’, </w:t>
      </w:r>
      <w:r w:rsidRPr="00783829">
        <w:rPr>
          <w:i/>
          <w:iCs/>
        </w:rPr>
        <w:t>Journal of Money and Business</w:t>
      </w:r>
      <w:r w:rsidRPr="00783829">
        <w:t xml:space="preserve">, ahead-of-print. Available at: </w:t>
      </w:r>
      <w:hyperlink r:id="rId54" w:history="1">
        <w:r w:rsidRPr="00C761DE">
          <w:rPr>
            <w:rStyle w:val="Hyperlink"/>
          </w:rPr>
          <w:t>https://doi.org/10.1108/JMB-08-2021-0032</w:t>
        </w:r>
      </w:hyperlink>
      <w:r w:rsidRPr="00783829">
        <w:t>.</w:t>
      </w:r>
    </w:p>
    <w:p w14:paraId="3A75B041" w14:textId="77777777" w:rsidR="00A72391" w:rsidRPr="00783829" w:rsidRDefault="00A72391" w:rsidP="00783829">
      <w:r w:rsidRPr="00783829">
        <w:t xml:space="preserve">Astuti, A.W., Tekle, K.C., Lema, A.A. and Magfiroh, D. (2025) </w:t>
      </w:r>
      <w:r w:rsidRPr="00783829">
        <w:rPr>
          <w:i/>
          <w:iCs/>
        </w:rPr>
        <w:t>Evaluating corporate financial performance: A profitability ratio approach</w:t>
      </w:r>
      <w:r w:rsidRPr="00783829">
        <w:t>.</w:t>
      </w:r>
    </w:p>
    <w:p w14:paraId="4FF77C36" w14:textId="77777777" w:rsidR="00A72391" w:rsidRPr="00783829" w:rsidRDefault="00A72391" w:rsidP="00783829">
      <w:r w:rsidRPr="00783829">
        <w:t xml:space="preserve">Chen, X., Guha, S. and Simu, T.H. (2025) ‘Capital structure theories in US corporate divestitures: A study on spin-off firms’, </w:t>
      </w:r>
      <w:r w:rsidRPr="00783829">
        <w:rPr>
          <w:i/>
          <w:iCs/>
        </w:rPr>
        <w:t>International Journal of Financial Studies</w:t>
      </w:r>
      <w:r w:rsidRPr="00783829">
        <w:t xml:space="preserve">, 13(3), p. 173. Available at: </w:t>
      </w:r>
      <w:hyperlink r:id="rId55" w:tgtFrame="_new" w:history="1">
        <w:r w:rsidRPr="00783829">
          <w:rPr>
            <w:rStyle w:val="Hyperlink"/>
          </w:rPr>
          <w:t>https://doi.org/10.3390/ijfs13030173</w:t>
        </w:r>
      </w:hyperlink>
      <w:r w:rsidRPr="00783829">
        <w:t>.</w:t>
      </w:r>
    </w:p>
    <w:p w14:paraId="64651236" w14:textId="77777777" w:rsidR="00A72391" w:rsidRDefault="00A72391" w:rsidP="00783829">
      <w:r w:rsidRPr="00783829">
        <w:t xml:space="preserve">Dobrowolski, Z., Dziekański, P., Drozdowski, G. and Kęsy, I. (2026) ‘Green energy markets: Towards an internal rate of return and ESG factors’, </w:t>
      </w:r>
      <w:r w:rsidRPr="00783829">
        <w:rPr>
          <w:i/>
          <w:iCs/>
        </w:rPr>
        <w:t>Energies</w:t>
      </w:r>
      <w:r w:rsidRPr="00783829">
        <w:t xml:space="preserve">, 19(8), p. 1884. Available at: </w:t>
      </w:r>
      <w:hyperlink r:id="rId56" w:history="1">
        <w:r w:rsidRPr="00C761DE">
          <w:rPr>
            <w:rStyle w:val="Hyperlink"/>
          </w:rPr>
          <w:t>https://doi.org/10.3390/en19081884</w:t>
        </w:r>
      </w:hyperlink>
      <w:r w:rsidRPr="00783829">
        <w:t>.</w:t>
      </w:r>
    </w:p>
    <w:p w14:paraId="14787F5B" w14:textId="77777777" w:rsidR="00A72391" w:rsidRPr="00783829" w:rsidRDefault="00A72391" w:rsidP="00783829">
      <w:r w:rsidRPr="00783829">
        <w:t xml:space="preserve">Effendie, J.M., Manafe, H. and Man, S. (2022) ‘Analysis of the effect of liquidity ratios, solvency and activity on the financial performance of the company (literature review of corporate financial management)’, </w:t>
      </w:r>
      <w:r w:rsidRPr="00783829">
        <w:rPr>
          <w:i/>
          <w:iCs/>
        </w:rPr>
        <w:t>Dinasti International Journal of Economics Finance &amp; Accounting</w:t>
      </w:r>
      <w:r w:rsidRPr="00783829">
        <w:t xml:space="preserve">, 3(5), pp. 541–550. Available at: </w:t>
      </w:r>
      <w:hyperlink r:id="rId57" w:tgtFrame="_new" w:history="1">
        <w:r w:rsidRPr="00783829">
          <w:rPr>
            <w:rStyle w:val="Hyperlink"/>
          </w:rPr>
          <w:t>https://doi.org/10.38035/dijefa.v3i5.1507</w:t>
        </w:r>
      </w:hyperlink>
      <w:r w:rsidRPr="00783829">
        <w:t>.</w:t>
      </w:r>
    </w:p>
    <w:p w14:paraId="6DBA8273" w14:textId="77777777" w:rsidR="00A72391" w:rsidRDefault="00A72391" w:rsidP="00783829">
      <w:r w:rsidRPr="00783829">
        <w:t xml:space="preserve">Enyi, P.E., Adebawojo, O.A., Ahannaya, G.C., Alu, C. and Eze, O.N. (2026) ‘Reassessing risk integration in investment appraisal: A comparative evaluation of traditional and simplified analytical models’, </w:t>
      </w:r>
      <w:r w:rsidRPr="00783829">
        <w:rPr>
          <w:i/>
          <w:iCs/>
        </w:rPr>
        <w:t>International Journal of Research and Innovation in Social Science (IJRISS)</w:t>
      </w:r>
      <w:r w:rsidRPr="00783829">
        <w:t>, 10(2), pp. 7873–7887.</w:t>
      </w:r>
    </w:p>
    <w:p w14:paraId="272B5F0E" w14:textId="77777777" w:rsidR="00A72391" w:rsidRPr="00783829" w:rsidRDefault="00A72391" w:rsidP="00783829">
      <w:r w:rsidRPr="00783829">
        <w:lastRenderedPageBreak/>
        <w:t xml:space="preserve">Galil, K., Lindner, T., Shapir, O.M. and Zeidan, R. (2026) ‘Cash conversion cycle and bargaining power in the product market: A global perspective’, </w:t>
      </w:r>
      <w:r w:rsidRPr="00783829">
        <w:rPr>
          <w:i/>
          <w:iCs/>
        </w:rPr>
        <w:t>Finance Research Letters</w:t>
      </w:r>
      <w:r w:rsidRPr="00783829">
        <w:t>, 96(C).</w:t>
      </w:r>
    </w:p>
    <w:p w14:paraId="45EA5781" w14:textId="77777777" w:rsidR="00A72391" w:rsidRPr="00783829" w:rsidRDefault="00A72391" w:rsidP="00783829">
      <w:r w:rsidRPr="00783829">
        <w:t xml:space="preserve">Han, G. and Li, Z. (2026) ‘A structured review of electric vehicle sales research: Multi-level driving factors and forecasting pathways over the past decade’, </w:t>
      </w:r>
      <w:r w:rsidRPr="00783829">
        <w:rPr>
          <w:i/>
          <w:iCs/>
        </w:rPr>
        <w:t>World Electric Vehicle Journal</w:t>
      </w:r>
      <w:r w:rsidRPr="00783829">
        <w:t xml:space="preserve">, 17(3), p. 122. Available at: </w:t>
      </w:r>
      <w:hyperlink r:id="rId58" w:tgtFrame="_new" w:history="1">
        <w:r w:rsidRPr="00783829">
          <w:rPr>
            <w:rStyle w:val="Hyperlink"/>
          </w:rPr>
          <w:t>https://doi.org/10.3390/wevj17030122</w:t>
        </w:r>
      </w:hyperlink>
      <w:r w:rsidRPr="00783829">
        <w:t>.</w:t>
      </w:r>
    </w:p>
    <w:p w14:paraId="4A2BCB47" w14:textId="77777777" w:rsidR="00A72391" w:rsidRDefault="00A72391" w:rsidP="00783829">
      <w:r w:rsidRPr="00783829">
        <w:t xml:space="preserve">Hasibuan, R.K., Ramadhani, L. and Nasution, H.C. (2026) ‘Liquidity ratio analysis for evaluating corporate financial performance: Evidence from PT Charoen Pokphand Indonesia Tbk listed on the Indonesia Stock Exchange’, </w:t>
      </w:r>
      <w:r w:rsidRPr="00783829">
        <w:rPr>
          <w:i/>
          <w:iCs/>
        </w:rPr>
        <w:t>Global Insights in Management and Economic Research</w:t>
      </w:r>
      <w:r w:rsidRPr="00783829">
        <w:t xml:space="preserve">, 2(1), pp. 42–47. Available at: </w:t>
      </w:r>
      <w:hyperlink r:id="rId59" w:history="1">
        <w:r w:rsidRPr="00C761DE">
          <w:rPr>
            <w:rStyle w:val="Hyperlink"/>
          </w:rPr>
          <w:t>https://doi.org/10.53905/Gimer.v2i01.06</w:t>
        </w:r>
      </w:hyperlink>
      <w:r w:rsidRPr="00783829">
        <w:t>.</w:t>
      </w:r>
    </w:p>
    <w:p w14:paraId="0D222D5A" w14:textId="0258849E" w:rsidR="00A72391" w:rsidRPr="00783829" w:rsidRDefault="00A72391" w:rsidP="00783829">
      <w:r w:rsidRPr="00A72391">
        <w:t xml:space="preserve">Hyundai Motor Company (2026) </w:t>
      </w:r>
      <w:r w:rsidRPr="00A72391">
        <w:rPr>
          <w:i/>
          <w:iCs/>
        </w:rPr>
        <w:t>About Hyundai</w:t>
      </w:r>
      <w:r w:rsidRPr="00A72391">
        <w:t xml:space="preserve">. Available at: </w:t>
      </w:r>
      <w:hyperlink r:id="rId60" w:tgtFrame="_new" w:history="1">
        <w:r w:rsidRPr="00A72391">
          <w:rPr>
            <w:rStyle w:val="Hyperlink"/>
          </w:rPr>
          <w:t>https://www.hyundai.com/pacific/en/company/about-hyundai</w:t>
        </w:r>
      </w:hyperlink>
      <w:r w:rsidRPr="00A72391">
        <w:t>.</w:t>
      </w:r>
    </w:p>
    <w:p w14:paraId="73327EE7" w14:textId="77777777" w:rsidR="00A72391" w:rsidRPr="00783829" w:rsidRDefault="00A72391" w:rsidP="00783829">
      <w:r w:rsidRPr="00783829">
        <w:t xml:space="preserve">Kavyashree, K., Safira, F.H. and Menezes, A.D. (2024) </w:t>
      </w:r>
      <w:r w:rsidRPr="00783829">
        <w:rPr>
          <w:i/>
          <w:iCs/>
        </w:rPr>
        <w:t>The effect of cash conversion cycle on company earnings and profitability</w:t>
      </w:r>
      <w:r w:rsidRPr="00783829">
        <w:t>.</w:t>
      </w:r>
    </w:p>
    <w:p w14:paraId="733B605F" w14:textId="77777777" w:rsidR="00A72391" w:rsidRDefault="00A72391" w:rsidP="00783829">
      <w:r w:rsidRPr="00783829">
        <w:t xml:space="preserve">Khan, S.J.I., Khan, S.A.I., Khan, M.I. and Nasir, R. (2025) ‘Techniques for investment decision making: An analysis of firms in Pakistan’, </w:t>
      </w:r>
      <w:r w:rsidRPr="00783829">
        <w:rPr>
          <w:i/>
          <w:iCs/>
        </w:rPr>
        <w:t>Human Nature Journal of Social Sciences</w:t>
      </w:r>
      <w:r w:rsidRPr="00783829">
        <w:t xml:space="preserve">, 6(1), pp. 218–228. Available at: </w:t>
      </w:r>
      <w:hyperlink r:id="rId61" w:history="1">
        <w:r w:rsidRPr="00C761DE">
          <w:rPr>
            <w:rStyle w:val="Hyperlink"/>
          </w:rPr>
          <w:t>https://doi.org/10.71016/hnjss/csfq9f66</w:t>
        </w:r>
      </w:hyperlink>
      <w:r w:rsidRPr="00783829">
        <w:t>.</w:t>
      </w:r>
    </w:p>
    <w:p w14:paraId="47ED117A" w14:textId="77777777" w:rsidR="00A72391" w:rsidRDefault="00A72391" w:rsidP="00783829">
      <w:r w:rsidRPr="00783829">
        <w:t xml:space="preserve">Kumalawati, N.I. and Noveria, A. (2026) ‘Electric vehicle strategies: A literature review on their impact on firm performance and market value’, </w:t>
      </w:r>
      <w:r w:rsidRPr="00783829">
        <w:rPr>
          <w:i/>
          <w:iCs/>
        </w:rPr>
        <w:t>Journal Research of Social Science Economics and Management</w:t>
      </w:r>
      <w:r w:rsidRPr="00783829">
        <w:t xml:space="preserve">, 5(6), pp. 9777–9786. Available at: </w:t>
      </w:r>
      <w:hyperlink r:id="rId62" w:history="1">
        <w:r w:rsidRPr="00C761DE">
          <w:rPr>
            <w:rStyle w:val="Hyperlink"/>
          </w:rPr>
          <w:t>https://doi.org/10.59141/jrssem.v5i6.1262</w:t>
        </w:r>
      </w:hyperlink>
      <w:r w:rsidRPr="00783829">
        <w:t>.</w:t>
      </w:r>
    </w:p>
    <w:p w14:paraId="6CC43DA0" w14:textId="77777777" w:rsidR="00A72391" w:rsidRPr="00783829" w:rsidRDefault="00A72391" w:rsidP="00783829">
      <w:r w:rsidRPr="00783829">
        <w:t xml:space="preserve">Laitinen, E. (2018) ‘Financial reporting: Long-term change of financial ratios’, </w:t>
      </w:r>
      <w:r w:rsidRPr="00783829">
        <w:rPr>
          <w:i/>
          <w:iCs/>
        </w:rPr>
        <w:t>American Journal of Industrial and Business Management</w:t>
      </w:r>
      <w:r w:rsidRPr="00783829">
        <w:t xml:space="preserve">, 8, pp. 1893–1927. Available at: </w:t>
      </w:r>
      <w:hyperlink r:id="rId63" w:tgtFrame="_new" w:history="1">
        <w:r w:rsidRPr="00783829">
          <w:rPr>
            <w:rStyle w:val="Hyperlink"/>
          </w:rPr>
          <w:t>https://doi.org/10.4236/ajibm.2018.89128</w:t>
        </w:r>
      </w:hyperlink>
      <w:r w:rsidRPr="00783829">
        <w:t>.</w:t>
      </w:r>
    </w:p>
    <w:p w14:paraId="3F7D07D4" w14:textId="77777777" w:rsidR="00A72391" w:rsidRDefault="00A72391" w:rsidP="00783829">
      <w:r w:rsidRPr="00783829">
        <w:t xml:space="preserve">Laitinen, E. (2024) ‘Effect of expenditure structure on profitability ratios’, </w:t>
      </w:r>
      <w:r w:rsidRPr="00783829">
        <w:rPr>
          <w:i/>
          <w:iCs/>
        </w:rPr>
        <w:t>Theoretical Economics Letters</w:t>
      </w:r>
      <w:r w:rsidRPr="00783829">
        <w:t xml:space="preserve">, 14, pp. 576–596. Available at: </w:t>
      </w:r>
      <w:hyperlink r:id="rId64" w:history="1">
        <w:r w:rsidRPr="00C761DE">
          <w:rPr>
            <w:rStyle w:val="Hyperlink"/>
          </w:rPr>
          <w:t>https://doi.org/10.4236/tel.2024.142031</w:t>
        </w:r>
      </w:hyperlink>
      <w:r w:rsidRPr="00783829">
        <w:t>.</w:t>
      </w:r>
    </w:p>
    <w:p w14:paraId="3AA22EA7" w14:textId="77777777" w:rsidR="00A72391" w:rsidRPr="00783829" w:rsidRDefault="00A72391" w:rsidP="00783829">
      <w:r w:rsidRPr="00783829">
        <w:lastRenderedPageBreak/>
        <w:t xml:space="preserve">Levický, M., Košařová, J., Papcunová, V. and Kiselicová, R. (2026) ‘The effect of working capital management on firm financial performance: Empirical evidence using static and dynamic panel data’, </w:t>
      </w:r>
      <w:r w:rsidRPr="00783829">
        <w:rPr>
          <w:i/>
          <w:iCs/>
        </w:rPr>
        <w:t>Cogent Economics &amp; Finance</w:t>
      </w:r>
      <w:r w:rsidRPr="00783829">
        <w:t xml:space="preserve">, 14(1), article 2626087. Available at: </w:t>
      </w:r>
      <w:hyperlink r:id="rId65" w:tgtFrame="_new" w:history="1">
        <w:r w:rsidRPr="00783829">
          <w:rPr>
            <w:rStyle w:val="Hyperlink"/>
          </w:rPr>
          <w:t>https://doi.org/10.1080/23322039.2026.2626087</w:t>
        </w:r>
      </w:hyperlink>
      <w:r w:rsidRPr="00783829">
        <w:t>.</w:t>
      </w:r>
    </w:p>
    <w:p w14:paraId="7AE47FF3" w14:textId="77777777" w:rsidR="00A72391" w:rsidRPr="00783829" w:rsidRDefault="00A72391" w:rsidP="00783829">
      <w:r w:rsidRPr="00783829">
        <w:t xml:space="preserve">Malik, N., Kashiramka, S. and Sharma, P. (2026) ‘ESG disclosures and capital structure: An analysis of debt and equity dynamics in India’, </w:t>
      </w:r>
      <w:r w:rsidRPr="00783829">
        <w:rPr>
          <w:i/>
          <w:iCs/>
        </w:rPr>
        <w:t>International Review of Economics &amp; Finance</w:t>
      </w:r>
      <w:r w:rsidRPr="00783829">
        <w:t xml:space="preserve">, 105, p. 104890. Available at: </w:t>
      </w:r>
      <w:hyperlink r:id="rId66" w:tgtFrame="_new" w:history="1">
        <w:r w:rsidRPr="00783829">
          <w:rPr>
            <w:rStyle w:val="Hyperlink"/>
          </w:rPr>
          <w:t>https://doi.org/10.1016/j.iref.2026.104890</w:t>
        </w:r>
      </w:hyperlink>
      <w:r w:rsidRPr="00783829">
        <w:t>.</w:t>
      </w:r>
    </w:p>
    <w:p w14:paraId="2B0D91D4" w14:textId="77777777" w:rsidR="00A72391" w:rsidRDefault="00A72391" w:rsidP="00783829">
      <w:r w:rsidRPr="00783829">
        <w:t xml:space="preserve">Menon, N. (2013) ‘Why mergers, acquisitions, and divestitures fail, and considerations to help avoid a similar fate’, in </w:t>
      </w:r>
      <w:r w:rsidRPr="00783829">
        <w:rPr>
          <w:i/>
          <w:iCs/>
        </w:rPr>
        <w:t>M&amp;A Information Technology Best Practices</w:t>
      </w:r>
      <w:r w:rsidRPr="00783829">
        <w:t xml:space="preserve">, pp. 449–457. Available at: </w:t>
      </w:r>
      <w:hyperlink r:id="rId67" w:history="1">
        <w:r w:rsidRPr="00C761DE">
          <w:rPr>
            <w:rStyle w:val="Hyperlink"/>
          </w:rPr>
          <w:t>https://doi.org/10.1002/9781118692028.ch26</w:t>
        </w:r>
      </w:hyperlink>
      <w:r w:rsidRPr="00783829">
        <w:t>.</w:t>
      </w:r>
    </w:p>
    <w:p w14:paraId="42A031EE" w14:textId="77777777" w:rsidR="00A72391" w:rsidRPr="00783829" w:rsidRDefault="00A72391" w:rsidP="00783829">
      <w:r w:rsidRPr="00783829">
        <w:t xml:space="preserve">Mom, R., Nguyen, L.T.P. and Panggabean, H.R. (2025) ‘The role of financial health in predicting long-term performance in selected industries in Thailand’, </w:t>
      </w:r>
      <w:r w:rsidRPr="00783829">
        <w:rPr>
          <w:i/>
          <w:iCs/>
        </w:rPr>
        <w:t>Human Behavior Development and Society</w:t>
      </w:r>
      <w:r w:rsidRPr="00783829">
        <w:t>, 26(2), pp. 329–343. Available at: https://doi.org/10.62370/hbds.v26i2.281509.</w:t>
      </w:r>
    </w:p>
    <w:p w14:paraId="16A84EFB" w14:textId="77777777" w:rsidR="00A72391" w:rsidRDefault="00A72391" w:rsidP="00783829">
      <w:r w:rsidRPr="00783829">
        <w:t xml:space="preserve">Muslim, M., Noch, M.Y. and Sonjaya, Y. (2023) ‘The dynamics of financial strategy, performance, and investment decisions’, </w:t>
      </w:r>
      <w:r w:rsidRPr="00783829">
        <w:rPr>
          <w:i/>
          <w:iCs/>
        </w:rPr>
        <w:t>The Journal of Business and Management Research</w:t>
      </w:r>
      <w:r w:rsidRPr="00783829">
        <w:t xml:space="preserve">, 6(2), pp. 91–102. Available at: </w:t>
      </w:r>
      <w:hyperlink r:id="rId68" w:history="1">
        <w:r w:rsidRPr="00C761DE">
          <w:rPr>
            <w:rStyle w:val="Hyperlink"/>
          </w:rPr>
          <w:t>https://doi.org/10.55098/tjbmr.v6i2.661</w:t>
        </w:r>
      </w:hyperlink>
      <w:r w:rsidRPr="00783829">
        <w:t>.</w:t>
      </w:r>
    </w:p>
    <w:p w14:paraId="51EAACA7" w14:textId="77777777" w:rsidR="00A72391" w:rsidRPr="00783829" w:rsidRDefault="00A72391" w:rsidP="00783829">
      <w:r w:rsidRPr="00783829">
        <w:t xml:space="preserve">Nguyen, D.T. and Pham, T.D. (2026) ‘Determinant of profitability: An empirical investigation of the role of financial structure, technological innovation, and managerial attributes’, </w:t>
      </w:r>
      <w:r w:rsidRPr="00783829">
        <w:rPr>
          <w:i/>
          <w:iCs/>
        </w:rPr>
        <w:t>Economies</w:t>
      </w:r>
      <w:r w:rsidRPr="00783829">
        <w:t xml:space="preserve">, 14(3), p. 85. Available at: </w:t>
      </w:r>
      <w:hyperlink r:id="rId69" w:tgtFrame="_new" w:history="1">
        <w:r w:rsidRPr="00783829">
          <w:rPr>
            <w:rStyle w:val="Hyperlink"/>
          </w:rPr>
          <w:t>https://doi.org/10.3390/economies14030085</w:t>
        </w:r>
      </w:hyperlink>
      <w:r w:rsidRPr="00783829">
        <w:t>.</w:t>
      </w:r>
    </w:p>
    <w:p w14:paraId="32EE68B9" w14:textId="77777777" w:rsidR="00A72391" w:rsidRDefault="00A72391" w:rsidP="00783829">
      <w:r w:rsidRPr="00783829">
        <w:t xml:space="preserve">Oranefo, P.C. and Egbunike, C.F. (2023) ‘Gearing ratio and operating cash flow performance of quoted manufacturing firms in Nigeria’, </w:t>
      </w:r>
      <w:r w:rsidRPr="00783829">
        <w:rPr>
          <w:i/>
          <w:iCs/>
        </w:rPr>
        <w:t>International Journal of Financial, Accounting, and Management</w:t>
      </w:r>
      <w:r w:rsidRPr="00783829">
        <w:t xml:space="preserve">, 4(4), pp. 395–410. Available at: </w:t>
      </w:r>
      <w:hyperlink r:id="rId70" w:history="1">
        <w:r w:rsidRPr="00C761DE">
          <w:rPr>
            <w:rStyle w:val="Hyperlink"/>
          </w:rPr>
          <w:t>https://doi.org/10.35912/ijfam.v4i4.1090</w:t>
        </w:r>
      </w:hyperlink>
      <w:r w:rsidRPr="00783829">
        <w:t>.</w:t>
      </w:r>
    </w:p>
    <w:p w14:paraId="7F3443D1" w14:textId="77777777" w:rsidR="00A72391" w:rsidRPr="00783829" w:rsidRDefault="00A72391" w:rsidP="00783829">
      <w:r w:rsidRPr="00783829">
        <w:t xml:space="preserve">Pandey, K. and Patel, R. (2026) ‘Working capital efficiency and financial resilience of MSMEs in India’, </w:t>
      </w:r>
      <w:r w:rsidRPr="00783829">
        <w:rPr>
          <w:i/>
          <w:iCs/>
        </w:rPr>
        <w:t>International Journal of Research &amp; Technology</w:t>
      </w:r>
      <w:r w:rsidRPr="00783829">
        <w:t>, 14(S1), pp. 183–189. Available at: https://doi.org/10.64882/ijrt.v14.iS1.986.</w:t>
      </w:r>
    </w:p>
    <w:p w14:paraId="131A9520" w14:textId="77777777" w:rsidR="00A72391" w:rsidRPr="00783829" w:rsidRDefault="00A72391" w:rsidP="00783829">
      <w:r w:rsidRPr="00783829">
        <w:lastRenderedPageBreak/>
        <w:t xml:space="preserve">Petriashvili, A. (2018) ‘Cash flow ratios’ and liquidity ratios’ analysis of selected listed companies in Sri Lanka’, in Procházka, D. (ed.) </w:t>
      </w:r>
      <w:r w:rsidRPr="00783829">
        <w:rPr>
          <w:i/>
          <w:iCs/>
        </w:rPr>
        <w:t>The impact of globalization on international finance and accounting</w:t>
      </w:r>
      <w:r w:rsidRPr="00783829">
        <w:t xml:space="preserve">. </w:t>
      </w:r>
      <w:r w:rsidRPr="00783829">
        <w:rPr>
          <w:i/>
          <w:iCs/>
        </w:rPr>
        <w:t>Springer Proceedings in Business and Economics</w:t>
      </w:r>
      <w:r w:rsidRPr="00783829">
        <w:t>, pp. 205–216.</w:t>
      </w:r>
    </w:p>
    <w:p w14:paraId="7DD7AB30" w14:textId="77777777" w:rsidR="00A72391" w:rsidRPr="00783829" w:rsidRDefault="00A72391" w:rsidP="00783829">
      <w:r w:rsidRPr="00783829">
        <w:t xml:space="preserve">Purnamasari, P. and Adriza (2024) ‘Capital budgeting techniques and financial performance: A comparison between SMEs and large listed firms’, </w:t>
      </w:r>
      <w:r w:rsidRPr="00783829">
        <w:rPr>
          <w:i/>
          <w:iCs/>
        </w:rPr>
        <w:t>Cogent Economics &amp; Finance</w:t>
      </w:r>
      <w:r w:rsidRPr="00783829">
        <w:t xml:space="preserve">, 12(1), article 2404707. Available at: </w:t>
      </w:r>
      <w:hyperlink r:id="rId71" w:tgtFrame="_new" w:history="1">
        <w:r w:rsidRPr="00783829">
          <w:rPr>
            <w:rStyle w:val="Hyperlink"/>
          </w:rPr>
          <w:t>https://doi.org/10.1080/23322039.2024.2404707</w:t>
        </w:r>
      </w:hyperlink>
      <w:r w:rsidRPr="00783829">
        <w:t>.</w:t>
      </w:r>
    </w:p>
    <w:p w14:paraId="55CF43FA" w14:textId="77777777" w:rsidR="00A72391" w:rsidRPr="00783829" w:rsidRDefault="00A72391" w:rsidP="00783829">
      <w:r w:rsidRPr="00783829">
        <w:t xml:space="preserve">Sekhar, S.C. (2026) ‘Revisiting net present value: Usage, challenges, and implications for corporate finance’, </w:t>
      </w:r>
      <w:r w:rsidRPr="00783829">
        <w:rPr>
          <w:i/>
          <w:iCs/>
        </w:rPr>
        <w:t>International Journal of Finance, Insurance and Risk Management</w:t>
      </w:r>
      <w:r w:rsidRPr="00783829">
        <w:t>, 16(1), pp. 56–69.</w:t>
      </w:r>
    </w:p>
    <w:p w14:paraId="0B6FAB42" w14:textId="77777777" w:rsidR="00A72391" w:rsidRDefault="00A72391" w:rsidP="00783829">
      <w:r w:rsidRPr="00783829">
        <w:t xml:space="preserve">Seretidou, D., Billios, D. and Stavropoulos, A. (2023) ‘Integrative analysis of traditional and cash flow financial ratios: Insights from a systematic comparative review’, </w:t>
      </w:r>
      <w:r w:rsidRPr="00783829">
        <w:rPr>
          <w:i/>
          <w:iCs/>
        </w:rPr>
        <w:t>Preprints</w:t>
      </w:r>
      <w:r w:rsidRPr="00783829">
        <w:t xml:space="preserve">. Available at: </w:t>
      </w:r>
      <w:hyperlink r:id="rId72" w:history="1">
        <w:r w:rsidRPr="00C761DE">
          <w:rPr>
            <w:rStyle w:val="Hyperlink"/>
          </w:rPr>
          <w:t>https://doi.org/10.20944/preprints202311.1548.v1</w:t>
        </w:r>
      </w:hyperlink>
      <w:r w:rsidRPr="00783829">
        <w:t>.</w:t>
      </w:r>
    </w:p>
    <w:p w14:paraId="5609C9DC" w14:textId="77777777" w:rsidR="00A72391" w:rsidRPr="00783829" w:rsidRDefault="00A72391" w:rsidP="00783829">
      <w:r w:rsidRPr="00783829">
        <w:t xml:space="preserve">Silva, F. and Silva, S. (2026) ‘Working capital management and corporate performance: The role of financial constraints’, </w:t>
      </w:r>
      <w:r w:rsidRPr="00783829">
        <w:rPr>
          <w:i/>
          <w:iCs/>
        </w:rPr>
        <w:t>International Review of Economics &amp; Finance</w:t>
      </w:r>
      <w:r w:rsidRPr="00783829">
        <w:t xml:space="preserve">, 106, p. 104926. Available at: </w:t>
      </w:r>
      <w:hyperlink r:id="rId73" w:tgtFrame="_new" w:history="1">
        <w:r w:rsidRPr="00783829">
          <w:rPr>
            <w:rStyle w:val="Hyperlink"/>
          </w:rPr>
          <w:t>https://doi.org/10.1016/j.iref.2026.104926</w:t>
        </w:r>
      </w:hyperlink>
      <w:r w:rsidRPr="00783829">
        <w:t>.</w:t>
      </w:r>
    </w:p>
    <w:p w14:paraId="5091D051" w14:textId="77777777" w:rsidR="00A72391" w:rsidRPr="00783829" w:rsidRDefault="00A72391" w:rsidP="00783829">
      <w:r w:rsidRPr="00783829">
        <w:t xml:space="preserve">Sunanda, B.V. and Parchure, R. (2026) ‘Determinants of electric vehicle (EV) satisfaction and the mediating role of government policies: Case study of Bengaluru, an Indian metropolitan city’, </w:t>
      </w:r>
      <w:r w:rsidRPr="00783829">
        <w:rPr>
          <w:i/>
          <w:iCs/>
        </w:rPr>
        <w:t>Case Studies on Transport Policy</w:t>
      </w:r>
      <w:r w:rsidRPr="00783829">
        <w:t xml:space="preserve">, 24, p. 101802. Available at: </w:t>
      </w:r>
      <w:hyperlink r:id="rId74" w:tgtFrame="_new" w:history="1">
        <w:r w:rsidRPr="00783829">
          <w:rPr>
            <w:rStyle w:val="Hyperlink"/>
          </w:rPr>
          <w:t>https://doi.org/10.1016/j.cstp.2026.101802</w:t>
        </w:r>
      </w:hyperlink>
      <w:r w:rsidRPr="00783829">
        <w:t>.</w:t>
      </w:r>
    </w:p>
    <w:p w14:paraId="04F193A3" w14:textId="77777777" w:rsidR="00A72391" w:rsidRPr="00783829" w:rsidRDefault="00A72391" w:rsidP="00783829">
      <w:r w:rsidRPr="00783829">
        <w:t xml:space="preserve">Tarawallie, F.A.B. and Bein, M. (2025) ‘The moderating effect of size on the relationship between liquidity management and sustainable profitability: Evidence from BRICS financial firms’, </w:t>
      </w:r>
      <w:r w:rsidRPr="00783829">
        <w:rPr>
          <w:i/>
          <w:iCs/>
        </w:rPr>
        <w:t>Sustainability</w:t>
      </w:r>
      <w:r w:rsidRPr="00783829">
        <w:t xml:space="preserve">, 17(18), p. 8128. Available at: </w:t>
      </w:r>
      <w:hyperlink r:id="rId75" w:tgtFrame="_new" w:history="1">
        <w:r w:rsidRPr="00783829">
          <w:rPr>
            <w:rStyle w:val="Hyperlink"/>
          </w:rPr>
          <w:t>https://doi.org/10.3390/su17188128</w:t>
        </w:r>
      </w:hyperlink>
      <w:r w:rsidRPr="00783829">
        <w:t>.</w:t>
      </w:r>
    </w:p>
    <w:p w14:paraId="42B99062" w14:textId="77777777" w:rsidR="00A72391" w:rsidRPr="00783829" w:rsidRDefault="00A72391" w:rsidP="00783829">
      <w:r w:rsidRPr="00783829">
        <w:t xml:space="preserve">Toraşan, S., Öcal, H. and Kamil, A.A. (2026) ‘The impact of common financial ratios on market value ratios with the moderation of ESG pillar scores: An empirical analysis of </w:t>
      </w:r>
      <w:r w:rsidRPr="00783829">
        <w:lastRenderedPageBreak/>
        <w:t xml:space="preserve">emerging market corporations’, </w:t>
      </w:r>
      <w:r w:rsidRPr="00783829">
        <w:rPr>
          <w:i/>
          <w:iCs/>
        </w:rPr>
        <w:t>International Journal of Sustainable Economy</w:t>
      </w:r>
      <w:r w:rsidRPr="00783829">
        <w:t xml:space="preserve">, 18(1), pp. 40–56. Available at: </w:t>
      </w:r>
      <w:hyperlink r:id="rId76" w:tgtFrame="_new" w:history="1">
        <w:r w:rsidRPr="00783829">
          <w:rPr>
            <w:rStyle w:val="Hyperlink"/>
          </w:rPr>
          <w:t>https://doi.org/10.1504/IJSE.2026.151085</w:t>
        </w:r>
      </w:hyperlink>
      <w:r w:rsidRPr="00783829">
        <w:t>.</w:t>
      </w:r>
    </w:p>
    <w:p w14:paraId="63E4D3F8" w14:textId="77777777" w:rsidR="00A72391" w:rsidRPr="00783829" w:rsidRDefault="00A72391" w:rsidP="00783829">
      <w:r w:rsidRPr="00783829">
        <w:t xml:space="preserve">Trung, L.Q., Thanh, L.T., Thanh, D.M. and Quynh, T.T.T. (2026) ‘The influencing of the investment ratio in current assets and the investment ratio in fixed assets on the financial capacity of pharmaceutical firms’, </w:t>
      </w:r>
      <w:r w:rsidRPr="00783829">
        <w:rPr>
          <w:i/>
          <w:iCs/>
        </w:rPr>
        <w:t>Veredas do Direito</w:t>
      </w:r>
      <w:r w:rsidRPr="00783829">
        <w:t xml:space="preserve">, 23(5), p. e235327. Available at: </w:t>
      </w:r>
      <w:hyperlink r:id="rId77" w:tgtFrame="_new" w:history="1">
        <w:r w:rsidRPr="00783829">
          <w:rPr>
            <w:rStyle w:val="Hyperlink"/>
          </w:rPr>
          <w:t>https://doi.org/10.18623/rvd.v23.5327</w:t>
        </w:r>
      </w:hyperlink>
      <w:r w:rsidRPr="00783829">
        <w:t>.</w:t>
      </w:r>
    </w:p>
    <w:p w14:paraId="5CA4BF29" w14:textId="77777777" w:rsidR="00A72391" w:rsidRDefault="00A72391" w:rsidP="00783829">
      <w:r w:rsidRPr="00783829">
        <w:t xml:space="preserve">Zulkifli, N.A. and Ja’afar, N.F.M. (2025) ‘Budgeting and forecasting challenges for EV startups in a capital-intensive market’, </w:t>
      </w:r>
      <w:r w:rsidRPr="00783829">
        <w:rPr>
          <w:i/>
          <w:iCs/>
        </w:rPr>
        <w:t>International Journal of Research and Innovation in Social Science (IJRISS)</w:t>
      </w:r>
      <w:r w:rsidRPr="00783829">
        <w:t xml:space="preserve">, 9(10), pp. 2091–2106. Available at: </w:t>
      </w:r>
      <w:hyperlink r:id="rId78" w:history="1">
        <w:r w:rsidRPr="00C761DE">
          <w:rPr>
            <w:rStyle w:val="Hyperlink"/>
          </w:rPr>
          <w:t>https://doi.org/10.47772/IJRISS.2025.910000175</w:t>
        </w:r>
      </w:hyperlink>
      <w:r w:rsidRPr="00783829">
        <w:t>.</w:t>
      </w:r>
    </w:p>
    <w:p w14:paraId="4D61B210" w14:textId="77777777" w:rsidR="004B2A68" w:rsidRPr="004B2A68" w:rsidRDefault="004B2A68" w:rsidP="00783829"/>
    <w:p w14:paraId="6E015B26" w14:textId="77777777" w:rsidR="008E7995" w:rsidRDefault="008E7995"/>
    <w:p w14:paraId="7CA7B484" w14:textId="77777777" w:rsidR="0025342F" w:rsidRDefault="0025342F"/>
    <w:p w14:paraId="50CB5A60" w14:textId="77777777" w:rsidR="0025342F" w:rsidRDefault="0025342F"/>
    <w:p w14:paraId="387AB859" w14:textId="77777777" w:rsidR="0025342F" w:rsidRDefault="0025342F"/>
    <w:p w14:paraId="104B38C6" w14:textId="77777777" w:rsidR="0025342F" w:rsidRDefault="0025342F"/>
    <w:p w14:paraId="5E69894E" w14:textId="77777777" w:rsidR="0025342F" w:rsidRDefault="0025342F"/>
    <w:p w14:paraId="5D6675E2" w14:textId="77777777" w:rsidR="0025342F" w:rsidRDefault="0025342F"/>
    <w:p w14:paraId="3203463F" w14:textId="77777777" w:rsidR="0025342F" w:rsidRDefault="0025342F"/>
    <w:p w14:paraId="282A8404" w14:textId="77777777" w:rsidR="0025342F" w:rsidRDefault="0025342F"/>
    <w:p w14:paraId="526D4D42" w14:textId="77777777" w:rsidR="0025342F" w:rsidRDefault="0025342F"/>
    <w:p w14:paraId="32CD8E92" w14:textId="77777777" w:rsidR="0025342F" w:rsidRDefault="0025342F"/>
    <w:p w14:paraId="34B6E404" w14:textId="77777777" w:rsidR="0025342F" w:rsidRDefault="0025342F"/>
    <w:p w14:paraId="694C450F" w14:textId="77777777" w:rsidR="0025342F" w:rsidRDefault="0025342F"/>
    <w:p w14:paraId="0BC3E6CB" w14:textId="77777777" w:rsidR="00B70311" w:rsidRDefault="00B70311"/>
    <w:p w14:paraId="1B3E520E" w14:textId="483128A5" w:rsidR="008E7995" w:rsidRDefault="008E7995" w:rsidP="008E7995">
      <w:pPr>
        <w:pStyle w:val="Heading1"/>
      </w:pPr>
      <w:bookmarkStart w:id="83" w:name="_Toc227939071"/>
      <w:r w:rsidRPr="008E7995">
        <w:lastRenderedPageBreak/>
        <w:t>Appendices</w:t>
      </w:r>
      <w:bookmarkEnd w:id="83"/>
    </w:p>
    <w:p w14:paraId="40169A04" w14:textId="2AEF2CF3" w:rsidR="00F524FB" w:rsidRDefault="00F524FB" w:rsidP="00F524FB">
      <w:pPr>
        <w:pStyle w:val="Heading2"/>
      </w:pPr>
      <w:bookmarkStart w:id="84" w:name="_Toc227939072"/>
      <w:r>
        <w:t>Excel sheet</w:t>
      </w:r>
      <w:bookmarkEnd w:id="84"/>
    </w:p>
    <w:p w14:paraId="66665253" w14:textId="1CF71F4E" w:rsidR="00F524FB" w:rsidRDefault="006C5128" w:rsidP="00F524FB">
      <w:r>
        <w:rPr>
          <w:noProof/>
        </w:rPr>
        <w:object w:dxaOrig="1532" w:dyaOrig="991" w14:anchorId="6B0F4A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55pt;height:50.3pt;mso-width-percent:0;mso-height-percent:0;mso-width-percent:0;mso-height-percent:0" o:ole="">
            <v:imagedata r:id="rId79" o:title=""/>
          </v:shape>
          <o:OLEObject Type="Embed" ProgID="Excel.Sheet.12" ShapeID="_x0000_i1025" DrawAspect="Icon" ObjectID="_1838536028" r:id="rId80"/>
        </w:object>
      </w:r>
    </w:p>
    <w:p w14:paraId="6461D730" w14:textId="77777777" w:rsidR="002952B2" w:rsidRPr="00F524FB" w:rsidRDefault="002952B2" w:rsidP="00F524FB"/>
    <w:p w14:paraId="184C62FD" w14:textId="5459BF1E" w:rsidR="008E7995" w:rsidRDefault="008E7995" w:rsidP="008E7995">
      <w:pPr>
        <w:pStyle w:val="Heading2"/>
      </w:pPr>
      <w:bookmarkStart w:id="85" w:name="_Toc227939073"/>
      <w:r w:rsidRPr="008E7995">
        <w:t>Ratio Analysis</w:t>
      </w:r>
      <w:bookmarkEnd w:id="85"/>
      <w:r w:rsidRPr="008E7995">
        <w:t xml:space="preserve"> </w:t>
      </w:r>
    </w:p>
    <w:p w14:paraId="19CF70CD" w14:textId="48B4ECC3" w:rsidR="008E7995" w:rsidRDefault="00FF05EF" w:rsidP="008E7995">
      <w:r w:rsidRPr="00FF05EF">
        <w:t>Profitability</w:t>
      </w:r>
    </w:p>
    <w:tbl>
      <w:tblPr>
        <w:tblW w:w="5000" w:type="pct"/>
        <w:tblLook w:val="04A0" w:firstRow="1" w:lastRow="0" w:firstColumn="1" w:lastColumn="0" w:noHBand="0" w:noVBand="1"/>
      </w:tblPr>
      <w:tblGrid>
        <w:gridCol w:w="4334"/>
        <w:gridCol w:w="962"/>
        <w:gridCol w:w="962"/>
        <w:gridCol w:w="961"/>
        <w:gridCol w:w="961"/>
        <w:gridCol w:w="961"/>
        <w:gridCol w:w="219"/>
      </w:tblGrid>
      <w:tr w:rsidR="00B70311" w:rsidRPr="00B70311" w14:paraId="56FAD318" w14:textId="77777777" w:rsidTr="00B70311">
        <w:trPr>
          <w:gridAfter w:val="1"/>
          <w:wAfter w:w="70" w:type="pct"/>
          <w:trHeight w:val="480"/>
        </w:trPr>
        <w:tc>
          <w:tcPr>
            <w:tcW w:w="4930" w:type="pct"/>
            <w:gridSpan w:val="6"/>
            <w:vMerge w:val="restart"/>
            <w:tcBorders>
              <w:top w:val="nil"/>
              <w:left w:val="nil"/>
              <w:bottom w:val="nil"/>
              <w:right w:val="nil"/>
            </w:tcBorders>
            <w:noWrap/>
            <w:vAlign w:val="center"/>
            <w:hideMark/>
          </w:tcPr>
          <w:p w14:paraId="72C3A76C" w14:textId="77777777" w:rsidR="00B70311" w:rsidRPr="00B70311" w:rsidRDefault="00B70311" w:rsidP="00B70311">
            <w:pPr>
              <w:spacing w:after="0" w:line="240" w:lineRule="auto"/>
              <w:jc w:val="center"/>
              <w:rPr>
                <w:rFonts w:eastAsia="Times New Roman" w:cs="Arial"/>
                <w:b/>
                <w:bCs/>
                <w:color w:val="7E350E"/>
                <w:kern w:val="0"/>
                <w:sz w:val="36"/>
                <w:szCs w:val="36"/>
                <w14:ligatures w14:val="none"/>
              </w:rPr>
            </w:pPr>
            <w:r w:rsidRPr="00B70311">
              <w:rPr>
                <w:rFonts w:eastAsia="Times New Roman" w:cs="Arial"/>
                <w:b/>
                <w:bCs/>
                <w:color w:val="7E350E"/>
                <w:kern w:val="0"/>
                <w:sz w:val="36"/>
                <w:szCs w:val="36"/>
                <w14:ligatures w14:val="none"/>
              </w:rPr>
              <w:t>Hyundai Profitability</w:t>
            </w:r>
          </w:p>
        </w:tc>
      </w:tr>
      <w:tr w:rsidR="00B70311" w:rsidRPr="00B70311" w14:paraId="791AB5CE" w14:textId="77777777" w:rsidTr="00B70311">
        <w:trPr>
          <w:trHeight w:val="300"/>
        </w:trPr>
        <w:tc>
          <w:tcPr>
            <w:tcW w:w="4930" w:type="pct"/>
            <w:gridSpan w:val="6"/>
            <w:vMerge/>
            <w:tcBorders>
              <w:top w:val="nil"/>
              <w:left w:val="nil"/>
              <w:bottom w:val="nil"/>
              <w:right w:val="nil"/>
            </w:tcBorders>
            <w:vAlign w:val="center"/>
            <w:hideMark/>
          </w:tcPr>
          <w:p w14:paraId="6F81191B" w14:textId="77777777" w:rsidR="00B70311" w:rsidRPr="00B70311" w:rsidRDefault="00B70311" w:rsidP="00B70311">
            <w:pPr>
              <w:spacing w:after="0" w:line="240" w:lineRule="auto"/>
              <w:jc w:val="left"/>
              <w:rPr>
                <w:rFonts w:eastAsia="Times New Roman" w:cs="Arial"/>
                <w:b/>
                <w:bCs/>
                <w:color w:val="7E350E"/>
                <w:kern w:val="0"/>
                <w:sz w:val="36"/>
                <w:szCs w:val="36"/>
                <w14:ligatures w14:val="none"/>
              </w:rPr>
            </w:pPr>
          </w:p>
        </w:tc>
        <w:tc>
          <w:tcPr>
            <w:tcW w:w="70" w:type="pct"/>
            <w:tcBorders>
              <w:top w:val="nil"/>
              <w:left w:val="nil"/>
              <w:bottom w:val="nil"/>
              <w:right w:val="nil"/>
            </w:tcBorders>
            <w:noWrap/>
            <w:vAlign w:val="bottom"/>
            <w:hideMark/>
          </w:tcPr>
          <w:p w14:paraId="46AD1566" w14:textId="77777777" w:rsidR="00B70311" w:rsidRPr="00B70311" w:rsidRDefault="00B70311" w:rsidP="00B70311">
            <w:pPr>
              <w:spacing w:after="0" w:line="240" w:lineRule="auto"/>
              <w:jc w:val="center"/>
              <w:rPr>
                <w:rFonts w:eastAsia="Times New Roman" w:cs="Arial"/>
                <w:b/>
                <w:bCs/>
                <w:color w:val="7E350E"/>
                <w:kern w:val="0"/>
                <w:sz w:val="36"/>
                <w:szCs w:val="36"/>
                <w14:ligatures w14:val="none"/>
              </w:rPr>
            </w:pPr>
          </w:p>
        </w:tc>
      </w:tr>
      <w:tr w:rsidR="00B70311" w:rsidRPr="00B70311" w14:paraId="14B6EDC4" w14:textId="77777777" w:rsidTr="00B70311">
        <w:trPr>
          <w:trHeight w:val="315"/>
        </w:trPr>
        <w:tc>
          <w:tcPr>
            <w:tcW w:w="2478" w:type="pct"/>
            <w:tcBorders>
              <w:top w:val="nil"/>
              <w:left w:val="nil"/>
              <w:bottom w:val="nil"/>
              <w:right w:val="nil"/>
            </w:tcBorders>
            <w:noWrap/>
            <w:vAlign w:val="bottom"/>
            <w:hideMark/>
          </w:tcPr>
          <w:p w14:paraId="10BD922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39DA96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277D0B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298E0A1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924FA0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2A97CB4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1C5F727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8DFB3C0"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48CC23F6"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Gross Profit Margin</w:t>
            </w:r>
          </w:p>
        </w:tc>
        <w:tc>
          <w:tcPr>
            <w:tcW w:w="70" w:type="pct"/>
            <w:vAlign w:val="center"/>
            <w:hideMark/>
          </w:tcPr>
          <w:p w14:paraId="5A8C713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65D9A05"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18FFC11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26A052B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6F9341B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7F4D5C53"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55DBE1C0"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6F70577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43D9675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B5AC0F2"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4FEA7480"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Gross Profit (KRW mn)</w:t>
            </w:r>
          </w:p>
        </w:tc>
        <w:tc>
          <w:tcPr>
            <w:tcW w:w="490" w:type="pct"/>
            <w:tcBorders>
              <w:top w:val="nil"/>
              <w:left w:val="nil"/>
              <w:bottom w:val="single" w:sz="4" w:space="0" w:color="auto"/>
              <w:right w:val="single" w:sz="4" w:space="0" w:color="auto"/>
            </w:tcBorders>
            <w:noWrap/>
            <w:vAlign w:val="bottom"/>
            <w:hideMark/>
          </w:tcPr>
          <w:p w14:paraId="708445A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18,481,670</w:t>
            </w:r>
          </w:p>
        </w:tc>
        <w:tc>
          <w:tcPr>
            <w:tcW w:w="490" w:type="pct"/>
            <w:tcBorders>
              <w:top w:val="nil"/>
              <w:left w:val="nil"/>
              <w:bottom w:val="single" w:sz="4" w:space="0" w:color="auto"/>
              <w:right w:val="single" w:sz="4" w:space="0" w:color="auto"/>
            </w:tcBorders>
            <w:noWrap/>
            <w:vAlign w:val="bottom"/>
            <w:hideMark/>
          </w:tcPr>
          <w:p w14:paraId="1D716B9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21,930,495</w:t>
            </w:r>
          </w:p>
        </w:tc>
        <w:tc>
          <w:tcPr>
            <w:tcW w:w="490" w:type="pct"/>
            <w:tcBorders>
              <w:top w:val="nil"/>
              <w:left w:val="nil"/>
              <w:bottom w:val="single" w:sz="4" w:space="0" w:color="auto"/>
              <w:right w:val="single" w:sz="4" w:space="0" w:color="auto"/>
            </w:tcBorders>
            <w:noWrap/>
            <w:vAlign w:val="bottom"/>
            <w:hideMark/>
          </w:tcPr>
          <w:p w14:paraId="2338673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28,318,052</w:t>
            </w:r>
          </w:p>
        </w:tc>
        <w:tc>
          <w:tcPr>
            <w:tcW w:w="490" w:type="pct"/>
            <w:tcBorders>
              <w:top w:val="nil"/>
              <w:left w:val="nil"/>
              <w:bottom w:val="single" w:sz="4" w:space="0" w:color="auto"/>
              <w:right w:val="single" w:sz="4" w:space="0" w:color="auto"/>
            </w:tcBorders>
            <w:noWrap/>
            <w:vAlign w:val="bottom"/>
            <w:hideMark/>
          </w:tcPr>
          <w:p w14:paraId="45DCF5D6"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33,484,396</w:t>
            </w:r>
          </w:p>
        </w:tc>
        <w:tc>
          <w:tcPr>
            <w:tcW w:w="490" w:type="pct"/>
            <w:tcBorders>
              <w:top w:val="nil"/>
              <w:left w:val="nil"/>
              <w:bottom w:val="single" w:sz="4" w:space="0" w:color="auto"/>
              <w:right w:val="single" w:sz="4" w:space="0" w:color="auto"/>
            </w:tcBorders>
            <w:noWrap/>
            <w:vAlign w:val="bottom"/>
            <w:hideMark/>
          </w:tcPr>
          <w:p w14:paraId="48CFDD7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35,749,207</w:t>
            </w:r>
          </w:p>
        </w:tc>
        <w:tc>
          <w:tcPr>
            <w:tcW w:w="70" w:type="pct"/>
            <w:vAlign w:val="center"/>
            <w:hideMark/>
          </w:tcPr>
          <w:p w14:paraId="696F3BEC"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DE65839"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13A8F98E"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Revenue (KRW mn)</w:t>
            </w:r>
          </w:p>
        </w:tc>
        <w:tc>
          <w:tcPr>
            <w:tcW w:w="490" w:type="pct"/>
            <w:tcBorders>
              <w:top w:val="nil"/>
              <w:left w:val="nil"/>
              <w:bottom w:val="single" w:sz="4" w:space="0" w:color="auto"/>
              <w:right w:val="single" w:sz="4" w:space="0" w:color="auto"/>
            </w:tcBorders>
            <w:noWrap/>
            <w:vAlign w:val="bottom"/>
            <w:hideMark/>
          </w:tcPr>
          <w:p w14:paraId="547A76F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103,997,601</w:t>
            </w:r>
          </w:p>
        </w:tc>
        <w:tc>
          <w:tcPr>
            <w:tcW w:w="490" w:type="pct"/>
            <w:tcBorders>
              <w:top w:val="nil"/>
              <w:left w:val="nil"/>
              <w:bottom w:val="single" w:sz="4" w:space="0" w:color="auto"/>
              <w:right w:val="single" w:sz="4" w:space="0" w:color="auto"/>
            </w:tcBorders>
            <w:noWrap/>
            <w:vAlign w:val="bottom"/>
            <w:hideMark/>
          </w:tcPr>
          <w:p w14:paraId="79325B9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117,610,626</w:t>
            </w:r>
          </w:p>
        </w:tc>
        <w:tc>
          <w:tcPr>
            <w:tcW w:w="490" w:type="pct"/>
            <w:tcBorders>
              <w:top w:val="nil"/>
              <w:left w:val="nil"/>
              <w:bottom w:val="single" w:sz="4" w:space="0" w:color="auto"/>
              <w:right w:val="single" w:sz="4" w:space="0" w:color="auto"/>
            </w:tcBorders>
            <w:noWrap/>
            <w:vAlign w:val="bottom"/>
            <w:hideMark/>
          </w:tcPr>
          <w:p w14:paraId="1BF067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142,527,535</w:t>
            </w:r>
          </w:p>
        </w:tc>
        <w:tc>
          <w:tcPr>
            <w:tcW w:w="490" w:type="pct"/>
            <w:tcBorders>
              <w:top w:val="nil"/>
              <w:left w:val="nil"/>
              <w:bottom w:val="single" w:sz="4" w:space="0" w:color="auto"/>
              <w:right w:val="single" w:sz="4" w:space="0" w:color="auto"/>
            </w:tcBorders>
            <w:noWrap/>
            <w:vAlign w:val="bottom"/>
            <w:hideMark/>
          </w:tcPr>
          <w:p w14:paraId="70BABEA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162,663,579</w:t>
            </w:r>
          </w:p>
        </w:tc>
        <w:tc>
          <w:tcPr>
            <w:tcW w:w="490" w:type="pct"/>
            <w:tcBorders>
              <w:top w:val="nil"/>
              <w:left w:val="nil"/>
              <w:bottom w:val="single" w:sz="4" w:space="0" w:color="auto"/>
              <w:right w:val="single" w:sz="4" w:space="0" w:color="auto"/>
            </w:tcBorders>
            <w:noWrap/>
            <w:vAlign w:val="bottom"/>
            <w:hideMark/>
          </w:tcPr>
          <w:p w14:paraId="4730819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175,231,153</w:t>
            </w:r>
          </w:p>
        </w:tc>
        <w:tc>
          <w:tcPr>
            <w:tcW w:w="70" w:type="pct"/>
            <w:vAlign w:val="center"/>
            <w:hideMark/>
          </w:tcPr>
          <w:p w14:paraId="2AE7E91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91A894B"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8D34B04"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Gross Profit Margin = Gross Profit ÷ Revenue × 100</w:t>
            </w:r>
          </w:p>
        </w:tc>
        <w:tc>
          <w:tcPr>
            <w:tcW w:w="490" w:type="pct"/>
            <w:tcBorders>
              <w:top w:val="nil"/>
              <w:left w:val="nil"/>
              <w:bottom w:val="single" w:sz="4" w:space="0" w:color="auto"/>
              <w:right w:val="single" w:sz="4" w:space="0" w:color="auto"/>
            </w:tcBorders>
            <w:noWrap/>
            <w:vAlign w:val="bottom"/>
            <w:hideMark/>
          </w:tcPr>
          <w:p w14:paraId="4CF196C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17.77%</w:t>
            </w:r>
          </w:p>
        </w:tc>
        <w:tc>
          <w:tcPr>
            <w:tcW w:w="490" w:type="pct"/>
            <w:tcBorders>
              <w:top w:val="nil"/>
              <w:left w:val="nil"/>
              <w:bottom w:val="single" w:sz="4" w:space="0" w:color="auto"/>
              <w:right w:val="single" w:sz="4" w:space="0" w:color="auto"/>
            </w:tcBorders>
            <w:noWrap/>
            <w:vAlign w:val="bottom"/>
            <w:hideMark/>
          </w:tcPr>
          <w:p w14:paraId="6B32C8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18.65%</w:t>
            </w:r>
          </w:p>
        </w:tc>
        <w:tc>
          <w:tcPr>
            <w:tcW w:w="490" w:type="pct"/>
            <w:tcBorders>
              <w:top w:val="nil"/>
              <w:left w:val="nil"/>
              <w:bottom w:val="single" w:sz="4" w:space="0" w:color="auto"/>
              <w:right w:val="single" w:sz="4" w:space="0" w:color="auto"/>
            </w:tcBorders>
            <w:noWrap/>
            <w:vAlign w:val="bottom"/>
            <w:hideMark/>
          </w:tcPr>
          <w:p w14:paraId="163E1AE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19.87%</w:t>
            </w:r>
          </w:p>
        </w:tc>
        <w:tc>
          <w:tcPr>
            <w:tcW w:w="490" w:type="pct"/>
            <w:tcBorders>
              <w:top w:val="nil"/>
              <w:left w:val="nil"/>
              <w:bottom w:val="single" w:sz="4" w:space="0" w:color="auto"/>
              <w:right w:val="single" w:sz="4" w:space="0" w:color="auto"/>
            </w:tcBorders>
            <w:noWrap/>
            <w:vAlign w:val="bottom"/>
            <w:hideMark/>
          </w:tcPr>
          <w:p w14:paraId="679A54C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20.59%</w:t>
            </w:r>
          </w:p>
        </w:tc>
        <w:tc>
          <w:tcPr>
            <w:tcW w:w="490" w:type="pct"/>
            <w:tcBorders>
              <w:top w:val="nil"/>
              <w:left w:val="nil"/>
              <w:bottom w:val="single" w:sz="4" w:space="0" w:color="auto"/>
              <w:right w:val="single" w:sz="4" w:space="0" w:color="auto"/>
            </w:tcBorders>
            <w:noWrap/>
            <w:vAlign w:val="bottom"/>
            <w:hideMark/>
          </w:tcPr>
          <w:p w14:paraId="26B40A4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20.40%</w:t>
            </w:r>
          </w:p>
        </w:tc>
        <w:tc>
          <w:tcPr>
            <w:tcW w:w="70" w:type="pct"/>
            <w:vAlign w:val="center"/>
            <w:hideMark/>
          </w:tcPr>
          <w:p w14:paraId="63FA018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7C843F07" w14:textId="77777777" w:rsidTr="00B70311">
        <w:trPr>
          <w:trHeight w:val="315"/>
        </w:trPr>
        <w:tc>
          <w:tcPr>
            <w:tcW w:w="2478" w:type="pct"/>
            <w:tcBorders>
              <w:top w:val="nil"/>
              <w:left w:val="nil"/>
              <w:bottom w:val="nil"/>
              <w:right w:val="nil"/>
            </w:tcBorders>
            <w:noWrap/>
            <w:vAlign w:val="bottom"/>
            <w:hideMark/>
          </w:tcPr>
          <w:p w14:paraId="5A11BA84"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752D439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487492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50D5D4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CBFD1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5CA312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78CD716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F0B3595" w14:textId="77777777" w:rsidTr="00B70311">
        <w:trPr>
          <w:trHeight w:val="315"/>
        </w:trPr>
        <w:tc>
          <w:tcPr>
            <w:tcW w:w="2478" w:type="pct"/>
            <w:tcBorders>
              <w:top w:val="nil"/>
              <w:left w:val="nil"/>
              <w:bottom w:val="nil"/>
              <w:right w:val="nil"/>
            </w:tcBorders>
            <w:noWrap/>
            <w:vAlign w:val="bottom"/>
            <w:hideMark/>
          </w:tcPr>
          <w:p w14:paraId="7872DB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967A68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86CA5D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B24162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272D49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A51CF4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7F8A131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9A9AA18"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1C1376C3"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Net Profit Margin</w:t>
            </w:r>
          </w:p>
        </w:tc>
        <w:tc>
          <w:tcPr>
            <w:tcW w:w="70" w:type="pct"/>
            <w:vAlign w:val="center"/>
            <w:hideMark/>
          </w:tcPr>
          <w:p w14:paraId="31BFE46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581CC14"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6CEF256B"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2D7B7DB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7593D63C"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438EB16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5439D00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48EF9608"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2A5B8EC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40A5D5A"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F7ED5F0"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Income (KRW mn)</w:t>
            </w:r>
          </w:p>
        </w:tc>
        <w:tc>
          <w:tcPr>
            <w:tcW w:w="490" w:type="pct"/>
            <w:tcBorders>
              <w:top w:val="nil"/>
              <w:left w:val="nil"/>
              <w:bottom w:val="single" w:sz="4" w:space="0" w:color="auto"/>
              <w:right w:val="single" w:sz="4" w:space="0" w:color="auto"/>
            </w:tcBorders>
            <w:noWrap/>
            <w:vAlign w:val="bottom"/>
            <w:hideMark/>
          </w:tcPr>
          <w:p w14:paraId="2FE2144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1,924,553</w:t>
            </w:r>
          </w:p>
        </w:tc>
        <w:tc>
          <w:tcPr>
            <w:tcW w:w="490" w:type="pct"/>
            <w:tcBorders>
              <w:top w:val="nil"/>
              <w:left w:val="nil"/>
              <w:bottom w:val="single" w:sz="4" w:space="0" w:color="auto"/>
              <w:right w:val="single" w:sz="4" w:space="0" w:color="auto"/>
            </w:tcBorders>
            <w:noWrap/>
            <w:vAlign w:val="bottom"/>
            <w:hideMark/>
          </w:tcPr>
          <w:p w14:paraId="0F30DB8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5,693,077</w:t>
            </w:r>
          </w:p>
        </w:tc>
        <w:tc>
          <w:tcPr>
            <w:tcW w:w="490" w:type="pct"/>
            <w:tcBorders>
              <w:top w:val="nil"/>
              <w:left w:val="nil"/>
              <w:bottom w:val="single" w:sz="4" w:space="0" w:color="auto"/>
              <w:right w:val="single" w:sz="4" w:space="0" w:color="auto"/>
            </w:tcBorders>
            <w:noWrap/>
            <w:vAlign w:val="bottom"/>
            <w:hideMark/>
          </w:tcPr>
          <w:p w14:paraId="6063C8C6"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7,983,614</w:t>
            </w:r>
          </w:p>
        </w:tc>
        <w:tc>
          <w:tcPr>
            <w:tcW w:w="490" w:type="pct"/>
            <w:tcBorders>
              <w:top w:val="nil"/>
              <w:left w:val="nil"/>
              <w:bottom w:val="single" w:sz="4" w:space="0" w:color="auto"/>
              <w:right w:val="single" w:sz="4" w:space="0" w:color="auto"/>
            </w:tcBorders>
            <w:noWrap/>
            <w:vAlign w:val="bottom"/>
            <w:hideMark/>
          </w:tcPr>
          <w:p w14:paraId="6F1A4D3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12,272,301</w:t>
            </w:r>
          </w:p>
        </w:tc>
        <w:tc>
          <w:tcPr>
            <w:tcW w:w="490" w:type="pct"/>
            <w:tcBorders>
              <w:top w:val="nil"/>
              <w:left w:val="nil"/>
              <w:bottom w:val="single" w:sz="4" w:space="0" w:color="auto"/>
              <w:right w:val="single" w:sz="4" w:space="0" w:color="auto"/>
            </w:tcBorders>
            <w:noWrap/>
            <w:vAlign w:val="bottom"/>
            <w:hideMark/>
          </w:tcPr>
          <w:p w14:paraId="5F11F9E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13,229,908</w:t>
            </w:r>
          </w:p>
        </w:tc>
        <w:tc>
          <w:tcPr>
            <w:tcW w:w="70" w:type="pct"/>
            <w:vAlign w:val="center"/>
            <w:hideMark/>
          </w:tcPr>
          <w:p w14:paraId="4FADA7C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100C207"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CAC1A4A"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Revenue (KRW mn)</w:t>
            </w:r>
          </w:p>
        </w:tc>
        <w:tc>
          <w:tcPr>
            <w:tcW w:w="490" w:type="pct"/>
            <w:tcBorders>
              <w:top w:val="nil"/>
              <w:left w:val="nil"/>
              <w:bottom w:val="single" w:sz="4" w:space="0" w:color="auto"/>
              <w:right w:val="single" w:sz="4" w:space="0" w:color="auto"/>
            </w:tcBorders>
            <w:noWrap/>
            <w:vAlign w:val="bottom"/>
            <w:hideMark/>
          </w:tcPr>
          <w:p w14:paraId="6179657E"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103,997,601</w:t>
            </w:r>
          </w:p>
        </w:tc>
        <w:tc>
          <w:tcPr>
            <w:tcW w:w="490" w:type="pct"/>
            <w:tcBorders>
              <w:top w:val="nil"/>
              <w:left w:val="nil"/>
              <w:bottom w:val="single" w:sz="4" w:space="0" w:color="auto"/>
              <w:right w:val="single" w:sz="4" w:space="0" w:color="auto"/>
            </w:tcBorders>
            <w:noWrap/>
            <w:vAlign w:val="bottom"/>
            <w:hideMark/>
          </w:tcPr>
          <w:p w14:paraId="0937801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117,610,626</w:t>
            </w:r>
          </w:p>
        </w:tc>
        <w:tc>
          <w:tcPr>
            <w:tcW w:w="490" w:type="pct"/>
            <w:tcBorders>
              <w:top w:val="nil"/>
              <w:left w:val="nil"/>
              <w:bottom w:val="single" w:sz="4" w:space="0" w:color="auto"/>
              <w:right w:val="single" w:sz="4" w:space="0" w:color="auto"/>
            </w:tcBorders>
            <w:noWrap/>
            <w:vAlign w:val="bottom"/>
            <w:hideMark/>
          </w:tcPr>
          <w:p w14:paraId="3139F31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142,527,535</w:t>
            </w:r>
          </w:p>
        </w:tc>
        <w:tc>
          <w:tcPr>
            <w:tcW w:w="490" w:type="pct"/>
            <w:tcBorders>
              <w:top w:val="nil"/>
              <w:left w:val="nil"/>
              <w:bottom w:val="single" w:sz="4" w:space="0" w:color="auto"/>
              <w:right w:val="single" w:sz="4" w:space="0" w:color="auto"/>
            </w:tcBorders>
            <w:noWrap/>
            <w:vAlign w:val="bottom"/>
            <w:hideMark/>
          </w:tcPr>
          <w:p w14:paraId="172F48B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162,663,579</w:t>
            </w:r>
          </w:p>
        </w:tc>
        <w:tc>
          <w:tcPr>
            <w:tcW w:w="490" w:type="pct"/>
            <w:tcBorders>
              <w:top w:val="nil"/>
              <w:left w:val="nil"/>
              <w:bottom w:val="single" w:sz="4" w:space="0" w:color="auto"/>
              <w:right w:val="single" w:sz="4" w:space="0" w:color="auto"/>
            </w:tcBorders>
            <w:noWrap/>
            <w:vAlign w:val="bottom"/>
            <w:hideMark/>
          </w:tcPr>
          <w:p w14:paraId="0C05776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175,231,153</w:t>
            </w:r>
          </w:p>
        </w:tc>
        <w:tc>
          <w:tcPr>
            <w:tcW w:w="70" w:type="pct"/>
            <w:vAlign w:val="center"/>
            <w:hideMark/>
          </w:tcPr>
          <w:p w14:paraId="48C1E1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7C1807F"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5205BBD"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Profit Margin = Net Profit ÷ Revenue × 100</w:t>
            </w:r>
          </w:p>
        </w:tc>
        <w:tc>
          <w:tcPr>
            <w:tcW w:w="490" w:type="pct"/>
            <w:tcBorders>
              <w:top w:val="nil"/>
              <w:left w:val="nil"/>
              <w:bottom w:val="single" w:sz="4" w:space="0" w:color="auto"/>
              <w:right w:val="single" w:sz="4" w:space="0" w:color="auto"/>
            </w:tcBorders>
            <w:noWrap/>
            <w:vAlign w:val="bottom"/>
            <w:hideMark/>
          </w:tcPr>
          <w:p w14:paraId="656C294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1.85%</w:t>
            </w:r>
          </w:p>
        </w:tc>
        <w:tc>
          <w:tcPr>
            <w:tcW w:w="490" w:type="pct"/>
            <w:tcBorders>
              <w:top w:val="nil"/>
              <w:left w:val="nil"/>
              <w:bottom w:val="single" w:sz="4" w:space="0" w:color="auto"/>
              <w:right w:val="single" w:sz="4" w:space="0" w:color="auto"/>
            </w:tcBorders>
            <w:noWrap/>
            <w:vAlign w:val="bottom"/>
            <w:hideMark/>
          </w:tcPr>
          <w:p w14:paraId="0178EE9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4.84%</w:t>
            </w:r>
          </w:p>
        </w:tc>
        <w:tc>
          <w:tcPr>
            <w:tcW w:w="490" w:type="pct"/>
            <w:tcBorders>
              <w:top w:val="nil"/>
              <w:left w:val="nil"/>
              <w:bottom w:val="single" w:sz="4" w:space="0" w:color="auto"/>
              <w:right w:val="single" w:sz="4" w:space="0" w:color="auto"/>
            </w:tcBorders>
            <w:noWrap/>
            <w:vAlign w:val="bottom"/>
            <w:hideMark/>
          </w:tcPr>
          <w:p w14:paraId="176640F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5.60%</w:t>
            </w:r>
          </w:p>
        </w:tc>
        <w:tc>
          <w:tcPr>
            <w:tcW w:w="490" w:type="pct"/>
            <w:tcBorders>
              <w:top w:val="nil"/>
              <w:left w:val="nil"/>
              <w:bottom w:val="single" w:sz="4" w:space="0" w:color="auto"/>
              <w:right w:val="single" w:sz="4" w:space="0" w:color="auto"/>
            </w:tcBorders>
            <w:noWrap/>
            <w:vAlign w:val="bottom"/>
            <w:hideMark/>
          </w:tcPr>
          <w:p w14:paraId="48D643D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7.54%</w:t>
            </w:r>
          </w:p>
        </w:tc>
        <w:tc>
          <w:tcPr>
            <w:tcW w:w="490" w:type="pct"/>
            <w:tcBorders>
              <w:top w:val="nil"/>
              <w:left w:val="nil"/>
              <w:bottom w:val="single" w:sz="4" w:space="0" w:color="auto"/>
              <w:right w:val="single" w:sz="4" w:space="0" w:color="auto"/>
            </w:tcBorders>
            <w:noWrap/>
            <w:vAlign w:val="bottom"/>
            <w:hideMark/>
          </w:tcPr>
          <w:p w14:paraId="5EF4FF0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7.55%</w:t>
            </w:r>
          </w:p>
        </w:tc>
        <w:tc>
          <w:tcPr>
            <w:tcW w:w="70" w:type="pct"/>
            <w:vAlign w:val="center"/>
            <w:hideMark/>
          </w:tcPr>
          <w:p w14:paraId="77E8C45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B95EAE6" w14:textId="77777777" w:rsidTr="00B70311">
        <w:trPr>
          <w:trHeight w:val="315"/>
        </w:trPr>
        <w:tc>
          <w:tcPr>
            <w:tcW w:w="2478" w:type="pct"/>
            <w:tcBorders>
              <w:top w:val="nil"/>
              <w:left w:val="nil"/>
              <w:bottom w:val="nil"/>
              <w:right w:val="nil"/>
            </w:tcBorders>
            <w:noWrap/>
            <w:vAlign w:val="bottom"/>
            <w:hideMark/>
          </w:tcPr>
          <w:p w14:paraId="156B4CD9"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506FE9F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06F66F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CCF1C4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07DA3E5"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F054DA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6980C1C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8178673" w14:textId="77777777" w:rsidTr="00B70311">
        <w:trPr>
          <w:trHeight w:val="315"/>
        </w:trPr>
        <w:tc>
          <w:tcPr>
            <w:tcW w:w="2478" w:type="pct"/>
            <w:tcBorders>
              <w:top w:val="nil"/>
              <w:left w:val="nil"/>
              <w:bottom w:val="nil"/>
              <w:right w:val="nil"/>
            </w:tcBorders>
            <w:noWrap/>
            <w:vAlign w:val="bottom"/>
            <w:hideMark/>
          </w:tcPr>
          <w:p w14:paraId="11612E9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845BADC"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61E7FD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B1BF10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9F9F4F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538027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30C2B14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733A852"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798DB03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Operating Profit Margin</w:t>
            </w:r>
          </w:p>
        </w:tc>
        <w:tc>
          <w:tcPr>
            <w:tcW w:w="70" w:type="pct"/>
            <w:vAlign w:val="center"/>
            <w:hideMark/>
          </w:tcPr>
          <w:p w14:paraId="4BADD79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FB159D9"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43CD390A"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33121A03"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587CB5B6"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4353F20A"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06794B3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76465D4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0476769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8137684"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61D0BA7D"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Operating Income (KRW mn)</w:t>
            </w:r>
          </w:p>
        </w:tc>
        <w:tc>
          <w:tcPr>
            <w:tcW w:w="490" w:type="pct"/>
            <w:tcBorders>
              <w:top w:val="nil"/>
              <w:left w:val="nil"/>
              <w:bottom w:val="single" w:sz="4" w:space="0" w:color="auto"/>
              <w:right w:val="single" w:sz="4" w:space="0" w:color="auto"/>
            </w:tcBorders>
            <w:noWrap/>
            <w:vAlign w:val="bottom"/>
            <w:hideMark/>
          </w:tcPr>
          <w:p w14:paraId="1F8F336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2,394,671</w:t>
            </w:r>
          </w:p>
        </w:tc>
        <w:tc>
          <w:tcPr>
            <w:tcW w:w="490" w:type="pct"/>
            <w:tcBorders>
              <w:top w:val="nil"/>
              <w:left w:val="nil"/>
              <w:bottom w:val="single" w:sz="4" w:space="0" w:color="auto"/>
              <w:right w:val="single" w:sz="4" w:space="0" w:color="auto"/>
            </w:tcBorders>
            <w:noWrap/>
            <w:vAlign w:val="bottom"/>
            <w:hideMark/>
          </w:tcPr>
          <w:p w14:paraId="53B33EF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6,678,949</w:t>
            </w:r>
          </w:p>
        </w:tc>
        <w:tc>
          <w:tcPr>
            <w:tcW w:w="490" w:type="pct"/>
            <w:tcBorders>
              <w:top w:val="nil"/>
              <w:left w:val="nil"/>
              <w:bottom w:val="single" w:sz="4" w:space="0" w:color="auto"/>
              <w:right w:val="single" w:sz="4" w:space="0" w:color="auto"/>
            </w:tcBorders>
            <w:noWrap/>
            <w:vAlign w:val="bottom"/>
            <w:hideMark/>
          </w:tcPr>
          <w:p w14:paraId="1E83A06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9,819,769</w:t>
            </w:r>
          </w:p>
        </w:tc>
        <w:tc>
          <w:tcPr>
            <w:tcW w:w="490" w:type="pct"/>
            <w:tcBorders>
              <w:top w:val="nil"/>
              <w:left w:val="nil"/>
              <w:bottom w:val="single" w:sz="4" w:space="0" w:color="auto"/>
              <w:right w:val="single" w:sz="4" w:space="0" w:color="auto"/>
            </w:tcBorders>
            <w:noWrap/>
            <w:vAlign w:val="bottom"/>
            <w:hideMark/>
          </w:tcPr>
          <w:p w14:paraId="3AADC0B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15,126,901</w:t>
            </w:r>
          </w:p>
        </w:tc>
        <w:tc>
          <w:tcPr>
            <w:tcW w:w="490" w:type="pct"/>
            <w:tcBorders>
              <w:top w:val="nil"/>
              <w:left w:val="nil"/>
              <w:bottom w:val="single" w:sz="4" w:space="0" w:color="auto"/>
              <w:right w:val="single" w:sz="4" w:space="0" w:color="auto"/>
            </w:tcBorders>
            <w:noWrap/>
            <w:vAlign w:val="bottom"/>
            <w:hideMark/>
          </w:tcPr>
          <w:p w14:paraId="36C663B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14,239,592</w:t>
            </w:r>
          </w:p>
        </w:tc>
        <w:tc>
          <w:tcPr>
            <w:tcW w:w="70" w:type="pct"/>
            <w:vAlign w:val="center"/>
            <w:hideMark/>
          </w:tcPr>
          <w:p w14:paraId="73ECA21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09073E1"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7DB69345"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lastRenderedPageBreak/>
              <w:t>Revenue (KRW mn)</w:t>
            </w:r>
          </w:p>
        </w:tc>
        <w:tc>
          <w:tcPr>
            <w:tcW w:w="490" w:type="pct"/>
            <w:tcBorders>
              <w:top w:val="nil"/>
              <w:left w:val="nil"/>
              <w:bottom w:val="single" w:sz="4" w:space="0" w:color="auto"/>
              <w:right w:val="single" w:sz="4" w:space="0" w:color="auto"/>
            </w:tcBorders>
            <w:noWrap/>
            <w:vAlign w:val="bottom"/>
            <w:hideMark/>
          </w:tcPr>
          <w:p w14:paraId="603CBEC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103,997,601</w:t>
            </w:r>
          </w:p>
        </w:tc>
        <w:tc>
          <w:tcPr>
            <w:tcW w:w="490" w:type="pct"/>
            <w:tcBorders>
              <w:top w:val="nil"/>
              <w:left w:val="nil"/>
              <w:bottom w:val="single" w:sz="4" w:space="0" w:color="auto"/>
              <w:right w:val="single" w:sz="4" w:space="0" w:color="auto"/>
            </w:tcBorders>
            <w:noWrap/>
            <w:vAlign w:val="bottom"/>
            <w:hideMark/>
          </w:tcPr>
          <w:p w14:paraId="15704DF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117,610,626</w:t>
            </w:r>
          </w:p>
        </w:tc>
        <w:tc>
          <w:tcPr>
            <w:tcW w:w="490" w:type="pct"/>
            <w:tcBorders>
              <w:top w:val="nil"/>
              <w:left w:val="nil"/>
              <w:bottom w:val="single" w:sz="4" w:space="0" w:color="auto"/>
              <w:right w:val="single" w:sz="4" w:space="0" w:color="auto"/>
            </w:tcBorders>
            <w:noWrap/>
            <w:vAlign w:val="bottom"/>
            <w:hideMark/>
          </w:tcPr>
          <w:p w14:paraId="106C870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142,527,535</w:t>
            </w:r>
          </w:p>
        </w:tc>
        <w:tc>
          <w:tcPr>
            <w:tcW w:w="490" w:type="pct"/>
            <w:tcBorders>
              <w:top w:val="nil"/>
              <w:left w:val="nil"/>
              <w:bottom w:val="single" w:sz="4" w:space="0" w:color="auto"/>
              <w:right w:val="single" w:sz="4" w:space="0" w:color="auto"/>
            </w:tcBorders>
            <w:noWrap/>
            <w:vAlign w:val="bottom"/>
            <w:hideMark/>
          </w:tcPr>
          <w:p w14:paraId="2E84E026"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162,663,579</w:t>
            </w:r>
          </w:p>
        </w:tc>
        <w:tc>
          <w:tcPr>
            <w:tcW w:w="490" w:type="pct"/>
            <w:tcBorders>
              <w:top w:val="nil"/>
              <w:left w:val="nil"/>
              <w:bottom w:val="single" w:sz="4" w:space="0" w:color="auto"/>
              <w:right w:val="single" w:sz="4" w:space="0" w:color="auto"/>
            </w:tcBorders>
            <w:noWrap/>
            <w:vAlign w:val="bottom"/>
            <w:hideMark/>
          </w:tcPr>
          <w:p w14:paraId="3A97EC0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175,231,153</w:t>
            </w:r>
          </w:p>
        </w:tc>
        <w:tc>
          <w:tcPr>
            <w:tcW w:w="70" w:type="pct"/>
            <w:vAlign w:val="center"/>
            <w:hideMark/>
          </w:tcPr>
          <w:p w14:paraId="714649F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5CA7B32"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30BA4EFD"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Operating Profit Margin = Operating Profit ÷ Revenue × 100</w:t>
            </w:r>
          </w:p>
        </w:tc>
        <w:tc>
          <w:tcPr>
            <w:tcW w:w="490" w:type="pct"/>
            <w:tcBorders>
              <w:top w:val="nil"/>
              <w:left w:val="nil"/>
              <w:bottom w:val="single" w:sz="4" w:space="0" w:color="auto"/>
              <w:right w:val="single" w:sz="4" w:space="0" w:color="auto"/>
            </w:tcBorders>
            <w:noWrap/>
            <w:vAlign w:val="bottom"/>
            <w:hideMark/>
          </w:tcPr>
          <w:p w14:paraId="767507F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2.30%</w:t>
            </w:r>
          </w:p>
        </w:tc>
        <w:tc>
          <w:tcPr>
            <w:tcW w:w="490" w:type="pct"/>
            <w:tcBorders>
              <w:top w:val="nil"/>
              <w:left w:val="nil"/>
              <w:bottom w:val="single" w:sz="4" w:space="0" w:color="auto"/>
              <w:right w:val="single" w:sz="4" w:space="0" w:color="auto"/>
            </w:tcBorders>
            <w:noWrap/>
            <w:vAlign w:val="bottom"/>
            <w:hideMark/>
          </w:tcPr>
          <w:p w14:paraId="02C06B1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5.68%</w:t>
            </w:r>
          </w:p>
        </w:tc>
        <w:tc>
          <w:tcPr>
            <w:tcW w:w="490" w:type="pct"/>
            <w:tcBorders>
              <w:top w:val="nil"/>
              <w:left w:val="nil"/>
              <w:bottom w:val="single" w:sz="4" w:space="0" w:color="auto"/>
              <w:right w:val="single" w:sz="4" w:space="0" w:color="auto"/>
            </w:tcBorders>
            <w:noWrap/>
            <w:vAlign w:val="bottom"/>
            <w:hideMark/>
          </w:tcPr>
          <w:p w14:paraId="2AD87C9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6.89%</w:t>
            </w:r>
          </w:p>
        </w:tc>
        <w:tc>
          <w:tcPr>
            <w:tcW w:w="490" w:type="pct"/>
            <w:tcBorders>
              <w:top w:val="nil"/>
              <w:left w:val="nil"/>
              <w:bottom w:val="single" w:sz="4" w:space="0" w:color="auto"/>
              <w:right w:val="single" w:sz="4" w:space="0" w:color="auto"/>
            </w:tcBorders>
            <w:noWrap/>
            <w:vAlign w:val="bottom"/>
            <w:hideMark/>
          </w:tcPr>
          <w:p w14:paraId="4E315C2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9.30%</w:t>
            </w:r>
          </w:p>
        </w:tc>
        <w:tc>
          <w:tcPr>
            <w:tcW w:w="490" w:type="pct"/>
            <w:tcBorders>
              <w:top w:val="nil"/>
              <w:left w:val="nil"/>
              <w:bottom w:val="single" w:sz="4" w:space="0" w:color="auto"/>
              <w:right w:val="single" w:sz="4" w:space="0" w:color="auto"/>
            </w:tcBorders>
            <w:noWrap/>
            <w:vAlign w:val="bottom"/>
            <w:hideMark/>
          </w:tcPr>
          <w:p w14:paraId="56A9B2E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8.13%</w:t>
            </w:r>
          </w:p>
        </w:tc>
        <w:tc>
          <w:tcPr>
            <w:tcW w:w="70" w:type="pct"/>
            <w:vAlign w:val="center"/>
            <w:hideMark/>
          </w:tcPr>
          <w:p w14:paraId="4740A36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723856DC" w14:textId="77777777" w:rsidTr="00B70311">
        <w:trPr>
          <w:trHeight w:val="315"/>
        </w:trPr>
        <w:tc>
          <w:tcPr>
            <w:tcW w:w="2478" w:type="pct"/>
            <w:tcBorders>
              <w:top w:val="nil"/>
              <w:left w:val="nil"/>
              <w:bottom w:val="nil"/>
              <w:right w:val="nil"/>
            </w:tcBorders>
            <w:noWrap/>
            <w:vAlign w:val="bottom"/>
            <w:hideMark/>
          </w:tcPr>
          <w:p w14:paraId="13E4E48A"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4F203E8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230B83F5"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BD2095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13BD6FC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575F3F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791D404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7FE6B01" w14:textId="77777777" w:rsidTr="00B70311">
        <w:trPr>
          <w:trHeight w:val="315"/>
        </w:trPr>
        <w:tc>
          <w:tcPr>
            <w:tcW w:w="2478" w:type="pct"/>
            <w:tcBorders>
              <w:top w:val="nil"/>
              <w:left w:val="nil"/>
              <w:bottom w:val="nil"/>
              <w:right w:val="nil"/>
            </w:tcBorders>
            <w:noWrap/>
            <w:vAlign w:val="bottom"/>
            <w:hideMark/>
          </w:tcPr>
          <w:p w14:paraId="7669190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8F2ED8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A900E5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384055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ACCADB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932508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1A472FB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4DCFA0E"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365BD1F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Return on Assets (ROA)</w:t>
            </w:r>
          </w:p>
        </w:tc>
        <w:tc>
          <w:tcPr>
            <w:tcW w:w="70" w:type="pct"/>
            <w:vAlign w:val="center"/>
            <w:hideMark/>
          </w:tcPr>
          <w:p w14:paraId="7B91D67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400A583"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4C71C3BA"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436E8BD7"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02F785B6"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6CD138F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3183F94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2EFF38E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103749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725053F"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17DA66F6"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Income (KRW mn)</w:t>
            </w:r>
          </w:p>
        </w:tc>
        <w:tc>
          <w:tcPr>
            <w:tcW w:w="490" w:type="pct"/>
            <w:tcBorders>
              <w:top w:val="nil"/>
              <w:left w:val="nil"/>
              <w:bottom w:val="single" w:sz="4" w:space="0" w:color="auto"/>
              <w:right w:val="single" w:sz="4" w:space="0" w:color="auto"/>
            </w:tcBorders>
            <w:noWrap/>
            <w:vAlign w:val="bottom"/>
            <w:hideMark/>
          </w:tcPr>
          <w:p w14:paraId="30ACB31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1,924,553</w:t>
            </w:r>
          </w:p>
        </w:tc>
        <w:tc>
          <w:tcPr>
            <w:tcW w:w="490" w:type="pct"/>
            <w:tcBorders>
              <w:top w:val="nil"/>
              <w:left w:val="nil"/>
              <w:bottom w:val="single" w:sz="4" w:space="0" w:color="auto"/>
              <w:right w:val="single" w:sz="4" w:space="0" w:color="auto"/>
            </w:tcBorders>
            <w:noWrap/>
            <w:vAlign w:val="bottom"/>
            <w:hideMark/>
          </w:tcPr>
          <w:p w14:paraId="6C5EB33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5,693,077</w:t>
            </w:r>
          </w:p>
        </w:tc>
        <w:tc>
          <w:tcPr>
            <w:tcW w:w="490" w:type="pct"/>
            <w:tcBorders>
              <w:top w:val="nil"/>
              <w:left w:val="nil"/>
              <w:bottom w:val="single" w:sz="4" w:space="0" w:color="auto"/>
              <w:right w:val="single" w:sz="4" w:space="0" w:color="auto"/>
            </w:tcBorders>
            <w:noWrap/>
            <w:vAlign w:val="bottom"/>
            <w:hideMark/>
          </w:tcPr>
          <w:p w14:paraId="080E6AF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7,983,614</w:t>
            </w:r>
          </w:p>
        </w:tc>
        <w:tc>
          <w:tcPr>
            <w:tcW w:w="490" w:type="pct"/>
            <w:tcBorders>
              <w:top w:val="nil"/>
              <w:left w:val="nil"/>
              <w:bottom w:val="single" w:sz="4" w:space="0" w:color="auto"/>
              <w:right w:val="single" w:sz="4" w:space="0" w:color="auto"/>
            </w:tcBorders>
            <w:noWrap/>
            <w:vAlign w:val="bottom"/>
            <w:hideMark/>
          </w:tcPr>
          <w:p w14:paraId="2C29ACA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12,272,301</w:t>
            </w:r>
          </w:p>
        </w:tc>
        <w:tc>
          <w:tcPr>
            <w:tcW w:w="490" w:type="pct"/>
            <w:tcBorders>
              <w:top w:val="nil"/>
              <w:left w:val="nil"/>
              <w:bottom w:val="single" w:sz="4" w:space="0" w:color="auto"/>
              <w:right w:val="single" w:sz="4" w:space="0" w:color="auto"/>
            </w:tcBorders>
            <w:noWrap/>
            <w:vAlign w:val="bottom"/>
            <w:hideMark/>
          </w:tcPr>
          <w:p w14:paraId="55D0EA8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13,229,908</w:t>
            </w:r>
          </w:p>
        </w:tc>
        <w:tc>
          <w:tcPr>
            <w:tcW w:w="70" w:type="pct"/>
            <w:vAlign w:val="center"/>
            <w:hideMark/>
          </w:tcPr>
          <w:p w14:paraId="4AC29D9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D6DCFD1"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524715BB"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Total Assets (KRW mn)</w:t>
            </w:r>
          </w:p>
        </w:tc>
        <w:tc>
          <w:tcPr>
            <w:tcW w:w="490" w:type="pct"/>
            <w:tcBorders>
              <w:top w:val="nil"/>
              <w:left w:val="nil"/>
              <w:bottom w:val="single" w:sz="4" w:space="0" w:color="auto"/>
              <w:right w:val="single" w:sz="4" w:space="0" w:color="auto"/>
            </w:tcBorders>
            <w:noWrap/>
            <w:vAlign w:val="bottom"/>
            <w:hideMark/>
          </w:tcPr>
          <w:p w14:paraId="0C198A9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209,344,212</w:t>
            </w:r>
          </w:p>
        </w:tc>
        <w:tc>
          <w:tcPr>
            <w:tcW w:w="490" w:type="pct"/>
            <w:tcBorders>
              <w:top w:val="nil"/>
              <w:left w:val="nil"/>
              <w:bottom w:val="single" w:sz="4" w:space="0" w:color="auto"/>
              <w:right w:val="single" w:sz="4" w:space="0" w:color="auto"/>
            </w:tcBorders>
            <w:noWrap/>
            <w:vAlign w:val="bottom"/>
            <w:hideMark/>
          </w:tcPr>
          <w:p w14:paraId="4AE68CA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233,946,415</w:t>
            </w:r>
          </w:p>
        </w:tc>
        <w:tc>
          <w:tcPr>
            <w:tcW w:w="490" w:type="pct"/>
            <w:tcBorders>
              <w:top w:val="nil"/>
              <w:left w:val="nil"/>
              <w:bottom w:val="single" w:sz="4" w:space="0" w:color="auto"/>
              <w:right w:val="single" w:sz="4" w:space="0" w:color="auto"/>
            </w:tcBorders>
            <w:noWrap/>
            <w:vAlign w:val="bottom"/>
            <w:hideMark/>
          </w:tcPr>
          <w:p w14:paraId="09AF060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255,742,462</w:t>
            </w:r>
          </w:p>
        </w:tc>
        <w:tc>
          <w:tcPr>
            <w:tcW w:w="490" w:type="pct"/>
            <w:tcBorders>
              <w:top w:val="nil"/>
              <w:left w:val="nil"/>
              <w:bottom w:val="single" w:sz="4" w:space="0" w:color="auto"/>
              <w:right w:val="single" w:sz="4" w:space="0" w:color="auto"/>
            </w:tcBorders>
            <w:noWrap/>
            <w:vAlign w:val="bottom"/>
            <w:hideMark/>
          </w:tcPr>
          <w:p w14:paraId="1A867A0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282,463,355</w:t>
            </w:r>
          </w:p>
        </w:tc>
        <w:tc>
          <w:tcPr>
            <w:tcW w:w="490" w:type="pct"/>
            <w:tcBorders>
              <w:top w:val="nil"/>
              <w:left w:val="nil"/>
              <w:bottom w:val="single" w:sz="4" w:space="0" w:color="auto"/>
              <w:right w:val="single" w:sz="4" w:space="0" w:color="auto"/>
            </w:tcBorders>
            <w:noWrap/>
            <w:vAlign w:val="bottom"/>
            <w:hideMark/>
          </w:tcPr>
          <w:p w14:paraId="34044FB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339,798,429</w:t>
            </w:r>
          </w:p>
        </w:tc>
        <w:tc>
          <w:tcPr>
            <w:tcW w:w="70" w:type="pct"/>
            <w:vAlign w:val="center"/>
            <w:hideMark/>
          </w:tcPr>
          <w:p w14:paraId="2471D10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B7A51AF"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38CA5493"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Return on Assets (ROA) = Net Profit ÷ Total Assets × 100</w:t>
            </w:r>
          </w:p>
        </w:tc>
        <w:tc>
          <w:tcPr>
            <w:tcW w:w="490" w:type="pct"/>
            <w:tcBorders>
              <w:top w:val="nil"/>
              <w:left w:val="nil"/>
              <w:bottom w:val="single" w:sz="4" w:space="0" w:color="auto"/>
              <w:right w:val="single" w:sz="4" w:space="0" w:color="auto"/>
            </w:tcBorders>
            <w:noWrap/>
            <w:vAlign w:val="bottom"/>
            <w:hideMark/>
          </w:tcPr>
          <w:p w14:paraId="451B687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0.92%</w:t>
            </w:r>
          </w:p>
        </w:tc>
        <w:tc>
          <w:tcPr>
            <w:tcW w:w="490" w:type="pct"/>
            <w:tcBorders>
              <w:top w:val="nil"/>
              <w:left w:val="nil"/>
              <w:bottom w:val="single" w:sz="4" w:space="0" w:color="auto"/>
              <w:right w:val="single" w:sz="4" w:space="0" w:color="auto"/>
            </w:tcBorders>
            <w:noWrap/>
            <w:vAlign w:val="bottom"/>
            <w:hideMark/>
          </w:tcPr>
          <w:p w14:paraId="478367A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2.43%</w:t>
            </w:r>
          </w:p>
        </w:tc>
        <w:tc>
          <w:tcPr>
            <w:tcW w:w="490" w:type="pct"/>
            <w:tcBorders>
              <w:top w:val="nil"/>
              <w:left w:val="nil"/>
              <w:bottom w:val="single" w:sz="4" w:space="0" w:color="auto"/>
              <w:right w:val="single" w:sz="4" w:space="0" w:color="auto"/>
            </w:tcBorders>
            <w:noWrap/>
            <w:vAlign w:val="bottom"/>
            <w:hideMark/>
          </w:tcPr>
          <w:p w14:paraId="172B99D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3.12%</w:t>
            </w:r>
          </w:p>
        </w:tc>
        <w:tc>
          <w:tcPr>
            <w:tcW w:w="490" w:type="pct"/>
            <w:tcBorders>
              <w:top w:val="nil"/>
              <w:left w:val="nil"/>
              <w:bottom w:val="single" w:sz="4" w:space="0" w:color="auto"/>
              <w:right w:val="single" w:sz="4" w:space="0" w:color="auto"/>
            </w:tcBorders>
            <w:noWrap/>
            <w:vAlign w:val="bottom"/>
            <w:hideMark/>
          </w:tcPr>
          <w:p w14:paraId="7EBA1E8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4.34%</w:t>
            </w:r>
          </w:p>
        </w:tc>
        <w:tc>
          <w:tcPr>
            <w:tcW w:w="490" w:type="pct"/>
            <w:tcBorders>
              <w:top w:val="nil"/>
              <w:left w:val="nil"/>
              <w:bottom w:val="single" w:sz="4" w:space="0" w:color="auto"/>
              <w:right w:val="single" w:sz="4" w:space="0" w:color="auto"/>
            </w:tcBorders>
            <w:noWrap/>
            <w:vAlign w:val="bottom"/>
            <w:hideMark/>
          </w:tcPr>
          <w:p w14:paraId="4532152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3.89%</w:t>
            </w:r>
          </w:p>
        </w:tc>
        <w:tc>
          <w:tcPr>
            <w:tcW w:w="70" w:type="pct"/>
            <w:vAlign w:val="center"/>
            <w:hideMark/>
          </w:tcPr>
          <w:p w14:paraId="2D63748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A9659A4" w14:textId="77777777" w:rsidTr="00B70311">
        <w:trPr>
          <w:trHeight w:val="315"/>
        </w:trPr>
        <w:tc>
          <w:tcPr>
            <w:tcW w:w="2478" w:type="pct"/>
            <w:tcBorders>
              <w:top w:val="nil"/>
              <w:left w:val="nil"/>
              <w:bottom w:val="nil"/>
              <w:right w:val="nil"/>
            </w:tcBorders>
            <w:noWrap/>
            <w:vAlign w:val="bottom"/>
            <w:hideMark/>
          </w:tcPr>
          <w:p w14:paraId="7E9C7CF7"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5472FA2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9F29B2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B36245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71D184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238A97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42C92B7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831F7AE" w14:textId="77777777" w:rsidTr="00B70311">
        <w:trPr>
          <w:trHeight w:val="315"/>
        </w:trPr>
        <w:tc>
          <w:tcPr>
            <w:tcW w:w="2478" w:type="pct"/>
            <w:tcBorders>
              <w:top w:val="nil"/>
              <w:left w:val="nil"/>
              <w:bottom w:val="nil"/>
              <w:right w:val="nil"/>
            </w:tcBorders>
            <w:noWrap/>
            <w:vAlign w:val="bottom"/>
            <w:hideMark/>
          </w:tcPr>
          <w:p w14:paraId="34F9AC6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9573A9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26E960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77E841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B9DBE9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DA4AFA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31F3272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A95A4D3"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0FF7B95D"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Return on Equity (ROE)</w:t>
            </w:r>
          </w:p>
        </w:tc>
        <w:tc>
          <w:tcPr>
            <w:tcW w:w="70" w:type="pct"/>
            <w:vAlign w:val="center"/>
            <w:hideMark/>
          </w:tcPr>
          <w:p w14:paraId="2D8ECE8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FCE9F53"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39E10AB2"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0964128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5F28746D"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2E076532"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6CC202B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69EEC7E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08779CF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706BCDF3"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64C3384C"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Income (KRW mn)</w:t>
            </w:r>
          </w:p>
        </w:tc>
        <w:tc>
          <w:tcPr>
            <w:tcW w:w="490" w:type="pct"/>
            <w:tcBorders>
              <w:top w:val="nil"/>
              <w:left w:val="nil"/>
              <w:bottom w:val="single" w:sz="4" w:space="0" w:color="auto"/>
              <w:right w:val="single" w:sz="4" w:space="0" w:color="auto"/>
            </w:tcBorders>
            <w:noWrap/>
            <w:vAlign w:val="bottom"/>
            <w:hideMark/>
          </w:tcPr>
          <w:p w14:paraId="3053B34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1,924,553</w:t>
            </w:r>
          </w:p>
        </w:tc>
        <w:tc>
          <w:tcPr>
            <w:tcW w:w="490" w:type="pct"/>
            <w:tcBorders>
              <w:top w:val="nil"/>
              <w:left w:val="nil"/>
              <w:bottom w:val="single" w:sz="4" w:space="0" w:color="auto"/>
              <w:right w:val="single" w:sz="4" w:space="0" w:color="auto"/>
            </w:tcBorders>
            <w:noWrap/>
            <w:vAlign w:val="bottom"/>
            <w:hideMark/>
          </w:tcPr>
          <w:p w14:paraId="16113AF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5,693,077</w:t>
            </w:r>
          </w:p>
        </w:tc>
        <w:tc>
          <w:tcPr>
            <w:tcW w:w="490" w:type="pct"/>
            <w:tcBorders>
              <w:top w:val="nil"/>
              <w:left w:val="nil"/>
              <w:bottom w:val="single" w:sz="4" w:space="0" w:color="auto"/>
              <w:right w:val="single" w:sz="4" w:space="0" w:color="auto"/>
            </w:tcBorders>
            <w:noWrap/>
            <w:vAlign w:val="bottom"/>
            <w:hideMark/>
          </w:tcPr>
          <w:p w14:paraId="2E106BA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7,983,614</w:t>
            </w:r>
          </w:p>
        </w:tc>
        <w:tc>
          <w:tcPr>
            <w:tcW w:w="490" w:type="pct"/>
            <w:tcBorders>
              <w:top w:val="nil"/>
              <w:left w:val="nil"/>
              <w:bottom w:val="single" w:sz="4" w:space="0" w:color="auto"/>
              <w:right w:val="single" w:sz="4" w:space="0" w:color="auto"/>
            </w:tcBorders>
            <w:noWrap/>
            <w:vAlign w:val="bottom"/>
            <w:hideMark/>
          </w:tcPr>
          <w:p w14:paraId="46FEAF8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12,272,301</w:t>
            </w:r>
          </w:p>
        </w:tc>
        <w:tc>
          <w:tcPr>
            <w:tcW w:w="490" w:type="pct"/>
            <w:tcBorders>
              <w:top w:val="nil"/>
              <w:left w:val="nil"/>
              <w:bottom w:val="single" w:sz="4" w:space="0" w:color="auto"/>
              <w:right w:val="single" w:sz="4" w:space="0" w:color="auto"/>
            </w:tcBorders>
            <w:noWrap/>
            <w:vAlign w:val="bottom"/>
            <w:hideMark/>
          </w:tcPr>
          <w:p w14:paraId="33A16B7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13,229,908</w:t>
            </w:r>
          </w:p>
        </w:tc>
        <w:tc>
          <w:tcPr>
            <w:tcW w:w="70" w:type="pct"/>
            <w:vAlign w:val="center"/>
            <w:hideMark/>
          </w:tcPr>
          <w:p w14:paraId="52A3C93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D24E1C7"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72C8C43B"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Shareholders’ Equity (KRW mn)</w:t>
            </w:r>
          </w:p>
        </w:tc>
        <w:tc>
          <w:tcPr>
            <w:tcW w:w="490" w:type="pct"/>
            <w:tcBorders>
              <w:top w:val="nil"/>
              <w:left w:val="nil"/>
              <w:bottom w:val="single" w:sz="4" w:space="0" w:color="auto"/>
              <w:right w:val="single" w:sz="4" w:space="0" w:color="auto"/>
            </w:tcBorders>
            <w:noWrap/>
            <w:vAlign w:val="bottom"/>
            <w:hideMark/>
          </w:tcPr>
          <w:p w14:paraId="1B1D0D7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69,480,633</w:t>
            </w:r>
          </w:p>
        </w:tc>
        <w:tc>
          <w:tcPr>
            <w:tcW w:w="490" w:type="pct"/>
            <w:tcBorders>
              <w:top w:val="nil"/>
              <w:left w:val="nil"/>
              <w:bottom w:val="single" w:sz="4" w:space="0" w:color="auto"/>
              <w:right w:val="single" w:sz="4" w:space="0" w:color="auto"/>
            </w:tcBorders>
            <w:noWrap/>
            <w:vAlign w:val="bottom"/>
            <w:hideMark/>
          </w:tcPr>
          <w:p w14:paraId="44993AD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74,986,122</w:t>
            </w:r>
          </w:p>
        </w:tc>
        <w:tc>
          <w:tcPr>
            <w:tcW w:w="490" w:type="pct"/>
            <w:tcBorders>
              <w:top w:val="nil"/>
              <w:left w:val="nil"/>
              <w:bottom w:val="single" w:sz="4" w:space="0" w:color="auto"/>
              <w:right w:val="single" w:sz="4" w:space="0" w:color="auto"/>
            </w:tcBorders>
            <w:noWrap/>
            <w:vAlign w:val="bottom"/>
            <w:hideMark/>
          </w:tcPr>
          <w:p w14:paraId="4573D41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82,349,287</w:t>
            </w:r>
          </w:p>
        </w:tc>
        <w:tc>
          <w:tcPr>
            <w:tcW w:w="490" w:type="pct"/>
            <w:tcBorders>
              <w:top w:val="nil"/>
              <w:left w:val="nil"/>
              <w:bottom w:val="single" w:sz="4" w:space="0" w:color="auto"/>
              <w:right w:val="single" w:sz="4" w:space="0" w:color="auto"/>
            </w:tcBorders>
            <w:noWrap/>
            <w:vAlign w:val="bottom"/>
            <w:hideMark/>
          </w:tcPr>
          <w:p w14:paraId="079CBC8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92,497,311</w:t>
            </w:r>
          </w:p>
        </w:tc>
        <w:tc>
          <w:tcPr>
            <w:tcW w:w="490" w:type="pct"/>
            <w:tcBorders>
              <w:top w:val="nil"/>
              <w:left w:val="nil"/>
              <w:bottom w:val="single" w:sz="4" w:space="0" w:color="auto"/>
              <w:right w:val="single" w:sz="4" w:space="0" w:color="auto"/>
            </w:tcBorders>
            <w:noWrap/>
            <w:vAlign w:val="bottom"/>
            <w:hideMark/>
          </w:tcPr>
          <w:p w14:paraId="22F9E4D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109,103,398</w:t>
            </w:r>
          </w:p>
        </w:tc>
        <w:tc>
          <w:tcPr>
            <w:tcW w:w="70" w:type="pct"/>
            <w:vAlign w:val="center"/>
            <w:hideMark/>
          </w:tcPr>
          <w:p w14:paraId="67CC8C0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849D16D"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7AF66515"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Return on Equity (ROE) = Net Profit ÷ Shareholders’ Equity × 100</w:t>
            </w:r>
          </w:p>
        </w:tc>
        <w:tc>
          <w:tcPr>
            <w:tcW w:w="490" w:type="pct"/>
            <w:tcBorders>
              <w:top w:val="nil"/>
              <w:left w:val="nil"/>
              <w:bottom w:val="single" w:sz="4" w:space="0" w:color="auto"/>
              <w:right w:val="single" w:sz="4" w:space="0" w:color="auto"/>
            </w:tcBorders>
            <w:noWrap/>
            <w:vAlign w:val="bottom"/>
            <w:hideMark/>
          </w:tcPr>
          <w:p w14:paraId="5990D60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2.77%</w:t>
            </w:r>
          </w:p>
        </w:tc>
        <w:tc>
          <w:tcPr>
            <w:tcW w:w="490" w:type="pct"/>
            <w:tcBorders>
              <w:top w:val="nil"/>
              <w:left w:val="nil"/>
              <w:bottom w:val="single" w:sz="4" w:space="0" w:color="auto"/>
              <w:right w:val="single" w:sz="4" w:space="0" w:color="auto"/>
            </w:tcBorders>
            <w:noWrap/>
            <w:vAlign w:val="bottom"/>
            <w:hideMark/>
          </w:tcPr>
          <w:p w14:paraId="246EDC7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7.59%</w:t>
            </w:r>
          </w:p>
        </w:tc>
        <w:tc>
          <w:tcPr>
            <w:tcW w:w="490" w:type="pct"/>
            <w:tcBorders>
              <w:top w:val="nil"/>
              <w:left w:val="nil"/>
              <w:bottom w:val="single" w:sz="4" w:space="0" w:color="auto"/>
              <w:right w:val="single" w:sz="4" w:space="0" w:color="auto"/>
            </w:tcBorders>
            <w:noWrap/>
            <w:vAlign w:val="bottom"/>
            <w:hideMark/>
          </w:tcPr>
          <w:p w14:paraId="4C0CEE5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9.69%</w:t>
            </w:r>
          </w:p>
        </w:tc>
        <w:tc>
          <w:tcPr>
            <w:tcW w:w="490" w:type="pct"/>
            <w:tcBorders>
              <w:top w:val="nil"/>
              <w:left w:val="nil"/>
              <w:bottom w:val="single" w:sz="4" w:space="0" w:color="auto"/>
              <w:right w:val="single" w:sz="4" w:space="0" w:color="auto"/>
            </w:tcBorders>
            <w:noWrap/>
            <w:vAlign w:val="bottom"/>
            <w:hideMark/>
          </w:tcPr>
          <w:p w14:paraId="271F638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13.27%</w:t>
            </w:r>
          </w:p>
        </w:tc>
        <w:tc>
          <w:tcPr>
            <w:tcW w:w="490" w:type="pct"/>
            <w:tcBorders>
              <w:top w:val="nil"/>
              <w:left w:val="nil"/>
              <w:bottom w:val="single" w:sz="4" w:space="0" w:color="auto"/>
              <w:right w:val="single" w:sz="4" w:space="0" w:color="auto"/>
            </w:tcBorders>
            <w:noWrap/>
            <w:vAlign w:val="bottom"/>
            <w:hideMark/>
          </w:tcPr>
          <w:p w14:paraId="7A3A248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12.13%</w:t>
            </w:r>
          </w:p>
        </w:tc>
        <w:tc>
          <w:tcPr>
            <w:tcW w:w="70" w:type="pct"/>
            <w:vAlign w:val="center"/>
            <w:hideMark/>
          </w:tcPr>
          <w:p w14:paraId="2398643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bl>
    <w:p w14:paraId="752DF1D4" w14:textId="77777777" w:rsidR="00FF05EF" w:rsidRDefault="00FF05EF" w:rsidP="008E7995"/>
    <w:p w14:paraId="007B6CE1" w14:textId="6EEF6AAE" w:rsidR="00FF05EF" w:rsidRDefault="00FF05EF" w:rsidP="008E7995">
      <w:r w:rsidRPr="00FF05EF">
        <w:t>Liquidity</w:t>
      </w:r>
    </w:p>
    <w:tbl>
      <w:tblPr>
        <w:tblW w:w="5000" w:type="pct"/>
        <w:tblLook w:val="04A0" w:firstRow="1" w:lastRow="0" w:firstColumn="1" w:lastColumn="0" w:noHBand="0" w:noVBand="1"/>
      </w:tblPr>
      <w:tblGrid>
        <w:gridCol w:w="4865"/>
        <w:gridCol w:w="828"/>
        <w:gridCol w:w="828"/>
        <w:gridCol w:w="828"/>
        <w:gridCol w:w="896"/>
        <w:gridCol w:w="896"/>
        <w:gridCol w:w="219"/>
      </w:tblGrid>
      <w:tr w:rsidR="00B70311" w:rsidRPr="00B70311" w14:paraId="3935F5DD" w14:textId="77777777" w:rsidTr="00B70311">
        <w:trPr>
          <w:gridAfter w:val="1"/>
          <w:wAfter w:w="65" w:type="pct"/>
          <w:trHeight w:val="552"/>
        </w:trPr>
        <w:tc>
          <w:tcPr>
            <w:tcW w:w="4935" w:type="pct"/>
            <w:gridSpan w:val="6"/>
            <w:vMerge w:val="restart"/>
            <w:tcBorders>
              <w:top w:val="nil"/>
              <w:left w:val="nil"/>
              <w:bottom w:val="nil"/>
              <w:right w:val="nil"/>
            </w:tcBorders>
            <w:noWrap/>
            <w:vAlign w:val="center"/>
            <w:hideMark/>
          </w:tcPr>
          <w:p w14:paraId="7EE52E81" w14:textId="77777777" w:rsidR="00B70311" w:rsidRPr="00B70311" w:rsidRDefault="00B70311" w:rsidP="00B70311">
            <w:pPr>
              <w:spacing w:after="0" w:line="240" w:lineRule="auto"/>
              <w:jc w:val="center"/>
              <w:rPr>
                <w:rFonts w:eastAsia="Times New Roman" w:cs="Arial"/>
                <w:b/>
                <w:bCs/>
                <w:color w:val="7E350E"/>
                <w:kern w:val="0"/>
                <w:sz w:val="48"/>
                <w:szCs w:val="48"/>
                <w14:ligatures w14:val="none"/>
              </w:rPr>
            </w:pPr>
            <w:r w:rsidRPr="00B70311">
              <w:rPr>
                <w:rFonts w:eastAsia="Times New Roman" w:cs="Arial"/>
                <w:b/>
                <w:bCs/>
                <w:color w:val="7E350E"/>
                <w:kern w:val="0"/>
                <w:sz w:val="48"/>
                <w:szCs w:val="48"/>
                <w14:ligatures w14:val="none"/>
              </w:rPr>
              <w:t>Hyundai Liquidity</w:t>
            </w:r>
          </w:p>
        </w:tc>
      </w:tr>
      <w:tr w:rsidR="00B70311" w:rsidRPr="00B70311" w14:paraId="7287118C" w14:textId="77777777" w:rsidTr="00B70311">
        <w:trPr>
          <w:trHeight w:val="300"/>
        </w:trPr>
        <w:tc>
          <w:tcPr>
            <w:tcW w:w="4935" w:type="pct"/>
            <w:gridSpan w:val="6"/>
            <w:vMerge/>
            <w:tcBorders>
              <w:top w:val="nil"/>
              <w:left w:val="nil"/>
              <w:bottom w:val="nil"/>
              <w:right w:val="nil"/>
            </w:tcBorders>
            <w:vAlign w:val="center"/>
            <w:hideMark/>
          </w:tcPr>
          <w:p w14:paraId="6625E172" w14:textId="77777777" w:rsidR="00B70311" w:rsidRPr="00B70311" w:rsidRDefault="00B70311" w:rsidP="00B70311">
            <w:pPr>
              <w:spacing w:after="0" w:line="240" w:lineRule="auto"/>
              <w:jc w:val="left"/>
              <w:rPr>
                <w:rFonts w:eastAsia="Times New Roman" w:cs="Arial"/>
                <w:b/>
                <w:bCs/>
                <w:color w:val="7E350E"/>
                <w:kern w:val="0"/>
                <w:sz w:val="48"/>
                <w:szCs w:val="48"/>
                <w14:ligatures w14:val="none"/>
              </w:rPr>
            </w:pPr>
          </w:p>
        </w:tc>
        <w:tc>
          <w:tcPr>
            <w:tcW w:w="65" w:type="pct"/>
            <w:tcBorders>
              <w:top w:val="nil"/>
              <w:left w:val="nil"/>
              <w:bottom w:val="nil"/>
              <w:right w:val="nil"/>
            </w:tcBorders>
            <w:noWrap/>
            <w:vAlign w:val="bottom"/>
            <w:hideMark/>
          </w:tcPr>
          <w:p w14:paraId="5646BB2A" w14:textId="77777777" w:rsidR="00B70311" w:rsidRPr="00B70311" w:rsidRDefault="00B70311" w:rsidP="00B70311">
            <w:pPr>
              <w:spacing w:after="0" w:line="240" w:lineRule="auto"/>
              <w:jc w:val="center"/>
              <w:rPr>
                <w:rFonts w:eastAsia="Times New Roman" w:cs="Arial"/>
                <w:b/>
                <w:bCs/>
                <w:color w:val="7E350E"/>
                <w:kern w:val="0"/>
                <w:sz w:val="48"/>
                <w:szCs w:val="48"/>
                <w14:ligatures w14:val="none"/>
              </w:rPr>
            </w:pPr>
          </w:p>
        </w:tc>
      </w:tr>
      <w:tr w:rsidR="00B70311" w:rsidRPr="00B70311" w14:paraId="3550DAE4" w14:textId="77777777" w:rsidTr="00B70311">
        <w:trPr>
          <w:trHeight w:val="315"/>
        </w:trPr>
        <w:tc>
          <w:tcPr>
            <w:tcW w:w="2796" w:type="pct"/>
            <w:tcBorders>
              <w:top w:val="nil"/>
              <w:left w:val="nil"/>
              <w:bottom w:val="nil"/>
              <w:right w:val="nil"/>
            </w:tcBorders>
            <w:noWrap/>
            <w:vAlign w:val="bottom"/>
            <w:hideMark/>
          </w:tcPr>
          <w:p w14:paraId="42B9192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5206B9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66FC813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7FF52B8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7B95095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1F93C97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65" w:type="pct"/>
            <w:vAlign w:val="center"/>
            <w:hideMark/>
          </w:tcPr>
          <w:p w14:paraId="03A3932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2D2908C" w14:textId="77777777" w:rsidTr="00B70311">
        <w:trPr>
          <w:trHeight w:val="315"/>
        </w:trPr>
        <w:tc>
          <w:tcPr>
            <w:tcW w:w="4935" w:type="pct"/>
            <w:gridSpan w:val="6"/>
            <w:tcBorders>
              <w:top w:val="single" w:sz="4" w:space="0" w:color="auto"/>
              <w:left w:val="single" w:sz="4" w:space="0" w:color="auto"/>
              <w:bottom w:val="nil"/>
              <w:right w:val="single" w:sz="4" w:space="0" w:color="000000"/>
            </w:tcBorders>
            <w:noWrap/>
            <w:vAlign w:val="bottom"/>
            <w:hideMark/>
          </w:tcPr>
          <w:p w14:paraId="79EA3E9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Current Ratio</w:t>
            </w:r>
          </w:p>
        </w:tc>
        <w:tc>
          <w:tcPr>
            <w:tcW w:w="65" w:type="pct"/>
            <w:vAlign w:val="center"/>
            <w:hideMark/>
          </w:tcPr>
          <w:p w14:paraId="2A70C21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F206E95" w14:textId="77777777" w:rsidTr="00B70311">
        <w:trPr>
          <w:trHeight w:val="315"/>
        </w:trPr>
        <w:tc>
          <w:tcPr>
            <w:tcW w:w="2796" w:type="pct"/>
            <w:tcBorders>
              <w:top w:val="single" w:sz="4" w:space="0" w:color="auto"/>
              <w:left w:val="single" w:sz="4" w:space="0" w:color="auto"/>
              <w:bottom w:val="single" w:sz="4" w:space="0" w:color="auto"/>
              <w:right w:val="single" w:sz="4" w:space="0" w:color="auto"/>
            </w:tcBorders>
            <w:noWrap/>
            <w:vAlign w:val="bottom"/>
            <w:hideMark/>
          </w:tcPr>
          <w:p w14:paraId="23001A6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 </w:t>
            </w:r>
          </w:p>
        </w:tc>
        <w:tc>
          <w:tcPr>
            <w:tcW w:w="412" w:type="pct"/>
            <w:tcBorders>
              <w:top w:val="single" w:sz="4" w:space="0" w:color="auto"/>
              <w:left w:val="nil"/>
              <w:bottom w:val="single" w:sz="4" w:space="0" w:color="auto"/>
              <w:right w:val="single" w:sz="4" w:space="0" w:color="auto"/>
            </w:tcBorders>
            <w:noWrap/>
            <w:vAlign w:val="bottom"/>
            <w:hideMark/>
          </w:tcPr>
          <w:p w14:paraId="5602EA6A"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12" w:type="pct"/>
            <w:tcBorders>
              <w:top w:val="single" w:sz="4" w:space="0" w:color="auto"/>
              <w:left w:val="nil"/>
              <w:bottom w:val="single" w:sz="4" w:space="0" w:color="auto"/>
              <w:right w:val="single" w:sz="4" w:space="0" w:color="auto"/>
            </w:tcBorders>
            <w:noWrap/>
            <w:vAlign w:val="bottom"/>
            <w:hideMark/>
          </w:tcPr>
          <w:p w14:paraId="48E7D96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12" w:type="pct"/>
            <w:tcBorders>
              <w:top w:val="single" w:sz="4" w:space="0" w:color="auto"/>
              <w:left w:val="nil"/>
              <w:bottom w:val="single" w:sz="4" w:space="0" w:color="auto"/>
              <w:right w:val="single" w:sz="4" w:space="0" w:color="auto"/>
            </w:tcBorders>
            <w:noWrap/>
            <w:vAlign w:val="bottom"/>
            <w:hideMark/>
          </w:tcPr>
          <w:p w14:paraId="018BDF52"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51" w:type="pct"/>
            <w:tcBorders>
              <w:top w:val="single" w:sz="4" w:space="0" w:color="auto"/>
              <w:left w:val="nil"/>
              <w:bottom w:val="single" w:sz="4" w:space="0" w:color="auto"/>
              <w:right w:val="single" w:sz="4" w:space="0" w:color="auto"/>
            </w:tcBorders>
            <w:noWrap/>
            <w:vAlign w:val="bottom"/>
            <w:hideMark/>
          </w:tcPr>
          <w:p w14:paraId="6E030848"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51" w:type="pct"/>
            <w:tcBorders>
              <w:top w:val="single" w:sz="4" w:space="0" w:color="auto"/>
              <w:left w:val="nil"/>
              <w:bottom w:val="single" w:sz="4" w:space="0" w:color="auto"/>
              <w:right w:val="single" w:sz="4" w:space="0" w:color="auto"/>
            </w:tcBorders>
            <w:noWrap/>
            <w:vAlign w:val="bottom"/>
            <w:hideMark/>
          </w:tcPr>
          <w:p w14:paraId="0561948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65" w:type="pct"/>
            <w:vAlign w:val="center"/>
            <w:hideMark/>
          </w:tcPr>
          <w:p w14:paraId="0B8C442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CE333E4"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3A3F03C0"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Assets (KRW mn)</w:t>
            </w:r>
          </w:p>
        </w:tc>
        <w:tc>
          <w:tcPr>
            <w:tcW w:w="412" w:type="pct"/>
            <w:tcBorders>
              <w:top w:val="nil"/>
              <w:left w:val="nil"/>
              <w:bottom w:val="single" w:sz="4" w:space="0" w:color="auto"/>
              <w:right w:val="single" w:sz="4" w:space="0" w:color="auto"/>
            </w:tcBorders>
            <w:noWrap/>
            <w:vAlign w:val="bottom"/>
            <w:hideMark/>
          </w:tcPr>
          <w:p w14:paraId="1E7FAA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83,686,357</w:t>
            </w:r>
          </w:p>
        </w:tc>
        <w:tc>
          <w:tcPr>
            <w:tcW w:w="412" w:type="pct"/>
            <w:tcBorders>
              <w:top w:val="nil"/>
              <w:left w:val="nil"/>
              <w:bottom w:val="single" w:sz="4" w:space="0" w:color="auto"/>
              <w:right w:val="single" w:sz="4" w:space="0" w:color="auto"/>
            </w:tcBorders>
            <w:noWrap/>
            <w:vAlign w:val="bottom"/>
            <w:hideMark/>
          </w:tcPr>
          <w:p w14:paraId="22B8059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88,565,366</w:t>
            </w:r>
          </w:p>
        </w:tc>
        <w:tc>
          <w:tcPr>
            <w:tcW w:w="412" w:type="pct"/>
            <w:tcBorders>
              <w:top w:val="nil"/>
              <w:left w:val="nil"/>
              <w:bottom w:val="single" w:sz="4" w:space="0" w:color="auto"/>
              <w:right w:val="single" w:sz="4" w:space="0" w:color="auto"/>
            </w:tcBorders>
            <w:noWrap/>
            <w:vAlign w:val="bottom"/>
            <w:hideMark/>
          </w:tcPr>
          <w:p w14:paraId="08BBF84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96,389,273</w:t>
            </w:r>
          </w:p>
        </w:tc>
        <w:tc>
          <w:tcPr>
            <w:tcW w:w="451" w:type="pct"/>
            <w:tcBorders>
              <w:top w:val="nil"/>
              <w:left w:val="nil"/>
              <w:bottom w:val="single" w:sz="4" w:space="0" w:color="auto"/>
              <w:right w:val="single" w:sz="4" w:space="0" w:color="auto"/>
            </w:tcBorders>
            <w:noWrap/>
            <w:vAlign w:val="bottom"/>
            <w:hideMark/>
          </w:tcPr>
          <w:p w14:paraId="2E2FB38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101,724,717</w:t>
            </w:r>
          </w:p>
        </w:tc>
        <w:tc>
          <w:tcPr>
            <w:tcW w:w="451" w:type="pct"/>
            <w:tcBorders>
              <w:top w:val="nil"/>
              <w:left w:val="nil"/>
              <w:bottom w:val="single" w:sz="4" w:space="0" w:color="auto"/>
              <w:right w:val="single" w:sz="4" w:space="0" w:color="auto"/>
            </w:tcBorders>
            <w:noWrap/>
            <w:vAlign w:val="bottom"/>
            <w:hideMark/>
          </w:tcPr>
          <w:p w14:paraId="7705FFD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115,764,287</w:t>
            </w:r>
          </w:p>
        </w:tc>
        <w:tc>
          <w:tcPr>
            <w:tcW w:w="65" w:type="pct"/>
            <w:vAlign w:val="center"/>
            <w:hideMark/>
          </w:tcPr>
          <w:p w14:paraId="3C34490C"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9955AF3"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734A8632"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Liabilities (KRW mn)</w:t>
            </w:r>
          </w:p>
        </w:tc>
        <w:tc>
          <w:tcPr>
            <w:tcW w:w="412" w:type="pct"/>
            <w:tcBorders>
              <w:top w:val="nil"/>
              <w:left w:val="nil"/>
              <w:bottom w:val="single" w:sz="4" w:space="0" w:color="auto"/>
              <w:right w:val="single" w:sz="4" w:space="0" w:color="auto"/>
            </w:tcBorders>
            <w:noWrap/>
            <w:vAlign w:val="bottom"/>
            <w:hideMark/>
          </w:tcPr>
          <w:p w14:paraId="0D0B1A3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59,459,528</w:t>
            </w:r>
          </w:p>
        </w:tc>
        <w:tc>
          <w:tcPr>
            <w:tcW w:w="412" w:type="pct"/>
            <w:tcBorders>
              <w:top w:val="nil"/>
              <w:left w:val="nil"/>
              <w:bottom w:val="single" w:sz="4" w:space="0" w:color="auto"/>
              <w:right w:val="single" w:sz="4" w:space="0" w:color="auto"/>
            </w:tcBorders>
            <w:noWrap/>
            <w:vAlign w:val="bottom"/>
            <w:hideMark/>
          </w:tcPr>
          <w:p w14:paraId="7DFA433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64,236,787</w:t>
            </w:r>
          </w:p>
        </w:tc>
        <w:tc>
          <w:tcPr>
            <w:tcW w:w="412" w:type="pct"/>
            <w:tcBorders>
              <w:top w:val="nil"/>
              <w:left w:val="nil"/>
              <w:bottom w:val="single" w:sz="4" w:space="0" w:color="auto"/>
              <w:right w:val="single" w:sz="4" w:space="0" w:color="auto"/>
            </w:tcBorders>
            <w:noWrap/>
            <w:vAlign w:val="bottom"/>
            <w:hideMark/>
          </w:tcPr>
          <w:p w14:paraId="04F08F0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74,236,472</w:t>
            </w:r>
          </w:p>
        </w:tc>
        <w:tc>
          <w:tcPr>
            <w:tcW w:w="451" w:type="pct"/>
            <w:tcBorders>
              <w:top w:val="nil"/>
              <w:left w:val="nil"/>
              <w:bottom w:val="single" w:sz="4" w:space="0" w:color="auto"/>
              <w:right w:val="single" w:sz="4" w:space="0" w:color="auto"/>
            </w:tcBorders>
            <w:noWrap/>
            <w:vAlign w:val="bottom"/>
            <w:hideMark/>
          </w:tcPr>
          <w:p w14:paraId="1BAB224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73,362,103</w:t>
            </w:r>
          </w:p>
        </w:tc>
        <w:tc>
          <w:tcPr>
            <w:tcW w:w="451" w:type="pct"/>
            <w:tcBorders>
              <w:top w:val="nil"/>
              <w:left w:val="nil"/>
              <w:bottom w:val="single" w:sz="4" w:space="0" w:color="auto"/>
              <w:right w:val="single" w:sz="4" w:space="0" w:color="auto"/>
            </w:tcBorders>
            <w:noWrap/>
            <w:vAlign w:val="bottom"/>
            <w:hideMark/>
          </w:tcPr>
          <w:p w14:paraId="0F4E125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79,509,643</w:t>
            </w:r>
          </w:p>
        </w:tc>
        <w:tc>
          <w:tcPr>
            <w:tcW w:w="65" w:type="pct"/>
            <w:vAlign w:val="center"/>
            <w:hideMark/>
          </w:tcPr>
          <w:p w14:paraId="4122A80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0007B01"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21CF1BE2"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Ratio = Current Assets ÷ Current Liabilities</w:t>
            </w:r>
          </w:p>
        </w:tc>
        <w:tc>
          <w:tcPr>
            <w:tcW w:w="412" w:type="pct"/>
            <w:tcBorders>
              <w:top w:val="nil"/>
              <w:left w:val="nil"/>
              <w:bottom w:val="single" w:sz="4" w:space="0" w:color="auto"/>
              <w:right w:val="single" w:sz="4" w:space="0" w:color="auto"/>
            </w:tcBorders>
            <w:noWrap/>
            <w:vAlign w:val="bottom"/>
            <w:hideMark/>
          </w:tcPr>
          <w:p w14:paraId="216D6D6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1.41</w:t>
            </w:r>
          </w:p>
        </w:tc>
        <w:tc>
          <w:tcPr>
            <w:tcW w:w="412" w:type="pct"/>
            <w:tcBorders>
              <w:top w:val="nil"/>
              <w:left w:val="nil"/>
              <w:bottom w:val="single" w:sz="4" w:space="0" w:color="auto"/>
              <w:right w:val="single" w:sz="4" w:space="0" w:color="auto"/>
            </w:tcBorders>
            <w:noWrap/>
            <w:vAlign w:val="bottom"/>
            <w:hideMark/>
          </w:tcPr>
          <w:p w14:paraId="7E0A695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1.38</w:t>
            </w:r>
          </w:p>
        </w:tc>
        <w:tc>
          <w:tcPr>
            <w:tcW w:w="412" w:type="pct"/>
            <w:tcBorders>
              <w:top w:val="nil"/>
              <w:left w:val="nil"/>
              <w:bottom w:val="single" w:sz="4" w:space="0" w:color="auto"/>
              <w:right w:val="single" w:sz="4" w:space="0" w:color="auto"/>
            </w:tcBorders>
            <w:noWrap/>
            <w:vAlign w:val="bottom"/>
            <w:hideMark/>
          </w:tcPr>
          <w:p w14:paraId="707760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1.30</w:t>
            </w:r>
          </w:p>
        </w:tc>
        <w:tc>
          <w:tcPr>
            <w:tcW w:w="451" w:type="pct"/>
            <w:tcBorders>
              <w:top w:val="nil"/>
              <w:left w:val="nil"/>
              <w:bottom w:val="single" w:sz="4" w:space="0" w:color="auto"/>
              <w:right w:val="single" w:sz="4" w:space="0" w:color="auto"/>
            </w:tcBorders>
            <w:noWrap/>
            <w:vAlign w:val="bottom"/>
            <w:hideMark/>
          </w:tcPr>
          <w:p w14:paraId="2EB9512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1.39</w:t>
            </w:r>
          </w:p>
        </w:tc>
        <w:tc>
          <w:tcPr>
            <w:tcW w:w="451" w:type="pct"/>
            <w:tcBorders>
              <w:top w:val="nil"/>
              <w:left w:val="nil"/>
              <w:bottom w:val="single" w:sz="4" w:space="0" w:color="auto"/>
              <w:right w:val="single" w:sz="4" w:space="0" w:color="auto"/>
            </w:tcBorders>
            <w:noWrap/>
            <w:vAlign w:val="bottom"/>
            <w:hideMark/>
          </w:tcPr>
          <w:p w14:paraId="166B8FB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1.46</w:t>
            </w:r>
          </w:p>
        </w:tc>
        <w:tc>
          <w:tcPr>
            <w:tcW w:w="65" w:type="pct"/>
            <w:vAlign w:val="center"/>
            <w:hideMark/>
          </w:tcPr>
          <w:p w14:paraId="37749EE5"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A4314CD" w14:textId="77777777" w:rsidTr="00B70311">
        <w:trPr>
          <w:trHeight w:val="315"/>
        </w:trPr>
        <w:tc>
          <w:tcPr>
            <w:tcW w:w="2796" w:type="pct"/>
            <w:tcBorders>
              <w:top w:val="nil"/>
              <w:left w:val="nil"/>
              <w:bottom w:val="nil"/>
              <w:right w:val="nil"/>
            </w:tcBorders>
            <w:noWrap/>
            <w:vAlign w:val="bottom"/>
            <w:hideMark/>
          </w:tcPr>
          <w:p w14:paraId="7D7B9799"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12" w:type="pct"/>
            <w:tcBorders>
              <w:top w:val="nil"/>
              <w:left w:val="nil"/>
              <w:bottom w:val="nil"/>
              <w:right w:val="nil"/>
            </w:tcBorders>
            <w:noWrap/>
            <w:vAlign w:val="bottom"/>
            <w:hideMark/>
          </w:tcPr>
          <w:p w14:paraId="0973B84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377235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3370779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7CA9ACC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145754D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65" w:type="pct"/>
            <w:vAlign w:val="center"/>
            <w:hideMark/>
          </w:tcPr>
          <w:p w14:paraId="755DCB0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44B9E5A" w14:textId="77777777" w:rsidTr="00B70311">
        <w:trPr>
          <w:trHeight w:val="315"/>
        </w:trPr>
        <w:tc>
          <w:tcPr>
            <w:tcW w:w="2796" w:type="pct"/>
            <w:tcBorders>
              <w:top w:val="nil"/>
              <w:left w:val="nil"/>
              <w:bottom w:val="nil"/>
              <w:right w:val="nil"/>
            </w:tcBorders>
            <w:noWrap/>
            <w:vAlign w:val="bottom"/>
            <w:hideMark/>
          </w:tcPr>
          <w:p w14:paraId="6A81D21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116693F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2747B7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05635F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505F595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74F37A4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65" w:type="pct"/>
            <w:vAlign w:val="center"/>
            <w:hideMark/>
          </w:tcPr>
          <w:p w14:paraId="3BA7ED6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9E2F982" w14:textId="77777777" w:rsidTr="00B70311">
        <w:trPr>
          <w:trHeight w:val="315"/>
        </w:trPr>
        <w:tc>
          <w:tcPr>
            <w:tcW w:w="4935" w:type="pct"/>
            <w:gridSpan w:val="6"/>
            <w:tcBorders>
              <w:top w:val="single" w:sz="4" w:space="0" w:color="auto"/>
              <w:left w:val="single" w:sz="4" w:space="0" w:color="auto"/>
              <w:bottom w:val="single" w:sz="4" w:space="0" w:color="auto"/>
              <w:right w:val="single" w:sz="4" w:space="0" w:color="000000"/>
            </w:tcBorders>
            <w:noWrap/>
            <w:vAlign w:val="bottom"/>
            <w:hideMark/>
          </w:tcPr>
          <w:p w14:paraId="5406A7E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lastRenderedPageBreak/>
              <w:t>Quick Ratio (Acid-Test Ratio)</w:t>
            </w:r>
          </w:p>
        </w:tc>
        <w:tc>
          <w:tcPr>
            <w:tcW w:w="65" w:type="pct"/>
            <w:vAlign w:val="center"/>
            <w:hideMark/>
          </w:tcPr>
          <w:p w14:paraId="1E65290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32CE4B6"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038ACA85"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12" w:type="pct"/>
            <w:tcBorders>
              <w:top w:val="nil"/>
              <w:left w:val="nil"/>
              <w:bottom w:val="single" w:sz="4" w:space="0" w:color="auto"/>
              <w:right w:val="single" w:sz="4" w:space="0" w:color="auto"/>
            </w:tcBorders>
            <w:noWrap/>
            <w:vAlign w:val="bottom"/>
            <w:hideMark/>
          </w:tcPr>
          <w:p w14:paraId="7E87FF1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12" w:type="pct"/>
            <w:tcBorders>
              <w:top w:val="nil"/>
              <w:left w:val="nil"/>
              <w:bottom w:val="single" w:sz="4" w:space="0" w:color="auto"/>
              <w:right w:val="single" w:sz="4" w:space="0" w:color="auto"/>
            </w:tcBorders>
            <w:noWrap/>
            <w:vAlign w:val="bottom"/>
            <w:hideMark/>
          </w:tcPr>
          <w:p w14:paraId="42513C9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12" w:type="pct"/>
            <w:tcBorders>
              <w:top w:val="nil"/>
              <w:left w:val="nil"/>
              <w:bottom w:val="single" w:sz="4" w:space="0" w:color="auto"/>
              <w:right w:val="single" w:sz="4" w:space="0" w:color="auto"/>
            </w:tcBorders>
            <w:noWrap/>
            <w:vAlign w:val="bottom"/>
            <w:hideMark/>
          </w:tcPr>
          <w:p w14:paraId="418D573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51" w:type="pct"/>
            <w:tcBorders>
              <w:top w:val="nil"/>
              <w:left w:val="nil"/>
              <w:bottom w:val="single" w:sz="4" w:space="0" w:color="auto"/>
              <w:right w:val="single" w:sz="4" w:space="0" w:color="auto"/>
            </w:tcBorders>
            <w:noWrap/>
            <w:vAlign w:val="bottom"/>
            <w:hideMark/>
          </w:tcPr>
          <w:p w14:paraId="665809A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51" w:type="pct"/>
            <w:tcBorders>
              <w:top w:val="nil"/>
              <w:left w:val="nil"/>
              <w:bottom w:val="single" w:sz="4" w:space="0" w:color="auto"/>
              <w:right w:val="single" w:sz="4" w:space="0" w:color="auto"/>
            </w:tcBorders>
            <w:noWrap/>
            <w:vAlign w:val="bottom"/>
            <w:hideMark/>
          </w:tcPr>
          <w:p w14:paraId="5A777E12"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65" w:type="pct"/>
            <w:vAlign w:val="center"/>
            <w:hideMark/>
          </w:tcPr>
          <w:p w14:paraId="352C650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50344B2"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6C4ED6CF"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Assets (KRW mn)</w:t>
            </w:r>
          </w:p>
        </w:tc>
        <w:tc>
          <w:tcPr>
            <w:tcW w:w="412" w:type="pct"/>
            <w:tcBorders>
              <w:top w:val="nil"/>
              <w:left w:val="nil"/>
              <w:bottom w:val="single" w:sz="4" w:space="0" w:color="auto"/>
              <w:right w:val="single" w:sz="4" w:space="0" w:color="auto"/>
            </w:tcBorders>
            <w:noWrap/>
            <w:vAlign w:val="bottom"/>
            <w:hideMark/>
          </w:tcPr>
          <w:p w14:paraId="2793A1F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83,686,357</w:t>
            </w:r>
          </w:p>
        </w:tc>
        <w:tc>
          <w:tcPr>
            <w:tcW w:w="412" w:type="pct"/>
            <w:tcBorders>
              <w:top w:val="nil"/>
              <w:left w:val="nil"/>
              <w:bottom w:val="single" w:sz="4" w:space="0" w:color="auto"/>
              <w:right w:val="single" w:sz="4" w:space="0" w:color="auto"/>
            </w:tcBorders>
            <w:noWrap/>
            <w:vAlign w:val="bottom"/>
            <w:hideMark/>
          </w:tcPr>
          <w:p w14:paraId="65BA28C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88,565,366</w:t>
            </w:r>
          </w:p>
        </w:tc>
        <w:tc>
          <w:tcPr>
            <w:tcW w:w="412" w:type="pct"/>
            <w:tcBorders>
              <w:top w:val="nil"/>
              <w:left w:val="nil"/>
              <w:bottom w:val="single" w:sz="4" w:space="0" w:color="auto"/>
              <w:right w:val="single" w:sz="4" w:space="0" w:color="auto"/>
            </w:tcBorders>
            <w:noWrap/>
            <w:vAlign w:val="bottom"/>
            <w:hideMark/>
          </w:tcPr>
          <w:p w14:paraId="31BB00C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96,389,273</w:t>
            </w:r>
          </w:p>
        </w:tc>
        <w:tc>
          <w:tcPr>
            <w:tcW w:w="451" w:type="pct"/>
            <w:tcBorders>
              <w:top w:val="nil"/>
              <w:left w:val="nil"/>
              <w:bottom w:val="single" w:sz="4" w:space="0" w:color="auto"/>
              <w:right w:val="single" w:sz="4" w:space="0" w:color="auto"/>
            </w:tcBorders>
            <w:noWrap/>
            <w:vAlign w:val="bottom"/>
            <w:hideMark/>
          </w:tcPr>
          <w:p w14:paraId="6E1AC69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101,724,717</w:t>
            </w:r>
          </w:p>
        </w:tc>
        <w:tc>
          <w:tcPr>
            <w:tcW w:w="451" w:type="pct"/>
            <w:tcBorders>
              <w:top w:val="nil"/>
              <w:left w:val="nil"/>
              <w:bottom w:val="single" w:sz="4" w:space="0" w:color="auto"/>
              <w:right w:val="single" w:sz="4" w:space="0" w:color="auto"/>
            </w:tcBorders>
            <w:noWrap/>
            <w:vAlign w:val="bottom"/>
            <w:hideMark/>
          </w:tcPr>
          <w:p w14:paraId="14423E7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115,764,287</w:t>
            </w:r>
          </w:p>
        </w:tc>
        <w:tc>
          <w:tcPr>
            <w:tcW w:w="65" w:type="pct"/>
            <w:vAlign w:val="center"/>
            <w:hideMark/>
          </w:tcPr>
          <w:p w14:paraId="4C63355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F67F7BD"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396F2992"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Inventory (KRW mn)</w:t>
            </w:r>
          </w:p>
        </w:tc>
        <w:tc>
          <w:tcPr>
            <w:tcW w:w="412" w:type="pct"/>
            <w:tcBorders>
              <w:top w:val="nil"/>
              <w:left w:val="nil"/>
              <w:bottom w:val="single" w:sz="4" w:space="0" w:color="auto"/>
              <w:right w:val="single" w:sz="4" w:space="0" w:color="auto"/>
            </w:tcBorders>
            <w:noWrap/>
            <w:vAlign w:val="bottom"/>
            <w:hideMark/>
          </w:tcPr>
          <w:p w14:paraId="789A95C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11,333,734</w:t>
            </w:r>
          </w:p>
        </w:tc>
        <w:tc>
          <w:tcPr>
            <w:tcW w:w="412" w:type="pct"/>
            <w:tcBorders>
              <w:top w:val="nil"/>
              <w:left w:val="nil"/>
              <w:bottom w:val="single" w:sz="4" w:space="0" w:color="auto"/>
              <w:right w:val="single" w:sz="4" w:space="0" w:color="auto"/>
            </w:tcBorders>
            <w:noWrap/>
            <w:vAlign w:val="bottom"/>
            <w:hideMark/>
          </w:tcPr>
          <w:p w14:paraId="5D703DDE"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11,645,641</w:t>
            </w:r>
          </w:p>
        </w:tc>
        <w:tc>
          <w:tcPr>
            <w:tcW w:w="412" w:type="pct"/>
            <w:tcBorders>
              <w:top w:val="nil"/>
              <w:left w:val="nil"/>
              <w:bottom w:val="single" w:sz="4" w:space="0" w:color="auto"/>
              <w:right w:val="single" w:sz="4" w:space="0" w:color="auto"/>
            </w:tcBorders>
            <w:noWrap/>
            <w:vAlign w:val="bottom"/>
            <w:hideMark/>
          </w:tcPr>
          <w:p w14:paraId="36025A5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14,291,216</w:t>
            </w:r>
          </w:p>
        </w:tc>
        <w:tc>
          <w:tcPr>
            <w:tcW w:w="451" w:type="pct"/>
            <w:tcBorders>
              <w:top w:val="nil"/>
              <w:left w:val="nil"/>
              <w:bottom w:val="single" w:sz="4" w:space="0" w:color="auto"/>
              <w:right w:val="single" w:sz="4" w:space="0" w:color="auto"/>
            </w:tcBorders>
            <w:noWrap/>
            <w:vAlign w:val="bottom"/>
            <w:hideMark/>
          </w:tcPr>
          <w:p w14:paraId="1351B77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17,400,346</w:t>
            </w:r>
          </w:p>
        </w:tc>
        <w:tc>
          <w:tcPr>
            <w:tcW w:w="451" w:type="pct"/>
            <w:tcBorders>
              <w:top w:val="nil"/>
              <w:left w:val="nil"/>
              <w:bottom w:val="single" w:sz="4" w:space="0" w:color="auto"/>
              <w:right w:val="single" w:sz="4" w:space="0" w:color="auto"/>
            </w:tcBorders>
            <w:noWrap/>
            <w:vAlign w:val="bottom"/>
            <w:hideMark/>
          </w:tcPr>
          <w:p w14:paraId="40F9337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19,791,007</w:t>
            </w:r>
          </w:p>
        </w:tc>
        <w:tc>
          <w:tcPr>
            <w:tcW w:w="65" w:type="pct"/>
            <w:vAlign w:val="center"/>
            <w:hideMark/>
          </w:tcPr>
          <w:p w14:paraId="33383C2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B7D1DF9"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2297CC27"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Liabilities (KRW mn)</w:t>
            </w:r>
          </w:p>
        </w:tc>
        <w:tc>
          <w:tcPr>
            <w:tcW w:w="412" w:type="pct"/>
            <w:tcBorders>
              <w:top w:val="nil"/>
              <w:left w:val="nil"/>
              <w:bottom w:val="single" w:sz="4" w:space="0" w:color="auto"/>
              <w:right w:val="single" w:sz="4" w:space="0" w:color="auto"/>
            </w:tcBorders>
            <w:noWrap/>
            <w:vAlign w:val="bottom"/>
            <w:hideMark/>
          </w:tcPr>
          <w:p w14:paraId="347FBA6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59,459,528</w:t>
            </w:r>
          </w:p>
        </w:tc>
        <w:tc>
          <w:tcPr>
            <w:tcW w:w="412" w:type="pct"/>
            <w:tcBorders>
              <w:top w:val="nil"/>
              <w:left w:val="nil"/>
              <w:bottom w:val="single" w:sz="4" w:space="0" w:color="auto"/>
              <w:right w:val="single" w:sz="4" w:space="0" w:color="auto"/>
            </w:tcBorders>
            <w:noWrap/>
            <w:vAlign w:val="bottom"/>
            <w:hideMark/>
          </w:tcPr>
          <w:p w14:paraId="231DD64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64,236,787</w:t>
            </w:r>
          </w:p>
        </w:tc>
        <w:tc>
          <w:tcPr>
            <w:tcW w:w="412" w:type="pct"/>
            <w:tcBorders>
              <w:top w:val="nil"/>
              <w:left w:val="nil"/>
              <w:bottom w:val="single" w:sz="4" w:space="0" w:color="auto"/>
              <w:right w:val="single" w:sz="4" w:space="0" w:color="auto"/>
            </w:tcBorders>
            <w:noWrap/>
            <w:vAlign w:val="bottom"/>
            <w:hideMark/>
          </w:tcPr>
          <w:p w14:paraId="4AB2671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74,236,472</w:t>
            </w:r>
          </w:p>
        </w:tc>
        <w:tc>
          <w:tcPr>
            <w:tcW w:w="451" w:type="pct"/>
            <w:tcBorders>
              <w:top w:val="nil"/>
              <w:left w:val="nil"/>
              <w:bottom w:val="single" w:sz="4" w:space="0" w:color="auto"/>
              <w:right w:val="single" w:sz="4" w:space="0" w:color="auto"/>
            </w:tcBorders>
            <w:noWrap/>
            <w:vAlign w:val="bottom"/>
            <w:hideMark/>
          </w:tcPr>
          <w:p w14:paraId="3929BC8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73,362,103</w:t>
            </w:r>
          </w:p>
        </w:tc>
        <w:tc>
          <w:tcPr>
            <w:tcW w:w="451" w:type="pct"/>
            <w:tcBorders>
              <w:top w:val="nil"/>
              <w:left w:val="nil"/>
              <w:bottom w:val="single" w:sz="4" w:space="0" w:color="auto"/>
              <w:right w:val="single" w:sz="4" w:space="0" w:color="auto"/>
            </w:tcBorders>
            <w:noWrap/>
            <w:vAlign w:val="bottom"/>
            <w:hideMark/>
          </w:tcPr>
          <w:p w14:paraId="1131E1A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79,509,643</w:t>
            </w:r>
          </w:p>
        </w:tc>
        <w:tc>
          <w:tcPr>
            <w:tcW w:w="65" w:type="pct"/>
            <w:vAlign w:val="center"/>
            <w:hideMark/>
          </w:tcPr>
          <w:p w14:paraId="41AAAB5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DDF311A"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19F3B7B8"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Quick Ratio (Acid-Test Ratio) = (Current Assets − Inventory) ÷ Current Liabilities</w:t>
            </w:r>
          </w:p>
        </w:tc>
        <w:tc>
          <w:tcPr>
            <w:tcW w:w="412" w:type="pct"/>
            <w:tcBorders>
              <w:top w:val="nil"/>
              <w:left w:val="nil"/>
              <w:bottom w:val="single" w:sz="4" w:space="0" w:color="auto"/>
              <w:right w:val="single" w:sz="4" w:space="0" w:color="auto"/>
            </w:tcBorders>
            <w:noWrap/>
            <w:vAlign w:val="bottom"/>
            <w:hideMark/>
          </w:tcPr>
          <w:p w14:paraId="35DBD4A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w:t>
            </w:r>
          </w:p>
        </w:tc>
        <w:tc>
          <w:tcPr>
            <w:tcW w:w="412" w:type="pct"/>
            <w:tcBorders>
              <w:top w:val="nil"/>
              <w:left w:val="nil"/>
              <w:bottom w:val="single" w:sz="4" w:space="0" w:color="auto"/>
              <w:right w:val="single" w:sz="4" w:space="0" w:color="auto"/>
            </w:tcBorders>
            <w:noWrap/>
            <w:vAlign w:val="bottom"/>
            <w:hideMark/>
          </w:tcPr>
          <w:p w14:paraId="4D79D71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1.20</w:t>
            </w:r>
          </w:p>
        </w:tc>
        <w:tc>
          <w:tcPr>
            <w:tcW w:w="412" w:type="pct"/>
            <w:tcBorders>
              <w:top w:val="nil"/>
              <w:left w:val="nil"/>
              <w:bottom w:val="single" w:sz="4" w:space="0" w:color="auto"/>
              <w:right w:val="single" w:sz="4" w:space="0" w:color="auto"/>
            </w:tcBorders>
            <w:noWrap/>
            <w:vAlign w:val="bottom"/>
            <w:hideMark/>
          </w:tcPr>
          <w:p w14:paraId="563D980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1.11</w:t>
            </w:r>
          </w:p>
        </w:tc>
        <w:tc>
          <w:tcPr>
            <w:tcW w:w="451" w:type="pct"/>
            <w:tcBorders>
              <w:top w:val="nil"/>
              <w:left w:val="nil"/>
              <w:bottom w:val="single" w:sz="4" w:space="0" w:color="auto"/>
              <w:right w:val="single" w:sz="4" w:space="0" w:color="auto"/>
            </w:tcBorders>
            <w:noWrap/>
            <w:vAlign w:val="bottom"/>
            <w:hideMark/>
          </w:tcPr>
          <w:p w14:paraId="13FEE68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1.15</w:t>
            </w:r>
          </w:p>
        </w:tc>
        <w:tc>
          <w:tcPr>
            <w:tcW w:w="451" w:type="pct"/>
            <w:tcBorders>
              <w:top w:val="nil"/>
              <w:left w:val="nil"/>
              <w:bottom w:val="single" w:sz="4" w:space="0" w:color="auto"/>
              <w:right w:val="single" w:sz="4" w:space="0" w:color="auto"/>
            </w:tcBorders>
            <w:noWrap/>
            <w:vAlign w:val="bottom"/>
            <w:hideMark/>
          </w:tcPr>
          <w:p w14:paraId="34DE2DD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1.21</w:t>
            </w:r>
          </w:p>
        </w:tc>
        <w:tc>
          <w:tcPr>
            <w:tcW w:w="65" w:type="pct"/>
            <w:vAlign w:val="center"/>
            <w:hideMark/>
          </w:tcPr>
          <w:p w14:paraId="4A9193C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bl>
    <w:p w14:paraId="109D0133" w14:textId="77777777" w:rsidR="00B70311" w:rsidRDefault="00B70311" w:rsidP="008E7995"/>
    <w:p w14:paraId="6C53AD85" w14:textId="1E159ABE" w:rsidR="00FF05EF" w:rsidRDefault="00FF05EF" w:rsidP="008E7995">
      <w:r w:rsidRPr="00FF05EF">
        <w:t>Efficiency</w:t>
      </w:r>
    </w:p>
    <w:tbl>
      <w:tblPr>
        <w:tblW w:w="5000" w:type="pct"/>
        <w:tblLook w:val="04A0" w:firstRow="1" w:lastRow="0" w:firstColumn="1" w:lastColumn="0" w:noHBand="0" w:noVBand="1"/>
      </w:tblPr>
      <w:tblGrid>
        <w:gridCol w:w="4471"/>
        <w:gridCol w:w="934"/>
        <w:gridCol w:w="934"/>
        <w:gridCol w:w="934"/>
        <w:gridCol w:w="934"/>
        <w:gridCol w:w="934"/>
        <w:gridCol w:w="219"/>
      </w:tblGrid>
      <w:tr w:rsidR="00CD7A21" w:rsidRPr="00CD7A21" w14:paraId="3241F8F0" w14:textId="77777777" w:rsidTr="00CD7A21">
        <w:trPr>
          <w:gridAfter w:val="1"/>
          <w:wAfter w:w="60" w:type="pct"/>
          <w:trHeight w:val="552"/>
        </w:trPr>
        <w:tc>
          <w:tcPr>
            <w:tcW w:w="4940" w:type="pct"/>
            <w:gridSpan w:val="6"/>
            <w:vMerge w:val="restart"/>
            <w:tcBorders>
              <w:top w:val="nil"/>
              <w:left w:val="nil"/>
              <w:bottom w:val="nil"/>
              <w:right w:val="nil"/>
            </w:tcBorders>
            <w:noWrap/>
            <w:vAlign w:val="center"/>
            <w:hideMark/>
          </w:tcPr>
          <w:p w14:paraId="1134D0FB" w14:textId="77777777" w:rsidR="00CD7A21" w:rsidRPr="00CD7A21" w:rsidRDefault="00CD7A21" w:rsidP="00CD7A21">
            <w:pPr>
              <w:spacing w:after="0" w:line="240" w:lineRule="auto"/>
              <w:jc w:val="center"/>
              <w:rPr>
                <w:rFonts w:eastAsia="Times New Roman" w:cs="Arial"/>
                <w:b/>
                <w:bCs/>
                <w:color w:val="7E350E"/>
                <w:kern w:val="0"/>
                <w:sz w:val="48"/>
                <w:szCs w:val="48"/>
                <w14:ligatures w14:val="none"/>
              </w:rPr>
            </w:pPr>
            <w:r w:rsidRPr="00CD7A21">
              <w:rPr>
                <w:rFonts w:eastAsia="Times New Roman" w:cs="Arial"/>
                <w:b/>
                <w:bCs/>
                <w:color w:val="7E350E"/>
                <w:kern w:val="0"/>
                <w:sz w:val="48"/>
                <w:szCs w:val="48"/>
                <w14:ligatures w14:val="none"/>
              </w:rPr>
              <w:t>Hyundai Efficiency</w:t>
            </w:r>
          </w:p>
        </w:tc>
      </w:tr>
      <w:tr w:rsidR="00CD7A21" w:rsidRPr="00CD7A21" w14:paraId="0CDB289A" w14:textId="77777777" w:rsidTr="00CD7A21">
        <w:trPr>
          <w:trHeight w:val="300"/>
        </w:trPr>
        <w:tc>
          <w:tcPr>
            <w:tcW w:w="4940" w:type="pct"/>
            <w:gridSpan w:val="6"/>
            <w:vMerge/>
            <w:tcBorders>
              <w:top w:val="nil"/>
              <w:left w:val="nil"/>
              <w:bottom w:val="nil"/>
              <w:right w:val="nil"/>
            </w:tcBorders>
            <w:vAlign w:val="center"/>
            <w:hideMark/>
          </w:tcPr>
          <w:p w14:paraId="27F7DB2B" w14:textId="77777777" w:rsidR="00CD7A21" w:rsidRPr="00CD7A21" w:rsidRDefault="00CD7A21" w:rsidP="00CD7A21">
            <w:pPr>
              <w:spacing w:after="0" w:line="240" w:lineRule="auto"/>
              <w:jc w:val="left"/>
              <w:rPr>
                <w:rFonts w:eastAsia="Times New Roman" w:cs="Arial"/>
                <w:b/>
                <w:bCs/>
                <w:color w:val="7E350E"/>
                <w:kern w:val="0"/>
                <w:sz w:val="48"/>
                <w:szCs w:val="48"/>
                <w14:ligatures w14:val="none"/>
              </w:rPr>
            </w:pPr>
          </w:p>
        </w:tc>
        <w:tc>
          <w:tcPr>
            <w:tcW w:w="60" w:type="pct"/>
            <w:tcBorders>
              <w:top w:val="nil"/>
              <w:left w:val="nil"/>
              <w:bottom w:val="nil"/>
              <w:right w:val="nil"/>
            </w:tcBorders>
            <w:noWrap/>
            <w:vAlign w:val="bottom"/>
            <w:hideMark/>
          </w:tcPr>
          <w:p w14:paraId="6A9FBB23" w14:textId="77777777" w:rsidR="00CD7A21" w:rsidRPr="00CD7A21" w:rsidRDefault="00CD7A21" w:rsidP="00CD7A21">
            <w:pPr>
              <w:spacing w:after="0" w:line="240" w:lineRule="auto"/>
              <w:jc w:val="center"/>
              <w:rPr>
                <w:rFonts w:eastAsia="Times New Roman" w:cs="Arial"/>
                <w:b/>
                <w:bCs/>
                <w:color w:val="7E350E"/>
                <w:kern w:val="0"/>
                <w:sz w:val="48"/>
                <w:szCs w:val="48"/>
                <w14:ligatures w14:val="none"/>
              </w:rPr>
            </w:pPr>
          </w:p>
        </w:tc>
      </w:tr>
      <w:tr w:rsidR="00CD7A21" w:rsidRPr="00CD7A21" w14:paraId="11145FD4" w14:textId="77777777" w:rsidTr="00CD7A21">
        <w:trPr>
          <w:trHeight w:val="315"/>
        </w:trPr>
        <w:tc>
          <w:tcPr>
            <w:tcW w:w="2586" w:type="pct"/>
            <w:tcBorders>
              <w:top w:val="nil"/>
              <w:left w:val="nil"/>
              <w:bottom w:val="nil"/>
              <w:right w:val="nil"/>
            </w:tcBorders>
            <w:noWrap/>
            <w:vAlign w:val="bottom"/>
            <w:hideMark/>
          </w:tcPr>
          <w:p w14:paraId="4EB14B3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29FBB2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44DB7AC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3029D5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65B9436"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251A18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10AE7D9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12F855A5"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55ACEFF4"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Inventory Turnover</w:t>
            </w:r>
          </w:p>
        </w:tc>
        <w:tc>
          <w:tcPr>
            <w:tcW w:w="60" w:type="pct"/>
            <w:vAlign w:val="center"/>
            <w:hideMark/>
          </w:tcPr>
          <w:p w14:paraId="667E365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033B8093"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BFA55D5"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2DBBC3BE"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17511110"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1C085FC4"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084EAA96"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4CF301CD"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2198EFFD"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0DAF1B4C"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CC03BB4"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Cost of Sales (KRW mn)</w:t>
            </w:r>
          </w:p>
        </w:tc>
        <w:tc>
          <w:tcPr>
            <w:tcW w:w="471" w:type="pct"/>
            <w:tcBorders>
              <w:top w:val="nil"/>
              <w:left w:val="nil"/>
              <w:bottom w:val="single" w:sz="4" w:space="0" w:color="auto"/>
              <w:right w:val="single" w:sz="4" w:space="0" w:color="auto"/>
            </w:tcBorders>
            <w:noWrap/>
            <w:vAlign w:val="bottom"/>
            <w:hideMark/>
          </w:tcPr>
          <w:p w14:paraId="15BF39F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85,515,931</w:t>
            </w:r>
          </w:p>
        </w:tc>
        <w:tc>
          <w:tcPr>
            <w:tcW w:w="471" w:type="pct"/>
            <w:tcBorders>
              <w:top w:val="nil"/>
              <w:left w:val="nil"/>
              <w:bottom w:val="single" w:sz="4" w:space="0" w:color="auto"/>
              <w:right w:val="single" w:sz="4" w:space="0" w:color="auto"/>
            </w:tcBorders>
            <w:noWrap/>
            <w:vAlign w:val="bottom"/>
            <w:hideMark/>
          </w:tcPr>
          <w:p w14:paraId="6420885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95,680,131</w:t>
            </w:r>
          </w:p>
        </w:tc>
        <w:tc>
          <w:tcPr>
            <w:tcW w:w="471" w:type="pct"/>
            <w:tcBorders>
              <w:top w:val="nil"/>
              <w:left w:val="nil"/>
              <w:bottom w:val="single" w:sz="4" w:space="0" w:color="auto"/>
              <w:right w:val="single" w:sz="4" w:space="0" w:color="auto"/>
            </w:tcBorders>
            <w:noWrap/>
            <w:vAlign w:val="bottom"/>
            <w:hideMark/>
          </w:tcPr>
          <w:p w14:paraId="4F1B148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114,209,483</w:t>
            </w:r>
          </w:p>
        </w:tc>
        <w:tc>
          <w:tcPr>
            <w:tcW w:w="471" w:type="pct"/>
            <w:tcBorders>
              <w:top w:val="nil"/>
              <w:left w:val="nil"/>
              <w:bottom w:val="single" w:sz="4" w:space="0" w:color="auto"/>
              <w:right w:val="single" w:sz="4" w:space="0" w:color="auto"/>
            </w:tcBorders>
            <w:noWrap/>
            <w:vAlign w:val="bottom"/>
            <w:hideMark/>
          </w:tcPr>
          <w:p w14:paraId="5CEF24E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129,179,183</w:t>
            </w:r>
          </w:p>
        </w:tc>
        <w:tc>
          <w:tcPr>
            <w:tcW w:w="471" w:type="pct"/>
            <w:tcBorders>
              <w:top w:val="nil"/>
              <w:left w:val="nil"/>
              <w:bottom w:val="single" w:sz="4" w:space="0" w:color="auto"/>
              <w:right w:val="single" w:sz="4" w:space="0" w:color="auto"/>
            </w:tcBorders>
            <w:noWrap/>
            <w:vAlign w:val="bottom"/>
            <w:hideMark/>
          </w:tcPr>
          <w:p w14:paraId="5D66C18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139,481,946</w:t>
            </w:r>
          </w:p>
        </w:tc>
        <w:tc>
          <w:tcPr>
            <w:tcW w:w="60" w:type="pct"/>
            <w:vAlign w:val="center"/>
            <w:hideMark/>
          </w:tcPr>
          <w:p w14:paraId="4A1B203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2DFC9B9"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1B6F32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Opening Inventory (KRW mn)</w:t>
            </w:r>
          </w:p>
        </w:tc>
        <w:tc>
          <w:tcPr>
            <w:tcW w:w="471" w:type="pct"/>
            <w:tcBorders>
              <w:top w:val="nil"/>
              <w:left w:val="nil"/>
              <w:bottom w:val="single" w:sz="4" w:space="0" w:color="auto"/>
              <w:right w:val="single" w:sz="4" w:space="0" w:color="auto"/>
            </w:tcBorders>
            <w:noWrap/>
            <w:vAlign w:val="bottom"/>
            <w:hideMark/>
          </w:tcPr>
          <w:p w14:paraId="3299D52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13,663,848</w:t>
            </w:r>
          </w:p>
        </w:tc>
        <w:tc>
          <w:tcPr>
            <w:tcW w:w="471" w:type="pct"/>
            <w:tcBorders>
              <w:top w:val="nil"/>
              <w:left w:val="nil"/>
              <w:bottom w:val="single" w:sz="4" w:space="0" w:color="auto"/>
              <w:right w:val="single" w:sz="4" w:space="0" w:color="auto"/>
            </w:tcBorders>
            <w:noWrap/>
            <w:vAlign w:val="bottom"/>
            <w:hideMark/>
          </w:tcPr>
          <w:p w14:paraId="52936B1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11,333,734</w:t>
            </w:r>
          </w:p>
        </w:tc>
        <w:tc>
          <w:tcPr>
            <w:tcW w:w="471" w:type="pct"/>
            <w:tcBorders>
              <w:top w:val="nil"/>
              <w:left w:val="nil"/>
              <w:bottom w:val="single" w:sz="4" w:space="0" w:color="auto"/>
              <w:right w:val="single" w:sz="4" w:space="0" w:color="auto"/>
            </w:tcBorders>
            <w:noWrap/>
            <w:vAlign w:val="bottom"/>
            <w:hideMark/>
          </w:tcPr>
          <w:p w14:paraId="7C816D4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11,645,641</w:t>
            </w:r>
          </w:p>
        </w:tc>
        <w:tc>
          <w:tcPr>
            <w:tcW w:w="471" w:type="pct"/>
            <w:tcBorders>
              <w:top w:val="nil"/>
              <w:left w:val="nil"/>
              <w:bottom w:val="single" w:sz="4" w:space="0" w:color="auto"/>
              <w:right w:val="single" w:sz="4" w:space="0" w:color="auto"/>
            </w:tcBorders>
            <w:noWrap/>
            <w:vAlign w:val="bottom"/>
            <w:hideMark/>
          </w:tcPr>
          <w:p w14:paraId="0C4B62D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14,291,216</w:t>
            </w:r>
          </w:p>
        </w:tc>
        <w:tc>
          <w:tcPr>
            <w:tcW w:w="471" w:type="pct"/>
            <w:tcBorders>
              <w:top w:val="nil"/>
              <w:left w:val="nil"/>
              <w:bottom w:val="single" w:sz="4" w:space="0" w:color="auto"/>
              <w:right w:val="single" w:sz="4" w:space="0" w:color="auto"/>
            </w:tcBorders>
            <w:noWrap/>
            <w:vAlign w:val="bottom"/>
            <w:hideMark/>
          </w:tcPr>
          <w:p w14:paraId="431C992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17,400,346</w:t>
            </w:r>
          </w:p>
        </w:tc>
        <w:tc>
          <w:tcPr>
            <w:tcW w:w="60" w:type="pct"/>
            <w:vAlign w:val="center"/>
            <w:hideMark/>
          </w:tcPr>
          <w:p w14:paraId="3B2CDB2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29271690"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E4A894A"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Closing Inventory (KRW mn)</w:t>
            </w:r>
          </w:p>
        </w:tc>
        <w:tc>
          <w:tcPr>
            <w:tcW w:w="471" w:type="pct"/>
            <w:tcBorders>
              <w:top w:val="nil"/>
              <w:left w:val="nil"/>
              <w:bottom w:val="single" w:sz="4" w:space="0" w:color="auto"/>
              <w:right w:val="single" w:sz="4" w:space="0" w:color="auto"/>
            </w:tcBorders>
            <w:noWrap/>
            <w:vAlign w:val="bottom"/>
            <w:hideMark/>
          </w:tcPr>
          <w:p w14:paraId="2C818F8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11,333,734</w:t>
            </w:r>
          </w:p>
        </w:tc>
        <w:tc>
          <w:tcPr>
            <w:tcW w:w="471" w:type="pct"/>
            <w:tcBorders>
              <w:top w:val="nil"/>
              <w:left w:val="nil"/>
              <w:bottom w:val="single" w:sz="4" w:space="0" w:color="auto"/>
              <w:right w:val="single" w:sz="4" w:space="0" w:color="auto"/>
            </w:tcBorders>
            <w:noWrap/>
            <w:vAlign w:val="bottom"/>
            <w:hideMark/>
          </w:tcPr>
          <w:p w14:paraId="016B4DD7"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11,645,641</w:t>
            </w:r>
          </w:p>
        </w:tc>
        <w:tc>
          <w:tcPr>
            <w:tcW w:w="471" w:type="pct"/>
            <w:tcBorders>
              <w:top w:val="nil"/>
              <w:left w:val="nil"/>
              <w:bottom w:val="single" w:sz="4" w:space="0" w:color="auto"/>
              <w:right w:val="single" w:sz="4" w:space="0" w:color="auto"/>
            </w:tcBorders>
            <w:noWrap/>
            <w:vAlign w:val="bottom"/>
            <w:hideMark/>
          </w:tcPr>
          <w:p w14:paraId="0C95DBE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14,291,216</w:t>
            </w:r>
          </w:p>
        </w:tc>
        <w:tc>
          <w:tcPr>
            <w:tcW w:w="471" w:type="pct"/>
            <w:tcBorders>
              <w:top w:val="nil"/>
              <w:left w:val="nil"/>
              <w:bottom w:val="single" w:sz="4" w:space="0" w:color="auto"/>
              <w:right w:val="single" w:sz="4" w:space="0" w:color="auto"/>
            </w:tcBorders>
            <w:noWrap/>
            <w:vAlign w:val="bottom"/>
            <w:hideMark/>
          </w:tcPr>
          <w:p w14:paraId="6C2188CD"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17,400,346</w:t>
            </w:r>
          </w:p>
        </w:tc>
        <w:tc>
          <w:tcPr>
            <w:tcW w:w="471" w:type="pct"/>
            <w:tcBorders>
              <w:top w:val="nil"/>
              <w:left w:val="nil"/>
              <w:bottom w:val="single" w:sz="4" w:space="0" w:color="auto"/>
              <w:right w:val="single" w:sz="4" w:space="0" w:color="auto"/>
            </w:tcBorders>
            <w:noWrap/>
            <w:vAlign w:val="bottom"/>
            <w:hideMark/>
          </w:tcPr>
          <w:p w14:paraId="5D8A170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19,791,007</w:t>
            </w:r>
          </w:p>
        </w:tc>
        <w:tc>
          <w:tcPr>
            <w:tcW w:w="60" w:type="pct"/>
            <w:vAlign w:val="center"/>
            <w:hideMark/>
          </w:tcPr>
          <w:p w14:paraId="15A2FF41"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1902DF6"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B9963C2"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Avg Inventory</w:t>
            </w:r>
          </w:p>
        </w:tc>
        <w:tc>
          <w:tcPr>
            <w:tcW w:w="471" w:type="pct"/>
            <w:tcBorders>
              <w:top w:val="nil"/>
              <w:left w:val="nil"/>
              <w:bottom w:val="single" w:sz="4" w:space="0" w:color="auto"/>
              <w:right w:val="single" w:sz="4" w:space="0" w:color="auto"/>
            </w:tcBorders>
            <w:noWrap/>
            <w:vAlign w:val="bottom"/>
            <w:hideMark/>
          </w:tcPr>
          <w:p w14:paraId="2694F454"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12,498,791.00</w:t>
            </w:r>
          </w:p>
        </w:tc>
        <w:tc>
          <w:tcPr>
            <w:tcW w:w="471" w:type="pct"/>
            <w:tcBorders>
              <w:top w:val="nil"/>
              <w:left w:val="nil"/>
              <w:bottom w:val="single" w:sz="4" w:space="0" w:color="auto"/>
              <w:right w:val="single" w:sz="4" w:space="0" w:color="auto"/>
            </w:tcBorders>
            <w:noWrap/>
            <w:vAlign w:val="bottom"/>
            <w:hideMark/>
          </w:tcPr>
          <w:p w14:paraId="3B6DEEB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11,489,687.50</w:t>
            </w:r>
          </w:p>
        </w:tc>
        <w:tc>
          <w:tcPr>
            <w:tcW w:w="471" w:type="pct"/>
            <w:tcBorders>
              <w:top w:val="nil"/>
              <w:left w:val="nil"/>
              <w:bottom w:val="single" w:sz="4" w:space="0" w:color="auto"/>
              <w:right w:val="single" w:sz="4" w:space="0" w:color="auto"/>
            </w:tcBorders>
            <w:noWrap/>
            <w:vAlign w:val="bottom"/>
            <w:hideMark/>
          </w:tcPr>
          <w:p w14:paraId="036CB9A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12,968,428.50</w:t>
            </w:r>
          </w:p>
        </w:tc>
        <w:tc>
          <w:tcPr>
            <w:tcW w:w="471" w:type="pct"/>
            <w:tcBorders>
              <w:top w:val="nil"/>
              <w:left w:val="nil"/>
              <w:bottom w:val="single" w:sz="4" w:space="0" w:color="auto"/>
              <w:right w:val="single" w:sz="4" w:space="0" w:color="auto"/>
            </w:tcBorders>
            <w:noWrap/>
            <w:vAlign w:val="bottom"/>
            <w:hideMark/>
          </w:tcPr>
          <w:p w14:paraId="7D1B123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15,845,781.00</w:t>
            </w:r>
          </w:p>
        </w:tc>
        <w:tc>
          <w:tcPr>
            <w:tcW w:w="471" w:type="pct"/>
            <w:tcBorders>
              <w:top w:val="nil"/>
              <w:left w:val="nil"/>
              <w:bottom w:val="single" w:sz="4" w:space="0" w:color="auto"/>
              <w:right w:val="single" w:sz="4" w:space="0" w:color="auto"/>
            </w:tcBorders>
            <w:noWrap/>
            <w:vAlign w:val="bottom"/>
            <w:hideMark/>
          </w:tcPr>
          <w:p w14:paraId="1296739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18,595,676.50</w:t>
            </w:r>
          </w:p>
        </w:tc>
        <w:tc>
          <w:tcPr>
            <w:tcW w:w="60" w:type="pct"/>
            <w:vAlign w:val="center"/>
            <w:hideMark/>
          </w:tcPr>
          <w:p w14:paraId="30DD36E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6A913A48"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033FFB61"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Inventory Turnover = Cost of Goods Sold ÷ Average Inventory</w:t>
            </w:r>
          </w:p>
        </w:tc>
        <w:tc>
          <w:tcPr>
            <w:tcW w:w="471" w:type="pct"/>
            <w:tcBorders>
              <w:top w:val="nil"/>
              <w:left w:val="nil"/>
              <w:bottom w:val="single" w:sz="4" w:space="0" w:color="auto"/>
              <w:right w:val="single" w:sz="4" w:space="0" w:color="auto"/>
            </w:tcBorders>
            <w:noWrap/>
            <w:vAlign w:val="bottom"/>
            <w:hideMark/>
          </w:tcPr>
          <w:p w14:paraId="489B76E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6.84</w:t>
            </w:r>
          </w:p>
        </w:tc>
        <w:tc>
          <w:tcPr>
            <w:tcW w:w="471" w:type="pct"/>
            <w:tcBorders>
              <w:top w:val="nil"/>
              <w:left w:val="nil"/>
              <w:bottom w:val="single" w:sz="4" w:space="0" w:color="auto"/>
              <w:right w:val="single" w:sz="4" w:space="0" w:color="auto"/>
            </w:tcBorders>
            <w:noWrap/>
            <w:vAlign w:val="bottom"/>
            <w:hideMark/>
          </w:tcPr>
          <w:p w14:paraId="0F2C69E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8.33</w:t>
            </w:r>
          </w:p>
        </w:tc>
        <w:tc>
          <w:tcPr>
            <w:tcW w:w="471" w:type="pct"/>
            <w:tcBorders>
              <w:top w:val="nil"/>
              <w:left w:val="nil"/>
              <w:bottom w:val="single" w:sz="4" w:space="0" w:color="auto"/>
              <w:right w:val="single" w:sz="4" w:space="0" w:color="auto"/>
            </w:tcBorders>
            <w:noWrap/>
            <w:vAlign w:val="bottom"/>
            <w:hideMark/>
          </w:tcPr>
          <w:p w14:paraId="35E6F34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8.81</w:t>
            </w:r>
          </w:p>
        </w:tc>
        <w:tc>
          <w:tcPr>
            <w:tcW w:w="471" w:type="pct"/>
            <w:tcBorders>
              <w:top w:val="nil"/>
              <w:left w:val="nil"/>
              <w:bottom w:val="single" w:sz="4" w:space="0" w:color="auto"/>
              <w:right w:val="single" w:sz="4" w:space="0" w:color="auto"/>
            </w:tcBorders>
            <w:noWrap/>
            <w:vAlign w:val="bottom"/>
            <w:hideMark/>
          </w:tcPr>
          <w:p w14:paraId="780F74A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8.15</w:t>
            </w:r>
          </w:p>
        </w:tc>
        <w:tc>
          <w:tcPr>
            <w:tcW w:w="471" w:type="pct"/>
            <w:tcBorders>
              <w:top w:val="nil"/>
              <w:left w:val="nil"/>
              <w:bottom w:val="single" w:sz="4" w:space="0" w:color="auto"/>
              <w:right w:val="single" w:sz="4" w:space="0" w:color="auto"/>
            </w:tcBorders>
            <w:noWrap/>
            <w:vAlign w:val="bottom"/>
            <w:hideMark/>
          </w:tcPr>
          <w:p w14:paraId="03FC368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7.50</w:t>
            </w:r>
          </w:p>
        </w:tc>
        <w:tc>
          <w:tcPr>
            <w:tcW w:w="60" w:type="pct"/>
            <w:vAlign w:val="center"/>
            <w:hideMark/>
          </w:tcPr>
          <w:p w14:paraId="7DC430C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78329D8F" w14:textId="77777777" w:rsidTr="00CD7A21">
        <w:trPr>
          <w:trHeight w:val="315"/>
        </w:trPr>
        <w:tc>
          <w:tcPr>
            <w:tcW w:w="2586" w:type="pct"/>
            <w:tcBorders>
              <w:top w:val="nil"/>
              <w:left w:val="nil"/>
              <w:bottom w:val="nil"/>
              <w:right w:val="nil"/>
            </w:tcBorders>
            <w:noWrap/>
            <w:vAlign w:val="bottom"/>
            <w:hideMark/>
          </w:tcPr>
          <w:p w14:paraId="6075C847" w14:textId="77777777" w:rsidR="00CD7A21" w:rsidRPr="00CD7A21" w:rsidRDefault="00CD7A21" w:rsidP="00CD7A21">
            <w:pPr>
              <w:spacing w:after="0" w:line="240" w:lineRule="auto"/>
              <w:jc w:val="right"/>
              <w:rPr>
                <w:rFonts w:eastAsia="Times New Roman" w:cs="Arial"/>
                <w:color w:val="000000"/>
                <w:kern w:val="0"/>
                <w14:ligatures w14:val="none"/>
              </w:rPr>
            </w:pPr>
          </w:p>
        </w:tc>
        <w:tc>
          <w:tcPr>
            <w:tcW w:w="471" w:type="pct"/>
            <w:tcBorders>
              <w:top w:val="nil"/>
              <w:left w:val="nil"/>
              <w:bottom w:val="nil"/>
              <w:right w:val="nil"/>
            </w:tcBorders>
            <w:noWrap/>
            <w:vAlign w:val="bottom"/>
            <w:hideMark/>
          </w:tcPr>
          <w:p w14:paraId="219129C1"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8FBA26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4892730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554C2E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FC67B41"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4C7323D6"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77E40691" w14:textId="77777777" w:rsidTr="00CD7A21">
        <w:trPr>
          <w:trHeight w:val="315"/>
        </w:trPr>
        <w:tc>
          <w:tcPr>
            <w:tcW w:w="2586" w:type="pct"/>
            <w:tcBorders>
              <w:top w:val="nil"/>
              <w:left w:val="nil"/>
              <w:bottom w:val="nil"/>
              <w:right w:val="nil"/>
            </w:tcBorders>
            <w:noWrap/>
            <w:vAlign w:val="bottom"/>
            <w:hideMark/>
          </w:tcPr>
          <w:p w14:paraId="48D3687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15B7E4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E07B2C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86309A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A76722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D06599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27A8201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C51EFB2"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01DCDE51"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Receivables Collection Period (Days)</w:t>
            </w:r>
          </w:p>
        </w:tc>
        <w:tc>
          <w:tcPr>
            <w:tcW w:w="60" w:type="pct"/>
            <w:vAlign w:val="center"/>
            <w:hideMark/>
          </w:tcPr>
          <w:p w14:paraId="114983C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6A869781"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7E654E2F" w14:textId="77777777" w:rsidR="00CD7A21" w:rsidRPr="00CD7A21" w:rsidRDefault="00CD7A21" w:rsidP="00CD7A21">
            <w:pPr>
              <w:spacing w:after="0" w:line="240" w:lineRule="auto"/>
              <w:jc w:val="left"/>
              <w:rPr>
                <w:rFonts w:eastAsia="Times New Roman" w:cs="Arial"/>
                <w:color w:val="000000"/>
                <w:kern w:val="0"/>
                <w14:ligatures w14:val="none"/>
              </w:rPr>
            </w:pPr>
            <w:r w:rsidRPr="00CD7A21">
              <w:rPr>
                <w:rFonts w:eastAsia="Times New Roman" w:cs="Arial"/>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0F756F11"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27329ABF"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5B67545F"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261CA930"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349366C3"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15DA15E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7A7DF04"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486F1B3C"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Receivables (KRW mn)</w:t>
            </w:r>
          </w:p>
        </w:tc>
        <w:tc>
          <w:tcPr>
            <w:tcW w:w="471" w:type="pct"/>
            <w:tcBorders>
              <w:top w:val="nil"/>
              <w:left w:val="nil"/>
              <w:bottom w:val="single" w:sz="4" w:space="0" w:color="auto"/>
              <w:right w:val="single" w:sz="4" w:space="0" w:color="auto"/>
            </w:tcBorders>
            <w:noWrap/>
            <w:vAlign w:val="bottom"/>
            <w:hideMark/>
          </w:tcPr>
          <w:p w14:paraId="6974B1C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3,283,972</w:t>
            </w:r>
          </w:p>
        </w:tc>
        <w:tc>
          <w:tcPr>
            <w:tcW w:w="471" w:type="pct"/>
            <w:tcBorders>
              <w:top w:val="nil"/>
              <w:left w:val="nil"/>
              <w:bottom w:val="single" w:sz="4" w:space="0" w:color="auto"/>
              <w:right w:val="single" w:sz="4" w:space="0" w:color="auto"/>
            </w:tcBorders>
            <w:noWrap/>
            <w:vAlign w:val="bottom"/>
            <w:hideMark/>
          </w:tcPr>
          <w:p w14:paraId="3CD5D99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3,147,296</w:t>
            </w:r>
          </w:p>
        </w:tc>
        <w:tc>
          <w:tcPr>
            <w:tcW w:w="471" w:type="pct"/>
            <w:tcBorders>
              <w:top w:val="nil"/>
              <w:left w:val="nil"/>
              <w:bottom w:val="single" w:sz="4" w:space="0" w:color="auto"/>
              <w:right w:val="single" w:sz="4" w:space="0" w:color="auto"/>
            </w:tcBorders>
            <w:noWrap/>
            <w:vAlign w:val="bottom"/>
            <w:hideMark/>
          </w:tcPr>
          <w:p w14:paraId="730A5B8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4,279,057</w:t>
            </w:r>
          </w:p>
        </w:tc>
        <w:tc>
          <w:tcPr>
            <w:tcW w:w="471" w:type="pct"/>
            <w:tcBorders>
              <w:top w:val="nil"/>
              <w:left w:val="nil"/>
              <w:bottom w:val="single" w:sz="4" w:space="0" w:color="auto"/>
              <w:right w:val="single" w:sz="4" w:space="0" w:color="auto"/>
            </w:tcBorders>
            <w:noWrap/>
            <w:vAlign w:val="bottom"/>
            <w:hideMark/>
          </w:tcPr>
          <w:p w14:paraId="6F6782F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4,682,182</w:t>
            </w:r>
          </w:p>
        </w:tc>
        <w:tc>
          <w:tcPr>
            <w:tcW w:w="471" w:type="pct"/>
            <w:tcBorders>
              <w:top w:val="nil"/>
              <w:left w:val="nil"/>
              <w:bottom w:val="single" w:sz="4" w:space="0" w:color="auto"/>
              <w:right w:val="single" w:sz="4" w:space="0" w:color="auto"/>
            </w:tcBorders>
            <w:noWrap/>
            <w:vAlign w:val="bottom"/>
            <w:hideMark/>
          </w:tcPr>
          <w:p w14:paraId="711948D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5,908,079</w:t>
            </w:r>
          </w:p>
        </w:tc>
        <w:tc>
          <w:tcPr>
            <w:tcW w:w="60" w:type="pct"/>
            <w:vAlign w:val="center"/>
            <w:hideMark/>
          </w:tcPr>
          <w:p w14:paraId="720BBEE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136EF8C"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0E23655D"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Revenue (KRW mn)</w:t>
            </w:r>
          </w:p>
        </w:tc>
        <w:tc>
          <w:tcPr>
            <w:tcW w:w="471" w:type="pct"/>
            <w:tcBorders>
              <w:top w:val="nil"/>
              <w:left w:val="nil"/>
              <w:bottom w:val="single" w:sz="4" w:space="0" w:color="auto"/>
              <w:right w:val="single" w:sz="4" w:space="0" w:color="auto"/>
            </w:tcBorders>
            <w:noWrap/>
            <w:vAlign w:val="bottom"/>
            <w:hideMark/>
          </w:tcPr>
          <w:p w14:paraId="7EF44A24"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103,997,601</w:t>
            </w:r>
          </w:p>
        </w:tc>
        <w:tc>
          <w:tcPr>
            <w:tcW w:w="471" w:type="pct"/>
            <w:tcBorders>
              <w:top w:val="nil"/>
              <w:left w:val="nil"/>
              <w:bottom w:val="single" w:sz="4" w:space="0" w:color="auto"/>
              <w:right w:val="single" w:sz="4" w:space="0" w:color="auto"/>
            </w:tcBorders>
            <w:noWrap/>
            <w:vAlign w:val="bottom"/>
            <w:hideMark/>
          </w:tcPr>
          <w:p w14:paraId="7CCD517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117,610,626</w:t>
            </w:r>
          </w:p>
        </w:tc>
        <w:tc>
          <w:tcPr>
            <w:tcW w:w="471" w:type="pct"/>
            <w:tcBorders>
              <w:top w:val="nil"/>
              <w:left w:val="nil"/>
              <w:bottom w:val="single" w:sz="4" w:space="0" w:color="auto"/>
              <w:right w:val="single" w:sz="4" w:space="0" w:color="auto"/>
            </w:tcBorders>
            <w:noWrap/>
            <w:vAlign w:val="bottom"/>
            <w:hideMark/>
          </w:tcPr>
          <w:p w14:paraId="6BBB5550"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142,527,535</w:t>
            </w:r>
          </w:p>
        </w:tc>
        <w:tc>
          <w:tcPr>
            <w:tcW w:w="471" w:type="pct"/>
            <w:tcBorders>
              <w:top w:val="nil"/>
              <w:left w:val="nil"/>
              <w:bottom w:val="single" w:sz="4" w:space="0" w:color="auto"/>
              <w:right w:val="single" w:sz="4" w:space="0" w:color="auto"/>
            </w:tcBorders>
            <w:noWrap/>
            <w:vAlign w:val="bottom"/>
            <w:hideMark/>
          </w:tcPr>
          <w:p w14:paraId="0CC4CD7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162,663,579</w:t>
            </w:r>
          </w:p>
        </w:tc>
        <w:tc>
          <w:tcPr>
            <w:tcW w:w="471" w:type="pct"/>
            <w:tcBorders>
              <w:top w:val="nil"/>
              <w:left w:val="nil"/>
              <w:bottom w:val="single" w:sz="4" w:space="0" w:color="auto"/>
              <w:right w:val="single" w:sz="4" w:space="0" w:color="auto"/>
            </w:tcBorders>
            <w:noWrap/>
            <w:vAlign w:val="bottom"/>
            <w:hideMark/>
          </w:tcPr>
          <w:p w14:paraId="750BC56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175,231,153</w:t>
            </w:r>
          </w:p>
        </w:tc>
        <w:tc>
          <w:tcPr>
            <w:tcW w:w="60" w:type="pct"/>
            <w:vAlign w:val="center"/>
            <w:hideMark/>
          </w:tcPr>
          <w:p w14:paraId="5FA17CA0"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FDFBCB6"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4390BD81"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lastRenderedPageBreak/>
              <w:t>Receivables Collection Period (Days) = (Trade Receivables ÷ Revenue) × 365</w:t>
            </w:r>
          </w:p>
        </w:tc>
        <w:tc>
          <w:tcPr>
            <w:tcW w:w="471" w:type="pct"/>
            <w:tcBorders>
              <w:top w:val="nil"/>
              <w:left w:val="nil"/>
              <w:bottom w:val="single" w:sz="4" w:space="0" w:color="auto"/>
              <w:right w:val="single" w:sz="4" w:space="0" w:color="auto"/>
            </w:tcBorders>
            <w:noWrap/>
            <w:vAlign w:val="bottom"/>
            <w:hideMark/>
          </w:tcPr>
          <w:p w14:paraId="22C2CA1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w:t>
            </w:r>
          </w:p>
        </w:tc>
        <w:tc>
          <w:tcPr>
            <w:tcW w:w="471" w:type="pct"/>
            <w:tcBorders>
              <w:top w:val="nil"/>
              <w:left w:val="nil"/>
              <w:bottom w:val="single" w:sz="4" w:space="0" w:color="auto"/>
              <w:right w:val="single" w:sz="4" w:space="0" w:color="auto"/>
            </w:tcBorders>
            <w:noWrap/>
            <w:vAlign w:val="bottom"/>
            <w:hideMark/>
          </w:tcPr>
          <w:p w14:paraId="25CEBD9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w:t>
            </w:r>
          </w:p>
        </w:tc>
        <w:tc>
          <w:tcPr>
            <w:tcW w:w="471" w:type="pct"/>
            <w:tcBorders>
              <w:top w:val="nil"/>
              <w:left w:val="nil"/>
              <w:bottom w:val="single" w:sz="4" w:space="0" w:color="auto"/>
              <w:right w:val="single" w:sz="4" w:space="0" w:color="auto"/>
            </w:tcBorders>
            <w:noWrap/>
            <w:vAlign w:val="bottom"/>
            <w:hideMark/>
          </w:tcPr>
          <w:p w14:paraId="074C851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w:t>
            </w:r>
          </w:p>
        </w:tc>
        <w:tc>
          <w:tcPr>
            <w:tcW w:w="471" w:type="pct"/>
            <w:tcBorders>
              <w:top w:val="nil"/>
              <w:left w:val="nil"/>
              <w:bottom w:val="single" w:sz="4" w:space="0" w:color="auto"/>
              <w:right w:val="single" w:sz="4" w:space="0" w:color="auto"/>
            </w:tcBorders>
            <w:noWrap/>
            <w:vAlign w:val="bottom"/>
            <w:hideMark/>
          </w:tcPr>
          <w:p w14:paraId="1D9B0D37"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w:t>
            </w:r>
          </w:p>
        </w:tc>
        <w:tc>
          <w:tcPr>
            <w:tcW w:w="471" w:type="pct"/>
            <w:tcBorders>
              <w:top w:val="nil"/>
              <w:left w:val="nil"/>
              <w:bottom w:val="single" w:sz="4" w:space="0" w:color="auto"/>
              <w:right w:val="single" w:sz="4" w:space="0" w:color="auto"/>
            </w:tcBorders>
            <w:noWrap/>
            <w:vAlign w:val="bottom"/>
            <w:hideMark/>
          </w:tcPr>
          <w:p w14:paraId="6056B77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w:t>
            </w:r>
          </w:p>
        </w:tc>
        <w:tc>
          <w:tcPr>
            <w:tcW w:w="60" w:type="pct"/>
            <w:vAlign w:val="center"/>
            <w:hideMark/>
          </w:tcPr>
          <w:p w14:paraId="79CA45A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AB0F0B5" w14:textId="77777777" w:rsidTr="00CD7A21">
        <w:trPr>
          <w:trHeight w:val="315"/>
        </w:trPr>
        <w:tc>
          <w:tcPr>
            <w:tcW w:w="2586" w:type="pct"/>
            <w:tcBorders>
              <w:top w:val="nil"/>
              <w:left w:val="nil"/>
              <w:bottom w:val="nil"/>
              <w:right w:val="nil"/>
            </w:tcBorders>
            <w:noWrap/>
            <w:vAlign w:val="bottom"/>
            <w:hideMark/>
          </w:tcPr>
          <w:p w14:paraId="25577B3E" w14:textId="77777777" w:rsidR="00CD7A21" w:rsidRPr="00CD7A21" w:rsidRDefault="00CD7A21" w:rsidP="00CD7A21">
            <w:pPr>
              <w:spacing w:after="0" w:line="240" w:lineRule="auto"/>
              <w:jc w:val="right"/>
              <w:rPr>
                <w:rFonts w:eastAsia="Times New Roman" w:cs="Arial"/>
                <w:color w:val="000000"/>
                <w:kern w:val="0"/>
                <w14:ligatures w14:val="none"/>
              </w:rPr>
            </w:pPr>
          </w:p>
        </w:tc>
        <w:tc>
          <w:tcPr>
            <w:tcW w:w="471" w:type="pct"/>
            <w:tcBorders>
              <w:top w:val="nil"/>
              <w:left w:val="nil"/>
              <w:bottom w:val="nil"/>
              <w:right w:val="nil"/>
            </w:tcBorders>
            <w:noWrap/>
            <w:vAlign w:val="bottom"/>
            <w:hideMark/>
          </w:tcPr>
          <w:p w14:paraId="281FCD4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71392E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4F8A8B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26EA3F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99623C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3FE8A28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B833EA0" w14:textId="77777777" w:rsidTr="00CD7A21">
        <w:trPr>
          <w:trHeight w:val="315"/>
        </w:trPr>
        <w:tc>
          <w:tcPr>
            <w:tcW w:w="2586" w:type="pct"/>
            <w:tcBorders>
              <w:top w:val="nil"/>
              <w:left w:val="nil"/>
              <w:bottom w:val="nil"/>
              <w:right w:val="nil"/>
            </w:tcBorders>
            <w:noWrap/>
            <w:vAlign w:val="bottom"/>
            <w:hideMark/>
          </w:tcPr>
          <w:p w14:paraId="510F48C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267481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F457FB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8421FE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BCF654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E6DCFC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25C9D87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1B48F37A"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05066CB3"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Payables Payment Period (Days)</w:t>
            </w:r>
          </w:p>
        </w:tc>
        <w:tc>
          <w:tcPr>
            <w:tcW w:w="60" w:type="pct"/>
            <w:vAlign w:val="center"/>
            <w:hideMark/>
          </w:tcPr>
          <w:p w14:paraId="6284CA1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77091AE"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8B1481D" w14:textId="77777777" w:rsidR="00CD7A21" w:rsidRPr="00CD7A21" w:rsidRDefault="00CD7A21" w:rsidP="00CD7A21">
            <w:pPr>
              <w:spacing w:after="0" w:line="240" w:lineRule="auto"/>
              <w:jc w:val="left"/>
              <w:rPr>
                <w:rFonts w:eastAsia="Times New Roman" w:cs="Arial"/>
                <w:color w:val="000000"/>
                <w:kern w:val="0"/>
                <w14:ligatures w14:val="none"/>
              </w:rPr>
            </w:pPr>
            <w:r w:rsidRPr="00CD7A21">
              <w:rPr>
                <w:rFonts w:eastAsia="Times New Roman" w:cs="Arial"/>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2428749A"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3F0DF948"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162127FC"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1107A672"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6D892A38"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4225992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81E10D8"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7491A25D"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Payables (KRW mn)</w:t>
            </w:r>
          </w:p>
        </w:tc>
        <w:tc>
          <w:tcPr>
            <w:tcW w:w="471" w:type="pct"/>
            <w:tcBorders>
              <w:top w:val="nil"/>
              <w:left w:val="nil"/>
              <w:bottom w:val="single" w:sz="4" w:space="0" w:color="auto"/>
              <w:right w:val="single" w:sz="4" w:space="0" w:color="auto"/>
            </w:tcBorders>
            <w:noWrap/>
            <w:vAlign w:val="bottom"/>
            <w:hideMark/>
          </w:tcPr>
          <w:p w14:paraId="120EC80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8,793,179</w:t>
            </w:r>
          </w:p>
        </w:tc>
        <w:tc>
          <w:tcPr>
            <w:tcW w:w="471" w:type="pct"/>
            <w:tcBorders>
              <w:top w:val="nil"/>
              <w:left w:val="nil"/>
              <w:bottom w:val="single" w:sz="4" w:space="0" w:color="auto"/>
              <w:right w:val="single" w:sz="4" w:space="0" w:color="auto"/>
            </w:tcBorders>
            <w:noWrap/>
            <w:vAlign w:val="bottom"/>
            <w:hideMark/>
          </w:tcPr>
          <w:p w14:paraId="5C1D040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9,155,255</w:t>
            </w:r>
          </w:p>
        </w:tc>
        <w:tc>
          <w:tcPr>
            <w:tcW w:w="471" w:type="pct"/>
            <w:tcBorders>
              <w:top w:val="nil"/>
              <w:left w:val="nil"/>
              <w:bottom w:val="single" w:sz="4" w:space="0" w:color="auto"/>
              <w:right w:val="single" w:sz="4" w:space="0" w:color="auto"/>
            </w:tcBorders>
            <w:noWrap/>
            <w:vAlign w:val="bottom"/>
            <w:hideMark/>
          </w:tcPr>
          <w:p w14:paraId="60300C3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10,797,065</w:t>
            </w:r>
          </w:p>
        </w:tc>
        <w:tc>
          <w:tcPr>
            <w:tcW w:w="471" w:type="pct"/>
            <w:tcBorders>
              <w:top w:val="nil"/>
              <w:left w:val="nil"/>
              <w:bottom w:val="single" w:sz="4" w:space="0" w:color="auto"/>
              <w:right w:val="single" w:sz="4" w:space="0" w:color="auto"/>
            </w:tcBorders>
            <w:noWrap/>
            <w:vAlign w:val="bottom"/>
            <w:hideMark/>
          </w:tcPr>
          <w:p w14:paraId="2E521A29"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10,952,046</w:t>
            </w:r>
          </w:p>
        </w:tc>
        <w:tc>
          <w:tcPr>
            <w:tcW w:w="471" w:type="pct"/>
            <w:tcBorders>
              <w:top w:val="nil"/>
              <w:left w:val="nil"/>
              <w:bottom w:val="single" w:sz="4" w:space="0" w:color="auto"/>
              <w:right w:val="single" w:sz="4" w:space="0" w:color="auto"/>
            </w:tcBorders>
            <w:noWrap/>
            <w:vAlign w:val="bottom"/>
            <w:hideMark/>
          </w:tcPr>
          <w:p w14:paraId="1EC271D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12,549,646</w:t>
            </w:r>
          </w:p>
        </w:tc>
        <w:tc>
          <w:tcPr>
            <w:tcW w:w="60" w:type="pct"/>
            <w:vAlign w:val="center"/>
            <w:hideMark/>
          </w:tcPr>
          <w:p w14:paraId="2496CC0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1A90A69"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4479025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Cost of Sales (KRW mn)</w:t>
            </w:r>
          </w:p>
        </w:tc>
        <w:tc>
          <w:tcPr>
            <w:tcW w:w="471" w:type="pct"/>
            <w:tcBorders>
              <w:top w:val="nil"/>
              <w:left w:val="nil"/>
              <w:bottom w:val="single" w:sz="4" w:space="0" w:color="auto"/>
              <w:right w:val="single" w:sz="4" w:space="0" w:color="auto"/>
            </w:tcBorders>
            <w:noWrap/>
            <w:vAlign w:val="bottom"/>
            <w:hideMark/>
          </w:tcPr>
          <w:p w14:paraId="715A9AB7"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85,515,931</w:t>
            </w:r>
          </w:p>
        </w:tc>
        <w:tc>
          <w:tcPr>
            <w:tcW w:w="471" w:type="pct"/>
            <w:tcBorders>
              <w:top w:val="nil"/>
              <w:left w:val="nil"/>
              <w:bottom w:val="single" w:sz="4" w:space="0" w:color="auto"/>
              <w:right w:val="single" w:sz="4" w:space="0" w:color="auto"/>
            </w:tcBorders>
            <w:noWrap/>
            <w:vAlign w:val="bottom"/>
            <w:hideMark/>
          </w:tcPr>
          <w:p w14:paraId="3BEE4EA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95,680,131</w:t>
            </w:r>
          </w:p>
        </w:tc>
        <w:tc>
          <w:tcPr>
            <w:tcW w:w="471" w:type="pct"/>
            <w:tcBorders>
              <w:top w:val="nil"/>
              <w:left w:val="nil"/>
              <w:bottom w:val="single" w:sz="4" w:space="0" w:color="auto"/>
              <w:right w:val="single" w:sz="4" w:space="0" w:color="auto"/>
            </w:tcBorders>
            <w:noWrap/>
            <w:vAlign w:val="bottom"/>
            <w:hideMark/>
          </w:tcPr>
          <w:p w14:paraId="404C0CF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114,209,483</w:t>
            </w:r>
          </w:p>
        </w:tc>
        <w:tc>
          <w:tcPr>
            <w:tcW w:w="471" w:type="pct"/>
            <w:tcBorders>
              <w:top w:val="nil"/>
              <w:left w:val="nil"/>
              <w:bottom w:val="single" w:sz="4" w:space="0" w:color="auto"/>
              <w:right w:val="single" w:sz="4" w:space="0" w:color="auto"/>
            </w:tcBorders>
            <w:noWrap/>
            <w:vAlign w:val="bottom"/>
            <w:hideMark/>
          </w:tcPr>
          <w:p w14:paraId="409B728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129,179,183</w:t>
            </w:r>
          </w:p>
        </w:tc>
        <w:tc>
          <w:tcPr>
            <w:tcW w:w="471" w:type="pct"/>
            <w:tcBorders>
              <w:top w:val="nil"/>
              <w:left w:val="nil"/>
              <w:bottom w:val="single" w:sz="4" w:space="0" w:color="auto"/>
              <w:right w:val="single" w:sz="4" w:space="0" w:color="auto"/>
            </w:tcBorders>
            <w:noWrap/>
            <w:vAlign w:val="bottom"/>
            <w:hideMark/>
          </w:tcPr>
          <w:p w14:paraId="26862B8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139,481,946</w:t>
            </w:r>
          </w:p>
        </w:tc>
        <w:tc>
          <w:tcPr>
            <w:tcW w:w="60" w:type="pct"/>
            <w:vAlign w:val="center"/>
            <w:hideMark/>
          </w:tcPr>
          <w:p w14:paraId="04404BD0"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2067986C"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3D01193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Payables Payment Period (Days) = (Trade Payables ÷ Cost of Goods Sold) × 365</w:t>
            </w:r>
          </w:p>
        </w:tc>
        <w:tc>
          <w:tcPr>
            <w:tcW w:w="471" w:type="pct"/>
            <w:tcBorders>
              <w:top w:val="nil"/>
              <w:left w:val="nil"/>
              <w:bottom w:val="single" w:sz="4" w:space="0" w:color="auto"/>
              <w:right w:val="single" w:sz="4" w:space="0" w:color="auto"/>
            </w:tcBorders>
            <w:noWrap/>
            <w:vAlign w:val="bottom"/>
            <w:hideMark/>
          </w:tcPr>
          <w:p w14:paraId="6E30255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38</w:t>
            </w:r>
          </w:p>
        </w:tc>
        <w:tc>
          <w:tcPr>
            <w:tcW w:w="471" w:type="pct"/>
            <w:tcBorders>
              <w:top w:val="nil"/>
              <w:left w:val="nil"/>
              <w:bottom w:val="single" w:sz="4" w:space="0" w:color="auto"/>
              <w:right w:val="single" w:sz="4" w:space="0" w:color="auto"/>
            </w:tcBorders>
            <w:noWrap/>
            <w:vAlign w:val="bottom"/>
            <w:hideMark/>
          </w:tcPr>
          <w:p w14:paraId="48168CA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35</w:t>
            </w:r>
          </w:p>
        </w:tc>
        <w:tc>
          <w:tcPr>
            <w:tcW w:w="471" w:type="pct"/>
            <w:tcBorders>
              <w:top w:val="nil"/>
              <w:left w:val="nil"/>
              <w:bottom w:val="single" w:sz="4" w:space="0" w:color="auto"/>
              <w:right w:val="single" w:sz="4" w:space="0" w:color="auto"/>
            </w:tcBorders>
            <w:noWrap/>
            <w:vAlign w:val="bottom"/>
            <w:hideMark/>
          </w:tcPr>
          <w:p w14:paraId="241F705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35</w:t>
            </w:r>
          </w:p>
        </w:tc>
        <w:tc>
          <w:tcPr>
            <w:tcW w:w="471" w:type="pct"/>
            <w:tcBorders>
              <w:top w:val="nil"/>
              <w:left w:val="nil"/>
              <w:bottom w:val="single" w:sz="4" w:space="0" w:color="auto"/>
              <w:right w:val="single" w:sz="4" w:space="0" w:color="auto"/>
            </w:tcBorders>
            <w:noWrap/>
            <w:vAlign w:val="bottom"/>
            <w:hideMark/>
          </w:tcPr>
          <w:p w14:paraId="65256284"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31</w:t>
            </w:r>
          </w:p>
        </w:tc>
        <w:tc>
          <w:tcPr>
            <w:tcW w:w="471" w:type="pct"/>
            <w:tcBorders>
              <w:top w:val="nil"/>
              <w:left w:val="nil"/>
              <w:bottom w:val="single" w:sz="4" w:space="0" w:color="auto"/>
              <w:right w:val="single" w:sz="4" w:space="0" w:color="auto"/>
            </w:tcBorders>
            <w:noWrap/>
            <w:vAlign w:val="bottom"/>
            <w:hideMark/>
          </w:tcPr>
          <w:p w14:paraId="66414289"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33</w:t>
            </w:r>
          </w:p>
        </w:tc>
        <w:tc>
          <w:tcPr>
            <w:tcW w:w="60" w:type="pct"/>
            <w:vAlign w:val="center"/>
            <w:hideMark/>
          </w:tcPr>
          <w:p w14:paraId="70A260C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1E0C2FF" w14:textId="77777777" w:rsidTr="00CD7A21">
        <w:trPr>
          <w:trHeight w:val="315"/>
        </w:trPr>
        <w:tc>
          <w:tcPr>
            <w:tcW w:w="2586" w:type="pct"/>
            <w:tcBorders>
              <w:top w:val="nil"/>
              <w:left w:val="nil"/>
              <w:bottom w:val="nil"/>
              <w:right w:val="nil"/>
            </w:tcBorders>
            <w:noWrap/>
            <w:vAlign w:val="bottom"/>
            <w:hideMark/>
          </w:tcPr>
          <w:p w14:paraId="414F30E4" w14:textId="77777777" w:rsidR="00CD7A21" w:rsidRPr="00CD7A21" w:rsidRDefault="00CD7A21" w:rsidP="00CD7A21">
            <w:pPr>
              <w:spacing w:after="0" w:line="240" w:lineRule="auto"/>
              <w:jc w:val="right"/>
              <w:rPr>
                <w:rFonts w:eastAsia="Times New Roman" w:cs="Arial"/>
                <w:color w:val="000000"/>
                <w:kern w:val="0"/>
                <w14:ligatures w14:val="none"/>
              </w:rPr>
            </w:pPr>
          </w:p>
        </w:tc>
        <w:tc>
          <w:tcPr>
            <w:tcW w:w="471" w:type="pct"/>
            <w:tcBorders>
              <w:top w:val="nil"/>
              <w:left w:val="nil"/>
              <w:bottom w:val="nil"/>
              <w:right w:val="nil"/>
            </w:tcBorders>
            <w:noWrap/>
            <w:vAlign w:val="bottom"/>
            <w:hideMark/>
          </w:tcPr>
          <w:p w14:paraId="1613638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0DD536A"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45D5AD2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1615C8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F26BF4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0C847DF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7659E530" w14:textId="77777777" w:rsidTr="00CD7A21">
        <w:trPr>
          <w:trHeight w:val="315"/>
        </w:trPr>
        <w:tc>
          <w:tcPr>
            <w:tcW w:w="2586" w:type="pct"/>
            <w:tcBorders>
              <w:top w:val="nil"/>
              <w:left w:val="nil"/>
              <w:bottom w:val="nil"/>
              <w:right w:val="nil"/>
            </w:tcBorders>
            <w:noWrap/>
            <w:vAlign w:val="bottom"/>
            <w:hideMark/>
          </w:tcPr>
          <w:p w14:paraId="36A583C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6BE678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1958865"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09E5DE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6869276"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3AD7D6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61B1A02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DFBD95D"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71BA474A"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Total Asset Turnover</w:t>
            </w:r>
          </w:p>
        </w:tc>
        <w:tc>
          <w:tcPr>
            <w:tcW w:w="60" w:type="pct"/>
            <w:vAlign w:val="center"/>
            <w:hideMark/>
          </w:tcPr>
          <w:p w14:paraId="124DCE9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6F61A9D"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1CEA272" w14:textId="77777777" w:rsidR="00CD7A21" w:rsidRPr="00CD7A21" w:rsidRDefault="00CD7A21" w:rsidP="00CD7A21">
            <w:pPr>
              <w:spacing w:after="0" w:line="240" w:lineRule="auto"/>
              <w:jc w:val="left"/>
              <w:rPr>
                <w:rFonts w:eastAsia="Times New Roman" w:cs="Arial"/>
                <w:color w:val="000000"/>
                <w:kern w:val="0"/>
                <w14:ligatures w14:val="none"/>
              </w:rPr>
            </w:pPr>
            <w:r w:rsidRPr="00CD7A21">
              <w:rPr>
                <w:rFonts w:eastAsia="Times New Roman" w:cs="Arial"/>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7F3ACB33"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0D9250ED"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41374F11"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01E11725"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3341A35C"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7824CDB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20FA39C7"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A67C73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Revenue (KRW mn)</w:t>
            </w:r>
          </w:p>
        </w:tc>
        <w:tc>
          <w:tcPr>
            <w:tcW w:w="471" w:type="pct"/>
            <w:tcBorders>
              <w:top w:val="nil"/>
              <w:left w:val="nil"/>
              <w:bottom w:val="single" w:sz="4" w:space="0" w:color="auto"/>
              <w:right w:val="single" w:sz="4" w:space="0" w:color="auto"/>
            </w:tcBorders>
            <w:noWrap/>
            <w:vAlign w:val="bottom"/>
            <w:hideMark/>
          </w:tcPr>
          <w:p w14:paraId="1A514139"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103,997,601</w:t>
            </w:r>
          </w:p>
        </w:tc>
        <w:tc>
          <w:tcPr>
            <w:tcW w:w="471" w:type="pct"/>
            <w:tcBorders>
              <w:top w:val="nil"/>
              <w:left w:val="nil"/>
              <w:bottom w:val="single" w:sz="4" w:space="0" w:color="auto"/>
              <w:right w:val="single" w:sz="4" w:space="0" w:color="auto"/>
            </w:tcBorders>
            <w:noWrap/>
            <w:vAlign w:val="bottom"/>
            <w:hideMark/>
          </w:tcPr>
          <w:p w14:paraId="3A3FF7C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117,610,626</w:t>
            </w:r>
          </w:p>
        </w:tc>
        <w:tc>
          <w:tcPr>
            <w:tcW w:w="471" w:type="pct"/>
            <w:tcBorders>
              <w:top w:val="nil"/>
              <w:left w:val="nil"/>
              <w:bottom w:val="single" w:sz="4" w:space="0" w:color="auto"/>
              <w:right w:val="single" w:sz="4" w:space="0" w:color="auto"/>
            </w:tcBorders>
            <w:noWrap/>
            <w:vAlign w:val="bottom"/>
            <w:hideMark/>
          </w:tcPr>
          <w:p w14:paraId="43127A5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142,527,535</w:t>
            </w:r>
          </w:p>
        </w:tc>
        <w:tc>
          <w:tcPr>
            <w:tcW w:w="471" w:type="pct"/>
            <w:tcBorders>
              <w:top w:val="nil"/>
              <w:left w:val="nil"/>
              <w:bottom w:val="single" w:sz="4" w:space="0" w:color="auto"/>
              <w:right w:val="single" w:sz="4" w:space="0" w:color="auto"/>
            </w:tcBorders>
            <w:noWrap/>
            <w:vAlign w:val="bottom"/>
            <w:hideMark/>
          </w:tcPr>
          <w:p w14:paraId="36EC5A0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162,663,579</w:t>
            </w:r>
          </w:p>
        </w:tc>
        <w:tc>
          <w:tcPr>
            <w:tcW w:w="471" w:type="pct"/>
            <w:tcBorders>
              <w:top w:val="nil"/>
              <w:left w:val="nil"/>
              <w:bottom w:val="single" w:sz="4" w:space="0" w:color="auto"/>
              <w:right w:val="single" w:sz="4" w:space="0" w:color="auto"/>
            </w:tcBorders>
            <w:noWrap/>
            <w:vAlign w:val="bottom"/>
            <w:hideMark/>
          </w:tcPr>
          <w:p w14:paraId="2445E8F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175,231,153</w:t>
            </w:r>
          </w:p>
        </w:tc>
        <w:tc>
          <w:tcPr>
            <w:tcW w:w="60" w:type="pct"/>
            <w:vAlign w:val="center"/>
            <w:hideMark/>
          </w:tcPr>
          <w:p w14:paraId="2907880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680BD06"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3A875AD7"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Total Assets (KRW mn)</w:t>
            </w:r>
          </w:p>
        </w:tc>
        <w:tc>
          <w:tcPr>
            <w:tcW w:w="471" w:type="pct"/>
            <w:tcBorders>
              <w:top w:val="nil"/>
              <w:left w:val="nil"/>
              <w:bottom w:val="single" w:sz="4" w:space="0" w:color="auto"/>
              <w:right w:val="single" w:sz="4" w:space="0" w:color="auto"/>
            </w:tcBorders>
            <w:noWrap/>
            <w:vAlign w:val="bottom"/>
            <w:hideMark/>
          </w:tcPr>
          <w:p w14:paraId="75B4B1E2"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209,344,212</w:t>
            </w:r>
          </w:p>
        </w:tc>
        <w:tc>
          <w:tcPr>
            <w:tcW w:w="471" w:type="pct"/>
            <w:tcBorders>
              <w:top w:val="nil"/>
              <w:left w:val="nil"/>
              <w:bottom w:val="single" w:sz="4" w:space="0" w:color="auto"/>
              <w:right w:val="single" w:sz="4" w:space="0" w:color="auto"/>
            </w:tcBorders>
            <w:noWrap/>
            <w:vAlign w:val="bottom"/>
            <w:hideMark/>
          </w:tcPr>
          <w:p w14:paraId="30192BC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233,946,415</w:t>
            </w:r>
          </w:p>
        </w:tc>
        <w:tc>
          <w:tcPr>
            <w:tcW w:w="471" w:type="pct"/>
            <w:tcBorders>
              <w:top w:val="nil"/>
              <w:left w:val="nil"/>
              <w:bottom w:val="single" w:sz="4" w:space="0" w:color="auto"/>
              <w:right w:val="single" w:sz="4" w:space="0" w:color="auto"/>
            </w:tcBorders>
            <w:noWrap/>
            <w:vAlign w:val="bottom"/>
            <w:hideMark/>
          </w:tcPr>
          <w:p w14:paraId="50B0604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255,742,462</w:t>
            </w:r>
          </w:p>
        </w:tc>
        <w:tc>
          <w:tcPr>
            <w:tcW w:w="471" w:type="pct"/>
            <w:tcBorders>
              <w:top w:val="nil"/>
              <w:left w:val="nil"/>
              <w:bottom w:val="single" w:sz="4" w:space="0" w:color="auto"/>
              <w:right w:val="single" w:sz="4" w:space="0" w:color="auto"/>
            </w:tcBorders>
            <w:noWrap/>
            <w:vAlign w:val="bottom"/>
            <w:hideMark/>
          </w:tcPr>
          <w:p w14:paraId="196B7E5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282,463,355</w:t>
            </w:r>
          </w:p>
        </w:tc>
        <w:tc>
          <w:tcPr>
            <w:tcW w:w="471" w:type="pct"/>
            <w:tcBorders>
              <w:top w:val="nil"/>
              <w:left w:val="nil"/>
              <w:bottom w:val="single" w:sz="4" w:space="0" w:color="auto"/>
              <w:right w:val="single" w:sz="4" w:space="0" w:color="auto"/>
            </w:tcBorders>
            <w:noWrap/>
            <w:vAlign w:val="bottom"/>
            <w:hideMark/>
          </w:tcPr>
          <w:p w14:paraId="4BDA4F3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339,798,429</w:t>
            </w:r>
          </w:p>
        </w:tc>
        <w:tc>
          <w:tcPr>
            <w:tcW w:w="60" w:type="pct"/>
            <w:vAlign w:val="center"/>
            <w:hideMark/>
          </w:tcPr>
          <w:p w14:paraId="111E67C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19D2AF1"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23E066B3"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Total Asset Turnover = Revenue ÷ Total Assets</w:t>
            </w:r>
          </w:p>
        </w:tc>
        <w:tc>
          <w:tcPr>
            <w:tcW w:w="471" w:type="pct"/>
            <w:tcBorders>
              <w:top w:val="nil"/>
              <w:left w:val="nil"/>
              <w:bottom w:val="single" w:sz="4" w:space="0" w:color="auto"/>
              <w:right w:val="single" w:sz="4" w:space="0" w:color="auto"/>
            </w:tcBorders>
            <w:noWrap/>
            <w:vAlign w:val="bottom"/>
            <w:hideMark/>
          </w:tcPr>
          <w:p w14:paraId="72D09A7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0.50</w:t>
            </w:r>
          </w:p>
        </w:tc>
        <w:tc>
          <w:tcPr>
            <w:tcW w:w="471" w:type="pct"/>
            <w:tcBorders>
              <w:top w:val="nil"/>
              <w:left w:val="nil"/>
              <w:bottom w:val="single" w:sz="4" w:space="0" w:color="auto"/>
              <w:right w:val="single" w:sz="4" w:space="0" w:color="auto"/>
            </w:tcBorders>
            <w:noWrap/>
            <w:vAlign w:val="bottom"/>
            <w:hideMark/>
          </w:tcPr>
          <w:p w14:paraId="47C3E030"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0.50</w:t>
            </w:r>
          </w:p>
        </w:tc>
        <w:tc>
          <w:tcPr>
            <w:tcW w:w="471" w:type="pct"/>
            <w:tcBorders>
              <w:top w:val="nil"/>
              <w:left w:val="nil"/>
              <w:bottom w:val="single" w:sz="4" w:space="0" w:color="auto"/>
              <w:right w:val="single" w:sz="4" w:space="0" w:color="auto"/>
            </w:tcBorders>
            <w:noWrap/>
            <w:vAlign w:val="bottom"/>
            <w:hideMark/>
          </w:tcPr>
          <w:p w14:paraId="407C7A90"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0.56</w:t>
            </w:r>
          </w:p>
        </w:tc>
        <w:tc>
          <w:tcPr>
            <w:tcW w:w="471" w:type="pct"/>
            <w:tcBorders>
              <w:top w:val="nil"/>
              <w:left w:val="nil"/>
              <w:bottom w:val="single" w:sz="4" w:space="0" w:color="auto"/>
              <w:right w:val="single" w:sz="4" w:space="0" w:color="auto"/>
            </w:tcBorders>
            <w:noWrap/>
            <w:vAlign w:val="bottom"/>
            <w:hideMark/>
          </w:tcPr>
          <w:p w14:paraId="0276BA1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0.58</w:t>
            </w:r>
          </w:p>
        </w:tc>
        <w:tc>
          <w:tcPr>
            <w:tcW w:w="471" w:type="pct"/>
            <w:tcBorders>
              <w:top w:val="nil"/>
              <w:left w:val="nil"/>
              <w:bottom w:val="single" w:sz="4" w:space="0" w:color="auto"/>
              <w:right w:val="single" w:sz="4" w:space="0" w:color="auto"/>
            </w:tcBorders>
            <w:noWrap/>
            <w:vAlign w:val="bottom"/>
            <w:hideMark/>
          </w:tcPr>
          <w:p w14:paraId="1FCD945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0.52</w:t>
            </w:r>
          </w:p>
        </w:tc>
        <w:tc>
          <w:tcPr>
            <w:tcW w:w="60" w:type="pct"/>
            <w:vAlign w:val="center"/>
            <w:hideMark/>
          </w:tcPr>
          <w:p w14:paraId="2CBFB55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bl>
    <w:p w14:paraId="0F3BEF8B" w14:textId="77777777" w:rsidR="00FF05EF" w:rsidRDefault="00FF05EF" w:rsidP="008E7995"/>
    <w:p w14:paraId="06A9EEE6" w14:textId="563D1511" w:rsidR="00FF05EF" w:rsidRDefault="00FF05EF" w:rsidP="008E7995">
      <w:r w:rsidRPr="00FF05EF">
        <w:t>Gearing</w:t>
      </w:r>
    </w:p>
    <w:tbl>
      <w:tblPr>
        <w:tblW w:w="5000" w:type="pct"/>
        <w:tblLook w:val="04A0" w:firstRow="1" w:lastRow="0" w:firstColumn="1" w:lastColumn="0" w:noHBand="0" w:noVBand="1"/>
      </w:tblPr>
      <w:tblGrid>
        <w:gridCol w:w="4431"/>
        <w:gridCol w:w="942"/>
        <w:gridCol w:w="942"/>
        <w:gridCol w:w="942"/>
        <w:gridCol w:w="942"/>
        <w:gridCol w:w="942"/>
        <w:gridCol w:w="219"/>
      </w:tblGrid>
      <w:tr w:rsidR="00AF0540" w:rsidRPr="00AF0540" w14:paraId="2CE202B2" w14:textId="77777777" w:rsidTr="00AF0540">
        <w:trPr>
          <w:gridAfter w:val="1"/>
          <w:wAfter w:w="68" w:type="pct"/>
          <w:trHeight w:val="552"/>
        </w:trPr>
        <w:tc>
          <w:tcPr>
            <w:tcW w:w="4932" w:type="pct"/>
            <w:gridSpan w:val="6"/>
            <w:vMerge w:val="restart"/>
            <w:tcBorders>
              <w:top w:val="nil"/>
              <w:left w:val="nil"/>
              <w:bottom w:val="nil"/>
              <w:right w:val="nil"/>
            </w:tcBorders>
            <w:noWrap/>
            <w:vAlign w:val="center"/>
            <w:hideMark/>
          </w:tcPr>
          <w:p w14:paraId="15710BE5" w14:textId="77777777" w:rsidR="00AF0540" w:rsidRPr="00AF0540" w:rsidRDefault="00AF0540" w:rsidP="00AF0540">
            <w:pPr>
              <w:spacing w:after="0" w:line="240" w:lineRule="auto"/>
              <w:jc w:val="center"/>
              <w:rPr>
                <w:rFonts w:eastAsia="Times New Roman" w:cs="Arial"/>
                <w:b/>
                <w:bCs/>
                <w:color w:val="7E350E"/>
                <w:kern w:val="0"/>
                <w:sz w:val="48"/>
                <w:szCs w:val="48"/>
                <w14:ligatures w14:val="none"/>
              </w:rPr>
            </w:pPr>
            <w:r w:rsidRPr="00AF0540">
              <w:rPr>
                <w:rFonts w:eastAsia="Times New Roman" w:cs="Arial"/>
                <w:b/>
                <w:bCs/>
                <w:color w:val="7E350E"/>
                <w:kern w:val="0"/>
                <w:sz w:val="48"/>
                <w:szCs w:val="48"/>
                <w14:ligatures w14:val="none"/>
              </w:rPr>
              <w:t>Hyundai Gearing</w:t>
            </w:r>
          </w:p>
        </w:tc>
      </w:tr>
      <w:tr w:rsidR="00AF0540" w:rsidRPr="00AF0540" w14:paraId="2885D34E" w14:textId="77777777" w:rsidTr="00AF0540">
        <w:trPr>
          <w:trHeight w:val="300"/>
        </w:trPr>
        <w:tc>
          <w:tcPr>
            <w:tcW w:w="4932" w:type="pct"/>
            <w:gridSpan w:val="6"/>
            <w:vMerge/>
            <w:tcBorders>
              <w:top w:val="nil"/>
              <w:left w:val="nil"/>
              <w:bottom w:val="nil"/>
              <w:right w:val="nil"/>
            </w:tcBorders>
            <w:vAlign w:val="center"/>
            <w:hideMark/>
          </w:tcPr>
          <w:p w14:paraId="758E2A79" w14:textId="77777777" w:rsidR="00AF0540" w:rsidRPr="00AF0540" w:rsidRDefault="00AF0540" w:rsidP="00AF0540">
            <w:pPr>
              <w:spacing w:after="0" w:line="240" w:lineRule="auto"/>
              <w:jc w:val="left"/>
              <w:rPr>
                <w:rFonts w:eastAsia="Times New Roman" w:cs="Arial"/>
                <w:b/>
                <w:bCs/>
                <w:color w:val="7E350E"/>
                <w:kern w:val="0"/>
                <w:sz w:val="48"/>
                <w:szCs w:val="48"/>
                <w14:ligatures w14:val="none"/>
              </w:rPr>
            </w:pPr>
          </w:p>
        </w:tc>
        <w:tc>
          <w:tcPr>
            <w:tcW w:w="68" w:type="pct"/>
            <w:tcBorders>
              <w:top w:val="nil"/>
              <w:left w:val="nil"/>
              <w:bottom w:val="nil"/>
              <w:right w:val="nil"/>
            </w:tcBorders>
            <w:noWrap/>
            <w:vAlign w:val="bottom"/>
            <w:hideMark/>
          </w:tcPr>
          <w:p w14:paraId="6A004C8E" w14:textId="77777777" w:rsidR="00AF0540" w:rsidRPr="00AF0540" w:rsidRDefault="00AF0540" w:rsidP="00AF0540">
            <w:pPr>
              <w:spacing w:after="0" w:line="240" w:lineRule="auto"/>
              <w:jc w:val="center"/>
              <w:rPr>
                <w:rFonts w:eastAsia="Times New Roman" w:cs="Arial"/>
                <w:b/>
                <w:bCs/>
                <w:color w:val="7E350E"/>
                <w:kern w:val="0"/>
                <w:sz w:val="48"/>
                <w:szCs w:val="48"/>
                <w14:ligatures w14:val="none"/>
              </w:rPr>
            </w:pPr>
          </w:p>
        </w:tc>
      </w:tr>
      <w:tr w:rsidR="00AF0540" w:rsidRPr="00AF0540" w14:paraId="19D5FAF2" w14:textId="77777777" w:rsidTr="00AF0540">
        <w:trPr>
          <w:trHeight w:val="315"/>
        </w:trPr>
        <w:tc>
          <w:tcPr>
            <w:tcW w:w="2540" w:type="pct"/>
            <w:tcBorders>
              <w:top w:val="nil"/>
              <w:left w:val="nil"/>
              <w:bottom w:val="nil"/>
              <w:right w:val="nil"/>
            </w:tcBorders>
            <w:noWrap/>
            <w:vAlign w:val="bottom"/>
            <w:hideMark/>
          </w:tcPr>
          <w:p w14:paraId="31082A82"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2153888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1CA991F0"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3050776F"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1A02AF99"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741744FD"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68" w:type="pct"/>
            <w:vAlign w:val="center"/>
            <w:hideMark/>
          </w:tcPr>
          <w:p w14:paraId="3BBE97E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7C8B3BBE" w14:textId="77777777" w:rsidTr="00AF0540">
        <w:trPr>
          <w:trHeight w:val="315"/>
        </w:trPr>
        <w:tc>
          <w:tcPr>
            <w:tcW w:w="4932" w:type="pct"/>
            <w:gridSpan w:val="6"/>
            <w:tcBorders>
              <w:top w:val="single" w:sz="4" w:space="0" w:color="auto"/>
              <w:left w:val="single" w:sz="4" w:space="0" w:color="auto"/>
              <w:bottom w:val="single" w:sz="4" w:space="0" w:color="auto"/>
              <w:right w:val="single" w:sz="4" w:space="0" w:color="000000"/>
            </w:tcBorders>
            <w:noWrap/>
            <w:vAlign w:val="bottom"/>
            <w:hideMark/>
          </w:tcPr>
          <w:p w14:paraId="4108C5B8"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Debt to Equity Ratio</w:t>
            </w:r>
          </w:p>
        </w:tc>
        <w:tc>
          <w:tcPr>
            <w:tcW w:w="68" w:type="pct"/>
            <w:vAlign w:val="center"/>
            <w:hideMark/>
          </w:tcPr>
          <w:p w14:paraId="0895F957"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6D54D7E8"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047FF09F"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 </w:t>
            </w:r>
          </w:p>
        </w:tc>
        <w:tc>
          <w:tcPr>
            <w:tcW w:w="478" w:type="pct"/>
            <w:tcBorders>
              <w:top w:val="nil"/>
              <w:left w:val="nil"/>
              <w:bottom w:val="single" w:sz="4" w:space="0" w:color="auto"/>
              <w:right w:val="single" w:sz="4" w:space="0" w:color="auto"/>
            </w:tcBorders>
            <w:noWrap/>
            <w:vAlign w:val="bottom"/>
            <w:hideMark/>
          </w:tcPr>
          <w:p w14:paraId="3B3EBC55"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2020</w:t>
            </w:r>
          </w:p>
        </w:tc>
        <w:tc>
          <w:tcPr>
            <w:tcW w:w="478" w:type="pct"/>
            <w:tcBorders>
              <w:top w:val="nil"/>
              <w:left w:val="nil"/>
              <w:bottom w:val="single" w:sz="4" w:space="0" w:color="auto"/>
              <w:right w:val="single" w:sz="4" w:space="0" w:color="auto"/>
            </w:tcBorders>
            <w:noWrap/>
            <w:vAlign w:val="bottom"/>
            <w:hideMark/>
          </w:tcPr>
          <w:p w14:paraId="70CBE809"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2021</w:t>
            </w:r>
          </w:p>
        </w:tc>
        <w:tc>
          <w:tcPr>
            <w:tcW w:w="478" w:type="pct"/>
            <w:tcBorders>
              <w:top w:val="nil"/>
              <w:left w:val="nil"/>
              <w:bottom w:val="single" w:sz="4" w:space="0" w:color="auto"/>
              <w:right w:val="single" w:sz="4" w:space="0" w:color="auto"/>
            </w:tcBorders>
            <w:noWrap/>
            <w:vAlign w:val="bottom"/>
            <w:hideMark/>
          </w:tcPr>
          <w:p w14:paraId="59919555"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2022</w:t>
            </w:r>
          </w:p>
        </w:tc>
        <w:tc>
          <w:tcPr>
            <w:tcW w:w="478" w:type="pct"/>
            <w:tcBorders>
              <w:top w:val="nil"/>
              <w:left w:val="nil"/>
              <w:bottom w:val="single" w:sz="4" w:space="0" w:color="auto"/>
              <w:right w:val="single" w:sz="4" w:space="0" w:color="auto"/>
            </w:tcBorders>
            <w:noWrap/>
            <w:vAlign w:val="bottom"/>
            <w:hideMark/>
          </w:tcPr>
          <w:p w14:paraId="411AC5A8"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2023</w:t>
            </w:r>
          </w:p>
        </w:tc>
        <w:tc>
          <w:tcPr>
            <w:tcW w:w="478" w:type="pct"/>
            <w:tcBorders>
              <w:top w:val="nil"/>
              <w:left w:val="nil"/>
              <w:bottom w:val="single" w:sz="4" w:space="0" w:color="auto"/>
              <w:right w:val="single" w:sz="4" w:space="0" w:color="auto"/>
            </w:tcBorders>
            <w:noWrap/>
            <w:vAlign w:val="bottom"/>
            <w:hideMark/>
          </w:tcPr>
          <w:p w14:paraId="3B1D8776"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2024</w:t>
            </w:r>
          </w:p>
        </w:tc>
        <w:tc>
          <w:tcPr>
            <w:tcW w:w="68" w:type="pct"/>
            <w:vAlign w:val="center"/>
            <w:hideMark/>
          </w:tcPr>
          <w:p w14:paraId="76E29401"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1FA5523C"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6AEBCEB3"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Total Liabilities (KRW mn)</w:t>
            </w:r>
          </w:p>
        </w:tc>
        <w:tc>
          <w:tcPr>
            <w:tcW w:w="478" w:type="pct"/>
            <w:tcBorders>
              <w:top w:val="nil"/>
              <w:left w:val="nil"/>
              <w:bottom w:val="single" w:sz="4" w:space="0" w:color="auto"/>
              <w:right w:val="single" w:sz="4" w:space="0" w:color="auto"/>
            </w:tcBorders>
            <w:noWrap/>
            <w:vAlign w:val="bottom"/>
            <w:hideMark/>
          </w:tcPr>
          <w:p w14:paraId="736586C3"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133,003,242</w:t>
            </w:r>
          </w:p>
        </w:tc>
        <w:tc>
          <w:tcPr>
            <w:tcW w:w="478" w:type="pct"/>
            <w:tcBorders>
              <w:top w:val="nil"/>
              <w:left w:val="nil"/>
              <w:bottom w:val="single" w:sz="4" w:space="0" w:color="auto"/>
              <w:right w:val="single" w:sz="4" w:space="0" w:color="auto"/>
            </w:tcBorders>
            <w:noWrap/>
            <w:vAlign w:val="bottom"/>
            <w:hideMark/>
          </w:tcPr>
          <w:p w14:paraId="18EFC9A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151,330,626</w:t>
            </w:r>
          </w:p>
        </w:tc>
        <w:tc>
          <w:tcPr>
            <w:tcW w:w="478" w:type="pct"/>
            <w:tcBorders>
              <w:top w:val="nil"/>
              <w:left w:val="nil"/>
              <w:bottom w:val="single" w:sz="4" w:space="0" w:color="auto"/>
              <w:right w:val="single" w:sz="4" w:space="0" w:color="auto"/>
            </w:tcBorders>
            <w:noWrap/>
            <w:vAlign w:val="bottom"/>
            <w:hideMark/>
          </w:tcPr>
          <w:p w14:paraId="42189570"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164,845,917</w:t>
            </w:r>
          </w:p>
        </w:tc>
        <w:tc>
          <w:tcPr>
            <w:tcW w:w="478" w:type="pct"/>
            <w:tcBorders>
              <w:top w:val="nil"/>
              <w:left w:val="nil"/>
              <w:bottom w:val="single" w:sz="4" w:space="0" w:color="auto"/>
              <w:right w:val="single" w:sz="4" w:space="0" w:color="auto"/>
            </w:tcBorders>
            <w:noWrap/>
            <w:vAlign w:val="bottom"/>
            <w:hideMark/>
          </w:tcPr>
          <w:p w14:paraId="4429CE3E"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180,653,915</w:t>
            </w:r>
          </w:p>
        </w:tc>
        <w:tc>
          <w:tcPr>
            <w:tcW w:w="478" w:type="pct"/>
            <w:tcBorders>
              <w:top w:val="nil"/>
              <w:left w:val="nil"/>
              <w:bottom w:val="single" w:sz="4" w:space="0" w:color="auto"/>
              <w:right w:val="single" w:sz="4" w:space="0" w:color="auto"/>
            </w:tcBorders>
            <w:noWrap/>
            <w:vAlign w:val="bottom"/>
            <w:hideMark/>
          </w:tcPr>
          <w:p w14:paraId="12D9F139"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219,522,496</w:t>
            </w:r>
          </w:p>
        </w:tc>
        <w:tc>
          <w:tcPr>
            <w:tcW w:w="68" w:type="pct"/>
            <w:vAlign w:val="center"/>
            <w:hideMark/>
          </w:tcPr>
          <w:p w14:paraId="4E07E33C"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7473B719"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24508EAE"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Equity (KRW mn)</w:t>
            </w:r>
          </w:p>
        </w:tc>
        <w:tc>
          <w:tcPr>
            <w:tcW w:w="478" w:type="pct"/>
            <w:tcBorders>
              <w:top w:val="nil"/>
              <w:left w:val="nil"/>
              <w:bottom w:val="single" w:sz="4" w:space="0" w:color="auto"/>
              <w:right w:val="single" w:sz="4" w:space="0" w:color="auto"/>
            </w:tcBorders>
            <w:noWrap/>
            <w:vAlign w:val="bottom"/>
            <w:hideMark/>
          </w:tcPr>
          <w:p w14:paraId="417E7C9B"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76,340,970</w:t>
            </w:r>
          </w:p>
        </w:tc>
        <w:tc>
          <w:tcPr>
            <w:tcW w:w="478" w:type="pct"/>
            <w:tcBorders>
              <w:top w:val="nil"/>
              <w:left w:val="nil"/>
              <w:bottom w:val="single" w:sz="4" w:space="0" w:color="auto"/>
              <w:right w:val="single" w:sz="4" w:space="0" w:color="auto"/>
            </w:tcBorders>
            <w:noWrap/>
            <w:vAlign w:val="bottom"/>
            <w:hideMark/>
          </w:tcPr>
          <w:p w14:paraId="2C7F2685"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82,615,789</w:t>
            </w:r>
          </w:p>
        </w:tc>
        <w:tc>
          <w:tcPr>
            <w:tcW w:w="478" w:type="pct"/>
            <w:tcBorders>
              <w:top w:val="nil"/>
              <w:left w:val="nil"/>
              <w:bottom w:val="single" w:sz="4" w:space="0" w:color="auto"/>
              <w:right w:val="single" w:sz="4" w:space="0" w:color="auto"/>
            </w:tcBorders>
            <w:noWrap/>
            <w:vAlign w:val="bottom"/>
            <w:hideMark/>
          </w:tcPr>
          <w:p w14:paraId="24F5787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90,896,545</w:t>
            </w:r>
          </w:p>
        </w:tc>
        <w:tc>
          <w:tcPr>
            <w:tcW w:w="478" w:type="pct"/>
            <w:tcBorders>
              <w:top w:val="nil"/>
              <w:left w:val="nil"/>
              <w:bottom w:val="single" w:sz="4" w:space="0" w:color="auto"/>
              <w:right w:val="single" w:sz="4" w:space="0" w:color="auto"/>
            </w:tcBorders>
            <w:noWrap/>
            <w:vAlign w:val="bottom"/>
            <w:hideMark/>
          </w:tcPr>
          <w:p w14:paraId="781C016A"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101,809,440</w:t>
            </w:r>
          </w:p>
        </w:tc>
        <w:tc>
          <w:tcPr>
            <w:tcW w:w="478" w:type="pct"/>
            <w:tcBorders>
              <w:top w:val="nil"/>
              <w:left w:val="nil"/>
              <w:bottom w:val="single" w:sz="4" w:space="0" w:color="auto"/>
              <w:right w:val="single" w:sz="4" w:space="0" w:color="auto"/>
            </w:tcBorders>
            <w:noWrap/>
            <w:vAlign w:val="bottom"/>
            <w:hideMark/>
          </w:tcPr>
          <w:p w14:paraId="656F2D93"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120,275,933</w:t>
            </w:r>
          </w:p>
        </w:tc>
        <w:tc>
          <w:tcPr>
            <w:tcW w:w="68" w:type="pct"/>
            <w:vAlign w:val="center"/>
            <w:hideMark/>
          </w:tcPr>
          <w:p w14:paraId="75345A2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0F3497A2"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164442FB"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lastRenderedPageBreak/>
              <w:t>Inventory Turnover =Total Debt ÷ Shareholders’ Equity</w:t>
            </w:r>
          </w:p>
        </w:tc>
        <w:tc>
          <w:tcPr>
            <w:tcW w:w="478" w:type="pct"/>
            <w:tcBorders>
              <w:top w:val="nil"/>
              <w:left w:val="nil"/>
              <w:bottom w:val="single" w:sz="4" w:space="0" w:color="auto"/>
              <w:right w:val="single" w:sz="4" w:space="0" w:color="auto"/>
            </w:tcBorders>
            <w:noWrap/>
            <w:vAlign w:val="bottom"/>
            <w:hideMark/>
          </w:tcPr>
          <w:p w14:paraId="53CA4543"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1.74</w:t>
            </w:r>
          </w:p>
        </w:tc>
        <w:tc>
          <w:tcPr>
            <w:tcW w:w="478" w:type="pct"/>
            <w:tcBorders>
              <w:top w:val="nil"/>
              <w:left w:val="nil"/>
              <w:bottom w:val="single" w:sz="4" w:space="0" w:color="auto"/>
              <w:right w:val="single" w:sz="4" w:space="0" w:color="auto"/>
            </w:tcBorders>
            <w:noWrap/>
            <w:vAlign w:val="bottom"/>
            <w:hideMark/>
          </w:tcPr>
          <w:p w14:paraId="11D01062"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1.83</w:t>
            </w:r>
          </w:p>
        </w:tc>
        <w:tc>
          <w:tcPr>
            <w:tcW w:w="478" w:type="pct"/>
            <w:tcBorders>
              <w:top w:val="nil"/>
              <w:left w:val="nil"/>
              <w:bottom w:val="single" w:sz="4" w:space="0" w:color="auto"/>
              <w:right w:val="single" w:sz="4" w:space="0" w:color="auto"/>
            </w:tcBorders>
            <w:noWrap/>
            <w:vAlign w:val="bottom"/>
            <w:hideMark/>
          </w:tcPr>
          <w:p w14:paraId="7611286F"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1.81</w:t>
            </w:r>
          </w:p>
        </w:tc>
        <w:tc>
          <w:tcPr>
            <w:tcW w:w="478" w:type="pct"/>
            <w:tcBorders>
              <w:top w:val="nil"/>
              <w:left w:val="nil"/>
              <w:bottom w:val="single" w:sz="4" w:space="0" w:color="auto"/>
              <w:right w:val="single" w:sz="4" w:space="0" w:color="auto"/>
            </w:tcBorders>
            <w:noWrap/>
            <w:vAlign w:val="bottom"/>
            <w:hideMark/>
          </w:tcPr>
          <w:p w14:paraId="0B492A4E"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1.77</w:t>
            </w:r>
          </w:p>
        </w:tc>
        <w:tc>
          <w:tcPr>
            <w:tcW w:w="478" w:type="pct"/>
            <w:tcBorders>
              <w:top w:val="nil"/>
              <w:left w:val="nil"/>
              <w:bottom w:val="single" w:sz="4" w:space="0" w:color="auto"/>
              <w:right w:val="single" w:sz="4" w:space="0" w:color="auto"/>
            </w:tcBorders>
            <w:noWrap/>
            <w:vAlign w:val="bottom"/>
            <w:hideMark/>
          </w:tcPr>
          <w:p w14:paraId="10E8AF1B"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1.83</w:t>
            </w:r>
          </w:p>
        </w:tc>
        <w:tc>
          <w:tcPr>
            <w:tcW w:w="68" w:type="pct"/>
            <w:vAlign w:val="center"/>
            <w:hideMark/>
          </w:tcPr>
          <w:p w14:paraId="49925E33"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10D1BD3A" w14:textId="77777777" w:rsidTr="00AF0540">
        <w:trPr>
          <w:trHeight w:val="315"/>
        </w:trPr>
        <w:tc>
          <w:tcPr>
            <w:tcW w:w="2540" w:type="pct"/>
            <w:tcBorders>
              <w:top w:val="nil"/>
              <w:left w:val="nil"/>
              <w:bottom w:val="nil"/>
              <w:right w:val="nil"/>
            </w:tcBorders>
            <w:noWrap/>
            <w:vAlign w:val="bottom"/>
            <w:hideMark/>
          </w:tcPr>
          <w:p w14:paraId="6FA9D1CE" w14:textId="77777777" w:rsidR="00AF0540" w:rsidRPr="00AF0540" w:rsidRDefault="00AF0540" w:rsidP="00AF0540">
            <w:pPr>
              <w:spacing w:after="0" w:line="240" w:lineRule="auto"/>
              <w:jc w:val="right"/>
              <w:rPr>
                <w:rFonts w:eastAsia="Times New Roman" w:cs="Arial"/>
                <w:color w:val="000000"/>
                <w:kern w:val="0"/>
                <w14:ligatures w14:val="none"/>
              </w:rPr>
            </w:pPr>
          </w:p>
        </w:tc>
        <w:tc>
          <w:tcPr>
            <w:tcW w:w="478" w:type="pct"/>
            <w:tcBorders>
              <w:top w:val="nil"/>
              <w:left w:val="nil"/>
              <w:bottom w:val="nil"/>
              <w:right w:val="nil"/>
            </w:tcBorders>
            <w:noWrap/>
            <w:vAlign w:val="bottom"/>
            <w:hideMark/>
          </w:tcPr>
          <w:p w14:paraId="60E2AF44"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736A9F0A"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5C642C94"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A0F23FA"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1E3EB1E"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68" w:type="pct"/>
            <w:vAlign w:val="center"/>
            <w:hideMark/>
          </w:tcPr>
          <w:p w14:paraId="1FBF815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1E28D936" w14:textId="77777777" w:rsidTr="00AF0540">
        <w:trPr>
          <w:trHeight w:val="315"/>
        </w:trPr>
        <w:tc>
          <w:tcPr>
            <w:tcW w:w="2540" w:type="pct"/>
            <w:tcBorders>
              <w:top w:val="nil"/>
              <w:left w:val="nil"/>
              <w:bottom w:val="nil"/>
              <w:right w:val="nil"/>
            </w:tcBorders>
            <w:noWrap/>
            <w:vAlign w:val="bottom"/>
            <w:hideMark/>
          </w:tcPr>
          <w:p w14:paraId="595523A6"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32457F62"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2F34918B"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EC04B27"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20FDFDA"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360B6904"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68" w:type="pct"/>
            <w:vAlign w:val="center"/>
            <w:hideMark/>
          </w:tcPr>
          <w:p w14:paraId="6EC8887B"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58BE501A" w14:textId="77777777" w:rsidTr="00AF0540">
        <w:trPr>
          <w:trHeight w:val="315"/>
        </w:trPr>
        <w:tc>
          <w:tcPr>
            <w:tcW w:w="4932" w:type="pct"/>
            <w:gridSpan w:val="6"/>
            <w:tcBorders>
              <w:top w:val="single" w:sz="4" w:space="0" w:color="auto"/>
              <w:left w:val="single" w:sz="4" w:space="0" w:color="auto"/>
              <w:bottom w:val="single" w:sz="4" w:space="0" w:color="auto"/>
              <w:right w:val="single" w:sz="4" w:space="0" w:color="000000"/>
            </w:tcBorders>
            <w:noWrap/>
            <w:vAlign w:val="bottom"/>
            <w:hideMark/>
          </w:tcPr>
          <w:p w14:paraId="2021B048"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Interest Coverage Ratio</w:t>
            </w:r>
          </w:p>
        </w:tc>
        <w:tc>
          <w:tcPr>
            <w:tcW w:w="68" w:type="pct"/>
            <w:vAlign w:val="center"/>
            <w:hideMark/>
          </w:tcPr>
          <w:p w14:paraId="47746E7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3EF7D602"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1813C7DF" w14:textId="77777777" w:rsidR="00AF0540" w:rsidRPr="00AF0540" w:rsidRDefault="00AF0540" w:rsidP="00AF0540">
            <w:pPr>
              <w:spacing w:after="0" w:line="240" w:lineRule="auto"/>
              <w:jc w:val="left"/>
              <w:rPr>
                <w:rFonts w:eastAsia="Times New Roman" w:cs="Arial"/>
                <w:color w:val="000000"/>
                <w:kern w:val="0"/>
                <w14:ligatures w14:val="none"/>
              </w:rPr>
            </w:pPr>
            <w:r w:rsidRPr="00AF0540">
              <w:rPr>
                <w:rFonts w:eastAsia="Times New Roman" w:cs="Arial"/>
                <w:color w:val="000000"/>
                <w:kern w:val="0"/>
                <w14:ligatures w14:val="none"/>
              </w:rPr>
              <w:t> </w:t>
            </w:r>
          </w:p>
        </w:tc>
        <w:tc>
          <w:tcPr>
            <w:tcW w:w="478" w:type="pct"/>
            <w:tcBorders>
              <w:top w:val="nil"/>
              <w:left w:val="nil"/>
              <w:bottom w:val="single" w:sz="4" w:space="0" w:color="auto"/>
              <w:right w:val="single" w:sz="4" w:space="0" w:color="auto"/>
            </w:tcBorders>
            <w:noWrap/>
            <w:vAlign w:val="bottom"/>
            <w:hideMark/>
          </w:tcPr>
          <w:p w14:paraId="49E761FF"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2020</w:t>
            </w:r>
          </w:p>
        </w:tc>
        <w:tc>
          <w:tcPr>
            <w:tcW w:w="478" w:type="pct"/>
            <w:tcBorders>
              <w:top w:val="nil"/>
              <w:left w:val="nil"/>
              <w:bottom w:val="single" w:sz="4" w:space="0" w:color="auto"/>
              <w:right w:val="single" w:sz="4" w:space="0" w:color="auto"/>
            </w:tcBorders>
            <w:noWrap/>
            <w:vAlign w:val="bottom"/>
            <w:hideMark/>
          </w:tcPr>
          <w:p w14:paraId="4CA73F04"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2021</w:t>
            </w:r>
          </w:p>
        </w:tc>
        <w:tc>
          <w:tcPr>
            <w:tcW w:w="478" w:type="pct"/>
            <w:tcBorders>
              <w:top w:val="nil"/>
              <w:left w:val="nil"/>
              <w:bottom w:val="single" w:sz="4" w:space="0" w:color="auto"/>
              <w:right w:val="single" w:sz="4" w:space="0" w:color="auto"/>
            </w:tcBorders>
            <w:noWrap/>
            <w:vAlign w:val="bottom"/>
            <w:hideMark/>
          </w:tcPr>
          <w:p w14:paraId="47294BF4"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2022</w:t>
            </w:r>
          </w:p>
        </w:tc>
        <w:tc>
          <w:tcPr>
            <w:tcW w:w="478" w:type="pct"/>
            <w:tcBorders>
              <w:top w:val="nil"/>
              <w:left w:val="nil"/>
              <w:bottom w:val="single" w:sz="4" w:space="0" w:color="auto"/>
              <w:right w:val="single" w:sz="4" w:space="0" w:color="auto"/>
            </w:tcBorders>
            <w:noWrap/>
            <w:vAlign w:val="bottom"/>
            <w:hideMark/>
          </w:tcPr>
          <w:p w14:paraId="16539EC5"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2023</w:t>
            </w:r>
          </w:p>
        </w:tc>
        <w:tc>
          <w:tcPr>
            <w:tcW w:w="478" w:type="pct"/>
            <w:tcBorders>
              <w:top w:val="nil"/>
              <w:left w:val="nil"/>
              <w:bottom w:val="single" w:sz="4" w:space="0" w:color="auto"/>
              <w:right w:val="single" w:sz="4" w:space="0" w:color="auto"/>
            </w:tcBorders>
            <w:noWrap/>
            <w:vAlign w:val="bottom"/>
            <w:hideMark/>
          </w:tcPr>
          <w:p w14:paraId="20FE97DA"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2024</w:t>
            </w:r>
          </w:p>
        </w:tc>
        <w:tc>
          <w:tcPr>
            <w:tcW w:w="68" w:type="pct"/>
            <w:vAlign w:val="center"/>
            <w:hideMark/>
          </w:tcPr>
          <w:p w14:paraId="6214471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3F04BDCB"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44D9DB59"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Operating Income (KRW mn)</w:t>
            </w:r>
          </w:p>
        </w:tc>
        <w:tc>
          <w:tcPr>
            <w:tcW w:w="478" w:type="pct"/>
            <w:tcBorders>
              <w:top w:val="nil"/>
              <w:left w:val="nil"/>
              <w:bottom w:val="single" w:sz="4" w:space="0" w:color="auto"/>
              <w:right w:val="single" w:sz="4" w:space="0" w:color="auto"/>
            </w:tcBorders>
            <w:noWrap/>
            <w:vAlign w:val="bottom"/>
            <w:hideMark/>
          </w:tcPr>
          <w:p w14:paraId="74C0D040"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2,394,671</w:t>
            </w:r>
          </w:p>
        </w:tc>
        <w:tc>
          <w:tcPr>
            <w:tcW w:w="478" w:type="pct"/>
            <w:tcBorders>
              <w:top w:val="nil"/>
              <w:left w:val="nil"/>
              <w:bottom w:val="single" w:sz="4" w:space="0" w:color="auto"/>
              <w:right w:val="single" w:sz="4" w:space="0" w:color="auto"/>
            </w:tcBorders>
            <w:noWrap/>
            <w:vAlign w:val="bottom"/>
            <w:hideMark/>
          </w:tcPr>
          <w:p w14:paraId="24022F2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6,678,949</w:t>
            </w:r>
          </w:p>
        </w:tc>
        <w:tc>
          <w:tcPr>
            <w:tcW w:w="478" w:type="pct"/>
            <w:tcBorders>
              <w:top w:val="nil"/>
              <w:left w:val="nil"/>
              <w:bottom w:val="single" w:sz="4" w:space="0" w:color="auto"/>
              <w:right w:val="single" w:sz="4" w:space="0" w:color="auto"/>
            </w:tcBorders>
            <w:noWrap/>
            <w:vAlign w:val="bottom"/>
            <w:hideMark/>
          </w:tcPr>
          <w:p w14:paraId="02D871A5"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9,819,769</w:t>
            </w:r>
          </w:p>
        </w:tc>
        <w:tc>
          <w:tcPr>
            <w:tcW w:w="478" w:type="pct"/>
            <w:tcBorders>
              <w:top w:val="nil"/>
              <w:left w:val="nil"/>
              <w:bottom w:val="single" w:sz="4" w:space="0" w:color="auto"/>
              <w:right w:val="single" w:sz="4" w:space="0" w:color="auto"/>
            </w:tcBorders>
            <w:noWrap/>
            <w:vAlign w:val="bottom"/>
            <w:hideMark/>
          </w:tcPr>
          <w:p w14:paraId="448C856F"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15,126,901</w:t>
            </w:r>
          </w:p>
        </w:tc>
        <w:tc>
          <w:tcPr>
            <w:tcW w:w="478" w:type="pct"/>
            <w:tcBorders>
              <w:top w:val="nil"/>
              <w:left w:val="nil"/>
              <w:bottom w:val="single" w:sz="4" w:space="0" w:color="auto"/>
              <w:right w:val="single" w:sz="4" w:space="0" w:color="auto"/>
            </w:tcBorders>
            <w:noWrap/>
            <w:vAlign w:val="bottom"/>
            <w:hideMark/>
          </w:tcPr>
          <w:p w14:paraId="5DE7B988"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14,239,592</w:t>
            </w:r>
          </w:p>
        </w:tc>
        <w:tc>
          <w:tcPr>
            <w:tcW w:w="68" w:type="pct"/>
            <w:vAlign w:val="center"/>
            <w:hideMark/>
          </w:tcPr>
          <w:p w14:paraId="1DC58ED2"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28070DD0"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33F1F4BB"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Interest Expense (KRW mn)</w:t>
            </w:r>
          </w:p>
        </w:tc>
        <w:tc>
          <w:tcPr>
            <w:tcW w:w="478" w:type="pct"/>
            <w:tcBorders>
              <w:top w:val="nil"/>
              <w:left w:val="nil"/>
              <w:bottom w:val="single" w:sz="4" w:space="0" w:color="auto"/>
              <w:right w:val="single" w:sz="4" w:space="0" w:color="auto"/>
            </w:tcBorders>
            <w:noWrap/>
            <w:vAlign w:val="bottom"/>
            <w:hideMark/>
          </w:tcPr>
          <w:p w14:paraId="6446778F"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955,991</w:t>
            </w:r>
          </w:p>
        </w:tc>
        <w:tc>
          <w:tcPr>
            <w:tcW w:w="478" w:type="pct"/>
            <w:tcBorders>
              <w:top w:val="nil"/>
              <w:left w:val="nil"/>
              <w:bottom w:val="single" w:sz="4" w:space="0" w:color="auto"/>
              <w:right w:val="single" w:sz="4" w:space="0" w:color="auto"/>
            </w:tcBorders>
            <w:noWrap/>
            <w:vAlign w:val="bottom"/>
            <w:hideMark/>
          </w:tcPr>
          <w:p w14:paraId="7E6589AE"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548,410</w:t>
            </w:r>
          </w:p>
        </w:tc>
        <w:tc>
          <w:tcPr>
            <w:tcW w:w="478" w:type="pct"/>
            <w:tcBorders>
              <w:top w:val="nil"/>
              <w:left w:val="nil"/>
              <w:bottom w:val="single" w:sz="4" w:space="0" w:color="auto"/>
              <w:right w:val="single" w:sz="4" w:space="0" w:color="auto"/>
            </w:tcBorders>
            <w:noWrap/>
            <w:vAlign w:val="bottom"/>
            <w:hideMark/>
          </w:tcPr>
          <w:p w14:paraId="185FC529"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1,054,228</w:t>
            </w:r>
          </w:p>
        </w:tc>
        <w:tc>
          <w:tcPr>
            <w:tcW w:w="478" w:type="pct"/>
            <w:tcBorders>
              <w:top w:val="nil"/>
              <w:left w:val="nil"/>
              <w:bottom w:val="single" w:sz="4" w:space="0" w:color="auto"/>
              <w:right w:val="single" w:sz="4" w:space="0" w:color="auto"/>
            </w:tcBorders>
            <w:noWrap/>
            <w:vAlign w:val="bottom"/>
            <w:hideMark/>
          </w:tcPr>
          <w:p w14:paraId="2D1B6D91"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970,700</w:t>
            </w:r>
          </w:p>
        </w:tc>
        <w:tc>
          <w:tcPr>
            <w:tcW w:w="478" w:type="pct"/>
            <w:tcBorders>
              <w:top w:val="nil"/>
              <w:left w:val="nil"/>
              <w:bottom w:val="single" w:sz="4" w:space="0" w:color="auto"/>
              <w:right w:val="single" w:sz="4" w:space="0" w:color="auto"/>
            </w:tcBorders>
            <w:noWrap/>
            <w:vAlign w:val="bottom"/>
            <w:hideMark/>
          </w:tcPr>
          <w:p w14:paraId="10472BF2"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898,551</w:t>
            </w:r>
          </w:p>
        </w:tc>
        <w:tc>
          <w:tcPr>
            <w:tcW w:w="68" w:type="pct"/>
            <w:vAlign w:val="center"/>
            <w:hideMark/>
          </w:tcPr>
          <w:p w14:paraId="156D955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4532F4D9"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31A9AAEC"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Interest Coverage Ratio = Operating Profit (EBIT) ÷ Interest Expense</w:t>
            </w:r>
          </w:p>
        </w:tc>
        <w:tc>
          <w:tcPr>
            <w:tcW w:w="478" w:type="pct"/>
            <w:tcBorders>
              <w:top w:val="nil"/>
              <w:left w:val="nil"/>
              <w:bottom w:val="single" w:sz="4" w:space="0" w:color="auto"/>
              <w:right w:val="single" w:sz="4" w:space="0" w:color="auto"/>
            </w:tcBorders>
            <w:noWrap/>
            <w:vAlign w:val="bottom"/>
            <w:hideMark/>
          </w:tcPr>
          <w:p w14:paraId="550EE8B7"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2.50</w:t>
            </w:r>
          </w:p>
        </w:tc>
        <w:tc>
          <w:tcPr>
            <w:tcW w:w="478" w:type="pct"/>
            <w:tcBorders>
              <w:top w:val="nil"/>
              <w:left w:val="nil"/>
              <w:bottom w:val="single" w:sz="4" w:space="0" w:color="auto"/>
              <w:right w:val="single" w:sz="4" w:space="0" w:color="auto"/>
            </w:tcBorders>
            <w:noWrap/>
            <w:vAlign w:val="bottom"/>
            <w:hideMark/>
          </w:tcPr>
          <w:p w14:paraId="38028B2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12.18</w:t>
            </w:r>
          </w:p>
        </w:tc>
        <w:tc>
          <w:tcPr>
            <w:tcW w:w="478" w:type="pct"/>
            <w:tcBorders>
              <w:top w:val="nil"/>
              <w:left w:val="nil"/>
              <w:bottom w:val="single" w:sz="4" w:space="0" w:color="auto"/>
              <w:right w:val="single" w:sz="4" w:space="0" w:color="auto"/>
            </w:tcBorders>
            <w:noWrap/>
            <w:vAlign w:val="bottom"/>
            <w:hideMark/>
          </w:tcPr>
          <w:p w14:paraId="54A1F6E4"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9.31</w:t>
            </w:r>
          </w:p>
        </w:tc>
        <w:tc>
          <w:tcPr>
            <w:tcW w:w="478" w:type="pct"/>
            <w:tcBorders>
              <w:top w:val="nil"/>
              <w:left w:val="nil"/>
              <w:bottom w:val="single" w:sz="4" w:space="0" w:color="auto"/>
              <w:right w:val="single" w:sz="4" w:space="0" w:color="auto"/>
            </w:tcBorders>
            <w:noWrap/>
            <w:vAlign w:val="bottom"/>
            <w:hideMark/>
          </w:tcPr>
          <w:p w14:paraId="648975D9"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15.58</w:t>
            </w:r>
          </w:p>
        </w:tc>
        <w:tc>
          <w:tcPr>
            <w:tcW w:w="478" w:type="pct"/>
            <w:tcBorders>
              <w:top w:val="nil"/>
              <w:left w:val="nil"/>
              <w:bottom w:val="single" w:sz="4" w:space="0" w:color="auto"/>
              <w:right w:val="single" w:sz="4" w:space="0" w:color="auto"/>
            </w:tcBorders>
            <w:noWrap/>
            <w:vAlign w:val="bottom"/>
            <w:hideMark/>
          </w:tcPr>
          <w:p w14:paraId="087AEAB0"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15.85</w:t>
            </w:r>
          </w:p>
        </w:tc>
        <w:tc>
          <w:tcPr>
            <w:tcW w:w="68" w:type="pct"/>
            <w:vAlign w:val="center"/>
            <w:hideMark/>
          </w:tcPr>
          <w:p w14:paraId="6E8A282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bl>
    <w:p w14:paraId="010DAAED" w14:textId="77777777" w:rsidR="00FF05EF" w:rsidRDefault="00FF05EF" w:rsidP="008E7995"/>
    <w:p w14:paraId="631BD8F0" w14:textId="7B4B432E" w:rsidR="00FF05EF" w:rsidRDefault="00FF05EF" w:rsidP="008E7995">
      <w:r w:rsidRPr="00FF05EF">
        <w:t>Investment</w:t>
      </w:r>
    </w:p>
    <w:tbl>
      <w:tblPr>
        <w:tblW w:w="5000" w:type="pct"/>
        <w:tblLook w:val="04A0" w:firstRow="1" w:lastRow="0" w:firstColumn="1" w:lastColumn="0" w:noHBand="0" w:noVBand="1"/>
      </w:tblPr>
      <w:tblGrid>
        <w:gridCol w:w="5159"/>
        <w:gridCol w:w="733"/>
        <w:gridCol w:w="812"/>
        <w:gridCol w:w="812"/>
        <w:gridCol w:w="812"/>
        <w:gridCol w:w="812"/>
        <w:gridCol w:w="220"/>
      </w:tblGrid>
      <w:tr w:rsidR="00380C29" w:rsidRPr="00380C29" w14:paraId="792C26DD" w14:textId="77777777" w:rsidTr="00380C29">
        <w:trPr>
          <w:gridAfter w:val="1"/>
          <w:wAfter w:w="74" w:type="pct"/>
          <w:trHeight w:val="552"/>
        </w:trPr>
        <w:tc>
          <w:tcPr>
            <w:tcW w:w="4926" w:type="pct"/>
            <w:gridSpan w:val="6"/>
            <w:vMerge w:val="restart"/>
            <w:tcBorders>
              <w:top w:val="nil"/>
              <w:left w:val="nil"/>
              <w:bottom w:val="nil"/>
              <w:right w:val="nil"/>
            </w:tcBorders>
            <w:noWrap/>
            <w:vAlign w:val="center"/>
            <w:hideMark/>
          </w:tcPr>
          <w:p w14:paraId="401177C2" w14:textId="77777777" w:rsidR="00380C29" w:rsidRPr="00380C29" w:rsidRDefault="00380C29" w:rsidP="00380C29">
            <w:pPr>
              <w:spacing w:after="0" w:line="240" w:lineRule="auto"/>
              <w:jc w:val="center"/>
              <w:rPr>
                <w:rFonts w:eastAsia="Times New Roman" w:cs="Arial"/>
                <w:b/>
                <w:bCs/>
                <w:color w:val="7E350E"/>
                <w:kern w:val="0"/>
                <w:sz w:val="48"/>
                <w:szCs w:val="48"/>
                <w14:ligatures w14:val="none"/>
              </w:rPr>
            </w:pPr>
            <w:r w:rsidRPr="00380C29">
              <w:rPr>
                <w:rFonts w:eastAsia="Times New Roman" w:cs="Arial"/>
                <w:b/>
                <w:bCs/>
                <w:color w:val="7E350E"/>
                <w:kern w:val="0"/>
                <w:sz w:val="48"/>
                <w:szCs w:val="48"/>
                <w14:ligatures w14:val="none"/>
              </w:rPr>
              <w:t>Hyundai Investment</w:t>
            </w:r>
          </w:p>
        </w:tc>
      </w:tr>
      <w:tr w:rsidR="00380C29" w:rsidRPr="00380C29" w14:paraId="52BA66F7" w14:textId="77777777" w:rsidTr="00380C29">
        <w:trPr>
          <w:trHeight w:val="300"/>
        </w:trPr>
        <w:tc>
          <w:tcPr>
            <w:tcW w:w="4926" w:type="pct"/>
            <w:gridSpan w:val="6"/>
            <w:vMerge/>
            <w:tcBorders>
              <w:top w:val="nil"/>
              <w:left w:val="nil"/>
              <w:bottom w:val="nil"/>
              <w:right w:val="nil"/>
            </w:tcBorders>
            <w:vAlign w:val="center"/>
            <w:hideMark/>
          </w:tcPr>
          <w:p w14:paraId="2DDBE0E0" w14:textId="77777777" w:rsidR="00380C29" w:rsidRPr="00380C29" w:rsidRDefault="00380C29" w:rsidP="00380C29">
            <w:pPr>
              <w:spacing w:after="0" w:line="240" w:lineRule="auto"/>
              <w:jc w:val="left"/>
              <w:rPr>
                <w:rFonts w:eastAsia="Times New Roman" w:cs="Arial"/>
                <w:b/>
                <w:bCs/>
                <w:color w:val="7E350E"/>
                <w:kern w:val="0"/>
                <w:sz w:val="48"/>
                <w:szCs w:val="48"/>
                <w14:ligatures w14:val="none"/>
              </w:rPr>
            </w:pPr>
          </w:p>
        </w:tc>
        <w:tc>
          <w:tcPr>
            <w:tcW w:w="74" w:type="pct"/>
            <w:tcBorders>
              <w:top w:val="nil"/>
              <w:left w:val="nil"/>
              <w:bottom w:val="nil"/>
              <w:right w:val="nil"/>
            </w:tcBorders>
            <w:noWrap/>
            <w:vAlign w:val="bottom"/>
            <w:hideMark/>
          </w:tcPr>
          <w:p w14:paraId="674EBD20" w14:textId="77777777" w:rsidR="00380C29" w:rsidRPr="00380C29" w:rsidRDefault="00380C29" w:rsidP="00380C29">
            <w:pPr>
              <w:spacing w:after="0" w:line="240" w:lineRule="auto"/>
              <w:jc w:val="center"/>
              <w:rPr>
                <w:rFonts w:eastAsia="Times New Roman" w:cs="Arial"/>
                <w:b/>
                <w:bCs/>
                <w:color w:val="7E350E"/>
                <w:kern w:val="0"/>
                <w:sz w:val="48"/>
                <w:szCs w:val="48"/>
                <w14:ligatures w14:val="none"/>
              </w:rPr>
            </w:pPr>
          </w:p>
        </w:tc>
      </w:tr>
      <w:tr w:rsidR="00380C29" w:rsidRPr="00380C29" w14:paraId="7D0BADA2" w14:textId="77777777" w:rsidTr="00380C29">
        <w:trPr>
          <w:trHeight w:val="315"/>
        </w:trPr>
        <w:tc>
          <w:tcPr>
            <w:tcW w:w="2944" w:type="pct"/>
            <w:tcBorders>
              <w:top w:val="nil"/>
              <w:left w:val="nil"/>
              <w:bottom w:val="nil"/>
              <w:right w:val="nil"/>
            </w:tcBorders>
            <w:noWrap/>
            <w:vAlign w:val="bottom"/>
            <w:hideMark/>
          </w:tcPr>
          <w:p w14:paraId="540CF29D"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361" w:type="pct"/>
            <w:tcBorders>
              <w:top w:val="nil"/>
              <w:left w:val="nil"/>
              <w:bottom w:val="nil"/>
              <w:right w:val="nil"/>
            </w:tcBorders>
            <w:noWrap/>
            <w:vAlign w:val="bottom"/>
            <w:hideMark/>
          </w:tcPr>
          <w:p w14:paraId="0FC4458F"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77AD2E3A"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49D35883"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4BF773BA"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6F1F941D"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74" w:type="pct"/>
            <w:vAlign w:val="center"/>
            <w:hideMark/>
          </w:tcPr>
          <w:p w14:paraId="29820BCE"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348BFECF" w14:textId="77777777" w:rsidTr="00380C29">
        <w:trPr>
          <w:trHeight w:val="315"/>
        </w:trPr>
        <w:tc>
          <w:tcPr>
            <w:tcW w:w="4926" w:type="pct"/>
            <w:gridSpan w:val="6"/>
            <w:tcBorders>
              <w:top w:val="single" w:sz="4" w:space="0" w:color="auto"/>
              <w:left w:val="single" w:sz="4" w:space="0" w:color="auto"/>
              <w:bottom w:val="single" w:sz="4" w:space="0" w:color="auto"/>
              <w:right w:val="single" w:sz="4" w:space="0" w:color="000000"/>
            </w:tcBorders>
            <w:noWrap/>
            <w:vAlign w:val="bottom"/>
            <w:hideMark/>
          </w:tcPr>
          <w:p w14:paraId="44110AD9"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Earnings per Share (EPS)</w:t>
            </w:r>
          </w:p>
        </w:tc>
        <w:tc>
          <w:tcPr>
            <w:tcW w:w="74" w:type="pct"/>
            <w:vAlign w:val="center"/>
            <w:hideMark/>
          </w:tcPr>
          <w:p w14:paraId="5CDA0F5B"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2BE9D6BC"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79BB227D"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 </w:t>
            </w:r>
          </w:p>
        </w:tc>
        <w:tc>
          <w:tcPr>
            <w:tcW w:w="361" w:type="pct"/>
            <w:tcBorders>
              <w:top w:val="nil"/>
              <w:left w:val="nil"/>
              <w:bottom w:val="single" w:sz="4" w:space="0" w:color="auto"/>
              <w:right w:val="single" w:sz="4" w:space="0" w:color="auto"/>
            </w:tcBorders>
            <w:noWrap/>
            <w:vAlign w:val="bottom"/>
            <w:hideMark/>
          </w:tcPr>
          <w:p w14:paraId="1B2706B4"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2020</w:t>
            </w:r>
          </w:p>
        </w:tc>
        <w:tc>
          <w:tcPr>
            <w:tcW w:w="405" w:type="pct"/>
            <w:tcBorders>
              <w:top w:val="nil"/>
              <w:left w:val="nil"/>
              <w:bottom w:val="single" w:sz="4" w:space="0" w:color="auto"/>
              <w:right w:val="single" w:sz="4" w:space="0" w:color="auto"/>
            </w:tcBorders>
            <w:noWrap/>
            <w:vAlign w:val="bottom"/>
            <w:hideMark/>
          </w:tcPr>
          <w:p w14:paraId="4338F371"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2021</w:t>
            </w:r>
          </w:p>
        </w:tc>
        <w:tc>
          <w:tcPr>
            <w:tcW w:w="405" w:type="pct"/>
            <w:tcBorders>
              <w:top w:val="nil"/>
              <w:left w:val="nil"/>
              <w:bottom w:val="single" w:sz="4" w:space="0" w:color="auto"/>
              <w:right w:val="single" w:sz="4" w:space="0" w:color="auto"/>
            </w:tcBorders>
            <w:noWrap/>
            <w:vAlign w:val="bottom"/>
            <w:hideMark/>
          </w:tcPr>
          <w:p w14:paraId="7AE01DE6"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2022</w:t>
            </w:r>
          </w:p>
        </w:tc>
        <w:tc>
          <w:tcPr>
            <w:tcW w:w="405" w:type="pct"/>
            <w:tcBorders>
              <w:top w:val="nil"/>
              <w:left w:val="nil"/>
              <w:bottom w:val="single" w:sz="4" w:space="0" w:color="auto"/>
              <w:right w:val="single" w:sz="4" w:space="0" w:color="auto"/>
            </w:tcBorders>
            <w:noWrap/>
            <w:vAlign w:val="bottom"/>
            <w:hideMark/>
          </w:tcPr>
          <w:p w14:paraId="02E7F752"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2023</w:t>
            </w:r>
          </w:p>
        </w:tc>
        <w:tc>
          <w:tcPr>
            <w:tcW w:w="405" w:type="pct"/>
            <w:tcBorders>
              <w:top w:val="nil"/>
              <w:left w:val="nil"/>
              <w:bottom w:val="single" w:sz="4" w:space="0" w:color="auto"/>
              <w:right w:val="single" w:sz="4" w:space="0" w:color="auto"/>
            </w:tcBorders>
            <w:noWrap/>
            <w:vAlign w:val="bottom"/>
            <w:hideMark/>
          </w:tcPr>
          <w:p w14:paraId="1807B485"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2024</w:t>
            </w:r>
          </w:p>
        </w:tc>
        <w:tc>
          <w:tcPr>
            <w:tcW w:w="74" w:type="pct"/>
            <w:vAlign w:val="center"/>
            <w:hideMark/>
          </w:tcPr>
          <w:p w14:paraId="7AA520D7"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359BB5F1"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44DFC33D"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EPS (KRW)</w:t>
            </w:r>
          </w:p>
        </w:tc>
        <w:tc>
          <w:tcPr>
            <w:tcW w:w="361" w:type="pct"/>
            <w:tcBorders>
              <w:top w:val="nil"/>
              <w:left w:val="nil"/>
              <w:bottom w:val="single" w:sz="4" w:space="0" w:color="auto"/>
              <w:right w:val="single" w:sz="4" w:space="0" w:color="auto"/>
            </w:tcBorders>
            <w:noWrap/>
            <w:vAlign w:val="bottom"/>
            <w:hideMark/>
          </w:tcPr>
          <w:p w14:paraId="5751C5F0"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5,454</w:t>
            </w:r>
          </w:p>
        </w:tc>
        <w:tc>
          <w:tcPr>
            <w:tcW w:w="405" w:type="pct"/>
            <w:tcBorders>
              <w:top w:val="nil"/>
              <w:left w:val="nil"/>
              <w:bottom w:val="single" w:sz="4" w:space="0" w:color="auto"/>
              <w:right w:val="single" w:sz="4" w:space="0" w:color="auto"/>
            </w:tcBorders>
            <w:noWrap/>
            <w:vAlign w:val="bottom"/>
            <w:hideMark/>
          </w:tcPr>
          <w:p w14:paraId="77236CAA"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18,979</w:t>
            </w:r>
          </w:p>
        </w:tc>
        <w:tc>
          <w:tcPr>
            <w:tcW w:w="405" w:type="pct"/>
            <w:tcBorders>
              <w:top w:val="nil"/>
              <w:left w:val="nil"/>
              <w:bottom w:val="single" w:sz="4" w:space="0" w:color="auto"/>
              <w:right w:val="single" w:sz="4" w:space="0" w:color="auto"/>
            </w:tcBorders>
            <w:noWrap/>
            <w:vAlign w:val="bottom"/>
            <w:hideMark/>
          </w:tcPr>
          <w:p w14:paraId="250CA5DA"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28,521</w:t>
            </w:r>
          </w:p>
        </w:tc>
        <w:tc>
          <w:tcPr>
            <w:tcW w:w="405" w:type="pct"/>
            <w:tcBorders>
              <w:top w:val="nil"/>
              <w:left w:val="nil"/>
              <w:bottom w:val="single" w:sz="4" w:space="0" w:color="auto"/>
              <w:right w:val="single" w:sz="4" w:space="0" w:color="auto"/>
            </w:tcBorders>
            <w:noWrap/>
            <w:vAlign w:val="bottom"/>
            <w:hideMark/>
          </w:tcPr>
          <w:p w14:paraId="71436BD7"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45,703</w:t>
            </w:r>
          </w:p>
        </w:tc>
        <w:tc>
          <w:tcPr>
            <w:tcW w:w="405" w:type="pct"/>
            <w:tcBorders>
              <w:top w:val="nil"/>
              <w:left w:val="nil"/>
              <w:bottom w:val="single" w:sz="4" w:space="0" w:color="auto"/>
              <w:right w:val="single" w:sz="4" w:space="0" w:color="auto"/>
            </w:tcBorders>
            <w:noWrap/>
            <w:vAlign w:val="bottom"/>
            <w:hideMark/>
          </w:tcPr>
          <w:p w14:paraId="428D1A88"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47,615</w:t>
            </w:r>
          </w:p>
        </w:tc>
        <w:tc>
          <w:tcPr>
            <w:tcW w:w="74" w:type="pct"/>
            <w:vAlign w:val="center"/>
            <w:hideMark/>
          </w:tcPr>
          <w:p w14:paraId="3A3F9DF6"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42E16374" w14:textId="77777777" w:rsidTr="00380C29">
        <w:trPr>
          <w:trHeight w:val="315"/>
        </w:trPr>
        <w:tc>
          <w:tcPr>
            <w:tcW w:w="2944" w:type="pct"/>
            <w:tcBorders>
              <w:top w:val="nil"/>
              <w:left w:val="nil"/>
              <w:bottom w:val="nil"/>
              <w:right w:val="nil"/>
            </w:tcBorders>
            <w:noWrap/>
            <w:vAlign w:val="bottom"/>
            <w:hideMark/>
          </w:tcPr>
          <w:p w14:paraId="319FB4A5" w14:textId="77777777" w:rsidR="00380C29" w:rsidRPr="00380C29" w:rsidRDefault="00380C29" w:rsidP="00380C29">
            <w:pPr>
              <w:spacing w:after="0" w:line="240" w:lineRule="auto"/>
              <w:jc w:val="right"/>
              <w:rPr>
                <w:rFonts w:eastAsia="Times New Roman" w:cs="Arial"/>
                <w:color w:val="000000"/>
                <w:kern w:val="0"/>
                <w14:ligatures w14:val="none"/>
              </w:rPr>
            </w:pPr>
          </w:p>
        </w:tc>
        <w:tc>
          <w:tcPr>
            <w:tcW w:w="361" w:type="pct"/>
            <w:tcBorders>
              <w:top w:val="nil"/>
              <w:left w:val="nil"/>
              <w:bottom w:val="nil"/>
              <w:right w:val="nil"/>
            </w:tcBorders>
            <w:noWrap/>
            <w:vAlign w:val="bottom"/>
            <w:hideMark/>
          </w:tcPr>
          <w:p w14:paraId="56E1EC77"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343978DB"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1BDE4B6B"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3A0003E4"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2DA20843"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74" w:type="pct"/>
            <w:vAlign w:val="center"/>
            <w:hideMark/>
          </w:tcPr>
          <w:p w14:paraId="3C23C24A"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643F5245" w14:textId="77777777" w:rsidTr="00380C29">
        <w:trPr>
          <w:trHeight w:val="315"/>
        </w:trPr>
        <w:tc>
          <w:tcPr>
            <w:tcW w:w="2944" w:type="pct"/>
            <w:tcBorders>
              <w:top w:val="nil"/>
              <w:left w:val="nil"/>
              <w:bottom w:val="nil"/>
              <w:right w:val="nil"/>
            </w:tcBorders>
            <w:noWrap/>
            <w:vAlign w:val="bottom"/>
            <w:hideMark/>
          </w:tcPr>
          <w:p w14:paraId="5BB1396C"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361" w:type="pct"/>
            <w:tcBorders>
              <w:top w:val="nil"/>
              <w:left w:val="nil"/>
              <w:bottom w:val="nil"/>
              <w:right w:val="nil"/>
            </w:tcBorders>
            <w:noWrap/>
            <w:vAlign w:val="bottom"/>
            <w:hideMark/>
          </w:tcPr>
          <w:p w14:paraId="38F4CDBC"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2285758C"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74FB43F0"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666A4459"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15CCF568"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74" w:type="pct"/>
            <w:vAlign w:val="center"/>
            <w:hideMark/>
          </w:tcPr>
          <w:p w14:paraId="72EF5FE9"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3FAA0843" w14:textId="77777777" w:rsidTr="00380C29">
        <w:trPr>
          <w:trHeight w:val="315"/>
        </w:trPr>
        <w:tc>
          <w:tcPr>
            <w:tcW w:w="4926" w:type="pct"/>
            <w:gridSpan w:val="6"/>
            <w:tcBorders>
              <w:top w:val="single" w:sz="4" w:space="0" w:color="auto"/>
              <w:left w:val="single" w:sz="4" w:space="0" w:color="auto"/>
              <w:bottom w:val="single" w:sz="4" w:space="0" w:color="auto"/>
              <w:right w:val="single" w:sz="4" w:space="0" w:color="000000"/>
            </w:tcBorders>
            <w:noWrap/>
            <w:vAlign w:val="bottom"/>
            <w:hideMark/>
          </w:tcPr>
          <w:p w14:paraId="6C441F2B"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Price/Earnings Ratio (P/E)</w:t>
            </w:r>
          </w:p>
        </w:tc>
        <w:tc>
          <w:tcPr>
            <w:tcW w:w="74" w:type="pct"/>
            <w:vAlign w:val="center"/>
            <w:hideMark/>
          </w:tcPr>
          <w:p w14:paraId="0C6CA95D"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21EA2B5C"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790BC402" w14:textId="77777777" w:rsidR="00380C29" w:rsidRPr="00380C29" w:rsidRDefault="00380C29" w:rsidP="00380C29">
            <w:pPr>
              <w:spacing w:after="0" w:line="240" w:lineRule="auto"/>
              <w:jc w:val="left"/>
              <w:rPr>
                <w:rFonts w:eastAsia="Times New Roman" w:cs="Arial"/>
                <w:color w:val="000000"/>
                <w:kern w:val="0"/>
                <w14:ligatures w14:val="none"/>
              </w:rPr>
            </w:pPr>
            <w:r w:rsidRPr="00380C29">
              <w:rPr>
                <w:rFonts w:eastAsia="Times New Roman" w:cs="Arial"/>
                <w:color w:val="000000"/>
                <w:kern w:val="0"/>
                <w14:ligatures w14:val="none"/>
              </w:rPr>
              <w:t> </w:t>
            </w:r>
          </w:p>
        </w:tc>
        <w:tc>
          <w:tcPr>
            <w:tcW w:w="361" w:type="pct"/>
            <w:tcBorders>
              <w:top w:val="nil"/>
              <w:left w:val="nil"/>
              <w:bottom w:val="single" w:sz="4" w:space="0" w:color="auto"/>
              <w:right w:val="single" w:sz="4" w:space="0" w:color="auto"/>
            </w:tcBorders>
            <w:noWrap/>
            <w:vAlign w:val="bottom"/>
            <w:hideMark/>
          </w:tcPr>
          <w:p w14:paraId="536B807A"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2020</w:t>
            </w:r>
          </w:p>
        </w:tc>
        <w:tc>
          <w:tcPr>
            <w:tcW w:w="405" w:type="pct"/>
            <w:tcBorders>
              <w:top w:val="nil"/>
              <w:left w:val="nil"/>
              <w:bottom w:val="single" w:sz="4" w:space="0" w:color="auto"/>
              <w:right w:val="single" w:sz="4" w:space="0" w:color="auto"/>
            </w:tcBorders>
            <w:noWrap/>
            <w:vAlign w:val="bottom"/>
            <w:hideMark/>
          </w:tcPr>
          <w:p w14:paraId="5E2CBCFB"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2021</w:t>
            </w:r>
          </w:p>
        </w:tc>
        <w:tc>
          <w:tcPr>
            <w:tcW w:w="405" w:type="pct"/>
            <w:tcBorders>
              <w:top w:val="nil"/>
              <w:left w:val="nil"/>
              <w:bottom w:val="single" w:sz="4" w:space="0" w:color="auto"/>
              <w:right w:val="single" w:sz="4" w:space="0" w:color="auto"/>
            </w:tcBorders>
            <w:noWrap/>
            <w:vAlign w:val="bottom"/>
            <w:hideMark/>
          </w:tcPr>
          <w:p w14:paraId="755AE244"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2022</w:t>
            </w:r>
          </w:p>
        </w:tc>
        <w:tc>
          <w:tcPr>
            <w:tcW w:w="405" w:type="pct"/>
            <w:tcBorders>
              <w:top w:val="nil"/>
              <w:left w:val="nil"/>
              <w:bottom w:val="single" w:sz="4" w:space="0" w:color="auto"/>
              <w:right w:val="single" w:sz="4" w:space="0" w:color="auto"/>
            </w:tcBorders>
            <w:noWrap/>
            <w:vAlign w:val="bottom"/>
            <w:hideMark/>
          </w:tcPr>
          <w:p w14:paraId="3AA738EC"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2023</w:t>
            </w:r>
          </w:p>
        </w:tc>
        <w:tc>
          <w:tcPr>
            <w:tcW w:w="405" w:type="pct"/>
            <w:tcBorders>
              <w:top w:val="nil"/>
              <w:left w:val="nil"/>
              <w:bottom w:val="single" w:sz="4" w:space="0" w:color="auto"/>
              <w:right w:val="single" w:sz="4" w:space="0" w:color="auto"/>
            </w:tcBorders>
            <w:noWrap/>
            <w:vAlign w:val="bottom"/>
            <w:hideMark/>
          </w:tcPr>
          <w:p w14:paraId="3C3F9711"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2024</w:t>
            </w:r>
          </w:p>
        </w:tc>
        <w:tc>
          <w:tcPr>
            <w:tcW w:w="74" w:type="pct"/>
            <w:vAlign w:val="center"/>
            <w:hideMark/>
          </w:tcPr>
          <w:p w14:paraId="6E933F24"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6151503D"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2F8E35D3"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Share Price (KRW)</w:t>
            </w:r>
          </w:p>
        </w:tc>
        <w:tc>
          <w:tcPr>
            <w:tcW w:w="361" w:type="pct"/>
            <w:tcBorders>
              <w:top w:val="nil"/>
              <w:left w:val="nil"/>
              <w:bottom w:val="single" w:sz="4" w:space="0" w:color="auto"/>
              <w:right w:val="single" w:sz="4" w:space="0" w:color="auto"/>
            </w:tcBorders>
            <w:noWrap/>
            <w:vAlign w:val="bottom"/>
            <w:hideMark/>
          </w:tcPr>
          <w:p w14:paraId="7DB3AB7A"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180,000</w:t>
            </w:r>
          </w:p>
        </w:tc>
        <w:tc>
          <w:tcPr>
            <w:tcW w:w="405" w:type="pct"/>
            <w:tcBorders>
              <w:top w:val="nil"/>
              <w:left w:val="nil"/>
              <w:bottom w:val="single" w:sz="4" w:space="0" w:color="auto"/>
              <w:right w:val="single" w:sz="4" w:space="0" w:color="auto"/>
            </w:tcBorders>
            <w:noWrap/>
            <w:vAlign w:val="bottom"/>
            <w:hideMark/>
          </w:tcPr>
          <w:p w14:paraId="70C660A0"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230,000</w:t>
            </w:r>
          </w:p>
        </w:tc>
        <w:tc>
          <w:tcPr>
            <w:tcW w:w="405" w:type="pct"/>
            <w:tcBorders>
              <w:top w:val="nil"/>
              <w:left w:val="nil"/>
              <w:bottom w:val="single" w:sz="4" w:space="0" w:color="auto"/>
              <w:right w:val="single" w:sz="4" w:space="0" w:color="auto"/>
            </w:tcBorders>
            <w:noWrap/>
            <w:vAlign w:val="bottom"/>
            <w:hideMark/>
          </w:tcPr>
          <w:p w14:paraId="0575DD54"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180,000</w:t>
            </w:r>
          </w:p>
        </w:tc>
        <w:tc>
          <w:tcPr>
            <w:tcW w:w="405" w:type="pct"/>
            <w:tcBorders>
              <w:top w:val="nil"/>
              <w:left w:val="nil"/>
              <w:bottom w:val="single" w:sz="4" w:space="0" w:color="auto"/>
              <w:right w:val="single" w:sz="4" w:space="0" w:color="auto"/>
            </w:tcBorders>
            <w:noWrap/>
            <w:vAlign w:val="bottom"/>
            <w:hideMark/>
          </w:tcPr>
          <w:p w14:paraId="15B89518"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230,000</w:t>
            </w:r>
          </w:p>
        </w:tc>
        <w:tc>
          <w:tcPr>
            <w:tcW w:w="405" w:type="pct"/>
            <w:tcBorders>
              <w:top w:val="nil"/>
              <w:left w:val="nil"/>
              <w:bottom w:val="single" w:sz="4" w:space="0" w:color="auto"/>
              <w:right w:val="single" w:sz="4" w:space="0" w:color="auto"/>
            </w:tcBorders>
            <w:noWrap/>
            <w:vAlign w:val="bottom"/>
            <w:hideMark/>
          </w:tcPr>
          <w:p w14:paraId="653C6852"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400,000</w:t>
            </w:r>
          </w:p>
        </w:tc>
        <w:tc>
          <w:tcPr>
            <w:tcW w:w="74" w:type="pct"/>
            <w:vAlign w:val="center"/>
            <w:hideMark/>
          </w:tcPr>
          <w:p w14:paraId="597B113E"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4BFF5AD6"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07801067"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EPS (KRW)</w:t>
            </w:r>
          </w:p>
        </w:tc>
        <w:tc>
          <w:tcPr>
            <w:tcW w:w="361" w:type="pct"/>
            <w:tcBorders>
              <w:top w:val="nil"/>
              <w:left w:val="nil"/>
              <w:bottom w:val="single" w:sz="4" w:space="0" w:color="auto"/>
              <w:right w:val="single" w:sz="4" w:space="0" w:color="auto"/>
            </w:tcBorders>
            <w:noWrap/>
            <w:vAlign w:val="bottom"/>
            <w:hideMark/>
          </w:tcPr>
          <w:p w14:paraId="5701E388"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5454.00</w:t>
            </w:r>
          </w:p>
        </w:tc>
        <w:tc>
          <w:tcPr>
            <w:tcW w:w="405" w:type="pct"/>
            <w:tcBorders>
              <w:top w:val="nil"/>
              <w:left w:val="nil"/>
              <w:bottom w:val="single" w:sz="4" w:space="0" w:color="auto"/>
              <w:right w:val="single" w:sz="4" w:space="0" w:color="auto"/>
            </w:tcBorders>
            <w:noWrap/>
            <w:vAlign w:val="bottom"/>
            <w:hideMark/>
          </w:tcPr>
          <w:p w14:paraId="7E82C75F"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18979.00</w:t>
            </w:r>
          </w:p>
        </w:tc>
        <w:tc>
          <w:tcPr>
            <w:tcW w:w="405" w:type="pct"/>
            <w:tcBorders>
              <w:top w:val="nil"/>
              <w:left w:val="nil"/>
              <w:bottom w:val="single" w:sz="4" w:space="0" w:color="auto"/>
              <w:right w:val="single" w:sz="4" w:space="0" w:color="auto"/>
            </w:tcBorders>
            <w:noWrap/>
            <w:vAlign w:val="bottom"/>
            <w:hideMark/>
          </w:tcPr>
          <w:p w14:paraId="7A278816"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28521.00</w:t>
            </w:r>
          </w:p>
        </w:tc>
        <w:tc>
          <w:tcPr>
            <w:tcW w:w="405" w:type="pct"/>
            <w:tcBorders>
              <w:top w:val="nil"/>
              <w:left w:val="nil"/>
              <w:bottom w:val="single" w:sz="4" w:space="0" w:color="auto"/>
              <w:right w:val="single" w:sz="4" w:space="0" w:color="auto"/>
            </w:tcBorders>
            <w:noWrap/>
            <w:vAlign w:val="bottom"/>
            <w:hideMark/>
          </w:tcPr>
          <w:p w14:paraId="599CA881"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45703.00</w:t>
            </w:r>
          </w:p>
        </w:tc>
        <w:tc>
          <w:tcPr>
            <w:tcW w:w="405" w:type="pct"/>
            <w:tcBorders>
              <w:top w:val="nil"/>
              <w:left w:val="nil"/>
              <w:bottom w:val="single" w:sz="4" w:space="0" w:color="auto"/>
              <w:right w:val="single" w:sz="4" w:space="0" w:color="auto"/>
            </w:tcBorders>
            <w:noWrap/>
            <w:vAlign w:val="bottom"/>
            <w:hideMark/>
          </w:tcPr>
          <w:p w14:paraId="69F94815"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47615.00</w:t>
            </w:r>
          </w:p>
        </w:tc>
        <w:tc>
          <w:tcPr>
            <w:tcW w:w="74" w:type="pct"/>
            <w:vAlign w:val="center"/>
            <w:hideMark/>
          </w:tcPr>
          <w:p w14:paraId="1B4F4B10"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20BE3F08"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1E4C9C29"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Price/Earnings Ratio (P/E) = Market Price per Share ÷ Earnings per Share</w:t>
            </w:r>
          </w:p>
        </w:tc>
        <w:tc>
          <w:tcPr>
            <w:tcW w:w="361" w:type="pct"/>
            <w:tcBorders>
              <w:top w:val="nil"/>
              <w:left w:val="nil"/>
              <w:bottom w:val="single" w:sz="4" w:space="0" w:color="auto"/>
              <w:right w:val="single" w:sz="4" w:space="0" w:color="auto"/>
            </w:tcBorders>
            <w:noWrap/>
            <w:vAlign w:val="bottom"/>
            <w:hideMark/>
          </w:tcPr>
          <w:p w14:paraId="7C0F9141"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33.00</w:t>
            </w:r>
          </w:p>
        </w:tc>
        <w:tc>
          <w:tcPr>
            <w:tcW w:w="405" w:type="pct"/>
            <w:tcBorders>
              <w:top w:val="nil"/>
              <w:left w:val="nil"/>
              <w:bottom w:val="single" w:sz="4" w:space="0" w:color="auto"/>
              <w:right w:val="single" w:sz="4" w:space="0" w:color="auto"/>
            </w:tcBorders>
            <w:noWrap/>
            <w:vAlign w:val="bottom"/>
            <w:hideMark/>
          </w:tcPr>
          <w:p w14:paraId="7C446BF0"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12.12</w:t>
            </w:r>
          </w:p>
        </w:tc>
        <w:tc>
          <w:tcPr>
            <w:tcW w:w="405" w:type="pct"/>
            <w:tcBorders>
              <w:top w:val="nil"/>
              <w:left w:val="nil"/>
              <w:bottom w:val="single" w:sz="4" w:space="0" w:color="auto"/>
              <w:right w:val="single" w:sz="4" w:space="0" w:color="auto"/>
            </w:tcBorders>
            <w:noWrap/>
            <w:vAlign w:val="bottom"/>
            <w:hideMark/>
          </w:tcPr>
          <w:p w14:paraId="67EDC3CE"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6.31</w:t>
            </w:r>
          </w:p>
        </w:tc>
        <w:tc>
          <w:tcPr>
            <w:tcW w:w="405" w:type="pct"/>
            <w:tcBorders>
              <w:top w:val="nil"/>
              <w:left w:val="nil"/>
              <w:bottom w:val="single" w:sz="4" w:space="0" w:color="auto"/>
              <w:right w:val="single" w:sz="4" w:space="0" w:color="auto"/>
            </w:tcBorders>
            <w:noWrap/>
            <w:vAlign w:val="bottom"/>
            <w:hideMark/>
          </w:tcPr>
          <w:p w14:paraId="277DAC26"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5.03</w:t>
            </w:r>
          </w:p>
        </w:tc>
        <w:tc>
          <w:tcPr>
            <w:tcW w:w="405" w:type="pct"/>
            <w:tcBorders>
              <w:top w:val="nil"/>
              <w:left w:val="nil"/>
              <w:bottom w:val="single" w:sz="4" w:space="0" w:color="auto"/>
              <w:right w:val="single" w:sz="4" w:space="0" w:color="auto"/>
            </w:tcBorders>
            <w:noWrap/>
            <w:vAlign w:val="bottom"/>
            <w:hideMark/>
          </w:tcPr>
          <w:p w14:paraId="1B420061"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8.40</w:t>
            </w:r>
          </w:p>
        </w:tc>
        <w:tc>
          <w:tcPr>
            <w:tcW w:w="74" w:type="pct"/>
            <w:vAlign w:val="center"/>
            <w:hideMark/>
          </w:tcPr>
          <w:p w14:paraId="4E154328"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bl>
    <w:p w14:paraId="21015486" w14:textId="77777777" w:rsidR="00FF05EF" w:rsidRDefault="00FF05EF" w:rsidP="008E7995"/>
    <w:p w14:paraId="6713312C" w14:textId="09E6F19F" w:rsidR="00FF05EF" w:rsidRDefault="00FF05EF" w:rsidP="008E7995">
      <w:r w:rsidRPr="00FF05EF">
        <w:t>Cash Flow</w:t>
      </w:r>
    </w:p>
    <w:tbl>
      <w:tblPr>
        <w:tblW w:w="5000" w:type="pct"/>
        <w:tblLook w:val="04A0" w:firstRow="1" w:lastRow="0" w:firstColumn="1" w:lastColumn="0" w:noHBand="0" w:noVBand="1"/>
      </w:tblPr>
      <w:tblGrid>
        <w:gridCol w:w="4685"/>
        <w:gridCol w:w="885"/>
        <w:gridCol w:w="885"/>
        <w:gridCol w:w="916"/>
        <w:gridCol w:w="885"/>
        <w:gridCol w:w="885"/>
        <w:gridCol w:w="219"/>
      </w:tblGrid>
      <w:tr w:rsidR="006A0A19" w:rsidRPr="006A0A19" w14:paraId="6A92D254" w14:textId="77777777" w:rsidTr="006A0A19">
        <w:trPr>
          <w:gridAfter w:val="1"/>
          <w:wAfter w:w="63" w:type="pct"/>
          <w:trHeight w:val="552"/>
        </w:trPr>
        <w:tc>
          <w:tcPr>
            <w:tcW w:w="4937" w:type="pct"/>
            <w:gridSpan w:val="6"/>
            <w:vMerge w:val="restart"/>
            <w:tcBorders>
              <w:top w:val="nil"/>
              <w:left w:val="nil"/>
              <w:bottom w:val="nil"/>
              <w:right w:val="nil"/>
            </w:tcBorders>
            <w:noWrap/>
            <w:vAlign w:val="center"/>
            <w:hideMark/>
          </w:tcPr>
          <w:p w14:paraId="65D2FF23"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r w:rsidRPr="006A0A19">
              <w:rPr>
                <w:rFonts w:eastAsia="Times New Roman" w:cs="Arial"/>
                <w:b/>
                <w:bCs/>
                <w:color w:val="7E350E"/>
                <w:kern w:val="0"/>
                <w:sz w:val="48"/>
                <w:szCs w:val="48"/>
                <w14:ligatures w14:val="none"/>
              </w:rPr>
              <w:t>Hyundai Cash Flow</w:t>
            </w:r>
          </w:p>
        </w:tc>
      </w:tr>
      <w:tr w:rsidR="006A0A19" w:rsidRPr="006A0A19" w14:paraId="363B1304" w14:textId="77777777" w:rsidTr="006A0A19">
        <w:trPr>
          <w:trHeight w:val="300"/>
        </w:trPr>
        <w:tc>
          <w:tcPr>
            <w:tcW w:w="4937" w:type="pct"/>
            <w:gridSpan w:val="6"/>
            <w:vMerge/>
            <w:tcBorders>
              <w:top w:val="nil"/>
              <w:left w:val="nil"/>
              <w:bottom w:val="nil"/>
              <w:right w:val="nil"/>
            </w:tcBorders>
            <w:vAlign w:val="center"/>
            <w:hideMark/>
          </w:tcPr>
          <w:p w14:paraId="1D9BE0F2" w14:textId="77777777" w:rsidR="006A0A19" w:rsidRPr="006A0A19" w:rsidRDefault="006A0A19" w:rsidP="006A0A19">
            <w:pPr>
              <w:spacing w:after="0" w:line="240" w:lineRule="auto"/>
              <w:jc w:val="left"/>
              <w:rPr>
                <w:rFonts w:eastAsia="Times New Roman" w:cs="Arial"/>
                <w:b/>
                <w:bCs/>
                <w:color w:val="7E350E"/>
                <w:kern w:val="0"/>
                <w:sz w:val="48"/>
                <w:szCs w:val="48"/>
                <w14:ligatures w14:val="none"/>
              </w:rPr>
            </w:pPr>
          </w:p>
        </w:tc>
        <w:tc>
          <w:tcPr>
            <w:tcW w:w="63" w:type="pct"/>
            <w:tcBorders>
              <w:top w:val="nil"/>
              <w:left w:val="nil"/>
              <w:bottom w:val="nil"/>
              <w:right w:val="nil"/>
            </w:tcBorders>
            <w:noWrap/>
            <w:vAlign w:val="bottom"/>
            <w:hideMark/>
          </w:tcPr>
          <w:p w14:paraId="00116422"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p>
        </w:tc>
      </w:tr>
      <w:tr w:rsidR="006A0A19" w:rsidRPr="006A0A19" w14:paraId="51C50F45" w14:textId="77777777" w:rsidTr="006A0A19">
        <w:trPr>
          <w:trHeight w:val="315"/>
        </w:trPr>
        <w:tc>
          <w:tcPr>
            <w:tcW w:w="2786" w:type="pct"/>
            <w:tcBorders>
              <w:top w:val="nil"/>
              <w:left w:val="nil"/>
              <w:bottom w:val="nil"/>
              <w:right w:val="nil"/>
            </w:tcBorders>
            <w:noWrap/>
            <w:vAlign w:val="bottom"/>
            <w:hideMark/>
          </w:tcPr>
          <w:p w14:paraId="13554FC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4AE360A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000108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6D8702C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6F82702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7A1626C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3EDA24DD"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6964A0BD" w14:textId="77777777" w:rsidTr="006A0A19">
        <w:trPr>
          <w:trHeight w:val="315"/>
        </w:trPr>
        <w:tc>
          <w:tcPr>
            <w:tcW w:w="4937" w:type="pct"/>
            <w:gridSpan w:val="6"/>
            <w:tcBorders>
              <w:top w:val="single" w:sz="4" w:space="0" w:color="auto"/>
              <w:left w:val="single" w:sz="4" w:space="0" w:color="auto"/>
              <w:bottom w:val="single" w:sz="4" w:space="0" w:color="auto"/>
              <w:right w:val="single" w:sz="4" w:space="0" w:color="000000"/>
            </w:tcBorders>
            <w:noWrap/>
            <w:vAlign w:val="bottom"/>
            <w:hideMark/>
          </w:tcPr>
          <w:p w14:paraId="0FE7B3DE"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lastRenderedPageBreak/>
              <w:t>Operating Cash Flow (OCF)</w:t>
            </w:r>
          </w:p>
        </w:tc>
        <w:tc>
          <w:tcPr>
            <w:tcW w:w="63" w:type="pct"/>
            <w:vAlign w:val="center"/>
            <w:hideMark/>
          </w:tcPr>
          <w:p w14:paraId="46EC116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AB3CB4E"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54776A52"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 </w:t>
            </w:r>
          </w:p>
        </w:tc>
        <w:tc>
          <w:tcPr>
            <w:tcW w:w="426" w:type="pct"/>
            <w:tcBorders>
              <w:top w:val="nil"/>
              <w:left w:val="nil"/>
              <w:bottom w:val="single" w:sz="4" w:space="0" w:color="auto"/>
              <w:right w:val="single" w:sz="4" w:space="0" w:color="auto"/>
            </w:tcBorders>
            <w:noWrap/>
            <w:vAlign w:val="bottom"/>
            <w:hideMark/>
          </w:tcPr>
          <w:p w14:paraId="0436A8B4"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426" w:type="pct"/>
            <w:tcBorders>
              <w:top w:val="nil"/>
              <w:left w:val="nil"/>
              <w:bottom w:val="single" w:sz="4" w:space="0" w:color="auto"/>
              <w:right w:val="single" w:sz="4" w:space="0" w:color="auto"/>
            </w:tcBorders>
            <w:noWrap/>
            <w:vAlign w:val="bottom"/>
            <w:hideMark/>
          </w:tcPr>
          <w:p w14:paraId="3FF2BDDC"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446" w:type="pct"/>
            <w:tcBorders>
              <w:top w:val="nil"/>
              <w:left w:val="nil"/>
              <w:bottom w:val="single" w:sz="4" w:space="0" w:color="auto"/>
              <w:right w:val="single" w:sz="4" w:space="0" w:color="auto"/>
            </w:tcBorders>
            <w:noWrap/>
            <w:vAlign w:val="bottom"/>
            <w:hideMark/>
          </w:tcPr>
          <w:p w14:paraId="5E6A6AC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426" w:type="pct"/>
            <w:tcBorders>
              <w:top w:val="nil"/>
              <w:left w:val="nil"/>
              <w:bottom w:val="single" w:sz="4" w:space="0" w:color="auto"/>
              <w:right w:val="single" w:sz="4" w:space="0" w:color="auto"/>
            </w:tcBorders>
            <w:noWrap/>
            <w:vAlign w:val="bottom"/>
            <w:hideMark/>
          </w:tcPr>
          <w:p w14:paraId="3390180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426" w:type="pct"/>
            <w:tcBorders>
              <w:top w:val="nil"/>
              <w:left w:val="nil"/>
              <w:bottom w:val="single" w:sz="4" w:space="0" w:color="auto"/>
              <w:right w:val="single" w:sz="4" w:space="0" w:color="auto"/>
            </w:tcBorders>
            <w:noWrap/>
            <w:vAlign w:val="bottom"/>
            <w:hideMark/>
          </w:tcPr>
          <w:p w14:paraId="39F7CC45"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63" w:type="pct"/>
            <w:vAlign w:val="center"/>
            <w:hideMark/>
          </w:tcPr>
          <w:p w14:paraId="72643E3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C962E5D"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2E8B249D"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Operating Cash Flow (KRW mn)</w:t>
            </w:r>
          </w:p>
        </w:tc>
        <w:tc>
          <w:tcPr>
            <w:tcW w:w="426" w:type="pct"/>
            <w:tcBorders>
              <w:top w:val="nil"/>
              <w:left w:val="nil"/>
              <w:bottom w:val="single" w:sz="4" w:space="0" w:color="auto"/>
              <w:right w:val="single" w:sz="4" w:space="0" w:color="auto"/>
            </w:tcBorders>
            <w:noWrap/>
            <w:vAlign w:val="bottom"/>
            <w:hideMark/>
          </w:tcPr>
          <w:p w14:paraId="2B08542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-409,807</w:t>
            </w:r>
          </w:p>
        </w:tc>
        <w:tc>
          <w:tcPr>
            <w:tcW w:w="426" w:type="pct"/>
            <w:tcBorders>
              <w:top w:val="nil"/>
              <w:left w:val="nil"/>
              <w:bottom w:val="single" w:sz="4" w:space="0" w:color="auto"/>
              <w:right w:val="single" w:sz="4" w:space="0" w:color="auto"/>
            </w:tcBorders>
            <w:noWrap/>
            <w:vAlign w:val="bottom"/>
            <w:hideMark/>
          </w:tcPr>
          <w:p w14:paraId="79905F8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-1,176,416</w:t>
            </w:r>
          </w:p>
        </w:tc>
        <w:tc>
          <w:tcPr>
            <w:tcW w:w="446" w:type="pct"/>
            <w:tcBorders>
              <w:top w:val="nil"/>
              <w:left w:val="nil"/>
              <w:bottom w:val="single" w:sz="4" w:space="0" w:color="auto"/>
              <w:right w:val="single" w:sz="4" w:space="0" w:color="auto"/>
            </w:tcBorders>
            <w:noWrap/>
            <w:vAlign w:val="bottom"/>
            <w:hideMark/>
          </w:tcPr>
          <w:p w14:paraId="32AEEE8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10,627,311</w:t>
            </w:r>
          </w:p>
        </w:tc>
        <w:tc>
          <w:tcPr>
            <w:tcW w:w="426" w:type="pct"/>
            <w:tcBorders>
              <w:top w:val="nil"/>
              <w:left w:val="nil"/>
              <w:bottom w:val="single" w:sz="4" w:space="0" w:color="auto"/>
              <w:right w:val="single" w:sz="4" w:space="0" w:color="auto"/>
            </w:tcBorders>
            <w:noWrap/>
            <w:vAlign w:val="bottom"/>
            <w:hideMark/>
          </w:tcPr>
          <w:p w14:paraId="7C019B5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-2,518,760</w:t>
            </w:r>
          </w:p>
        </w:tc>
        <w:tc>
          <w:tcPr>
            <w:tcW w:w="426" w:type="pct"/>
            <w:tcBorders>
              <w:top w:val="nil"/>
              <w:left w:val="nil"/>
              <w:bottom w:val="single" w:sz="4" w:space="0" w:color="auto"/>
              <w:right w:val="single" w:sz="4" w:space="0" w:color="auto"/>
            </w:tcBorders>
            <w:noWrap/>
            <w:vAlign w:val="bottom"/>
            <w:hideMark/>
          </w:tcPr>
          <w:p w14:paraId="64B2355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-5,661,641</w:t>
            </w:r>
          </w:p>
        </w:tc>
        <w:tc>
          <w:tcPr>
            <w:tcW w:w="63" w:type="pct"/>
            <w:vAlign w:val="center"/>
            <w:hideMark/>
          </w:tcPr>
          <w:p w14:paraId="23B4726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39906D7" w14:textId="77777777" w:rsidTr="006A0A19">
        <w:trPr>
          <w:trHeight w:val="315"/>
        </w:trPr>
        <w:tc>
          <w:tcPr>
            <w:tcW w:w="2786" w:type="pct"/>
            <w:tcBorders>
              <w:top w:val="nil"/>
              <w:left w:val="nil"/>
              <w:bottom w:val="nil"/>
              <w:right w:val="nil"/>
            </w:tcBorders>
            <w:noWrap/>
            <w:vAlign w:val="bottom"/>
            <w:hideMark/>
          </w:tcPr>
          <w:p w14:paraId="087D882B" w14:textId="77777777" w:rsidR="006A0A19" w:rsidRPr="006A0A19" w:rsidRDefault="006A0A19" w:rsidP="006A0A19">
            <w:pPr>
              <w:spacing w:after="0" w:line="240" w:lineRule="auto"/>
              <w:jc w:val="right"/>
              <w:rPr>
                <w:rFonts w:eastAsia="Times New Roman" w:cs="Arial"/>
                <w:color w:val="000000"/>
                <w:kern w:val="0"/>
                <w14:ligatures w14:val="none"/>
              </w:rPr>
            </w:pPr>
          </w:p>
        </w:tc>
        <w:tc>
          <w:tcPr>
            <w:tcW w:w="426" w:type="pct"/>
            <w:tcBorders>
              <w:top w:val="nil"/>
              <w:left w:val="nil"/>
              <w:bottom w:val="nil"/>
              <w:right w:val="nil"/>
            </w:tcBorders>
            <w:noWrap/>
            <w:vAlign w:val="bottom"/>
            <w:hideMark/>
          </w:tcPr>
          <w:p w14:paraId="52DDA00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B52090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353170D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44C2C86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7F8E6776"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1524107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8F66869" w14:textId="77777777" w:rsidTr="006A0A19">
        <w:trPr>
          <w:trHeight w:val="315"/>
        </w:trPr>
        <w:tc>
          <w:tcPr>
            <w:tcW w:w="2786" w:type="pct"/>
            <w:tcBorders>
              <w:top w:val="nil"/>
              <w:left w:val="nil"/>
              <w:bottom w:val="nil"/>
              <w:right w:val="nil"/>
            </w:tcBorders>
            <w:noWrap/>
            <w:vAlign w:val="bottom"/>
            <w:hideMark/>
          </w:tcPr>
          <w:p w14:paraId="40A83CD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1341DE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76B765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10A8B30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32E8632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83028E2"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0A9D208D"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4CEF9D8" w14:textId="77777777" w:rsidTr="006A0A19">
        <w:trPr>
          <w:trHeight w:val="315"/>
        </w:trPr>
        <w:tc>
          <w:tcPr>
            <w:tcW w:w="4937" w:type="pct"/>
            <w:gridSpan w:val="6"/>
            <w:tcBorders>
              <w:top w:val="single" w:sz="4" w:space="0" w:color="auto"/>
              <w:left w:val="single" w:sz="4" w:space="0" w:color="auto"/>
              <w:bottom w:val="single" w:sz="4" w:space="0" w:color="auto"/>
              <w:right w:val="single" w:sz="4" w:space="0" w:color="000000"/>
            </w:tcBorders>
            <w:noWrap/>
            <w:vAlign w:val="bottom"/>
            <w:hideMark/>
          </w:tcPr>
          <w:p w14:paraId="30105DE9"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Free Cash Flow (FCF)</w:t>
            </w:r>
          </w:p>
        </w:tc>
        <w:tc>
          <w:tcPr>
            <w:tcW w:w="63" w:type="pct"/>
            <w:vAlign w:val="center"/>
            <w:hideMark/>
          </w:tcPr>
          <w:p w14:paraId="7EEF7E5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66FCB230"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5353A152" w14:textId="77777777" w:rsidR="006A0A19" w:rsidRPr="006A0A19" w:rsidRDefault="006A0A19" w:rsidP="006A0A19">
            <w:pPr>
              <w:spacing w:after="0" w:line="240" w:lineRule="auto"/>
              <w:jc w:val="left"/>
              <w:rPr>
                <w:rFonts w:eastAsia="Times New Roman" w:cs="Arial"/>
                <w:color w:val="000000"/>
                <w:kern w:val="0"/>
                <w14:ligatures w14:val="none"/>
              </w:rPr>
            </w:pPr>
            <w:r w:rsidRPr="006A0A19">
              <w:rPr>
                <w:rFonts w:eastAsia="Times New Roman" w:cs="Arial"/>
                <w:color w:val="000000"/>
                <w:kern w:val="0"/>
                <w14:ligatures w14:val="none"/>
              </w:rPr>
              <w:t> </w:t>
            </w:r>
          </w:p>
        </w:tc>
        <w:tc>
          <w:tcPr>
            <w:tcW w:w="426" w:type="pct"/>
            <w:tcBorders>
              <w:top w:val="nil"/>
              <w:left w:val="nil"/>
              <w:bottom w:val="single" w:sz="4" w:space="0" w:color="auto"/>
              <w:right w:val="single" w:sz="4" w:space="0" w:color="auto"/>
            </w:tcBorders>
            <w:noWrap/>
            <w:vAlign w:val="bottom"/>
            <w:hideMark/>
          </w:tcPr>
          <w:p w14:paraId="4A609610"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426" w:type="pct"/>
            <w:tcBorders>
              <w:top w:val="nil"/>
              <w:left w:val="nil"/>
              <w:bottom w:val="single" w:sz="4" w:space="0" w:color="auto"/>
              <w:right w:val="single" w:sz="4" w:space="0" w:color="auto"/>
            </w:tcBorders>
            <w:noWrap/>
            <w:vAlign w:val="bottom"/>
            <w:hideMark/>
          </w:tcPr>
          <w:p w14:paraId="7669C464"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446" w:type="pct"/>
            <w:tcBorders>
              <w:top w:val="nil"/>
              <w:left w:val="nil"/>
              <w:bottom w:val="single" w:sz="4" w:space="0" w:color="auto"/>
              <w:right w:val="single" w:sz="4" w:space="0" w:color="auto"/>
            </w:tcBorders>
            <w:noWrap/>
            <w:vAlign w:val="bottom"/>
            <w:hideMark/>
          </w:tcPr>
          <w:p w14:paraId="52A035B3"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426" w:type="pct"/>
            <w:tcBorders>
              <w:top w:val="nil"/>
              <w:left w:val="nil"/>
              <w:bottom w:val="single" w:sz="4" w:space="0" w:color="auto"/>
              <w:right w:val="single" w:sz="4" w:space="0" w:color="auto"/>
            </w:tcBorders>
            <w:noWrap/>
            <w:vAlign w:val="bottom"/>
            <w:hideMark/>
          </w:tcPr>
          <w:p w14:paraId="6738FA27"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426" w:type="pct"/>
            <w:tcBorders>
              <w:top w:val="nil"/>
              <w:left w:val="nil"/>
              <w:bottom w:val="single" w:sz="4" w:space="0" w:color="auto"/>
              <w:right w:val="single" w:sz="4" w:space="0" w:color="auto"/>
            </w:tcBorders>
            <w:noWrap/>
            <w:vAlign w:val="bottom"/>
            <w:hideMark/>
          </w:tcPr>
          <w:p w14:paraId="0FE19A1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63" w:type="pct"/>
            <w:vAlign w:val="center"/>
            <w:hideMark/>
          </w:tcPr>
          <w:p w14:paraId="5CE20C3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A12505C"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074CCB76"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OCF (KRW mn)</w:t>
            </w:r>
          </w:p>
        </w:tc>
        <w:tc>
          <w:tcPr>
            <w:tcW w:w="426" w:type="pct"/>
            <w:tcBorders>
              <w:top w:val="nil"/>
              <w:left w:val="nil"/>
              <w:bottom w:val="single" w:sz="4" w:space="0" w:color="auto"/>
              <w:right w:val="single" w:sz="4" w:space="0" w:color="auto"/>
            </w:tcBorders>
            <w:noWrap/>
            <w:vAlign w:val="bottom"/>
            <w:hideMark/>
          </w:tcPr>
          <w:p w14:paraId="2826103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-409,807</w:t>
            </w:r>
          </w:p>
        </w:tc>
        <w:tc>
          <w:tcPr>
            <w:tcW w:w="426" w:type="pct"/>
            <w:tcBorders>
              <w:top w:val="nil"/>
              <w:left w:val="nil"/>
              <w:bottom w:val="single" w:sz="4" w:space="0" w:color="auto"/>
              <w:right w:val="single" w:sz="4" w:space="0" w:color="auto"/>
            </w:tcBorders>
            <w:noWrap/>
            <w:vAlign w:val="bottom"/>
            <w:hideMark/>
          </w:tcPr>
          <w:p w14:paraId="5747BC4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-1,176,416</w:t>
            </w:r>
          </w:p>
        </w:tc>
        <w:tc>
          <w:tcPr>
            <w:tcW w:w="446" w:type="pct"/>
            <w:tcBorders>
              <w:top w:val="nil"/>
              <w:left w:val="nil"/>
              <w:bottom w:val="single" w:sz="4" w:space="0" w:color="auto"/>
              <w:right w:val="single" w:sz="4" w:space="0" w:color="auto"/>
            </w:tcBorders>
            <w:noWrap/>
            <w:vAlign w:val="bottom"/>
            <w:hideMark/>
          </w:tcPr>
          <w:p w14:paraId="760DFA0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10,627,311</w:t>
            </w:r>
          </w:p>
        </w:tc>
        <w:tc>
          <w:tcPr>
            <w:tcW w:w="426" w:type="pct"/>
            <w:tcBorders>
              <w:top w:val="nil"/>
              <w:left w:val="nil"/>
              <w:bottom w:val="single" w:sz="4" w:space="0" w:color="auto"/>
              <w:right w:val="single" w:sz="4" w:space="0" w:color="auto"/>
            </w:tcBorders>
            <w:noWrap/>
            <w:vAlign w:val="bottom"/>
            <w:hideMark/>
          </w:tcPr>
          <w:p w14:paraId="113CE3E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-2,518,760</w:t>
            </w:r>
          </w:p>
        </w:tc>
        <w:tc>
          <w:tcPr>
            <w:tcW w:w="426" w:type="pct"/>
            <w:tcBorders>
              <w:top w:val="nil"/>
              <w:left w:val="nil"/>
              <w:bottom w:val="single" w:sz="4" w:space="0" w:color="auto"/>
              <w:right w:val="single" w:sz="4" w:space="0" w:color="auto"/>
            </w:tcBorders>
            <w:noWrap/>
            <w:vAlign w:val="bottom"/>
            <w:hideMark/>
          </w:tcPr>
          <w:p w14:paraId="67FF481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-5,661,641</w:t>
            </w:r>
          </w:p>
        </w:tc>
        <w:tc>
          <w:tcPr>
            <w:tcW w:w="63" w:type="pct"/>
            <w:vAlign w:val="center"/>
            <w:hideMark/>
          </w:tcPr>
          <w:p w14:paraId="477E79C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75920BF"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0BA1B271"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CapEx (KRW mn)</w:t>
            </w:r>
          </w:p>
        </w:tc>
        <w:tc>
          <w:tcPr>
            <w:tcW w:w="426" w:type="pct"/>
            <w:tcBorders>
              <w:top w:val="nil"/>
              <w:left w:val="nil"/>
              <w:bottom w:val="single" w:sz="4" w:space="0" w:color="auto"/>
              <w:right w:val="single" w:sz="4" w:space="0" w:color="auto"/>
            </w:tcBorders>
            <w:noWrap/>
            <w:vAlign w:val="bottom"/>
            <w:hideMark/>
          </w:tcPr>
          <w:p w14:paraId="5547446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-4,687,842</w:t>
            </w:r>
          </w:p>
        </w:tc>
        <w:tc>
          <w:tcPr>
            <w:tcW w:w="426" w:type="pct"/>
            <w:tcBorders>
              <w:top w:val="nil"/>
              <w:left w:val="nil"/>
              <w:bottom w:val="single" w:sz="4" w:space="0" w:color="auto"/>
              <w:right w:val="single" w:sz="4" w:space="0" w:color="auto"/>
            </w:tcBorders>
            <w:noWrap/>
            <w:vAlign w:val="bottom"/>
            <w:hideMark/>
          </w:tcPr>
          <w:p w14:paraId="2A1936A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-4,304,334</w:t>
            </w:r>
          </w:p>
        </w:tc>
        <w:tc>
          <w:tcPr>
            <w:tcW w:w="446" w:type="pct"/>
            <w:tcBorders>
              <w:top w:val="nil"/>
              <w:left w:val="nil"/>
              <w:bottom w:val="single" w:sz="4" w:space="0" w:color="auto"/>
              <w:right w:val="single" w:sz="4" w:space="0" w:color="auto"/>
            </w:tcBorders>
            <w:noWrap/>
            <w:vAlign w:val="bottom"/>
            <w:hideMark/>
          </w:tcPr>
          <w:p w14:paraId="2453A1A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-4,014,969</w:t>
            </w:r>
          </w:p>
        </w:tc>
        <w:tc>
          <w:tcPr>
            <w:tcW w:w="426" w:type="pct"/>
            <w:tcBorders>
              <w:top w:val="nil"/>
              <w:left w:val="nil"/>
              <w:bottom w:val="single" w:sz="4" w:space="0" w:color="auto"/>
              <w:right w:val="single" w:sz="4" w:space="0" w:color="auto"/>
            </w:tcBorders>
            <w:noWrap/>
            <w:vAlign w:val="bottom"/>
            <w:hideMark/>
          </w:tcPr>
          <w:p w14:paraId="376E5C57"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-7,070,758</w:t>
            </w:r>
          </w:p>
        </w:tc>
        <w:tc>
          <w:tcPr>
            <w:tcW w:w="426" w:type="pct"/>
            <w:tcBorders>
              <w:top w:val="nil"/>
              <w:left w:val="nil"/>
              <w:bottom w:val="single" w:sz="4" w:space="0" w:color="auto"/>
              <w:right w:val="single" w:sz="4" w:space="0" w:color="auto"/>
            </w:tcBorders>
            <w:noWrap/>
            <w:vAlign w:val="bottom"/>
            <w:hideMark/>
          </w:tcPr>
          <w:p w14:paraId="1FD93E1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-8,061,333</w:t>
            </w:r>
          </w:p>
        </w:tc>
        <w:tc>
          <w:tcPr>
            <w:tcW w:w="63" w:type="pct"/>
            <w:vAlign w:val="center"/>
            <w:hideMark/>
          </w:tcPr>
          <w:p w14:paraId="6C2EB816"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FAB9B10"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114A29DD"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Free Cash Flow (FCF) = Operating Cash Flow − Capital Expenditure</w:t>
            </w:r>
          </w:p>
        </w:tc>
        <w:tc>
          <w:tcPr>
            <w:tcW w:w="426" w:type="pct"/>
            <w:tcBorders>
              <w:top w:val="nil"/>
              <w:left w:val="nil"/>
              <w:bottom w:val="single" w:sz="4" w:space="0" w:color="auto"/>
              <w:right w:val="single" w:sz="4" w:space="0" w:color="auto"/>
            </w:tcBorders>
            <w:noWrap/>
            <w:vAlign w:val="bottom"/>
            <w:hideMark/>
          </w:tcPr>
          <w:p w14:paraId="6534BB0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4278035</w:t>
            </w:r>
          </w:p>
        </w:tc>
        <w:tc>
          <w:tcPr>
            <w:tcW w:w="426" w:type="pct"/>
            <w:tcBorders>
              <w:top w:val="nil"/>
              <w:left w:val="nil"/>
              <w:bottom w:val="single" w:sz="4" w:space="0" w:color="auto"/>
              <w:right w:val="single" w:sz="4" w:space="0" w:color="auto"/>
            </w:tcBorders>
            <w:noWrap/>
            <w:vAlign w:val="bottom"/>
            <w:hideMark/>
          </w:tcPr>
          <w:p w14:paraId="32F8012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3127918</w:t>
            </w:r>
          </w:p>
        </w:tc>
        <w:tc>
          <w:tcPr>
            <w:tcW w:w="446" w:type="pct"/>
            <w:tcBorders>
              <w:top w:val="nil"/>
              <w:left w:val="nil"/>
              <w:bottom w:val="single" w:sz="4" w:space="0" w:color="auto"/>
              <w:right w:val="single" w:sz="4" w:space="0" w:color="auto"/>
            </w:tcBorders>
            <w:noWrap/>
            <w:vAlign w:val="bottom"/>
            <w:hideMark/>
          </w:tcPr>
          <w:p w14:paraId="6F5096B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14642280</w:t>
            </w:r>
          </w:p>
        </w:tc>
        <w:tc>
          <w:tcPr>
            <w:tcW w:w="426" w:type="pct"/>
            <w:tcBorders>
              <w:top w:val="nil"/>
              <w:left w:val="nil"/>
              <w:bottom w:val="single" w:sz="4" w:space="0" w:color="auto"/>
              <w:right w:val="single" w:sz="4" w:space="0" w:color="auto"/>
            </w:tcBorders>
            <w:noWrap/>
            <w:vAlign w:val="bottom"/>
            <w:hideMark/>
          </w:tcPr>
          <w:p w14:paraId="01B400F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4551998</w:t>
            </w:r>
          </w:p>
        </w:tc>
        <w:tc>
          <w:tcPr>
            <w:tcW w:w="426" w:type="pct"/>
            <w:tcBorders>
              <w:top w:val="nil"/>
              <w:left w:val="nil"/>
              <w:bottom w:val="single" w:sz="4" w:space="0" w:color="auto"/>
              <w:right w:val="single" w:sz="4" w:space="0" w:color="auto"/>
            </w:tcBorders>
            <w:noWrap/>
            <w:vAlign w:val="bottom"/>
            <w:hideMark/>
          </w:tcPr>
          <w:p w14:paraId="7195ED0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2399692</w:t>
            </w:r>
          </w:p>
        </w:tc>
        <w:tc>
          <w:tcPr>
            <w:tcW w:w="63" w:type="pct"/>
            <w:vAlign w:val="center"/>
            <w:hideMark/>
          </w:tcPr>
          <w:p w14:paraId="1FB2211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138671C" w14:textId="77777777" w:rsidTr="006A0A19">
        <w:trPr>
          <w:trHeight w:val="315"/>
        </w:trPr>
        <w:tc>
          <w:tcPr>
            <w:tcW w:w="2786" w:type="pct"/>
            <w:tcBorders>
              <w:top w:val="nil"/>
              <w:left w:val="nil"/>
              <w:bottom w:val="nil"/>
              <w:right w:val="nil"/>
            </w:tcBorders>
            <w:noWrap/>
            <w:vAlign w:val="bottom"/>
            <w:hideMark/>
          </w:tcPr>
          <w:p w14:paraId="45688164" w14:textId="77777777" w:rsidR="006A0A19" w:rsidRPr="006A0A19" w:rsidRDefault="006A0A19" w:rsidP="006A0A19">
            <w:pPr>
              <w:spacing w:after="0" w:line="240" w:lineRule="auto"/>
              <w:jc w:val="right"/>
              <w:rPr>
                <w:rFonts w:eastAsia="Times New Roman" w:cs="Arial"/>
                <w:color w:val="000000"/>
                <w:kern w:val="0"/>
                <w14:ligatures w14:val="none"/>
              </w:rPr>
            </w:pPr>
          </w:p>
        </w:tc>
        <w:tc>
          <w:tcPr>
            <w:tcW w:w="426" w:type="pct"/>
            <w:tcBorders>
              <w:top w:val="nil"/>
              <w:left w:val="nil"/>
              <w:bottom w:val="nil"/>
              <w:right w:val="nil"/>
            </w:tcBorders>
            <w:noWrap/>
            <w:vAlign w:val="bottom"/>
            <w:hideMark/>
          </w:tcPr>
          <w:p w14:paraId="5538A53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7927A25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008C08FA"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7410DC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35BB470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6CA1409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44784A8" w14:textId="77777777" w:rsidTr="006A0A19">
        <w:trPr>
          <w:trHeight w:val="315"/>
        </w:trPr>
        <w:tc>
          <w:tcPr>
            <w:tcW w:w="2786" w:type="pct"/>
            <w:tcBorders>
              <w:top w:val="nil"/>
              <w:left w:val="nil"/>
              <w:bottom w:val="nil"/>
              <w:right w:val="nil"/>
            </w:tcBorders>
            <w:noWrap/>
            <w:vAlign w:val="bottom"/>
            <w:hideMark/>
          </w:tcPr>
          <w:p w14:paraId="6BD846C1"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631F530C"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43C1DF2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7F9BD02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78D96A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2DDA4656"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29C922C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33488BE3" w14:textId="77777777" w:rsidTr="006A0A19">
        <w:trPr>
          <w:trHeight w:val="315"/>
        </w:trPr>
        <w:tc>
          <w:tcPr>
            <w:tcW w:w="4937" w:type="pct"/>
            <w:gridSpan w:val="6"/>
            <w:tcBorders>
              <w:top w:val="single" w:sz="4" w:space="0" w:color="auto"/>
              <w:left w:val="single" w:sz="4" w:space="0" w:color="auto"/>
              <w:bottom w:val="single" w:sz="4" w:space="0" w:color="auto"/>
              <w:right w:val="single" w:sz="4" w:space="0" w:color="000000"/>
            </w:tcBorders>
            <w:noWrap/>
            <w:vAlign w:val="bottom"/>
            <w:hideMark/>
          </w:tcPr>
          <w:p w14:paraId="66B8F77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Cash Flow Adequacy Ratio</w:t>
            </w:r>
          </w:p>
        </w:tc>
        <w:tc>
          <w:tcPr>
            <w:tcW w:w="63" w:type="pct"/>
            <w:vAlign w:val="center"/>
            <w:hideMark/>
          </w:tcPr>
          <w:p w14:paraId="60FBB480"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11679E39"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012B40D6" w14:textId="77777777" w:rsidR="006A0A19" w:rsidRPr="006A0A19" w:rsidRDefault="006A0A19" w:rsidP="006A0A19">
            <w:pPr>
              <w:spacing w:after="0" w:line="240" w:lineRule="auto"/>
              <w:jc w:val="left"/>
              <w:rPr>
                <w:rFonts w:eastAsia="Times New Roman" w:cs="Arial"/>
                <w:color w:val="000000"/>
                <w:kern w:val="0"/>
                <w14:ligatures w14:val="none"/>
              </w:rPr>
            </w:pPr>
            <w:r w:rsidRPr="006A0A19">
              <w:rPr>
                <w:rFonts w:eastAsia="Times New Roman" w:cs="Arial"/>
                <w:color w:val="000000"/>
                <w:kern w:val="0"/>
                <w14:ligatures w14:val="none"/>
              </w:rPr>
              <w:t> </w:t>
            </w:r>
          </w:p>
        </w:tc>
        <w:tc>
          <w:tcPr>
            <w:tcW w:w="426" w:type="pct"/>
            <w:tcBorders>
              <w:top w:val="nil"/>
              <w:left w:val="nil"/>
              <w:bottom w:val="single" w:sz="4" w:space="0" w:color="auto"/>
              <w:right w:val="single" w:sz="4" w:space="0" w:color="auto"/>
            </w:tcBorders>
            <w:noWrap/>
            <w:vAlign w:val="bottom"/>
            <w:hideMark/>
          </w:tcPr>
          <w:p w14:paraId="7362FC26"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426" w:type="pct"/>
            <w:tcBorders>
              <w:top w:val="nil"/>
              <w:left w:val="nil"/>
              <w:bottom w:val="single" w:sz="4" w:space="0" w:color="auto"/>
              <w:right w:val="single" w:sz="4" w:space="0" w:color="auto"/>
            </w:tcBorders>
            <w:noWrap/>
            <w:vAlign w:val="bottom"/>
            <w:hideMark/>
          </w:tcPr>
          <w:p w14:paraId="377036AB"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446" w:type="pct"/>
            <w:tcBorders>
              <w:top w:val="nil"/>
              <w:left w:val="nil"/>
              <w:bottom w:val="single" w:sz="4" w:space="0" w:color="auto"/>
              <w:right w:val="single" w:sz="4" w:space="0" w:color="auto"/>
            </w:tcBorders>
            <w:noWrap/>
            <w:vAlign w:val="bottom"/>
            <w:hideMark/>
          </w:tcPr>
          <w:p w14:paraId="66EDFCA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426" w:type="pct"/>
            <w:tcBorders>
              <w:top w:val="nil"/>
              <w:left w:val="nil"/>
              <w:bottom w:val="single" w:sz="4" w:space="0" w:color="auto"/>
              <w:right w:val="single" w:sz="4" w:space="0" w:color="auto"/>
            </w:tcBorders>
            <w:noWrap/>
            <w:vAlign w:val="bottom"/>
            <w:hideMark/>
          </w:tcPr>
          <w:p w14:paraId="5303B91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426" w:type="pct"/>
            <w:tcBorders>
              <w:top w:val="nil"/>
              <w:left w:val="nil"/>
              <w:bottom w:val="single" w:sz="4" w:space="0" w:color="auto"/>
              <w:right w:val="single" w:sz="4" w:space="0" w:color="auto"/>
            </w:tcBorders>
            <w:noWrap/>
            <w:vAlign w:val="bottom"/>
            <w:hideMark/>
          </w:tcPr>
          <w:p w14:paraId="50E16AD2"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63" w:type="pct"/>
            <w:vAlign w:val="center"/>
            <w:hideMark/>
          </w:tcPr>
          <w:p w14:paraId="72CBD99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5807C6B"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4F2DA9E0"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OCF (KRW mn)</w:t>
            </w:r>
          </w:p>
        </w:tc>
        <w:tc>
          <w:tcPr>
            <w:tcW w:w="426" w:type="pct"/>
            <w:tcBorders>
              <w:top w:val="nil"/>
              <w:left w:val="nil"/>
              <w:bottom w:val="single" w:sz="4" w:space="0" w:color="auto"/>
              <w:right w:val="single" w:sz="4" w:space="0" w:color="auto"/>
            </w:tcBorders>
            <w:noWrap/>
            <w:vAlign w:val="bottom"/>
            <w:hideMark/>
          </w:tcPr>
          <w:p w14:paraId="25DAE6EB"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409,807</w:t>
            </w:r>
          </w:p>
        </w:tc>
        <w:tc>
          <w:tcPr>
            <w:tcW w:w="426" w:type="pct"/>
            <w:tcBorders>
              <w:top w:val="nil"/>
              <w:left w:val="nil"/>
              <w:bottom w:val="single" w:sz="4" w:space="0" w:color="auto"/>
              <w:right w:val="single" w:sz="4" w:space="0" w:color="auto"/>
            </w:tcBorders>
            <w:noWrap/>
            <w:vAlign w:val="bottom"/>
            <w:hideMark/>
          </w:tcPr>
          <w:p w14:paraId="59D99877"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1,176,416</w:t>
            </w:r>
          </w:p>
        </w:tc>
        <w:tc>
          <w:tcPr>
            <w:tcW w:w="446" w:type="pct"/>
            <w:tcBorders>
              <w:top w:val="nil"/>
              <w:left w:val="nil"/>
              <w:bottom w:val="single" w:sz="4" w:space="0" w:color="auto"/>
              <w:right w:val="single" w:sz="4" w:space="0" w:color="auto"/>
            </w:tcBorders>
            <w:noWrap/>
            <w:vAlign w:val="bottom"/>
            <w:hideMark/>
          </w:tcPr>
          <w:p w14:paraId="0BBAF7E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10,627,311</w:t>
            </w:r>
          </w:p>
        </w:tc>
        <w:tc>
          <w:tcPr>
            <w:tcW w:w="426" w:type="pct"/>
            <w:tcBorders>
              <w:top w:val="nil"/>
              <w:left w:val="nil"/>
              <w:bottom w:val="single" w:sz="4" w:space="0" w:color="auto"/>
              <w:right w:val="single" w:sz="4" w:space="0" w:color="auto"/>
            </w:tcBorders>
            <w:noWrap/>
            <w:vAlign w:val="bottom"/>
            <w:hideMark/>
          </w:tcPr>
          <w:p w14:paraId="1EC6321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2,518,760</w:t>
            </w:r>
          </w:p>
        </w:tc>
        <w:tc>
          <w:tcPr>
            <w:tcW w:w="426" w:type="pct"/>
            <w:tcBorders>
              <w:top w:val="nil"/>
              <w:left w:val="nil"/>
              <w:bottom w:val="single" w:sz="4" w:space="0" w:color="auto"/>
              <w:right w:val="single" w:sz="4" w:space="0" w:color="auto"/>
            </w:tcBorders>
            <w:noWrap/>
            <w:vAlign w:val="bottom"/>
            <w:hideMark/>
          </w:tcPr>
          <w:p w14:paraId="347D556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5,661,641</w:t>
            </w:r>
          </w:p>
        </w:tc>
        <w:tc>
          <w:tcPr>
            <w:tcW w:w="63" w:type="pct"/>
            <w:vAlign w:val="center"/>
            <w:hideMark/>
          </w:tcPr>
          <w:p w14:paraId="47424C9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C5C6289"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3D31E69E"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CapEx (KRW mn)</w:t>
            </w:r>
          </w:p>
        </w:tc>
        <w:tc>
          <w:tcPr>
            <w:tcW w:w="426" w:type="pct"/>
            <w:tcBorders>
              <w:top w:val="nil"/>
              <w:left w:val="nil"/>
              <w:bottom w:val="single" w:sz="4" w:space="0" w:color="auto"/>
              <w:right w:val="single" w:sz="4" w:space="0" w:color="auto"/>
            </w:tcBorders>
            <w:noWrap/>
            <w:vAlign w:val="bottom"/>
            <w:hideMark/>
          </w:tcPr>
          <w:p w14:paraId="3E691BC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4,687,842</w:t>
            </w:r>
          </w:p>
        </w:tc>
        <w:tc>
          <w:tcPr>
            <w:tcW w:w="426" w:type="pct"/>
            <w:tcBorders>
              <w:top w:val="nil"/>
              <w:left w:val="nil"/>
              <w:bottom w:val="single" w:sz="4" w:space="0" w:color="auto"/>
              <w:right w:val="single" w:sz="4" w:space="0" w:color="auto"/>
            </w:tcBorders>
            <w:noWrap/>
            <w:vAlign w:val="bottom"/>
            <w:hideMark/>
          </w:tcPr>
          <w:p w14:paraId="615AAB9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4,304,334</w:t>
            </w:r>
          </w:p>
        </w:tc>
        <w:tc>
          <w:tcPr>
            <w:tcW w:w="446" w:type="pct"/>
            <w:tcBorders>
              <w:top w:val="nil"/>
              <w:left w:val="nil"/>
              <w:bottom w:val="single" w:sz="4" w:space="0" w:color="auto"/>
              <w:right w:val="single" w:sz="4" w:space="0" w:color="auto"/>
            </w:tcBorders>
            <w:noWrap/>
            <w:vAlign w:val="bottom"/>
            <w:hideMark/>
          </w:tcPr>
          <w:p w14:paraId="6E753F4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4,014,969</w:t>
            </w:r>
          </w:p>
        </w:tc>
        <w:tc>
          <w:tcPr>
            <w:tcW w:w="426" w:type="pct"/>
            <w:tcBorders>
              <w:top w:val="nil"/>
              <w:left w:val="nil"/>
              <w:bottom w:val="single" w:sz="4" w:space="0" w:color="auto"/>
              <w:right w:val="single" w:sz="4" w:space="0" w:color="auto"/>
            </w:tcBorders>
            <w:noWrap/>
            <w:vAlign w:val="bottom"/>
            <w:hideMark/>
          </w:tcPr>
          <w:p w14:paraId="23088F6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7,070,758</w:t>
            </w:r>
          </w:p>
        </w:tc>
        <w:tc>
          <w:tcPr>
            <w:tcW w:w="426" w:type="pct"/>
            <w:tcBorders>
              <w:top w:val="nil"/>
              <w:left w:val="nil"/>
              <w:bottom w:val="single" w:sz="4" w:space="0" w:color="auto"/>
              <w:right w:val="single" w:sz="4" w:space="0" w:color="auto"/>
            </w:tcBorders>
            <w:noWrap/>
            <w:vAlign w:val="bottom"/>
            <w:hideMark/>
          </w:tcPr>
          <w:p w14:paraId="1A7361A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8,061,333</w:t>
            </w:r>
          </w:p>
        </w:tc>
        <w:tc>
          <w:tcPr>
            <w:tcW w:w="63" w:type="pct"/>
            <w:vAlign w:val="center"/>
            <w:hideMark/>
          </w:tcPr>
          <w:p w14:paraId="5777073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FE42AF9"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4F3CD2EC"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Cash Flow Adequacy Ratio = Operating Cash Flow ÷ (CapEx)</w:t>
            </w:r>
          </w:p>
        </w:tc>
        <w:tc>
          <w:tcPr>
            <w:tcW w:w="426" w:type="pct"/>
            <w:tcBorders>
              <w:top w:val="nil"/>
              <w:left w:val="nil"/>
              <w:bottom w:val="single" w:sz="4" w:space="0" w:color="auto"/>
              <w:right w:val="single" w:sz="4" w:space="0" w:color="auto"/>
            </w:tcBorders>
            <w:noWrap/>
            <w:vAlign w:val="bottom"/>
            <w:hideMark/>
          </w:tcPr>
          <w:p w14:paraId="6B74879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0.09</w:t>
            </w:r>
          </w:p>
        </w:tc>
        <w:tc>
          <w:tcPr>
            <w:tcW w:w="426" w:type="pct"/>
            <w:tcBorders>
              <w:top w:val="nil"/>
              <w:left w:val="nil"/>
              <w:bottom w:val="single" w:sz="4" w:space="0" w:color="auto"/>
              <w:right w:val="single" w:sz="4" w:space="0" w:color="auto"/>
            </w:tcBorders>
            <w:noWrap/>
            <w:vAlign w:val="bottom"/>
            <w:hideMark/>
          </w:tcPr>
          <w:p w14:paraId="7081ABBA"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0.27</w:t>
            </w:r>
          </w:p>
        </w:tc>
        <w:tc>
          <w:tcPr>
            <w:tcW w:w="446" w:type="pct"/>
            <w:tcBorders>
              <w:top w:val="nil"/>
              <w:left w:val="nil"/>
              <w:bottom w:val="single" w:sz="4" w:space="0" w:color="auto"/>
              <w:right w:val="single" w:sz="4" w:space="0" w:color="auto"/>
            </w:tcBorders>
            <w:noWrap/>
            <w:vAlign w:val="bottom"/>
            <w:hideMark/>
          </w:tcPr>
          <w:p w14:paraId="39A5E7B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2.65</w:t>
            </w:r>
          </w:p>
        </w:tc>
        <w:tc>
          <w:tcPr>
            <w:tcW w:w="426" w:type="pct"/>
            <w:tcBorders>
              <w:top w:val="nil"/>
              <w:left w:val="nil"/>
              <w:bottom w:val="single" w:sz="4" w:space="0" w:color="auto"/>
              <w:right w:val="single" w:sz="4" w:space="0" w:color="auto"/>
            </w:tcBorders>
            <w:noWrap/>
            <w:vAlign w:val="bottom"/>
            <w:hideMark/>
          </w:tcPr>
          <w:p w14:paraId="2CB66B8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0.36</w:t>
            </w:r>
          </w:p>
        </w:tc>
        <w:tc>
          <w:tcPr>
            <w:tcW w:w="426" w:type="pct"/>
            <w:tcBorders>
              <w:top w:val="nil"/>
              <w:left w:val="nil"/>
              <w:bottom w:val="single" w:sz="4" w:space="0" w:color="auto"/>
              <w:right w:val="single" w:sz="4" w:space="0" w:color="auto"/>
            </w:tcBorders>
            <w:noWrap/>
            <w:vAlign w:val="bottom"/>
            <w:hideMark/>
          </w:tcPr>
          <w:p w14:paraId="6D473DE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0.70</w:t>
            </w:r>
          </w:p>
        </w:tc>
        <w:tc>
          <w:tcPr>
            <w:tcW w:w="63" w:type="pct"/>
            <w:vAlign w:val="center"/>
            <w:hideMark/>
          </w:tcPr>
          <w:p w14:paraId="611DD0E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bl>
    <w:p w14:paraId="288EF46E" w14:textId="77777777" w:rsidR="006A0A19" w:rsidRDefault="006A0A19" w:rsidP="008E7995"/>
    <w:p w14:paraId="24D7C06F" w14:textId="77777777" w:rsidR="00403DD3" w:rsidRPr="00403DD3" w:rsidRDefault="00403DD3" w:rsidP="00403DD3">
      <w:pPr>
        <w:jc w:val="center"/>
      </w:pPr>
    </w:p>
    <w:p w14:paraId="02D254BF" w14:textId="405C605B" w:rsidR="008E7995" w:rsidRDefault="008E7995" w:rsidP="008E7995">
      <w:pPr>
        <w:pStyle w:val="Heading2"/>
      </w:pPr>
      <w:bookmarkStart w:id="86" w:name="_Toc227939074"/>
      <w:r w:rsidRPr="008E7995">
        <w:t xml:space="preserve">Cash </w:t>
      </w:r>
      <w:r w:rsidR="00403DD3">
        <w:t>Conversion</w:t>
      </w:r>
      <w:r w:rsidRPr="008E7995">
        <w:t xml:space="preserve"> Calculations</w:t>
      </w:r>
      <w:bookmarkEnd w:id="86"/>
    </w:p>
    <w:tbl>
      <w:tblPr>
        <w:tblW w:w="5000" w:type="pct"/>
        <w:tblLook w:val="04A0" w:firstRow="1" w:lastRow="0" w:firstColumn="1" w:lastColumn="0" w:noHBand="0" w:noVBand="1"/>
      </w:tblPr>
      <w:tblGrid>
        <w:gridCol w:w="6201"/>
        <w:gridCol w:w="587"/>
        <w:gridCol w:w="588"/>
        <w:gridCol w:w="588"/>
        <w:gridCol w:w="588"/>
        <w:gridCol w:w="588"/>
        <w:gridCol w:w="220"/>
      </w:tblGrid>
      <w:tr w:rsidR="006A0A19" w:rsidRPr="006A0A19" w14:paraId="57608219" w14:textId="77777777" w:rsidTr="006A0A19">
        <w:trPr>
          <w:gridAfter w:val="1"/>
          <w:wAfter w:w="71" w:type="pct"/>
          <w:trHeight w:val="552"/>
        </w:trPr>
        <w:tc>
          <w:tcPr>
            <w:tcW w:w="4929" w:type="pct"/>
            <w:gridSpan w:val="6"/>
            <w:vMerge w:val="restart"/>
            <w:tcBorders>
              <w:top w:val="nil"/>
              <w:left w:val="nil"/>
              <w:bottom w:val="nil"/>
              <w:right w:val="nil"/>
            </w:tcBorders>
            <w:noWrap/>
            <w:vAlign w:val="center"/>
            <w:hideMark/>
          </w:tcPr>
          <w:p w14:paraId="309175CA"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r w:rsidRPr="006A0A19">
              <w:rPr>
                <w:rFonts w:eastAsia="Times New Roman" w:cs="Arial"/>
                <w:b/>
                <w:bCs/>
                <w:color w:val="7E350E"/>
                <w:kern w:val="0"/>
                <w:sz w:val="48"/>
                <w:szCs w:val="48"/>
                <w14:ligatures w14:val="none"/>
              </w:rPr>
              <w:t>Hyundai Cash Conversion Cycle (CCC)</w:t>
            </w:r>
          </w:p>
        </w:tc>
      </w:tr>
      <w:tr w:rsidR="006A0A19" w:rsidRPr="006A0A19" w14:paraId="1561F334" w14:textId="77777777" w:rsidTr="006A0A19">
        <w:trPr>
          <w:trHeight w:val="300"/>
        </w:trPr>
        <w:tc>
          <w:tcPr>
            <w:tcW w:w="4929" w:type="pct"/>
            <w:gridSpan w:val="6"/>
            <w:vMerge/>
            <w:tcBorders>
              <w:top w:val="nil"/>
              <w:left w:val="nil"/>
              <w:bottom w:val="nil"/>
              <w:right w:val="nil"/>
            </w:tcBorders>
            <w:vAlign w:val="center"/>
            <w:hideMark/>
          </w:tcPr>
          <w:p w14:paraId="2C6BF05F" w14:textId="77777777" w:rsidR="006A0A19" w:rsidRPr="006A0A19" w:rsidRDefault="006A0A19" w:rsidP="006A0A19">
            <w:pPr>
              <w:spacing w:after="0" w:line="240" w:lineRule="auto"/>
              <w:jc w:val="left"/>
              <w:rPr>
                <w:rFonts w:eastAsia="Times New Roman" w:cs="Arial"/>
                <w:b/>
                <w:bCs/>
                <w:color w:val="7E350E"/>
                <w:kern w:val="0"/>
                <w:sz w:val="48"/>
                <w:szCs w:val="48"/>
                <w14:ligatures w14:val="none"/>
              </w:rPr>
            </w:pPr>
          </w:p>
        </w:tc>
        <w:tc>
          <w:tcPr>
            <w:tcW w:w="71" w:type="pct"/>
            <w:tcBorders>
              <w:top w:val="nil"/>
              <w:left w:val="nil"/>
              <w:bottom w:val="nil"/>
              <w:right w:val="nil"/>
            </w:tcBorders>
            <w:noWrap/>
            <w:vAlign w:val="bottom"/>
            <w:hideMark/>
          </w:tcPr>
          <w:p w14:paraId="43F12695"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p>
        </w:tc>
      </w:tr>
      <w:tr w:rsidR="006A0A19" w:rsidRPr="006A0A19" w14:paraId="0C06750D" w14:textId="77777777" w:rsidTr="006A0A19">
        <w:trPr>
          <w:trHeight w:val="315"/>
        </w:trPr>
        <w:tc>
          <w:tcPr>
            <w:tcW w:w="3617" w:type="pct"/>
            <w:tcBorders>
              <w:top w:val="nil"/>
              <w:left w:val="nil"/>
              <w:bottom w:val="nil"/>
              <w:right w:val="nil"/>
            </w:tcBorders>
            <w:noWrap/>
            <w:vAlign w:val="bottom"/>
            <w:hideMark/>
          </w:tcPr>
          <w:p w14:paraId="69BBD9E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66A31562"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19783FB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35315DF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41EFC58C"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267A516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71" w:type="pct"/>
            <w:vAlign w:val="center"/>
            <w:hideMark/>
          </w:tcPr>
          <w:p w14:paraId="3D9158B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DC4BC13" w14:textId="77777777" w:rsidTr="006A0A19">
        <w:trPr>
          <w:trHeight w:val="315"/>
        </w:trPr>
        <w:tc>
          <w:tcPr>
            <w:tcW w:w="4929" w:type="pct"/>
            <w:gridSpan w:val="6"/>
            <w:tcBorders>
              <w:top w:val="single" w:sz="4" w:space="0" w:color="auto"/>
              <w:left w:val="single" w:sz="4" w:space="0" w:color="auto"/>
              <w:bottom w:val="single" w:sz="4" w:space="0" w:color="auto"/>
              <w:right w:val="single" w:sz="4" w:space="0" w:color="000000"/>
            </w:tcBorders>
            <w:noWrap/>
            <w:vAlign w:val="bottom"/>
            <w:hideMark/>
          </w:tcPr>
          <w:p w14:paraId="6EC52925" w14:textId="77777777" w:rsidR="006A0A19" w:rsidRPr="006A0A19" w:rsidRDefault="006A0A19" w:rsidP="006A0A19">
            <w:pPr>
              <w:spacing w:after="0" w:line="240" w:lineRule="auto"/>
              <w:jc w:val="center"/>
              <w:rPr>
                <w:rFonts w:eastAsia="Times New Roman" w:cs="Arial"/>
                <w:b/>
                <w:bCs/>
                <w:kern w:val="0"/>
                <w14:ligatures w14:val="none"/>
              </w:rPr>
            </w:pPr>
            <w:r w:rsidRPr="006A0A19">
              <w:rPr>
                <w:rFonts w:eastAsia="Times New Roman" w:cs="Arial"/>
                <w:b/>
                <w:bCs/>
                <w:kern w:val="0"/>
                <w14:ligatures w14:val="none"/>
              </w:rPr>
              <w:t>Cash Conversion Cycle (CCC)</w:t>
            </w:r>
          </w:p>
        </w:tc>
        <w:tc>
          <w:tcPr>
            <w:tcW w:w="71" w:type="pct"/>
            <w:vAlign w:val="center"/>
            <w:hideMark/>
          </w:tcPr>
          <w:p w14:paraId="1CC85DD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634D1EB"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0F6FFCD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 </w:t>
            </w:r>
          </w:p>
        </w:tc>
        <w:tc>
          <w:tcPr>
            <w:tcW w:w="262" w:type="pct"/>
            <w:tcBorders>
              <w:top w:val="nil"/>
              <w:left w:val="nil"/>
              <w:bottom w:val="single" w:sz="4" w:space="0" w:color="auto"/>
              <w:right w:val="single" w:sz="4" w:space="0" w:color="auto"/>
            </w:tcBorders>
            <w:noWrap/>
            <w:vAlign w:val="bottom"/>
            <w:hideMark/>
          </w:tcPr>
          <w:p w14:paraId="5644B3E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262" w:type="pct"/>
            <w:tcBorders>
              <w:top w:val="nil"/>
              <w:left w:val="nil"/>
              <w:bottom w:val="single" w:sz="4" w:space="0" w:color="auto"/>
              <w:right w:val="single" w:sz="4" w:space="0" w:color="auto"/>
            </w:tcBorders>
            <w:noWrap/>
            <w:vAlign w:val="bottom"/>
            <w:hideMark/>
          </w:tcPr>
          <w:p w14:paraId="24B77ECA"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262" w:type="pct"/>
            <w:tcBorders>
              <w:top w:val="nil"/>
              <w:left w:val="nil"/>
              <w:bottom w:val="single" w:sz="4" w:space="0" w:color="auto"/>
              <w:right w:val="single" w:sz="4" w:space="0" w:color="auto"/>
            </w:tcBorders>
            <w:noWrap/>
            <w:vAlign w:val="bottom"/>
            <w:hideMark/>
          </w:tcPr>
          <w:p w14:paraId="2E87D03E"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262" w:type="pct"/>
            <w:tcBorders>
              <w:top w:val="nil"/>
              <w:left w:val="nil"/>
              <w:bottom w:val="single" w:sz="4" w:space="0" w:color="auto"/>
              <w:right w:val="single" w:sz="4" w:space="0" w:color="auto"/>
            </w:tcBorders>
            <w:noWrap/>
            <w:vAlign w:val="bottom"/>
            <w:hideMark/>
          </w:tcPr>
          <w:p w14:paraId="2B4CB197"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262" w:type="pct"/>
            <w:tcBorders>
              <w:top w:val="nil"/>
              <w:left w:val="nil"/>
              <w:bottom w:val="single" w:sz="4" w:space="0" w:color="auto"/>
              <w:right w:val="single" w:sz="4" w:space="0" w:color="auto"/>
            </w:tcBorders>
            <w:noWrap/>
            <w:vAlign w:val="bottom"/>
            <w:hideMark/>
          </w:tcPr>
          <w:p w14:paraId="3845CA3E"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71" w:type="pct"/>
            <w:vAlign w:val="center"/>
            <w:hideMark/>
          </w:tcPr>
          <w:p w14:paraId="686C84F0"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3251FB0E"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5365D8F8"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Inventory Turnover (Times)</w:t>
            </w:r>
          </w:p>
        </w:tc>
        <w:tc>
          <w:tcPr>
            <w:tcW w:w="262" w:type="pct"/>
            <w:tcBorders>
              <w:top w:val="nil"/>
              <w:left w:val="nil"/>
              <w:bottom w:val="single" w:sz="4" w:space="0" w:color="auto"/>
              <w:right w:val="single" w:sz="4" w:space="0" w:color="auto"/>
            </w:tcBorders>
            <w:noWrap/>
            <w:vAlign w:val="bottom"/>
            <w:hideMark/>
          </w:tcPr>
          <w:p w14:paraId="05418F9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6.84</w:t>
            </w:r>
          </w:p>
        </w:tc>
        <w:tc>
          <w:tcPr>
            <w:tcW w:w="262" w:type="pct"/>
            <w:tcBorders>
              <w:top w:val="nil"/>
              <w:left w:val="nil"/>
              <w:bottom w:val="single" w:sz="4" w:space="0" w:color="auto"/>
              <w:right w:val="single" w:sz="4" w:space="0" w:color="auto"/>
            </w:tcBorders>
            <w:noWrap/>
            <w:vAlign w:val="bottom"/>
            <w:hideMark/>
          </w:tcPr>
          <w:p w14:paraId="3F2D6F9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8.33</w:t>
            </w:r>
          </w:p>
        </w:tc>
        <w:tc>
          <w:tcPr>
            <w:tcW w:w="262" w:type="pct"/>
            <w:tcBorders>
              <w:top w:val="nil"/>
              <w:left w:val="nil"/>
              <w:bottom w:val="single" w:sz="4" w:space="0" w:color="auto"/>
              <w:right w:val="single" w:sz="4" w:space="0" w:color="auto"/>
            </w:tcBorders>
            <w:noWrap/>
            <w:vAlign w:val="bottom"/>
            <w:hideMark/>
          </w:tcPr>
          <w:p w14:paraId="4D1FADE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8.81</w:t>
            </w:r>
          </w:p>
        </w:tc>
        <w:tc>
          <w:tcPr>
            <w:tcW w:w="262" w:type="pct"/>
            <w:tcBorders>
              <w:top w:val="nil"/>
              <w:left w:val="nil"/>
              <w:bottom w:val="single" w:sz="4" w:space="0" w:color="auto"/>
              <w:right w:val="single" w:sz="4" w:space="0" w:color="auto"/>
            </w:tcBorders>
            <w:noWrap/>
            <w:vAlign w:val="bottom"/>
            <w:hideMark/>
          </w:tcPr>
          <w:p w14:paraId="535E746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8.15</w:t>
            </w:r>
          </w:p>
        </w:tc>
        <w:tc>
          <w:tcPr>
            <w:tcW w:w="262" w:type="pct"/>
            <w:tcBorders>
              <w:top w:val="nil"/>
              <w:left w:val="nil"/>
              <w:bottom w:val="single" w:sz="4" w:space="0" w:color="auto"/>
              <w:right w:val="single" w:sz="4" w:space="0" w:color="auto"/>
            </w:tcBorders>
            <w:noWrap/>
            <w:vAlign w:val="bottom"/>
            <w:hideMark/>
          </w:tcPr>
          <w:p w14:paraId="69A4107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7.50</w:t>
            </w:r>
          </w:p>
        </w:tc>
        <w:tc>
          <w:tcPr>
            <w:tcW w:w="71" w:type="pct"/>
            <w:vAlign w:val="center"/>
            <w:hideMark/>
          </w:tcPr>
          <w:p w14:paraId="5619AEC1"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3FAC332D"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0E1912DE"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Inventory Days (365 ÷ Turnover)</w:t>
            </w:r>
          </w:p>
        </w:tc>
        <w:tc>
          <w:tcPr>
            <w:tcW w:w="262" w:type="pct"/>
            <w:tcBorders>
              <w:top w:val="nil"/>
              <w:left w:val="nil"/>
              <w:bottom w:val="single" w:sz="4" w:space="0" w:color="auto"/>
              <w:right w:val="single" w:sz="4" w:space="0" w:color="auto"/>
            </w:tcBorders>
            <w:noWrap/>
            <w:vAlign w:val="bottom"/>
            <w:hideMark/>
          </w:tcPr>
          <w:p w14:paraId="72F58CC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53</w:t>
            </w:r>
          </w:p>
        </w:tc>
        <w:tc>
          <w:tcPr>
            <w:tcW w:w="262" w:type="pct"/>
            <w:tcBorders>
              <w:top w:val="nil"/>
              <w:left w:val="nil"/>
              <w:bottom w:val="single" w:sz="4" w:space="0" w:color="auto"/>
              <w:right w:val="single" w:sz="4" w:space="0" w:color="auto"/>
            </w:tcBorders>
            <w:noWrap/>
            <w:vAlign w:val="bottom"/>
            <w:hideMark/>
          </w:tcPr>
          <w:p w14:paraId="512604E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44</w:t>
            </w:r>
          </w:p>
        </w:tc>
        <w:tc>
          <w:tcPr>
            <w:tcW w:w="262" w:type="pct"/>
            <w:tcBorders>
              <w:top w:val="nil"/>
              <w:left w:val="nil"/>
              <w:bottom w:val="single" w:sz="4" w:space="0" w:color="auto"/>
              <w:right w:val="single" w:sz="4" w:space="0" w:color="auto"/>
            </w:tcBorders>
            <w:noWrap/>
            <w:vAlign w:val="bottom"/>
            <w:hideMark/>
          </w:tcPr>
          <w:p w14:paraId="3A981479"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41</w:t>
            </w:r>
          </w:p>
        </w:tc>
        <w:tc>
          <w:tcPr>
            <w:tcW w:w="262" w:type="pct"/>
            <w:tcBorders>
              <w:top w:val="nil"/>
              <w:left w:val="nil"/>
              <w:bottom w:val="single" w:sz="4" w:space="0" w:color="auto"/>
              <w:right w:val="single" w:sz="4" w:space="0" w:color="auto"/>
            </w:tcBorders>
            <w:noWrap/>
            <w:vAlign w:val="bottom"/>
            <w:hideMark/>
          </w:tcPr>
          <w:p w14:paraId="7756430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45</w:t>
            </w:r>
          </w:p>
        </w:tc>
        <w:tc>
          <w:tcPr>
            <w:tcW w:w="262" w:type="pct"/>
            <w:tcBorders>
              <w:top w:val="nil"/>
              <w:left w:val="nil"/>
              <w:bottom w:val="single" w:sz="4" w:space="0" w:color="auto"/>
              <w:right w:val="single" w:sz="4" w:space="0" w:color="auto"/>
            </w:tcBorders>
            <w:noWrap/>
            <w:vAlign w:val="bottom"/>
            <w:hideMark/>
          </w:tcPr>
          <w:p w14:paraId="4355E13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49</w:t>
            </w:r>
          </w:p>
        </w:tc>
        <w:tc>
          <w:tcPr>
            <w:tcW w:w="71" w:type="pct"/>
            <w:vAlign w:val="center"/>
            <w:hideMark/>
          </w:tcPr>
          <w:p w14:paraId="50AE096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29CA508"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4C340F00"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lastRenderedPageBreak/>
              <w:t>Receivables Days</w:t>
            </w:r>
          </w:p>
        </w:tc>
        <w:tc>
          <w:tcPr>
            <w:tcW w:w="262" w:type="pct"/>
            <w:tcBorders>
              <w:top w:val="nil"/>
              <w:left w:val="nil"/>
              <w:bottom w:val="single" w:sz="4" w:space="0" w:color="auto"/>
              <w:right w:val="single" w:sz="4" w:space="0" w:color="auto"/>
            </w:tcBorders>
            <w:noWrap/>
            <w:vAlign w:val="bottom"/>
            <w:hideMark/>
          </w:tcPr>
          <w:p w14:paraId="0430620C"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12</w:t>
            </w:r>
          </w:p>
        </w:tc>
        <w:tc>
          <w:tcPr>
            <w:tcW w:w="262" w:type="pct"/>
            <w:tcBorders>
              <w:top w:val="nil"/>
              <w:left w:val="nil"/>
              <w:bottom w:val="single" w:sz="4" w:space="0" w:color="auto"/>
              <w:right w:val="single" w:sz="4" w:space="0" w:color="auto"/>
            </w:tcBorders>
            <w:noWrap/>
            <w:vAlign w:val="bottom"/>
            <w:hideMark/>
          </w:tcPr>
          <w:p w14:paraId="4F2E212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w:t>
            </w:r>
          </w:p>
        </w:tc>
        <w:tc>
          <w:tcPr>
            <w:tcW w:w="262" w:type="pct"/>
            <w:tcBorders>
              <w:top w:val="nil"/>
              <w:left w:val="nil"/>
              <w:bottom w:val="single" w:sz="4" w:space="0" w:color="auto"/>
              <w:right w:val="single" w:sz="4" w:space="0" w:color="auto"/>
            </w:tcBorders>
            <w:noWrap/>
            <w:vAlign w:val="bottom"/>
            <w:hideMark/>
          </w:tcPr>
          <w:p w14:paraId="37BBABB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w:t>
            </w:r>
          </w:p>
        </w:tc>
        <w:tc>
          <w:tcPr>
            <w:tcW w:w="262" w:type="pct"/>
            <w:tcBorders>
              <w:top w:val="nil"/>
              <w:left w:val="nil"/>
              <w:bottom w:val="single" w:sz="4" w:space="0" w:color="auto"/>
              <w:right w:val="single" w:sz="4" w:space="0" w:color="auto"/>
            </w:tcBorders>
            <w:noWrap/>
            <w:vAlign w:val="bottom"/>
            <w:hideMark/>
          </w:tcPr>
          <w:p w14:paraId="35B85D2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w:t>
            </w:r>
          </w:p>
        </w:tc>
        <w:tc>
          <w:tcPr>
            <w:tcW w:w="262" w:type="pct"/>
            <w:tcBorders>
              <w:top w:val="nil"/>
              <w:left w:val="nil"/>
              <w:bottom w:val="single" w:sz="4" w:space="0" w:color="auto"/>
              <w:right w:val="single" w:sz="4" w:space="0" w:color="auto"/>
            </w:tcBorders>
            <w:noWrap/>
            <w:vAlign w:val="bottom"/>
            <w:hideMark/>
          </w:tcPr>
          <w:p w14:paraId="7CDBA0A6"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12</w:t>
            </w:r>
          </w:p>
        </w:tc>
        <w:tc>
          <w:tcPr>
            <w:tcW w:w="71" w:type="pct"/>
            <w:vAlign w:val="center"/>
            <w:hideMark/>
          </w:tcPr>
          <w:p w14:paraId="10AEF29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6EA633CC"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6E73DD26"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Payables Days</w:t>
            </w:r>
          </w:p>
        </w:tc>
        <w:tc>
          <w:tcPr>
            <w:tcW w:w="262" w:type="pct"/>
            <w:tcBorders>
              <w:top w:val="nil"/>
              <w:left w:val="nil"/>
              <w:bottom w:val="single" w:sz="4" w:space="0" w:color="auto"/>
              <w:right w:val="single" w:sz="4" w:space="0" w:color="auto"/>
            </w:tcBorders>
            <w:noWrap/>
            <w:vAlign w:val="bottom"/>
            <w:hideMark/>
          </w:tcPr>
          <w:p w14:paraId="6DF7F25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38</w:t>
            </w:r>
          </w:p>
        </w:tc>
        <w:tc>
          <w:tcPr>
            <w:tcW w:w="262" w:type="pct"/>
            <w:tcBorders>
              <w:top w:val="nil"/>
              <w:left w:val="nil"/>
              <w:bottom w:val="single" w:sz="4" w:space="0" w:color="auto"/>
              <w:right w:val="single" w:sz="4" w:space="0" w:color="auto"/>
            </w:tcBorders>
            <w:noWrap/>
            <w:vAlign w:val="bottom"/>
            <w:hideMark/>
          </w:tcPr>
          <w:p w14:paraId="5C17DC79"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35</w:t>
            </w:r>
          </w:p>
        </w:tc>
        <w:tc>
          <w:tcPr>
            <w:tcW w:w="262" w:type="pct"/>
            <w:tcBorders>
              <w:top w:val="nil"/>
              <w:left w:val="nil"/>
              <w:bottom w:val="single" w:sz="4" w:space="0" w:color="auto"/>
              <w:right w:val="single" w:sz="4" w:space="0" w:color="auto"/>
            </w:tcBorders>
            <w:noWrap/>
            <w:vAlign w:val="bottom"/>
            <w:hideMark/>
          </w:tcPr>
          <w:p w14:paraId="1A72001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35</w:t>
            </w:r>
          </w:p>
        </w:tc>
        <w:tc>
          <w:tcPr>
            <w:tcW w:w="262" w:type="pct"/>
            <w:tcBorders>
              <w:top w:val="nil"/>
              <w:left w:val="nil"/>
              <w:bottom w:val="single" w:sz="4" w:space="0" w:color="auto"/>
              <w:right w:val="single" w:sz="4" w:space="0" w:color="auto"/>
            </w:tcBorders>
            <w:noWrap/>
            <w:vAlign w:val="bottom"/>
            <w:hideMark/>
          </w:tcPr>
          <w:p w14:paraId="2279A4E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31</w:t>
            </w:r>
          </w:p>
        </w:tc>
        <w:tc>
          <w:tcPr>
            <w:tcW w:w="262" w:type="pct"/>
            <w:tcBorders>
              <w:top w:val="nil"/>
              <w:left w:val="nil"/>
              <w:bottom w:val="single" w:sz="4" w:space="0" w:color="auto"/>
              <w:right w:val="single" w:sz="4" w:space="0" w:color="auto"/>
            </w:tcBorders>
            <w:noWrap/>
            <w:vAlign w:val="bottom"/>
            <w:hideMark/>
          </w:tcPr>
          <w:p w14:paraId="2FB72C9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33</w:t>
            </w:r>
          </w:p>
        </w:tc>
        <w:tc>
          <w:tcPr>
            <w:tcW w:w="71" w:type="pct"/>
            <w:vAlign w:val="center"/>
            <w:hideMark/>
          </w:tcPr>
          <w:p w14:paraId="2137A44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6B7A269"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791E0A8C"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Cash Conversion Cycle (CCC) = Inventory Days + Receivables Days − Payables Days</w:t>
            </w:r>
          </w:p>
        </w:tc>
        <w:tc>
          <w:tcPr>
            <w:tcW w:w="262" w:type="pct"/>
            <w:tcBorders>
              <w:top w:val="nil"/>
              <w:left w:val="nil"/>
              <w:bottom w:val="single" w:sz="4" w:space="0" w:color="auto"/>
              <w:right w:val="single" w:sz="4" w:space="0" w:color="auto"/>
            </w:tcBorders>
            <w:noWrap/>
            <w:vAlign w:val="bottom"/>
            <w:hideMark/>
          </w:tcPr>
          <w:p w14:paraId="10879D5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27.34</w:t>
            </w:r>
          </w:p>
        </w:tc>
        <w:tc>
          <w:tcPr>
            <w:tcW w:w="262" w:type="pct"/>
            <w:tcBorders>
              <w:top w:val="nil"/>
              <w:left w:val="nil"/>
              <w:bottom w:val="single" w:sz="4" w:space="0" w:color="auto"/>
              <w:right w:val="single" w:sz="4" w:space="0" w:color="auto"/>
            </w:tcBorders>
            <w:noWrap/>
            <w:vAlign w:val="bottom"/>
            <w:hideMark/>
          </w:tcPr>
          <w:p w14:paraId="3DACC00B"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18.67</w:t>
            </w:r>
          </w:p>
        </w:tc>
        <w:tc>
          <w:tcPr>
            <w:tcW w:w="262" w:type="pct"/>
            <w:tcBorders>
              <w:top w:val="nil"/>
              <w:left w:val="nil"/>
              <w:bottom w:val="single" w:sz="4" w:space="0" w:color="auto"/>
              <w:right w:val="single" w:sz="4" w:space="0" w:color="auto"/>
            </w:tcBorders>
            <w:noWrap/>
            <w:vAlign w:val="bottom"/>
            <w:hideMark/>
          </w:tcPr>
          <w:p w14:paraId="275035D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17.90</w:t>
            </w:r>
          </w:p>
        </w:tc>
        <w:tc>
          <w:tcPr>
            <w:tcW w:w="262" w:type="pct"/>
            <w:tcBorders>
              <w:top w:val="nil"/>
              <w:left w:val="nil"/>
              <w:bottom w:val="single" w:sz="4" w:space="0" w:color="auto"/>
              <w:right w:val="single" w:sz="4" w:space="0" w:color="auto"/>
            </w:tcBorders>
            <w:noWrap/>
            <w:vAlign w:val="bottom"/>
            <w:hideMark/>
          </w:tcPr>
          <w:p w14:paraId="4B2F779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24.33</w:t>
            </w:r>
          </w:p>
        </w:tc>
        <w:tc>
          <w:tcPr>
            <w:tcW w:w="262" w:type="pct"/>
            <w:tcBorders>
              <w:top w:val="nil"/>
              <w:left w:val="nil"/>
              <w:bottom w:val="single" w:sz="4" w:space="0" w:color="auto"/>
              <w:right w:val="single" w:sz="4" w:space="0" w:color="auto"/>
            </w:tcBorders>
            <w:noWrap/>
            <w:vAlign w:val="bottom"/>
            <w:hideMark/>
          </w:tcPr>
          <w:p w14:paraId="770CA67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28.13</w:t>
            </w:r>
          </w:p>
        </w:tc>
        <w:tc>
          <w:tcPr>
            <w:tcW w:w="71" w:type="pct"/>
            <w:vAlign w:val="center"/>
            <w:hideMark/>
          </w:tcPr>
          <w:p w14:paraId="3B59FFD0"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bl>
    <w:p w14:paraId="4C959D45" w14:textId="77777777" w:rsidR="006A0A19" w:rsidRPr="00403DD3" w:rsidRDefault="006A0A19" w:rsidP="002944F5"/>
    <w:p w14:paraId="3C16DEB0" w14:textId="10BD06A4" w:rsidR="008E7995" w:rsidRDefault="008E7995" w:rsidP="008E7995">
      <w:pPr>
        <w:pStyle w:val="Heading2"/>
      </w:pPr>
      <w:bookmarkStart w:id="87" w:name="_Toc227939075"/>
      <w:r w:rsidRPr="008E7995">
        <w:t>Investment Appraisal Calculations</w:t>
      </w:r>
      <w:bookmarkEnd w:id="87"/>
    </w:p>
    <w:p w14:paraId="2D939965" w14:textId="69936AF4" w:rsidR="00403DD3" w:rsidRDefault="006A0D55" w:rsidP="00403DD3">
      <w:r w:rsidRPr="006A0D55">
        <w:t>Payback Period (PBP)</w:t>
      </w:r>
    </w:p>
    <w:p w14:paraId="1B06A303" w14:textId="339C86BD" w:rsidR="006A0A19" w:rsidRDefault="002944F5" w:rsidP="006A0A19">
      <w:r w:rsidRPr="002944F5">
        <w:rPr>
          <w:noProof/>
        </w:rPr>
        <w:drawing>
          <wp:inline distT="0" distB="0" distL="0" distR="0" wp14:anchorId="38332E7A" wp14:editId="72E76F0F">
            <wp:extent cx="5895975" cy="5705475"/>
            <wp:effectExtent l="0" t="0" r="9525" b="9525"/>
            <wp:docPr id="1294890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895975" cy="5705475"/>
                    </a:xfrm>
                    <a:prstGeom prst="rect">
                      <a:avLst/>
                    </a:prstGeom>
                    <a:noFill/>
                    <a:ln>
                      <a:noFill/>
                    </a:ln>
                  </pic:spPr>
                </pic:pic>
              </a:graphicData>
            </a:graphic>
          </wp:inline>
        </w:drawing>
      </w:r>
    </w:p>
    <w:p w14:paraId="0FDA68D6" w14:textId="77777777" w:rsidR="002944F5" w:rsidRDefault="002944F5" w:rsidP="00403DD3"/>
    <w:p w14:paraId="2439008D" w14:textId="00E2977E" w:rsidR="006A0D55" w:rsidRDefault="006A0D55" w:rsidP="00403DD3">
      <w:r w:rsidRPr="006A0D55">
        <w:lastRenderedPageBreak/>
        <w:t>Accounting Rate of Return (ARR)</w:t>
      </w:r>
    </w:p>
    <w:p w14:paraId="213ACF41" w14:textId="51EE8B87" w:rsidR="00D17B57" w:rsidRDefault="002944F5" w:rsidP="00403DD3">
      <w:r w:rsidRPr="002944F5">
        <w:rPr>
          <w:noProof/>
        </w:rPr>
        <w:drawing>
          <wp:inline distT="0" distB="0" distL="0" distR="0" wp14:anchorId="08822179" wp14:editId="4677365F">
            <wp:extent cx="5943600" cy="1109980"/>
            <wp:effectExtent l="0" t="0" r="0" b="0"/>
            <wp:docPr id="592320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943600" cy="1109980"/>
                    </a:xfrm>
                    <a:prstGeom prst="rect">
                      <a:avLst/>
                    </a:prstGeom>
                    <a:noFill/>
                    <a:ln>
                      <a:noFill/>
                    </a:ln>
                  </pic:spPr>
                </pic:pic>
              </a:graphicData>
            </a:graphic>
          </wp:inline>
        </w:drawing>
      </w:r>
    </w:p>
    <w:p w14:paraId="77D2FB7D" w14:textId="77777777" w:rsidR="006A0D55" w:rsidRDefault="006A0D55" w:rsidP="00403DD3"/>
    <w:p w14:paraId="4AECA193" w14:textId="14837FB0" w:rsidR="006A0D55" w:rsidRDefault="006A0D55" w:rsidP="00403DD3">
      <w:r w:rsidRPr="006A0D55">
        <w:t>NPV (10% Discount Rate)</w:t>
      </w:r>
    </w:p>
    <w:p w14:paraId="7781D852" w14:textId="7F15C04D" w:rsidR="002944F5" w:rsidRDefault="002944F5" w:rsidP="00403DD3">
      <w:r w:rsidRPr="002944F5">
        <w:rPr>
          <w:noProof/>
        </w:rPr>
        <w:drawing>
          <wp:inline distT="0" distB="0" distL="0" distR="0" wp14:anchorId="2CAAFF16" wp14:editId="36087289">
            <wp:extent cx="5943600" cy="4830445"/>
            <wp:effectExtent l="0" t="0" r="0" b="8255"/>
            <wp:docPr id="1744020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43600" cy="4830445"/>
                    </a:xfrm>
                    <a:prstGeom prst="rect">
                      <a:avLst/>
                    </a:prstGeom>
                    <a:noFill/>
                    <a:ln>
                      <a:noFill/>
                    </a:ln>
                  </pic:spPr>
                </pic:pic>
              </a:graphicData>
            </a:graphic>
          </wp:inline>
        </w:drawing>
      </w:r>
    </w:p>
    <w:p w14:paraId="3980AB62" w14:textId="361122A9" w:rsidR="006A0D55" w:rsidRDefault="006A0D55" w:rsidP="00D17B57">
      <w:pPr>
        <w:jc w:val="center"/>
      </w:pPr>
    </w:p>
    <w:p w14:paraId="17372EB1" w14:textId="77777777" w:rsidR="002944F5" w:rsidRDefault="002944F5" w:rsidP="00D17B57">
      <w:pPr>
        <w:jc w:val="center"/>
      </w:pPr>
    </w:p>
    <w:p w14:paraId="53DED371" w14:textId="3FF1C07D" w:rsidR="006A0D55" w:rsidRDefault="006A0D55" w:rsidP="00403DD3">
      <w:r w:rsidRPr="006A0D55">
        <w:lastRenderedPageBreak/>
        <w:t>Profitability Index (PI)</w:t>
      </w:r>
    </w:p>
    <w:p w14:paraId="1418171E" w14:textId="69092CD0" w:rsidR="006A0D55" w:rsidRDefault="002944F5" w:rsidP="00403DD3">
      <w:r w:rsidRPr="002944F5">
        <w:rPr>
          <w:noProof/>
        </w:rPr>
        <w:drawing>
          <wp:inline distT="0" distB="0" distL="0" distR="0" wp14:anchorId="6F4515CF" wp14:editId="00F9B1C9">
            <wp:extent cx="5943600" cy="1104900"/>
            <wp:effectExtent l="0" t="0" r="0" b="0"/>
            <wp:docPr id="18839427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943600" cy="1104900"/>
                    </a:xfrm>
                    <a:prstGeom prst="rect">
                      <a:avLst/>
                    </a:prstGeom>
                    <a:noFill/>
                    <a:ln>
                      <a:noFill/>
                    </a:ln>
                  </pic:spPr>
                </pic:pic>
              </a:graphicData>
            </a:graphic>
          </wp:inline>
        </w:drawing>
      </w:r>
    </w:p>
    <w:p w14:paraId="25AC5768" w14:textId="00B33271" w:rsidR="006A0D55" w:rsidRDefault="006A0D55" w:rsidP="00403DD3">
      <w:r w:rsidRPr="006A0D55">
        <w:t>Internal Rate of Return (IRR)</w:t>
      </w:r>
    </w:p>
    <w:p w14:paraId="0361B3A4" w14:textId="4F370F85" w:rsidR="006A0D55" w:rsidRDefault="002944F5" w:rsidP="00403DD3">
      <w:r w:rsidRPr="002944F5">
        <w:rPr>
          <w:noProof/>
        </w:rPr>
        <w:drawing>
          <wp:inline distT="0" distB="0" distL="0" distR="0" wp14:anchorId="73E818B5" wp14:editId="698B08B5">
            <wp:extent cx="5943600" cy="1612900"/>
            <wp:effectExtent l="0" t="0" r="0" b="6350"/>
            <wp:docPr id="13312804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43600" cy="1612900"/>
                    </a:xfrm>
                    <a:prstGeom prst="rect">
                      <a:avLst/>
                    </a:prstGeom>
                    <a:noFill/>
                    <a:ln>
                      <a:noFill/>
                    </a:ln>
                  </pic:spPr>
                </pic:pic>
              </a:graphicData>
            </a:graphic>
          </wp:inline>
        </w:drawing>
      </w:r>
    </w:p>
    <w:p w14:paraId="6581D56E" w14:textId="77777777" w:rsidR="002944F5" w:rsidRDefault="002944F5" w:rsidP="00403DD3"/>
    <w:p w14:paraId="19452390" w14:textId="03C203C2" w:rsidR="006A0D55" w:rsidRDefault="006A0D55" w:rsidP="00403DD3">
      <w:r w:rsidRPr="006A0D55">
        <w:t>Capital Rationing (Max £100m)</w:t>
      </w:r>
    </w:p>
    <w:p w14:paraId="1EEFAF86" w14:textId="78AA13DF" w:rsidR="002944F5" w:rsidRDefault="002944F5" w:rsidP="00403DD3">
      <w:r w:rsidRPr="002944F5">
        <w:rPr>
          <w:noProof/>
        </w:rPr>
        <w:drawing>
          <wp:inline distT="0" distB="0" distL="0" distR="0" wp14:anchorId="12E49DBE" wp14:editId="562C32EA">
            <wp:extent cx="5895975" cy="1104900"/>
            <wp:effectExtent l="0" t="0" r="9525" b="0"/>
            <wp:docPr id="10833139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895975" cy="1104900"/>
                    </a:xfrm>
                    <a:prstGeom prst="rect">
                      <a:avLst/>
                    </a:prstGeom>
                    <a:noFill/>
                    <a:ln>
                      <a:noFill/>
                    </a:ln>
                  </pic:spPr>
                </pic:pic>
              </a:graphicData>
            </a:graphic>
          </wp:inline>
        </w:drawing>
      </w:r>
    </w:p>
    <w:p w14:paraId="69F1A25F" w14:textId="582513C1" w:rsidR="00D77957" w:rsidRDefault="00D77957" w:rsidP="00403DD3"/>
    <w:p w14:paraId="6CF1828F" w14:textId="77777777" w:rsidR="00D77957" w:rsidRDefault="00D77957" w:rsidP="00403DD3"/>
    <w:p w14:paraId="2E28C275" w14:textId="77777777" w:rsidR="00E62D37" w:rsidRDefault="00E62D37" w:rsidP="00403DD3"/>
    <w:p w14:paraId="1DB319AD" w14:textId="77777777" w:rsidR="00E62D37" w:rsidRDefault="00E62D37" w:rsidP="00403DD3"/>
    <w:p w14:paraId="69535C06" w14:textId="77777777" w:rsidR="00E62D37" w:rsidRDefault="00E62D37" w:rsidP="00403DD3"/>
    <w:p w14:paraId="5F525ACA" w14:textId="77777777" w:rsidR="00E62D37" w:rsidRDefault="00E62D37" w:rsidP="00403DD3"/>
    <w:p w14:paraId="66E678E5" w14:textId="77777777" w:rsidR="00D77957" w:rsidRPr="00403DD3" w:rsidRDefault="00D77957" w:rsidP="00403DD3"/>
    <w:p w14:paraId="40DEACAA" w14:textId="74F5BE7A" w:rsidR="008E7995" w:rsidRPr="008E7995" w:rsidRDefault="008E7995" w:rsidP="008E7995">
      <w:pPr>
        <w:pStyle w:val="Heading2"/>
      </w:pPr>
      <w:bookmarkStart w:id="88" w:name="_Toc227939076"/>
      <w:r w:rsidRPr="008E7995">
        <w:lastRenderedPageBreak/>
        <w:t>Financial Data from Annual Reports</w:t>
      </w:r>
      <w:bookmarkEnd w:id="88"/>
    </w:p>
    <w:p w14:paraId="1A4DCA3E" w14:textId="4D28893B" w:rsidR="002073AB" w:rsidRDefault="002073AB" w:rsidP="008E7995">
      <w:pPr>
        <w:rPr>
          <w:noProof/>
        </w:rPr>
      </w:pPr>
      <w:r w:rsidRPr="002073AB">
        <w:t>202</w:t>
      </w:r>
      <w:r w:rsidR="004965A0">
        <w:rPr>
          <w:noProof/>
        </w:rPr>
        <w:t>0</w:t>
      </w:r>
    </w:p>
    <w:p w14:paraId="7AD63F74" w14:textId="6808C385" w:rsidR="004965A0" w:rsidRDefault="009575B8" w:rsidP="008E7995">
      <w:r>
        <w:rPr>
          <w:noProof/>
        </w:rPr>
        <w:drawing>
          <wp:inline distT="0" distB="0" distL="0" distR="0" wp14:anchorId="3341A959" wp14:editId="503D0BE3">
            <wp:extent cx="5943600" cy="6537325"/>
            <wp:effectExtent l="0" t="0" r="0" b="0"/>
            <wp:docPr id="1631171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71689" name=""/>
                    <pic:cNvPicPr/>
                  </pic:nvPicPr>
                  <pic:blipFill>
                    <a:blip r:embed="rId87"/>
                    <a:stretch>
                      <a:fillRect/>
                    </a:stretch>
                  </pic:blipFill>
                  <pic:spPr>
                    <a:xfrm>
                      <a:off x="0" y="0"/>
                      <a:ext cx="5943600" cy="6537325"/>
                    </a:xfrm>
                    <a:prstGeom prst="rect">
                      <a:avLst/>
                    </a:prstGeom>
                  </pic:spPr>
                </pic:pic>
              </a:graphicData>
            </a:graphic>
          </wp:inline>
        </w:drawing>
      </w:r>
    </w:p>
    <w:p w14:paraId="3802B548" w14:textId="77777777" w:rsidR="009575B8" w:rsidRDefault="009575B8" w:rsidP="008E7995"/>
    <w:p w14:paraId="7966202F" w14:textId="77777777" w:rsidR="009575B8" w:rsidRDefault="009575B8" w:rsidP="008E7995"/>
    <w:p w14:paraId="03070694" w14:textId="5B81E3E9" w:rsidR="009575B8" w:rsidRDefault="009575B8" w:rsidP="008E7995">
      <w:r>
        <w:rPr>
          <w:noProof/>
        </w:rPr>
        <w:lastRenderedPageBreak/>
        <w:drawing>
          <wp:inline distT="0" distB="0" distL="0" distR="0" wp14:anchorId="2111520A" wp14:editId="4803AE3A">
            <wp:extent cx="5943600" cy="7412355"/>
            <wp:effectExtent l="0" t="0" r="0" b="0"/>
            <wp:docPr id="208609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096276" name=""/>
                    <pic:cNvPicPr/>
                  </pic:nvPicPr>
                  <pic:blipFill>
                    <a:blip r:embed="rId88"/>
                    <a:stretch>
                      <a:fillRect/>
                    </a:stretch>
                  </pic:blipFill>
                  <pic:spPr>
                    <a:xfrm>
                      <a:off x="0" y="0"/>
                      <a:ext cx="5943600" cy="7412355"/>
                    </a:xfrm>
                    <a:prstGeom prst="rect">
                      <a:avLst/>
                    </a:prstGeom>
                  </pic:spPr>
                </pic:pic>
              </a:graphicData>
            </a:graphic>
          </wp:inline>
        </w:drawing>
      </w:r>
    </w:p>
    <w:p w14:paraId="3A7669B2" w14:textId="77777777" w:rsidR="009575B8" w:rsidRDefault="009575B8" w:rsidP="008E7995"/>
    <w:p w14:paraId="7D1A2559" w14:textId="77777777" w:rsidR="009575B8" w:rsidRDefault="009575B8" w:rsidP="008E7995"/>
    <w:p w14:paraId="7AF04B50" w14:textId="7A53FE88" w:rsidR="009575B8" w:rsidRDefault="009575B8" w:rsidP="008E7995">
      <w:r>
        <w:rPr>
          <w:noProof/>
        </w:rPr>
        <w:lastRenderedPageBreak/>
        <w:drawing>
          <wp:inline distT="0" distB="0" distL="0" distR="0" wp14:anchorId="0358B22D" wp14:editId="5C1B99ED">
            <wp:extent cx="5943600" cy="6488430"/>
            <wp:effectExtent l="0" t="0" r="0" b="7620"/>
            <wp:docPr id="127382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82237" name=""/>
                    <pic:cNvPicPr/>
                  </pic:nvPicPr>
                  <pic:blipFill>
                    <a:blip r:embed="rId89"/>
                    <a:stretch>
                      <a:fillRect/>
                    </a:stretch>
                  </pic:blipFill>
                  <pic:spPr>
                    <a:xfrm>
                      <a:off x="0" y="0"/>
                      <a:ext cx="5943600" cy="6488430"/>
                    </a:xfrm>
                    <a:prstGeom prst="rect">
                      <a:avLst/>
                    </a:prstGeom>
                  </pic:spPr>
                </pic:pic>
              </a:graphicData>
            </a:graphic>
          </wp:inline>
        </w:drawing>
      </w:r>
    </w:p>
    <w:p w14:paraId="04A64D8B" w14:textId="77777777" w:rsidR="009575B8" w:rsidRDefault="009575B8" w:rsidP="008E7995"/>
    <w:p w14:paraId="52231320" w14:textId="77777777" w:rsidR="009575B8" w:rsidRDefault="009575B8" w:rsidP="008E7995"/>
    <w:p w14:paraId="21A45FBA" w14:textId="77777777" w:rsidR="009575B8" w:rsidRDefault="009575B8" w:rsidP="008E7995"/>
    <w:p w14:paraId="283C2914" w14:textId="77777777" w:rsidR="009575B8" w:rsidRDefault="009575B8" w:rsidP="008E7995"/>
    <w:p w14:paraId="6AB12740" w14:textId="3759D30D" w:rsidR="009575B8" w:rsidRDefault="009575B8" w:rsidP="008E7995">
      <w:r>
        <w:rPr>
          <w:noProof/>
        </w:rPr>
        <w:lastRenderedPageBreak/>
        <w:drawing>
          <wp:inline distT="0" distB="0" distL="0" distR="0" wp14:anchorId="0C027E21" wp14:editId="732DE105">
            <wp:extent cx="5943600" cy="7150100"/>
            <wp:effectExtent l="0" t="0" r="0" b="0"/>
            <wp:docPr id="58072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20101" name=""/>
                    <pic:cNvPicPr/>
                  </pic:nvPicPr>
                  <pic:blipFill>
                    <a:blip r:embed="rId90"/>
                    <a:stretch>
                      <a:fillRect/>
                    </a:stretch>
                  </pic:blipFill>
                  <pic:spPr>
                    <a:xfrm>
                      <a:off x="0" y="0"/>
                      <a:ext cx="5943600" cy="7150100"/>
                    </a:xfrm>
                    <a:prstGeom prst="rect">
                      <a:avLst/>
                    </a:prstGeom>
                  </pic:spPr>
                </pic:pic>
              </a:graphicData>
            </a:graphic>
          </wp:inline>
        </w:drawing>
      </w:r>
    </w:p>
    <w:p w14:paraId="2359410D" w14:textId="77777777" w:rsidR="009575B8" w:rsidRDefault="009575B8" w:rsidP="008E7995"/>
    <w:p w14:paraId="42945C42" w14:textId="77777777" w:rsidR="009575B8" w:rsidRDefault="009575B8" w:rsidP="008E7995"/>
    <w:p w14:paraId="5F7EDBF6" w14:textId="77103DB5" w:rsidR="009575B8" w:rsidRDefault="009575B8" w:rsidP="008E7995">
      <w:r>
        <w:rPr>
          <w:noProof/>
        </w:rPr>
        <w:lastRenderedPageBreak/>
        <w:drawing>
          <wp:inline distT="0" distB="0" distL="0" distR="0" wp14:anchorId="451C4DC0" wp14:editId="2ED67088">
            <wp:extent cx="5943600" cy="7749540"/>
            <wp:effectExtent l="0" t="0" r="0" b="3810"/>
            <wp:docPr id="283154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54996" name=""/>
                    <pic:cNvPicPr/>
                  </pic:nvPicPr>
                  <pic:blipFill>
                    <a:blip r:embed="rId91"/>
                    <a:stretch>
                      <a:fillRect/>
                    </a:stretch>
                  </pic:blipFill>
                  <pic:spPr>
                    <a:xfrm>
                      <a:off x="0" y="0"/>
                      <a:ext cx="5943600" cy="7749540"/>
                    </a:xfrm>
                    <a:prstGeom prst="rect">
                      <a:avLst/>
                    </a:prstGeom>
                  </pic:spPr>
                </pic:pic>
              </a:graphicData>
            </a:graphic>
          </wp:inline>
        </w:drawing>
      </w:r>
    </w:p>
    <w:p w14:paraId="085DEB13" w14:textId="77777777" w:rsidR="009575B8" w:rsidRDefault="009575B8" w:rsidP="008E7995"/>
    <w:p w14:paraId="7E7D5A9C" w14:textId="076CE63F" w:rsidR="009575B8" w:rsidRDefault="009575B8" w:rsidP="008E7995">
      <w:r>
        <w:rPr>
          <w:noProof/>
        </w:rPr>
        <w:lastRenderedPageBreak/>
        <w:drawing>
          <wp:inline distT="0" distB="0" distL="0" distR="0" wp14:anchorId="77C9B907" wp14:editId="3CCFB098">
            <wp:extent cx="5943600" cy="7334250"/>
            <wp:effectExtent l="0" t="0" r="0" b="0"/>
            <wp:docPr id="1287590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590555" name=""/>
                    <pic:cNvPicPr/>
                  </pic:nvPicPr>
                  <pic:blipFill>
                    <a:blip r:embed="rId92"/>
                    <a:stretch>
                      <a:fillRect/>
                    </a:stretch>
                  </pic:blipFill>
                  <pic:spPr>
                    <a:xfrm>
                      <a:off x="0" y="0"/>
                      <a:ext cx="5943600" cy="7334250"/>
                    </a:xfrm>
                    <a:prstGeom prst="rect">
                      <a:avLst/>
                    </a:prstGeom>
                  </pic:spPr>
                </pic:pic>
              </a:graphicData>
            </a:graphic>
          </wp:inline>
        </w:drawing>
      </w:r>
    </w:p>
    <w:p w14:paraId="2266BAF6" w14:textId="77777777" w:rsidR="009575B8" w:rsidRDefault="009575B8" w:rsidP="008E7995"/>
    <w:p w14:paraId="7CF4EBAC" w14:textId="77777777" w:rsidR="009575B8" w:rsidRDefault="009575B8" w:rsidP="008E7995"/>
    <w:p w14:paraId="02CDF0FC" w14:textId="643141D9" w:rsidR="000B6C78" w:rsidRDefault="002073AB" w:rsidP="008E7995">
      <w:pPr>
        <w:rPr>
          <w:noProof/>
        </w:rPr>
      </w:pPr>
      <w:r>
        <w:rPr>
          <w:noProof/>
        </w:rPr>
        <w:lastRenderedPageBreak/>
        <w:t>202</w:t>
      </w:r>
      <w:r w:rsidR="004965A0">
        <w:rPr>
          <w:noProof/>
        </w:rPr>
        <w:t>1</w:t>
      </w:r>
    </w:p>
    <w:p w14:paraId="7D04FBC0" w14:textId="1E8B9733" w:rsidR="009575B8" w:rsidRDefault="009575B8" w:rsidP="008E7995">
      <w:pPr>
        <w:rPr>
          <w:noProof/>
        </w:rPr>
      </w:pPr>
      <w:r>
        <w:rPr>
          <w:noProof/>
        </w:rPr>
        <w:drawing>
          <wp:inline distT="0" distB="0" distL="0" distR="0" wp14:anchorId="6C344595" wp14:editId="08E42AC3">
            <wp:extent cx="5943600" cy="6724650"/>
            <wp:effectExtent l="0" t="0" r="0" b="0"/>
            <wp:docPr id="1054677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77382" name=""/>
                    <pic:cNvPicPr/>
                  </pic:nvPicPr>
                  <pic:blipFill rotWithShape="1">
                    <a:blip r:embed="rId93"/>
                    <a:srcRect b="14926"/>
                    <a:stretch>
                      <a:fillRect/>
                    </a:stretch>
                  </pic:blipFill>
                  <pic:spPr bwMode="auto">
                    <a:xfrm>
                      <a:off x="0" y="0"/>
                      <a:ext cx="5943600" cy="6724650"/>
                    </a:xfrm>
                    <a:prstGeom prst="rect">
                      <a:avLst/>
                    </a:prstGeom>
                    <a:ln>
                      <a:noFill/>
                    </a:ln>
                    <a:extLst>
                      <a:ext uri="{53640926-AAD7-44D8-BBD7-CCE9431645EC}">
                        <a14:shadowObscured xmlns:a14="http://schemas.microsoft.com/office/drawing/2010/main"/>
                      </a:ext>
                    </a:extLst>
                  </pic:spPr>
                </pic:pic>
              </a:graphicData>
            </a:graphic>
          </wp:inline>
        </w:drawing>
      </w:r>
    </w:p>
    <w:p w14:paraId="3A918025" w14:textId="5CD2CFFF" w:rsidR="009575B8" w:rsidRDefault="009575B8" w:rsidP="008E7995">
      <w:pPr>
        <w:rPr>
          <w:noProof/>
        </w:rPr>
      </w:pPr>
      <w:r>
        <w:rPr>
          <w:noProof/>
        </w:rPr>
        <w:lastRenderedPageBreak/>
        <w:drawing>
          <wp:inline distT="0" distB="0" distL="0" distR="0" wp14:anchorId="1E824AD2" wp14:editId="51ABFDD6">
            <wp:extent cx="5943600" cy="8070215"/>
            <wp:effectExtent l="0" t="0" r="0" b="6985"/>
            <wp:docPr id="895983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983748" name=""/>
                    <pic:cNvPicPr/>
                  </pic:nvPicPr>
                  <pic:blipFill>
                    <a:blip r:embed="rId94"/>
                    <a:stretch>
                      <a:fillRect/>
                    </a:stretch>
                  </pic:blipFill>
                  <pic:spPr>
                    <a:xfrm>
                      <a:off x="0" y="0"/>
                      <a:ext cx="5943600" cy="8070215"/>
                    </a:xfrm>
                    <a:prstGeom prst="rect">
                      <a:avLst/>
                    </a:prstGeom>
                  </pic:spPr>
                </pic:pic>
              </a:graphicData>
            </a:graphic>
          </wp:inline>
        </w:drawing>
      </w:r>
    </w:p>
    <w:p w14:paraId="02BEA314" w14:textId="2F113E4D" w:rsidR="009575B8" w:rsidRDefault="009575B8" w:rsidP="008E7995">
      <w:pPr>
        <w:rPr>
          <w:noProof/>
        </w:rPr>
      </w:pPr>
      <w:r>
        <w:rPr>
          <w:noProof/>
        </w:rPr>
        <w:lastRenderedPageBreak/>
        <w:drawing>
          <wp:inline distT="0" distB="0" distL="0" distR="0" wp14:anchorId="438FD894" wp14:editId="465B1FCD">
            <wp:extent cx="5943600" cy="7944485"/>
            <wp:effectExtent l="0" t="0" r="0" b="0"/>
            <wp:docPr id="910471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471698" name=""/>
                    <pic:cNvPicPr/>
                  </pic:nvPicPr>
                  <pic:blipFill>
                    <a:blip r:embed="rId95"/>
                    <a:stretch>
                      <a:fillRect/>
                    </a:stretch>
                  </pic:blipFill>
                  <pic:spPr>
                    <a:xfrm>
                      <a:off x="0" y="0"/>
                      <a:ext cx="5943600" cy="7944485"/>
                    </a:xfrm>
                    <a:prstGeom prst="rect">
                      <a:avLst/>
                    </a:prstGeom>
                  </pic:spPr>
                </pic:pic>
              </a:graphicData>
            </a:graphic>
          </wp:inline>
        </w:drawing>
      </w:r>
    </w:p>
    <w:p w14:paraId="1793DDE4" w14:textId="38E57592" w:rsidR="009575B8" w:rsidRDefault="009575B8" w:rsidP="008E7995">
      <w:pPr>
        <w:rPr>
          <w:noProof/>
        </w:rPr>
      </w:pPr>
      <w:r>
        <w:rPr>
          <w:noProof/>
        </w:rPr>
        <w:lastRenderedPageBreak/>
        <w:drawing>
          <wp:inline distT="0" distB="0" distL="0" distR="0" wp14:anchorId="55DC4252" wp14:editId="7DE92D49">
            <wp:extent cx="5699760" cy="8229600"/>
            <wp:effectExtent l="0" t="0" r="0" b="0"/>
            <wp:docPr id="122744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46291" name=""/>
                    <pic:cNvPicPr/>
                  </pic:nvPicPr>
                  <pic:blipFill>
                    <a:blip r:embed="rId96"/>
                    <a:stretch>
                      <a:fillRect/>
                    </a:stretch>
                  </pic:blipFill>
                  <pic:spPr>
                    <a:xfrm>
                      <a:off x="0" y="0"/>
                      <a:ext cx="5699760" cy="8229600"/>
                    </a:xfrm>
                    <a:prstGeom prst="rect">
                      <a:avLst/>
                    </a:prstGeom>
                  </pic:spPr>
                </pic:pic>
              </a:graphicData>
            </a:graphic>
          </wp:inline>
        </w:drawing>
      </w:r>
    </w:p>
    <w:p w14:paraId="162CC4D3" w14:textId="347FBD1E" w:rsidR="009575B8" w:rsidRDefault="009575B8" w:rsidP="008E7995">
      <w:pPr>
        <w:rPr>
          <w:noProof/>
        </w:rPr>
      </w:pPr>
      <w:r>
        <w:rPr>
          <w:noProof/>
        </w:rPr>
        <w:lastRenderedPageBreak/>
        <w:drawing>
          <wp:inline distT="0" distB="0" distL="0" distR="0" wp14:anchorId="2386FFA4" wp14:editId="4087E005">
            <wp:extent cx="5943600" cy="7892415"/>
            <wp:effectExtent l="0" t="0" r="0" b="0"/>
            <wp:docPr id="1128003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03748" name=""/>
                    <pic:cNvPicPr/>
                  </pic:nvPicPr>
                  <pic:blipFill>
                    <a:blip r:embed="rId97"/>
                    <a:stretch>
                      <a:fillRect/>
                    </a:stretch>
                  </pic:blipFill>
                  <pic:spPr>
                    <a:xfrm>
                      <a:off x="0" y="0"/>
                      <a:ext cx="5943600" cy="7892415"/>
                    </a:xfrm>
                    <a:prstGeom prst="rect">
                      <a:avLst/>
                    </a:prstGeom>
                  </pic:spPr>
                </pic:pic>
              </a:graphicData>
            </a:graphic>
          </wp:inline>
        </w:drawing>
      </w:r>
    </w:p>
    <w:p w14:paraId="0D4625F1" w14:textId="68816B0F" w:rsidR="009575B8" w:rsidRDefault="009575B8" w:rsidP="008E7995">
      <w:pPr>
        <w:rPr>
          <w:noProof/>
        </w:rPr>
      </w:pPr>
      <w:r>
        <w:rPr>
          <w:noProof/>
        </w:rPr>
        <w:lastRenderedPageBreak/>
        <w:drawing>
          <wp:inline distT="0" distB="0" distL="0" distR="0" wp14:anchorId="47F50A0C" wp14:editId="09FE7A48">
            <wp:extent cx="5943600" cy="8218805"/>
            <wp:effectExtent l="0" t="0" r="0" b="0"/>
            <wp:docPr id="118379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790693" name=""/>
                    <pic:cNvPicPr/>
                  </pic:nvPicPr>
                  <pic:blipFill>
                    <a:blip r:embed="rId98"/>
                    <a:stretch>
                      <a:fillRect/>
                    </a:stretch>
                  </pic:blipFill>
                  <pic:spPr>
                    <a:xfrm>
                      <a:off x="0" y="0"/>
                      <a:ext cx="5943600" cy="8218805"/>
                    </a:xfrm>
                    <a:prstGeom prst="rect">
                      <a:avLst/>
                    </a:prstGeom>
                  </pic:spPr>
                </pic:pic>
              </a:graphicData>
            </a:graphic>
          </wp:inline>
        </w:drawing>
      </w:r>
    </w:p>
    <w:p w14:paraId="6BF89D7A" w14:textId="69A824CD" w:rsidR="00E47AA4" w:rsidRDefault="00FF3661" w:rsidP="008E7995">
      <w:r>
        <w:lastRenderedPageBreak/>
        <w:t>202</w:t>
      </w:r>
      <w:r w:rsidR="003827AA">
        <w:t>2</w:t>
      </w:r>
    </w:p>
    <w:p w14:paraId="2F0FA088" w14:textId="25780D0C" w:rsidR="009575B8" w:rsidRDefault="00BE458E" w:rsidP="008E7995">
      <w:r>
        <w:rPr>
          <w:noProof/>
        </w:rPr>
        <w:drawing>
          <wp:inline distT="0" distB="0" distL="0" distR="0" wp14:anchorId="099940B5" wp14:editId="6E9922A5">
            <wp:extent cx="5866765" cy="7258050"/>
            <wp:effectExtent l="0" t="0" r="635" b="0"/>
            <wp:docPr id="164670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04543" name=""/>
                    <pic:cNvPicPr/>
                  </pic:nvPicPr>
                  <pic:blipFill rotWithShape="1">
                    <a:blip r:embed="rId99"/>
                    <a:srcRect b="11806"/>
                    <a:stretch>
                      <a:fillRect/>
                    </a:stretch>
                  </pic:blipFill>
                  <pic:spPr bwMode="auto">
                    <a:xfrm>
                      <a:off x="0" y="0"/>
                      <a:ext cx="5866765" cy="7258050"/>
                    </a:xfrm>
                    <a:prstGeom prst="rect">
                      <a:avLst/>
                    </a:prstGeom>
                    <a:ln>
                      <a:noFill/>
                    </a:ln>
                    <a:extLst>
                      <a:ext uri="{53640926-AAD7-44D8-BBD7-CCE9431645EC}">
                        <a14:shadowObscured xmlns:a14="http://schemas.microsoft.com/office/drawing/2010/main"/>
                      </a:ext>
                    </a:extLst>
                  </pic:spPr>
                </pic:pic>
              </a:graphicData>
            </a:graphic>
          </wp:inline>
        </w:drawing>
      </w:r>
    </w:p>
    <w:p w14:paraId="6679CE09" w14:textId="170A414C" w:rsidR="00BE458E" w:rsidRDefault="00BE458E" w:rsidP="008E7995">
      <w:r>
        <w:rPr>
          <w:noProof/>
        </w:rPr>
        <w:lastRenderedPageBreak/>
        <w:drawing>
          <wp:inline distT="0" distB="0" distL="0" distR="0" wp14:anchorId="76042785" wp14:editId="186D16D3">
            <wp:extent cx="5516880" cy="8229600"/>
            <wp:effectExtent l="0" t="0" r="7620" b="0"/>
            <wp:docPr id="1233746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46402" name=""/>
                    <pic:cNvPicPr/>
                  </pic:nvPicPr>
                  <pic:blipFill>
                    <a:blip r:embed="rId100"/>
                    <a:stretch>
                      <a:fillRect/>
                    </a:stretch>
                  </pic:blipFill>
                  <pic:spPr>
                    <a:xfrm>
                      <a:off x="0" y="0"/>
                      <a:ext cx="5516880" cy="8229600"/>
                    </a:xfrm>
                    <a:prstGeom prst="rect">
                      <a:avLst/>
                    </a:prstGeom>
                  </pic:spPr>
                </pic:pic>
              </a:graphicData>
            </a:graphic>
          </wp:inline>
        </w:drawing>
      </w:r>
      <w:r>
        <w:rPr>
          <w:noProof/>
        </w:rPr>
        <w:lastRenderedPageBreak/>
        <w:drawing>
          <wp:inline distT="0" distB="0" distL="0" distR="0" wp14:anchorId="4345B62E" wp14:editId="646AD967">
            <wp:extent cx="5822315" cy="8229600"/>
            <wp:effectExtent l="0" t="0" r="6985" b="0"/>
            <wp:docPr id="1219117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17228" name=""/>
                    <pic:cNvPicPr/>
                  </pic:nvPicPr>
                  <pic:blipFill>
                    <a:blip r:embed="rId101"/>
                    <a:stretch>
                      <a:fillRect/>
                    </a:stretch>
                  </pic:blipFill>
                  <pic:spPr>
                    <a:xfrm>
                      <a:off x="0" y="0"/>
                      <a:ext cx="5822315" cy="8229600"/>
                    </a:xfrm>
                    <a:prstGeom prst="rect">
                      <a:avLst/>
                    </a:prstGeom>
                  </pic:spPr>
                </pic:pic>
              </a:graphicData>
            </a:graphic>
          </wp:inline>
        </w:drawing>
      </w:r>
      <w:r>
        <w:rPr>
          <w:noProof/>
        </w:rPr>
        <w:lastRenderedPageBreak/>
        <w:drawing>
          <wp:inline distT="0" distB="0" distL="0" distR="0" wp14:anchorId="47AC0D4A" wp14:editId="4E4F5D21">
            <wp:extent cx="5943600" cy="8197215"/>
            <wp:effectExtent l="0" t="0" r="0" b="0"/>
            <wp:docPr id="16256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0704" name=""/>
                    <pic:cNvPicPr/>
                  </pic:nvPicPr>
                  <pic:blipFill>
                    <a:blip r:embed="rId102"/>
                    <a:stretch>
                      <a:fillRect/>
                    </a:stretch>
                  </pic:blipFill>
                  <pic:spPr>
                    <a:xfrm>
                      <a:off x="0" y="0"/>
                      <a:ext cx="5943600" cy="8197215"/>
                    </a:xfrm>
                    <a:prstGeom prst="rect">
                      <a:avLst/>
                    </a:prstGeom>
                  </pic:spPr>
                </pic:pic>
              </a:graphicData>
            </a:graphic>
          </wp:inline>
        </w:drawing>
      </w:r>
      <w:r>
        <w:rPr>
          <w:noProof/>
        </w:rPr>
        <w:lastRenderedPageBreak/>
        <w:drawing>
          <wp:inline distT="0" distB="0" distL="0" distR="0" wp14:anchorId="6D126F3A" wp14:editId="2EFB5C5E">
            <wp:extent cx="5943600" cy="7934325"/>
            <wp:effectExtent l="0" t="0" r="0" b="9525"/>
            <wp:docPr id="546002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002850" name=""/>
                    <pic:cNvPicPr/>
                  </pic:nvPicPr>
                  <pic:blipFill>
                    <a:blip r:embed="rId103"/>
                    <a:stretch>
                      <a:fillRect/>
                    </a:stretch>
                  </pic:blipFill>
                  <pic:spPr>
                    <a:xfrm>
                      <a:off x="0" y="0"/>
                      <a:ext cx="5943600" cy="7934325"/>
                    </a:xfrm>
                    <a:prstGeom prst="rect">
                      <a:avLst/>
                    </a:prstGeom>
                  </pic:spPr>
                </pic:pic>
              </a:graphicData>
            </a:graphic>
          </wp:inline>
        </w:drawing>
      </w:r>
      <w:r>
        <w:rPr>
          <w:noProof/>
        </w:rPr>
        <w:lastRenderedPageBreak/>
        <w:drawing>
          <wp:inline distT="0" distB="0" distL="0" distR="0" wp14:anchorId="7F77B761" wp14:editId="71D6D22E">
            <wp:extent cx="5943600" cy="8143875"/>
            <wp:effectExtent l="0" t="0" r="0" b="9525"/>
            <wp:docPr id="757991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91083" name=""/>
                    <pic:cNvPicPr/>
                  </pic:nvPicPr>
                  <pic:blipFill>
                    <a:blip r:embed="rId104"/>
                    <a:stretch>
                      <a:fillRect/>
                    </a:stretch>
                  </pic:blipFill>
                  <pic:spPr>
                    <a:xfrm>
                      <a:off x="0" y="0"/>
                      <a:ext cx="5943600" cy="8143875"/>
                    </a:xfrm>
                    <a:prstGeom prst="rect">
                      <a:avLst/>
                    </a:prstGeom>
                  </pic:spPr>
                </pic:pic>
              </a:graphicData>
            </a:graphic>
          </wp:inline>
        </w:drawing>
      </w:r>
    </w:p>
    <w:p w14:paraId="264C2F57" w14:textId="40F07C9C" w:rsidR="00FF263E" w:rsidRDefault="00E47AA4" w:rsidP="008E7995">
      <w:pPr>
        <w:rPr>
          <w:noProof/>
        </w:rPr>
      </w:pPr>
      <w:r>
        <w:rPr>
          <w:noProof/>
        </w:rPr>
        <w:lastRenderedPageBreak/>
        <w:t>202</w:t>
      </w:r>
      <w:r w:rsidR="004965A0">
        <w:rPr>
          <w:noProof/>
        </w:rPr>
        <w:t>3</w:t>
      </w:r>
    </w:p>
    <w:p w14:paraId="55F43C60" w14:textId="14E31823" w:rsidR="00BE458E" w:rsidRDefault="00BE458E" w:rsidP="008E7995">
      <w:pPr>
        <w:rPr>
          <w:noProof/>
        </w:rPr>
      </w:pPr>
      <w:r>
        <w:rPr>
          <w:noProof/>
        </w:rPr>
        <w:drawing>
          <wp:inline distT="0" distB="0" distL="0" distR="0" wp14:anchorId="6721C58A" wp14:editId="5235BE47">
            <wp:extent cx="5943600" cy="7400925"/>
            <wp:effectExtent l="0" t="0" r="0" b="9525"/>
            <wp:docPr id="1156265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265929" name=""/>
                    <pic:cNvPicPr/>
                  </pic:nvPicPr>
                  <pic:blipFill rotWithShape="1">
                    <a:blip r:embed="rId105"/>
                    <a:srcRect b="6318"/>
                    <a:stretch>
                      <a:fillRect/>
                    </a:stretch>
                  </pic:blipFill>
                  <pic:spPr bwMode="auto">
                    <a:xfrm>
                      <a:off x="0" y="0"/>
                      <a:ext cx="5943600" cy="7400925"/>
                    </a:xfrm>
                    <a:prstGeom prst="rect">
                      <a:avLst/>
                    </a:prstGeom>
                    <a:ln>
                      <a:noFill/>
                    </a:ln>
                    <a:extLst>
                      <a:ext uri="{53640926-AAD7-44D8-BBD7-CCE9431645EC}">
                        <a14:shadowObscured xmlns:a14="http://schemas.microsoft.com/office/drawing/2010/main"/>
                      </a:ext>
                    </a:extLst>
                  </pic:spPr>
                </pic:pic>
              </a:graphicData>
            </a:graphic>
          </wp:inline>
        </w:drawing>
      </w:r>
    </w:p>
    <w:p w14:paraId="1051303D" w14:textId="6ADC0DC4" w:rsidR="00BE458E" w:rsidRDefault="00BE458E" w:rsidP="008E7995">
      <w:pPr>
        <w:rPr>
          <w:noProof/>
        </w:rPr>
      </w:pPr>
      <w:r>
        <w:rPr>
          <w:noProof/>
        </w:rPr>
        <w:lastRenderedPageBreak/>
        <w:drawing>
          <wp:inline distT="0" distB="0" distL="0" distR="0" wp14:anchorId="1709139D" wp14:editId="524227CE">
            <wp:extent cx="5514975" cy="8229600"/>
            <wp:effectExtent l="0" t="0" r="9525" b="0"/>
            <wp:docPr id="1769188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88639" name=""/>
                    <pic:cNvPicPr/>
                  </pic:nvPicPr>
                  <pic:blipFill>
                    <a:blip r:embed="rId106"/>
                    <a:stretch>
                      <a:fillRect/>
                    </a:stretch>
                  </pic:blipFill>
                  <pic:spPr>
                    <a:xfrm>
                      <a:off x="0" y="0"/>
                      <a:ext cx="5514975" cy="8229600"/>
                    </a:xfrm>
                    <a:prstGeom prst="rect">
                      <a:avLst/>
                    </a:prstGeom>
                  </pic:spPr>
                </pic:pic>
              </a:graphicData>
            </a:graphic>
          </wp:inline>
        </w:drawing>
      </w:r>
    </w:p>
    <w:p w14:paraId="1F63AAE3" w14:textId="6F064AB3" w:rsidR="00BE458E" w:rsidRDefault="00BE458E" w:rsidP="008E7995">
      <w:pPr>
        <w:rPr>
          <w:noProof/>
        </w:rPr>
      </w:pPr>
      <w:r>
        <w:rPr>
          <w:noProof/>
        </w:rPr>
        <w:lastRenderedPageBreak/>
        <w:drawing>
          <wp:inline distT="0" distB="0" distL="0" distR="0" wp14:anchorId="5F6C9F46" wp14:editId="65273025">
            <wp:extent cx="5772785" cy="8229600"/>
            <wp:effectExtent l="0" t="0" r="0" b="0"/>
            <wp:docPr id="19743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6273" name=""/>
                    <pic:cNvPicPr/>
                  </pic:nvPicPr>
                  <pic:blipFill>
                    <a:blip r:embed="rId107"/>
                    <a:stretch>
                      <a:fillRect/>
                    </a:stretch>
                  </pic:blipFill>
                  <pic:spPr>
                    <a:xfrm>
                      <a:off x="0" y="0"/>
                      <a:ext cx="5772785" cy="8229600"/>
                    </a:xfrm>
                    <a:prstGeom prst="rect">
                      <a:avLst/>
                    </a:prstGeom>
                  </pic:spPr>
                </pic:pic>
              </a:graphicData>
            </a:graphic>
          </wp:inline>
        </w:drawing>
      </w:r>
    </w:p>
    <w:p w14:paraId="5780ED16" w14:textId="19591C32" w:rsidR="00BE458E" w:rsidRDefault="00BE458E" w:rsidP="008E7995">
      <w:pPr>
        <w:rPr>
          <w:noProof/>
        </w:rPr>
      </w:pPr>
      <w:r>
        <w:rPr>
          <w:noProof/>
        </w:rPr>
        <w:lastRenderedPageBreak/>
        <w:drawing>
          <wp:inline distT="0" distB="0" distL="0" distR="0" wp14:anchorId="0A9B7A1E" wp14:editId="1AE3F26A">
            <wp:extent cx="5943600" cy="7682230"/>
            <wp:effectExtent l="0" t="0" r="0" b="0"/>
            <wp:docPr id="91966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67086" name=""/>
                    <pic:cNvPicPr/>
                  </pic:nvPicPr>
                  <pic:blipFill>
                    <a:blip r:embed="rId108"/>
                    <a:stretch>
                      <a:fillRect/>
                    </a:stretch>
                  </pic:blipFill>
                  <pic:spPr>
                    <a:xfrm>
                      <a:off x="0" y="0"/>
                      <a:ext cx="5943600" cy="7682230"/>
                    </a:xfrm>
                    <a:prstGeom prst="rect">
                      <a:avLst/>
                    </a:prstGeom>
                  </pic:spPr>
                </pic:pic>
              </a:graphicData>
            </a:graphic>
          </wp:inline>
        </w:drawing>
      </w:r>
    </w:p>
    <w:p w14:paraId="26F3FC9E" w14:textId="77777777" w:rsidR="00BE458E" w:rsidRDefault="00BE458E" w:rsidP="008E7995">
      <w:pPr>
        <w:rPr>
          <w:noProof/>
        </w:rPr>
      </w:pPr>
    </w:p>
    <w:p w14:paraId="1BF0F4A1" w14:textId="74101392" w:rsidR="00BE458E" w:rsidRDefault="00BE458E" w:rsidP="008E7995">
      <w:pPr>
        <w:rPr>
          <w:noProof/>
        </w:rPr>
      </w:pPr>
      <w:r>
        <w:rPr>
          <w:noProof/>
        </w:rPr>
        <w:lastRenderedPageBreak/>
        <w:drawing>
          <wp:inline distT="0" distB="0" distL="0" distR="0" wp14:anchorId="27CBBC1B" wp14:editId="19F64B9B">
            <wp:extent cx="5943600" cy="7697470"/>
            <wp:effectExtent l="0" t="0" r="0" b="0"/>
            <wp:docPr id="1513644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644718" name=""/>
                    <pic:cNvPicPr/>
                  </pic:nvPicPr>
                  <pic:blipFill>
                    <a:blip r:embed="rId109"/>
                    <a:stretch>
                      <a:fillRect/>
                    </a:stretch>
                  </pic:blipFill>
                  <pic:spPr>
                    <a:xfrm>
                      <a:off x="0" y="0"/>
                      <a:ext cx="5943600" cy="7697470"/>
                    </a:xfrm>
                    <a:prstGeom prst="rect">
                      <a:avLst/>
                    </a:prstGeom>
                  </pic:spPr>
                </pic:pic>
              </a:graphicData>
            </a:graphic>
          </wp:inline>
        </w:drawing>
      </w:r>
    </w:p>
    <w:p w14:paraId="78AD321F" w14:textId="77777777" w:rsidR="00BE458E" w:rsidRDefault="00BE458E" w:rsidP="008E7995">
      <w:pPr>
        <w:rPr>
          <w:noProof/>
        </w:rPr>
      </w:pPr>
    </w:p>
    <w:p w14:paraId="780BFB15" w14:textId="24F77917" w:rsidR="00BE458E" w:rsidRDefault="00BE458E" w:rsidP="008E7995">
      <w:pPr>
        <w:rPr>
          <w:noProof/>
        </w:rPr>
      </w:pPr>
      <w:r>
        <w:rPr>
          <w:noProof/>
        </w:rPr>
        <w:lastRenderedPageBreak/>
        <w:drawing>
          <wp:inline distT="0" distB="0" distL="0" distR="0" wp14:anchorId="44ED3C8D" wp14:editId="5C38B4DA">
            <wp:extent cx="5605780" cy="8229600"/>
            <wp:effectExtent l="0" t="0" r="0" b="0"/>
            <wp:docPr id="716763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763446" name=""/>
                    <pic:cNvPicPr/>
                  </pic:nvPicPr>
                  <pic:blipFill>
                    <a:blip r:embed="rId110"/>
                    <a:stretch>
                      <a:fillRect/>
                    </a:stretch>
                  </pic:blipFill>
                  <pic:spPr>
                    <a:xfrm>
                      <a:off x="0" y="0"/>
                      <a:ext cx="5605780" cy="8229600"/>
                    </a:xfrm>
                    <a:prstGeom prst="rect">
                      <a:avLst/>
                    </a:prstGeom>
                  </pic:spPr>
                </pic:pic>
              </a:graphicData>
            </a:graphic>
          </wp:inline>
        </w:drawing>
      </w:r>
    </w:p>
    <w:p w14:paraId="35FF61E2" w14:textId="623A98AB" w:rsidR="0026131A" w:rsidRDefault="00FF263E" w:rsidP="008E7995">
      <w:r>
        <w:lastRenderedPageBreak/>
        <w:t>202</w:t>
      </w:r>
      <w:r w:rsidR="004965A0">
        <w:t>4</w:t>
      </w:r>
    </w:p>
    <w:p w14:paraId="5A17549D" w14:textId="6E1BA23B" w:rsidR="00BE458E" w:rsidRDefault="00BE458E" w:rsidP="008E7995">
      <w:r>
        <w:rPr>
          <w:noProof/>
        </w:rPr>
        <w:drawing>
          <wp:inline distT="0" distB="0" distL="0" distR="0" wp14:anchorId="352B94B7" wp14:editId="5D70D1AD">
            <wp:extent cx="5780405" cy="7667625"/>
            <wp:effectExtent l="0" t="0" r="0" b="9525"/>
            <wp:docPr id="2105535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35635" name=""/>
                    <pic:cNvPicPr/>
                  </pic:nvPicPr>
                  <pic:blipFill rotWithShape="1">
                    <a:blip r:embed="rId111"/>
                    <a:srcRect b="6829"/>
                    <a:stretch>
                      <a:fillRect/>
                    </a:stretch>
                  </pic:blipFill>
                  <pic:spPr bwMode="auto">
                    <a:xfrm>
                      <a:off x="0" y="0"/>
                      <a:ext cx="5780405" cy="7667625"/>
                    </a:xfrm>
                    <a:prstGeom prst="rect">
                      <a:avLst/>
                    </a:prstGeom>
                    <a:ln>
                      <a:noFill/>
                    </a:ln>
                    <a:extLst>
                      <a:ext uri="{53640926-AAD7-44D8-BBD7-CCE9431645EC}">
                        <a14:shadowObscured xmlns:a14="http://schemas.microsoft.com/office/drawing/2010/main"/>
                      </a:ext>
                    </a:extLst>
                  </pic:spPr>
                </pic:pic>
              </a:graphicData>
            </a:graphic>
          </wp:inline>
        </w:drawing>
      </w:r>
    </w:p>
    <w:p w14:paraId="6C4BF07B" w14:textId="76DEF934" w:rsidR="00BE458E" w:rsidRDefault="00BE458E" w:rsidP="008E7995">
      <w:r>
        <w:rPr>
          <w:noProof/>
        </w:rPr>
        <w:lastRenderedPageBreak/>
        <w:drawing>
          <wp:inline distT="0" distB="0" distL="0" distR="0" wp14:anchorId="630B2DCF" wp14:editId="3EE94A05">
            <wp:extent cx="5698490" cy="8229600"/>
            <wp:effectExtent l="0" t="0" r="0" b="0"/>
            <wp:docPr id="101899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99874" name=""/>
                    <pic:cNvPicPr/>
                  </pic:nvPicPr>
                  <pic:blipFill>
                    <a:blip r:embed="rId112"/>
                    <a:stretch>
                      <a:fillRect/>
                    </a:stretch>
                  </pic:blipFill>
                  <pic:spPr>
                    <a:xfrm>
                      <a:off x="0" y="0"/>
                      <a:ext cx="5698490" cy="8229600"/>
                    </a:xfrm>
                    <a:prstGeom prst="rect">
                      <a:avLst/>
                    </a:prstGeom>
                  </pic:spPr>
                </pic:pic>
              </a:graphicData>
            </a:graphic>
          </wp:inline>
        </w:drawing>
      </w:r>
    </w:p>
    <w:p w14:paraId="46C7C671" w14:textId="2E9E7153" w:rsidR="00BE458E" w:rsidRDefault="00BE458E" w:rsidP="008E7995">
      <w:r>
        <w:rPr>
          <w:noProof/>
        </w:rPr>
        <w:lastRenderedPageBreak/>
        <w:drawing>
          <wp:inline distT="0" distB="0" distL="0" distR="0" wp14:anchorId="0F6E54E6" wp14:editId="16BBA392">
            <wp:extent cx="5888355" cy="8229600"/>
            <wp:effectExtent l="0" t="0" r="0" b="0"/>
            <wp:docPr id="1518448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448732" name=""/>
                    <pic:cNvPicPr/>
                  </pic:nvPicPr>
                  <pic:blipFill>
                    <a:blip r:embed="rId113"/>
                    <a:stretch>
                      <a:fillRect/>
                    </a:stretch>
                  </pic:blipFill>
                  <pic:spPr>
                    <a:xfrm>
                      <a:off x="0" y="0"/>
                      <a:ext cx="5888355" cy="8229600"/>
                    </a:xfrm>
                    <a:prstGeom prst="rect">
                      <a:avLst/>
                    </a:prstGeom>
                  </pic:spPr>
                </pic:pic>
              </a:graphicData>
            </a:graphic>
          </wp:inline>
        </w:drawing>
      </w:r>
    </w:p>
    <w:p w14:paraId="221EC866" w14:textId="1EF75D2E" w:rsidR="00BE458E" w:rsidRDefault="00BE458E" w:rsidP="008E7995">
      <w:r>
        <w:rPr>
          <w:noProof/>
        </w:rPr>
        <w:lastRenderedPageBreak/>
        <w:drawing>
          <wp:inline distT="0" distB="0" distL="0" distR="0" wp14:anchorId="12BE7D10" wp14:editId="2983D3DC">
            <wp:extent cx="5943600" cy="8020685"/>
            <wp:effectExtent l="0" t="0" r="0" b="0"/>
            <wp:docPr id="28093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38014" name=""/>
                    <pic:cNvPicPr/>
                  </pic:nvPicPr>
                  <pic:blipFill>
                    <a:blip r:embed="rId114"/>
                    <a:stretch>
                      <a:fillRect/>
                    </a:stretch>
                  </pic:blipFill>
                  <pic:spPr>
                    <a:xfrm>
                      <a:off x="0" y="0"/>
                      <a:ext cx="5943600" cy="8020685"/>
                    </a:xfrm>
                    <a:prstGeom prst="rect">
                      <a:avLst/>
                    </a:prstGeom>
                  </pic:spPr>
                </pic:pic>
              </a:graphicData>
            </a:graphic>
          </wp:inline>
        </w:drawing>
      </w:r>
    </w:p>
    <w:p w14:paraId="1C1A70AF" w14:textId="5780EE2B" w:rsidR="00BE458E" w:rsidRDefault="00BE458E" w:rsidP="008E7995">
      <w:r>
        <w:rPr>
          <w:noProof/>
        </w:rPr>
        <w:lastRenderedPageBreak/>
        <w:drawing>
          <wp:inline distT="0" distB="0" distL="0" distR="0" wp14:anchorId="083DCCA1" wp14:editId="45DFEA45">
            <wp:extent cx="5836920" cy="8229600"/>
            <wp:effectExtent l="0" t="0" r="0" b="0"/>
            <wp:docPr id="1289311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1180" name=""/>
                    <pic:cNvPicPr/>
                  </pic:nvPicPr>
                  <pic:blipFill>
                    <a:blip r:embed="rId115"/>
                    <a:stretch>
                      <a:fillRect/>
                    </a:stretch>
                  </pic:blipFill>
                  <pic:spPr>
                    <a:xfrm>
                      <a:off x="0" y="0"/>
                      <a:ext cx="5836920" cy="8229600"/>
                    </a:xfrm>
                    <a:prstGeom prst="rect">
                      <a:avLst/>
                    </a:prstGeom>
                  </pic:spPr>
                </pic:pic>
              </a:graphicData>
            </a:graphic>
          </wp:inline>
        </w:drawing>
      </w:r>
    </w:p>
    <w:p w14:paraId="6191BB64" w14:textId="7DDC9DB4" w:rsidR="00812237" w:rsidRDefault="00BE458E">
      <w:r>
        <w:rPr>
          <w:noProof/>
        </w:rPr>
        <w:lastRenderedPageBreak/>
        <w:drawing>
          <wp:inline distT="0" distB="0" distL="0" distR="0" wp14:anchorId="4095E3B7" wp14:editId="65F0530C">
            <wp:extent cx="5943600" cy="7850505"/>
            <wp:effectExtent l="0" t="0" r="0" b="0"/>
            <wp:docPr id="1579685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85238" name=""/>
                    <pic:cNvPicPr/>
                  </pic:nvPicPr>
                  <pic:blipFill>
                    <a:blip r:embed="rId116"/>
                    <a:stretch>
                      <a:fillRect/>
                    </a:stretch>
                  </pic:blipFill>
                  <pic:spPr>
                    <a:xfrm>
                      <a:off x="0" y="0"/>
                      <a:ext cx="5943600" cy="7850505"/>
                    </a:xfrm>
                    <a:prstGeom prst="rect">
                      <a:avLst/>
                    </a:prstGeom>
                  </pic:spPr>
                </pic:pic>
              </a:graphicData>
            </a:graphic>
          </wp:inline>
        </w:drawing>
      </w:r>
    </w:p>
    <w:sectPr w:rsidR="00812237" w:rsidSect="00416FD6">
      <w:footerReference w:type="default" r:id="rId1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7FD84" w14:textId="77777777" w:rsidR="006C5128" w:rsidRDefault="006C5128" w:rsidP="00416FD6">
      <w:pPr>
        <w:spacing w:after="0" w:line="240" w:lineRule="auto"/>
      </w:pPr>
      <w:r>
        <w:separator/>
      </w:r>
    </w:p>
  </w:endnote>
  <w:endnote w:type="continuationSeparator" w:id="0">
    <w:p w14:paraId="551E2DA5" w14:textId="77777777" w:rsidR="006C5128" w:rsidRDefault="006C5128" w:rsidP="00416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Iskoola Pota">
    <w:panose1 w:val="020B0502040204020203"/>
    <w:charset w:val="4D"/>
    <w:family w:val="swiss"/>
    <w:pitch w:val="variable"/>
    <w:sig w:usb0="00000003" w:usb1="00000000" w:usb2="000002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6501265"/>
      <w:docPartObj>
        <w:docPartGallery w:val="Page Numbers (Bottom of Page)"/>
        <w:docPartUnique/>
      </w:docPartObj>
    </w:sdtPr>
    <w:sdtEndPr>
      <w:rPr>
        <w:noProof/>
      </w:rPr>
    </w:sdtEndPr>
    <w:sdtContent>
      <w:p w14:paraId="202ADF6B" w14:textId="04174FFB" w:rsidR="00416FD6" w:rsidRDefault="00416F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3EACB4" w14:textId="77777777" w:rsidR="00416FD6" w:rsidRDefault="00416F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D9366" w14:textId="77777777" w:rsidR="006C5128" w:rsidRDefault="006C5128" w:rsidP="00416FD6">
      <w:pPr>
        <w:spacing w:after="0" w:line="240" w:lineRule="auto"/>
      </w:pPr>
      <w:r>
        <w:separator/>
      </w:r>
    </w:p>
  </w:footnote>
  <w:footnote w:type="continuationSeparator" w:id="0">
    <w:p w14:paraId="0FAF4B4D" w14:textId="77777777" w:rsidR="006C5128" w:rsidRDefault="006C5128" w:rsidP="00416F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D6"/>
    <w:rsid w:val="00000F87"/>
    <w:rsid w:val="000010CF"/>
    <w:rsid w:val="00002B6E"/>
    <w:rsid w:val="00014133"/>
    <w:rsid w:val="00016BBE"/>
    <w:rsid w:val="0002768F"/>
    <w:rsid w:val="00031738"/>
    <w:rsid w:val="00032488"/>
    <w:rsid w:val="00033E9F"/>
    <w:rsid w:val="0003564E"/>
    <w:rsid w:val="0004155B"/>
    <w:rsid w:val="000449ED"/>
    <w:rsid w:val="00052E13"/>
    <w:rsid w:val="00053BC4"/>
    <w:rsid w:val="00055D69"/>
    <w:rsid w:val="00063316"/>
    <w:rsid w:val="00074D7B"/>
    <w:rsid w:val="00076444"/>
    <w:rsid w:val="000774AA"/>
    <w:rsid w:val="000811F8"/>
    <w:rsid w:val="00084E20"/>
    <w:rsid w:val="00091FE3"/>
    <w:rsid w:val="0009257C"/>
    <w:rsid w:val="000A132E"/>
    <w:rsid w:val="000A191D"/>
    <w:rsid w:val="000A7334"/>
    <w:rsid w:val="000B6C78"/>
    <w:rsid w:val="000B73C1"/>
    <w:rsid w:val="000B7680"/>
    <w:rsid w:val="000C0D7B"/>
    <w:rsid w:val="000C2825"/>
    <w:rsid w:val="000D4D8F"/>
    <w:rsid w:val="000D5E75"/>
    <w:rsid w:val="000E227D"/>
    <w:rsid w:val="000E3EE5"/>
    <w:rsid w:val="00100FDA"/>
    <w:rsid w:val="00104A87"/>
    <w:rsid w:val="00110FF7"/>
    <w:rsid w:val="0011338A"/>
    <w:rsid w:val="00120B0B"/>
    <w:rsid w:val="00121143"/>
    <w:rsid w:val="00122E37"/>
    <w:rsid w:val="0013325E"/>
    <w:rsid w:val="00134A32"/>
    <w:rsid w:val="0013705B"/>
    <w:rsid w:val="00140DD3"/>
    <w:rsid w:val="001563AB"/>
    <w:rsid w:val="00157545"/>
    <w:rsid w:val="001616C8"/>
    <w:rsid w:val="0017005B"/>
    <w:rsid w:val="00173937"/>
    <w:rsid w:val="00173BA7"/>
    <w:rsid w:val="00174281"/>
    <w:rsid w:val="00177CF2"/>
    <w:rsid w:val="0018652B"/>
    <w:rsid w:val="001A2932"/>
    <w:rsid w:val="001B01F6"/>
    <w:rsid w:val="001B16E4"/>
    <w:rsid w:val="001B2346"/>
    <w:rsid w:val="001B3E36"/>
    <w:rsid w:val="001B5287"/>
    <w:rsid w:val="001B6E8D"/>
    <w:rsid w:val="001B753A"/>
    <w:rsid w:val="001D082E"/>
    <w:rsid w:val="001D3E01"/>
    <w:rsid w:val="001D51DD"/>
    <w:rsid w:val="001D7052"/>
    <w:rsid w:val="001E0E96"/>
    <w:rsid w:val="001F78FF"/>
    <w:rsid w:val="00200237"/>
    <w:rsid w:val="00200A23"/>
    <w:rsid w:val="00200B43"/>
    <w:rsid w:val="002013B9"/>
    <w:rsid w:val="0020242D"/>
    <w:rsid w:val="00206856"/>
    <w:rsid w:val="002073AB"/>
    <w:rsid w:val="00207A23"/>
    <w:rsid w:val="00207D2E"/>
    <w:rsid w:val="0021068A"/>
    <w:rsid w:val="00211F7D"/>
    <w:rsid w:val="00224854"/>
    <w:rsid w:val="00226CA6"/>
    <w:rsid w:val="002308E4"/>
    <w:rsid w:val="0023175C"/>
    <w:rsid w:val="00237C14"/>
    <w:rsid w:val="00245287"/>
    <w:rsid w:val="0024557E"/>
    <w:rsid w:val="0025342F"/>
    <w:rsid w:val="0026131A"/>
    <w:rsid w:val="00261409"/>
    <w:rsid w:val="00261607"/>
    <w:rsid w:val="00261F1F"/>
    <w:rsid w:val="00273F03"/>
    <w:rsid w:val="00274F94"/>
    <w:rsid w:val="002766F4"/>
    <w:rsid w:val="00280D11"/>
    <w:rsid w:val="002830AF"/>
    <w:rsid w:val="002846AE"/>
    <w:rsid w:val="00285F51"/>
    <w:rsid w:val="00287439"/>
    <w:rsid w:val="002944F5"/>
    <w:rsid w:val="002952B2"/>
    <w:rsid w:val="002A2C96"/>
    <w:rsid w:val="002A3D87"/>
    <w:rsid w:val="002C52E6"/>
    <w:rsid w:val="002D2430"/>
    <w:rsid w:val="002D2F09"/>
    <w:rsid w:val="002D64B3"/>
    <w:rsid w:val="002E0616"/>
    <w:rsid w:val="002E32F5"/>
    <w:rsid w:val="002E7805"/>
    <w:rsid w:val="002F225D"/>
    <w:rsid w:val="002F42A3"/>
    <w:rsid w:val="002F58B7"/>
    <w:rsid w:val="0030337E"/>
    <w:rsid w:val="003103CE"/>
    <w:rsid w:val="003224E0"/>
    <w:rsid w:val="003242BC"/>
    <w:rsid w:val="00326952"/>
    <w:rsid w:val="003322EA"/>
    <w:rsid w:val="003352AF"/>
    <w:rsid w:val="003379A9"/>
    <w:rsid w:val="00350067"/>
    <w:rsid w:val="00354035"/>
    <w:rsid w:val="003569A0"/>
    <w:rsid w:val="003609B4"/>
    <w:rsid w:val="00363854"/>
    <w:rsid w:val="00373D33"/>
    <w:rsid w:val="00374C6C"/>
    <w:rsid w:val="00380C29"/>
    <w:rsid w:val="003827AA"/>
    <w:rsid w:val="00383593"/>
    <w:rsid w:val="003873EF"/>
    <w:rsid w:val="003874E4"/>
    <w:rsid w:val="00387C6A"/>
    <w:rsid w:val="00396EB6"/>
    <w:rsid w:val="003A19C1"/>
    <w:rsid w:val="003A3C02"/>
    <w:rsid w:val="003A4F3C"/>
    <w:rsid w:val="003A560F"/>
    <w:rsid w:val="003A6306"/>
    <w:rsid w:val="003B4202"/>
    <w:rsid w:val="003C339A"/>
    <w:rsid w:val="003C359E"/>
    <w:rsid w:val="003C4B58"/>
    <w:rsid w:val="003C6995"/>
    <w:rsid w:val="003C7347"/>
    <w:rsid w:val="003D1B6B"/>
    <w:rsid w:val="003D7C7E"/>
    <w:rsid w:val="003F258B"/>
    <w:rsid w:val="003F3C52"/>
    <w:rsid w:val="00401166"/>
    <w:rsid w:val="00401394"/>
    <w:rsid w:val="00403DD3"/>
    <w:rsid w:val="00406F31"/>
    <w:rsid w:val="00410007"/>
    <w:rsid w:val="0041603F"/>
    <w:rsid w:val="004161FF"/>
    <w:rsid w:val="00416FD6"/>
    <w:rsid w:val="004202C3"/>
    <w:rsid w:val="00422A23"/>
    <w:rsid w:val="00425CDD"/>
    <w:rsid w:val="00427264"/>
    <w:rsid w:val="004272FE"/>
    <w:rsid w:val="00434A3B"/>
    <w:rsid w:val="00437FED"/>
    <w:rsid w:val="00440BA4"/>
    <w:rsid w:val="00446E1B"/>
    <w:rsid w:val="0045302B"/>
    <w:rsid w:val="00454D7A"/>
    <w:rsid w:val="00457640"/>
    <w:rsid w:val="0046360E"/>
    <w:rsid w:val="0046617F"/>
    <w:rsid w:val="004677E1"/>
    <w:rsid w:val="00470ECE"/>
    <w:rsid w:val="0047123B"/>
    <w:rsid w:val="00472363"/>
    <w:rsid w:val="00476087"/>
    <w:rsid w:val="004765B6"/>
    <w:rsid w:val="004819AB"/>
    <w:rsid w:val="00483A30"/>
    <w:rsid w:val="00485A44"/>
    <w:rsid w:val="00487E2D"/>
    <w:rsid w:val="00492308"/>
    <w:rsid w:val="00494365"/>
    <w:rsid w:val="004965A0"/>
    <w:rsid w:val="004A27FA"/>
    <w:rsid w:val="004B2A68"/>
    <w:rsid w:val="004B4F83"/>
    <w:rsid w:val="004C1A21"/>
    <w:rsid w:val="004C562D"/>
    <w:rsid w:val="004D1820"/>
    <w:rsid w:val="004E011D"/>
    <w:rsid w:val="004E2EA5"/>
    <w:rsid w:val="004E55C6"/>
    <w:rsid w:val="004F21EE"/>
    <w:rsid w:val="004F308C"/>
    <w:rsid w:val="004F5440"/>
    <w:rsid w:val="00503700"/>
    <w:rsid w:val="00506B9C"/>
    <w:rsid w:val="005122F6"/>
    <w:rsid w:val="00513845"/>
    <w:rsid w:val="005209F4"/>
    <w:rsid w:val="005215FB"/>
    <w:rsid w:val="00522419"/>
    <w:rsid w:val="005244A2"/>
    <w:rsid w:val="00526771"/>
    <w:rsid w:val="00526E8F"/>
    <w:rsid w:val="00526FE4"/>
    <w:rsid w:val="0053397C"/>
    <w:rsid w:val="005345A5"/>
    <w:rsid w:val="0054026F"/>
    <w:rsid w:val="00542373"/>
    <w:rsid w:val="00561198"/>
    <w:rsid w:val="00562E19"/>
    <w:rsid w:val="00564527"/>
    <w:rsid w:val="00567B6B"/>
    <w:rsid w:val="005738E9"/>
    <w:rsid w:val="0057793B"/>
    <w:rsid w:val="0058003C"/>
    <w:rsid w:val="0058655F"/>
    <w:rsid w:val="00594350"/>
    <w:rsid w:val="0059698D"/>
    <w:rsid w:val="005974B8"/>
    <w:rsid w:val="00597716"/>
    <w:rsid w:val="0059777F"/>
    <w:rsid w:val="005A24B7"/>
    <w:rsid w:val="005B4253"/>
    <w:rsid w:val="005B5DB5"/>
    <w:rsid w:val="005C04B3"/>
    <w:rsid w:val="005C0CAD"/>
    <w:rsid w:val="005D08C3"/>
    <w:rsid w:val="005D0E11"/>
    <w:rsid w:val="005E3E0D"/>
    <w:rsid w:val="005F7DAA"/>
    <w:rsid w:val="006006CF"/>
    <w:rsid w:val="00601894"/>
    <w:rsid w:val="00603A2C"/>
    <w:rsid w:val="0060505E"/>
    <w:rsid w:val="00605603"/>
    <w:rsid w:val="006056B0"/>
    <w:rsid w:val="00615212"/>
    <w:rsid w:val="0061791E"/>
    <w:rsid w:val="00623042"/>
    <w:rsid w:val="0063205C"/>
    <w:rsid w:val="00633666"/>
    <w:rsid w:val="0063471E"/>
    <w:rsid w:val="00635507"/>
    <w:rsid w:val="006448D7"/>
    <w:rsid w:val="00646DD2"/>
    <w:rsid w:val="006513BB"/>
    <w:rsid w:val="00652660"/>
    <w:rsid w:val="006549F9"/>
    <w:rsid w:val="00661537"/>
    <w:rsid w:val="00661B65"/>
    <w:rsid w:val="00663948"/>
    <w:rsid w:val="006671C9"/>
    <w:rsid w:val="00671CC6"/>
    <w:rsid w:val="006729CB"/>
    <w:rsid w:val="006853AA"/>
    <w:rsid w:val="006939B5"/>
    <w:rsid w:val="006A0A19"/>
    <w:rsid w:val="006A0D55"/>
    <w:rsid w:val="006C09D0"/>
    <w:rsid w:val="006C37B0"/>
    <w:rsid w:val="006C5128"/>
    <w:rsid w:val="006F0E59"/>
    <w:rsid w:val="006F2DCD"/>
    <w:rsid w:val="00704DE4"/>
    <w:rsid w:val="0070603A"/>
    <w:rsid w:val="007069BF"/>
    <w:rsid w:val="00706B27"/>
    <w:rsid w:val="007115D8"/>
    <w:rsid w:val="00713552"/>
    <w:rsid w:val="007140A2"/>
    <w:rsid w:val="00721F8B"/>
    <w:rsid w:val="00723067"/>
    <w:rsid w:val="00730DD8"/>
    <w:rsid w:val="00730EE3"/>
    <w:rsid w:val="00732ABA"/>
    <w:rsid w:val="007348F6"/>
    <w:rsid w:val="00734BE0"/>
    <w:rsid w:val="00742DAF"/>
    <w:rsid w:val="00744A58"/>
    <w:rsid w:val="00744AE8"/>
    <w:rsid w:val="00746387"/>
    <w:rsid w:val="007530D8"/>
    <w:rsid w:val="00753BA0"/>
    <w:rsid w:val="007705C2"/>
    <w:rsid w:val="00771B50"/>
    <w:rsid w:val="00774D8F"/>
    <w:rsid w:val="0078026F"/>
    <w:rsid w:val="00782471"/>
    <w:rsid w:val="00783829"/>
    <w:rsid w:val="00787FE6"/>
    <w:rsid w:val="00791909"/>
    <w:rsid w:val="007948B0"/>
    <w:rsid w:val="007A0EB6"/>
    <w:rsid w:val="007A7479"/>
    <w:rsid w:val="007B1986"/>
    <w:rsid w:val="007B371F"/>
    <w:rsid w:val="007B3E16"/>
    <w:rsid w:val="007B67FF"/>
    <w:rsid w:val="007C0ECB"/>
    <w:rsid w:val="007C1B44"/>
    <w:rsid w:val="007C2C9F"/>
    <w:rsid w:val="007D2F42"/>
    <w:rsid w:val="007D3100"/>
    <w:rsid w:val="007D3B24"/>
    <w:rsid w:val="007E36A5"/>
    <w:rsid w:val="007E4662"/>
    <w:rsid w:val="007E736F"/>
    <w:rsid w:val="007F11DE"/>
    <w:rsid w:val="007F425A"/>
    <w:rsid w:val="007F55D7"/>
    <w:rsid w:val="007F6E13"/>
    <w:rsid w:val="007F7C16"/>
    <w:rsid w:val="008006DF"/>
    <w:rsid w:val="008052A0"/>
    <w:rsid w:val="00806BDF"/>
    <w:rsid w:val="00812237"/>
    <w:rsid w:val="00812985"/>
    <w:rsid w:val="00812C51"/>
    <w:rsid w:val="00812F1C"/>
    <w:rsid w:val="00813BAF"/>
    <w:rsid w:val="00815BEE"/>
    <w:rsid w:val="0083514D"/>
    <w:rsid w:val="008356C9"/>
    <w:rsid w:val="0083604B"/>
    <w:rsid w:val="00837333"/>
    <w:rsid w:val="0084230C"/>
    <w:rsid w:val="00842DF7"/>
    <w:rsid w:val="008432D9"/>
    <w:rsid w:val="00855696"/>
    <w:rsid w:val="008606DB"/>
    <w:rsid w:val="00864CCA"/>
    <w:rsid w:val="00865EB9"/>
    <w:rsid w:val="00866CC6"/>
    <w:rsid w:val="00873EB4"/>
    <w:rsid w:val="00874BB4"/>
    <w:rsid w:val="00877910"/>
    <w:rsid w:val="0088017D"/>
    <w:rsid w:val="00881B13"/>
    <w:rsid w:val="00882765"/>
    <w:rsid w:val="00883C3F"/>
    <w:rsid w:val="00883D06"/>
    <w:rsid w:val="0088419A"/>
    <w:rsid w:val="008863F1"/>
    <w:rsid w:val="00892D65"/>
    <w:rsid w:val="00893578"/>
    <w:rsid w:val="00893A12"/>
    <w:rsid w:val="00893CB5"/>
    <w:rsid w:val="008A62B4"/>
    <w:rsid w:val="008B286D"/>
    <w:rsid w:val="008B3981"/>
    <w:rsid w:val="008B4EC8"/>
    <w:rsid w:val="008C02A6"/>
    <w:rsid w:val="008C0787"/>
    <w:rsid w:val="008C6860"/>
    <w:rsid w:val="008E0492"/>
    <w:rsid w:val="008E06CA"/>
    <w:rsid w:val="008E0A13"/>
    <w:rsid w:val="008E7995"/>
    <w:rsid w:val="008F0C50"/>
    <w:rsid w:val="008F3369"/>
    <w:rsid w:val="008F462A"/>
    <w:rsid w:val="008F572C"/>
    <w:rsid w:val="008F7A42"/>
    <w:rsid w:val="00904A49"/>
    <w:rsid w:val="009074D4"/>
    <w:rsid w:val="00910411"/>
    <w:rsid w:val="0091396B"/>
    <w:rsid w:val="0091400D"/>
    <w:rsid w:val="00914138"/>
    <w:rsid w:val="00914586"/>
    <w:rsid w:val="00925DCA"/>
    <w:rsid w:val="0092656A"/>
    <w:rsid w:val="009335AF"/>
    <w:rsid w:val="00937032"/>
    <w:rsid w:val="00937346"/>
    <w:rsid w:val="009377C1"/>
    <w:rsid w:val="009403EB"/>
    <w:rsid w:val="00942C33"/>
    <w:rsid w:val="00946D5A"/>
    <w:rsid w:val="0095063D"/>
    <w:rsid w:val="009533E7"/>
    <w:rsid w:val="009575B8"/>
    <w:rsid w:val="00960B45"/>
    <w:rsid w:val="00970BF2"/>
    <w:rsid w:val="009711BB"/>
    <w:rsid w:val="00972568"/>
    <w:rsid w:val="0097586A"/>
    <w:rsid w:val="00987F2B"/>
    <w:rsid w:val="009928D4"/>
    <w:rsid w:val="009A2117"/>
    <w:rsid w:val="009B2A8C"/>
    <w:rsid w:val="009B4B64"/>
    <w:rsid w:val="009B5314"/>
    <w:rsid w:val="009B5413"/>
    <w:rsid w:val="009C0AE9"/>
    <w:rsid w:val="009C15FF"/>
    <w:rsid w:val="009C2C99"/>
    <w:rsid w:val="009C4F69"/>
    <w:rsid w:val="009C6533"/>
    <w:rsid w:val="009D2278"/>
    <w:rsid w:val="009D591B"/>
    <w:rsid w:val="009D7F86"/>
    <w:rsid w:val="009E2EA2"/>
    <w:rsid w:val="009E358C"/>
    <w:rsid w:val="009E5B93"/>
    <w:rsid w:val="009E6C17"/>
    <w:rsid w:val="009E6E36"/>
    <w:rsid w:val="009F259E"/>
    <w:rsid w:val="009F2B1E"/>
    <w:rsid w:val="009F44C8"/>
    <w:rsid w:val="009F4F6E"/>
    <w:rsid w:val="00A01499"/>
    <w:rsid w:val="00A170EA"/>
    <w:rsid w:val="00A22F77"/>
    <w:rsid w:val="00A31060"/>
    <w:rsid w:val="00A3267C"/>
    <w:rsid w:val="00A35067"/>
    <w:rsid w:val="00A35BC4"/>
    <w:rsid w:val="00A47AD6"/>
    <w:rsid w:val="00A47CC4"/>
    <w:rsid w:val="00A52747"/>
    <w:rsid w:val="00A56380"/>
    <w:rsid w:val="00A61755"/>
    <w:rsid w:val="00A62909"/>
    <w:rsid w:val="00A63BCC"/>
    <w:rsid w:val="00A71C93"/>
    <w:rsid w:val="00A72391"/>
    <w:rsid w:val="00A76A37"/>
    <w:rsid w:val="00A82A02"/>
    <w:rsid w:val="00A8319E"/>
    <w:rsid w:val="00A84339"/>
    <w:rsid w:val="00A849C6"/>
    <w:rsid w:val="00A911C1"/>
    <w:rsid w:val="00A92563"/>
    <w:rsid w:val="00A92DD8"/>
    <w:rsid w:val="00A94553"/>
    <w:rsid w:val="00A97D29"/>
    <w:rsid w:val="00AA1A54"/>
    <w:rsid w:val="00AA58B3"/>
    <w:rsid w:val="00AB5AED"/>
    <w:rsid w:val="00AB7801"/>
    <w:rsid w:val="00AC5D9D"/>
    <w:rsid w:val="00AC714F"/>
    <w:rsid w:val="00AC78A4"/>
    <w:rsid w:val="00AD176E"/>
    <w:rsid w:val="00AD2B37"/>
    <w:rsid w:val="00AD4C97"/>
    <w:rsid w:val="00AE269F"/>
    <w:rsid w:val="00AE316B"/>
    <w:rsid w:val="00AE48FB"/>
    <w:rsid w:val="00AE7195"/>
    <w:rsid w:val="00AF0540"/>
    <w:rsid w:val="00AF110B"/>
    <w:rsid w:val="00B16AEB"/>
    <w:rsid w:val="00B17EC8"/>
    <w:rsid w:val="00B20FF4"/>
    <w:rsid w:val="00B242E7"/>
    <w:rsid w:val="00B25AEC"/>
    <w:rsid w:val="00B3304E"/>
    <w:rsid w:val="00B44005"/>
    <w:rsid w:val="00B519D8"/>
    <w:rsid w:val="00B523F8"/>
    <w:rsid w:val="00B56E65"/>
    <w:rsid w:val="00B65055"/>
    <w:rsid w:val="00B65270"/>
    <w:rsid w:val="00B70311"/>
    <w:rsid w:val="00B77092"/>
    <w:rsid w:val="00B8297F"/>
    <w:rsid w:val="00B82F36"/>
    <w:rsid w:val="00B85E09"/>
    <w:rsid w:val="00B96E81"/>
    <w:rsid w:val="00B96F06"/>
    <w:rsid w:val="00BA19BA"/>
    <w:rsid w:val="00BA2AC1"/>
    <w:rsid w:val="00BA36F2"/>
    <w:rsid w:val="00BB10EF"/>
    <w:rsid w:val="00BB4354"/>
    <w:rsid w:val="00BC07D3"/>
    <w:rsid w:val="00BC1842"/>
    <w:rsid w:val="00BC4AA1"/>
    <w:rsid w:val="00BD4D34"/>
    <w:rsid w:val="00BD5F05"/>
    <w:rsid w:val="00BE132B"/>
    <w:rsid w:val="00BE458E"/>
    <w:rsid w:val="00BE669F"/>
    <w:rsid w:val="00BF28A7"/>
    <w:rsid w:val="00BF2C46"/>
    <w:rsid w:val="00C001C6"/>
    <w:rsid w:val="00C010A1"/>
    <w:rsid w:val="00C064DE"/>
    <w:rsid w:val="00C14DF1"/>
    <w:rsid w:val="00C15E81"/>
    <w:rsid w:val="00C223BA"/>
    <w:rsid w:val="00C23A3D"/>
    <w:rsid w:val="00C26713"/>
    <w:rsid w:val="00C34D53"/>
    <w:rsid w:val="00C37975"/>
    <w:rsid w:val="00C42EE8"/>
    <w:rsid w:val="00C478DD"/>
    <w:rsid w:val="00C47B62"/>
    <w:rsid w:val="00C65946"/>
    <w:rsid w:val="00C670E8"/>
    <w:rsid w:val="00C67763"/>
    <w:rsid w:val="00C73F5E"/>
    <w:rsid w:val="00C76271"/>
    <w:rsid w:val="00C762B6"/>
    <w:rsid w:val="00C810E2"/>
    <w:rsid w:val="00C82D3B"/>
    <w:rsid w:val="00C8436E"/>
    <w:rsid w:val="00C97086"/>
    <w:rsid w:val="00C97B85"/>
    <w:rsid w:val="00CA0824"/>
    <w:rsid w:val="00CA60E0"/>
    <w:rsid w:val="00CA649F"/>
    <w:rsid w:val="00CC0491"/>
    <w:rsid w:val="00CC0C3C"/>
    <w:rsid w:val="00CC343F"/>
    <w:rsid w:val="00CC527D"/>
    <w:rsid w:val="00CD7A21"/>
    <w:rsid w:val="00CE0073"/>
    <w:rsid w:val="00CE20D9"/>
    <w:rsid w:val="00CE45CC"/>
    <w:rsid w:val="00CE640E"/>
    <w:rsid w:val="00CF27D4"/>
    <w:rsid w:val="00CF3232"/>
    <w:rsid w:val="00CF3B44"/>
    <w:rsid w:val="00D03FD2"/>
    <w:rsid w:val="00D13430"/>
    <w:rsid w:val="00D1378E"/>
    <w:rsid w:val="00D14285"/>
    <w:rsid w:val="00D17A1C"/>
    <w:rsid w:val="00D17B57"/>
    <w:rsid w:val="00D17CD5"/>
    <w:rsid w:val="00D26FAE"/>
    <w:rsid w:val="00D45821"/>
    <w:rsid w:val="00D65796"/>
    <w:rsid w:val="00D662E9"/>
    <w:rsid w:val="00D752C0"/>
    <w:rsid w:val="00D77957"/>
    <w:rsid w:val="00D82C38"/>
    <w:rsid w:val="00D86277"/>
    <w:rsid w:val="00D93F16"/>
    <w:rsid w:val="00D948B3"/>
    <w:rsid w:val="00DA5006"/>
    <w:rsid w:val="00DA554D"/>
    <w:rsid w:val="00DB09C2"/>
    <w:rsid w:val="00DB3F25"/>
    <w:rsid w:val="00DB7114"/>
    <w:rsid w:val="00DC042D"/>
    <w:rsid w:val="00DC0F10"/>
    <w:rsid w:val="00DC3045"/>
    <w:rsid w:val="00DD3510"/>
    <w:rsid w:val="00DD7401"/>
    <w:rsid w:val="00DE01D0"/>
    <w:rsid w:val="00DF07BE"/>
    <w:rsid w:val="00DF360A"/>
    <w:rsid w:val="00DF3EC4"/>
    <w:rsid w:val="00DF4273"/>
    <w:rsid w:val="00DF7E96"/>
    <w:rsid w:val="00E024C0"/>
    <w:rsid w:val="00E0667D"/>
    <w:rsid w:val="00E11186"/>
    <w:rsid w:val="00E13035"/>
    <w:rsid w:val="00E132A3"/>
    <w:rsid w:val="00E151D2"/>
    <w:rsid w:val="00E163DB"/>
    <w:rsid w:val="00E2371B"/>
    <w:rsid w:val="00E27A45"/>
    <w:rsid w:val="00E32FE3"/>
    <w:rsid w:val="00E358F3"/>
    <w:rsid w:val="00E3722E"/>
    <w:rsid w:val="00E47AA4"/>
    <w:rsid w:val="00E61A82"/>
    <w:rsid w:val="00E625DD"/>
    <w:rsid w:val="00E62D37"/>
    <w:rsid w:val="00E63AB6"/>
    <w:rsid w:val="00E72381"/>
    <w:rsid w:val="00E77818"/>
    <w:rsid w:val="00E8189F"/>
    <w:rsid w:val="00E82940"/>
    <w:rsid w:val="00E86853"/>
    <w:rsid w:val="00E920F1"/>
    <w:rsid w:val="00EA01D5"/>
    <w:rsid w:val="00EA32E6"/>
    <w:rsid w:val="00EA4D27"/>
    <w:rsid w:val="00EB1954"/>
    <w:rsid w:val="00EB5A5F"/>
    <w:rsid w:val="00EC1233"/>
    <w:rsid w:val="00EC12BF"/>
    <w:rsid w:val="00EC45E9"/>
    <w:rsid w:val="00ED05A1"/>
    <w:rsid w:val="00ED3527"/>
    <w:rsid w:val="00ED5172"/>
    <w:rsid w:val="00ED7841"/>
    <w:rsid w:val="00EE0920"/>
    <w:rsid w:val="00EE37DA"/>
    <w:rsid w:val="00EE73C5"/>
    <w:rsid w:val="00EF2725"/>
    <w:rsid w:val="00F03228"/>
    <w:rsid w:val="00F0682A"/>
    <w:rsid w:val="00F071CF"/>
    <w:rsid w:val="00F079E2"/>
    <w:rsid w:val="00F1066D"/>
    <w:rsid w:val="00F13B7B"/>
    <w:rsid w:val="00F22F8B"/>
    <w:rsid w:val="00F30E35"/>
    <w:rsid w:val="00F3421F"/>
    <w:rsid w:val="00F35E7E"/>
    <w:rsid w:val="00F40451"/>
    <w:rsid w:val="00F41533"/>
    <w:rsid w:val="00F501FF"/>
    <w:rsid w:val="00F514E9"/>
    <w:rsid w:val="00F524FB"/>
    <w:rsid w:val="00F53E26"/>
    <w:rsid w:val="00F5672D"/>
    <w:rsid w:val="00F60557"/>
    <w:rsid w:val="00F63A58"/>
    <w:rsid w:val="00F70866"/>
    <w:rsid w:val="00F72FEA"/>
    <w:rsid w:val="00F7469F"/>
    <w:rsid w:val="00F77DBB"/>
    <w:rsid w:val="00F77FB6"/>
    <w:rsid w:val="00F9310B"/>
    <w:rsid w:val="00F95E43"/>
    <w:rsid w:val="00FA24B9"/>
    <w:rsid w:val="00FB579B"/>
    <w:rsid w:val="00FC0E83"/>
    <w:rsid w:val="00FC3710"/>
    <w:rsid w:val="00FC3BDD"/>
    <w:rsid w:val="00FC7A5A"/>
    <w:rsid w:val="00FD1E8D"/>
    <w:rsid w:val="00FD46CD"/>
    <w:rsid w:val="00FD6CC3"/>
    <w:rsid w:val="00FD748F"/>
    <w:rsid w:val="00FE6167"/>
    <w:rsid w:val="00FF05EF"/>
    <w:rsid w:val="00FF1029"/>
    <w:rsid w:val="00FF263E"/>
    <w:rsid w:val="00FF3661"/>
    <w:rsid w:val="00FF605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734C0"/>
  <w15:chartTrackingRefBased/>
  <w15:docId w15:val="{1AA0972E-972C-4EF3-8F96-BE7C455E1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FD6"/>
    <w:pPr>
      <w:spacing w:line="360" w:lineRule="auto"/>
      <w:jc w:val="both"/>
    </w:pPr>
    <w:rPr>
      <w:rFonts w:ascii="Arial" w:hAnsi="Arial"/>
    </w:rPr>
  </w:style>
  <w:style w:type="paragraph" w:styleId="Heading1">
    <w:name w:val="heading 1"/>
    <w:basedOn w:val="Normal"/>
    <w:next w:val="Normal"/>
    <w:link w:val="Heading1Char"/>
    <w:uiPriority w:val="9"/>
    <w:qFormat/>
    <w:rsid w:val="00416FD6"/>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16FD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416FD6"/>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16F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6F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6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FD6"/>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416FD6"/>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416FD6"/>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416F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6F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6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FD6"/>
    <w:rPr>
      <w:rFonts w:eastAsiaTheme="majorEastAsia" w:cstheme="majorBidi"/>
      <w:color w:val="272727" w:themeColor="text1" w:themeTint="D8"/>
    </w:rPr>
  </w:style>
  <w:style w:type="paragraph" w:styleId="Title">
    <w:name w:val="Title"/>
    <w:basedOn w:val="Normal"/>
    <w:next w:val="Normal"/>
    <w:link w:val="TitleChar"/>
    <w:uiPriority w:val="10"/>
    <w:qFormat/>
    <w:rsid w:val="00416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FD6"/>
    <w:pPr>
      <w:spacing w:before="160"/>
      <w:jc w:val="center"/>
    </w:pPr>
    <w:rPr>
      <w:i/>
      <w:iCs/>
      <w:color w:val="404040" w:themeColor="text1" w:themeTint="BF"/>
    </w:rPr>
  </w:style>
  <w:style w:type="character" w:customStyle="1" w:styleId="QuoteChar">
    <w:name w:val="Quote Char"/>
    <w:basedOn w:val="DefaultParagraphFont"/>
    <w:link w:val="Quote"/>
    <w:uiPriority w:val="29"/>
    <w:rsid w:val="00416FD6"/>
    <w:rPr>
      <w:i/>
      <w:iCs/>
      <w:color w:val="404040" w:themeColor="text1" w:themeTint="BF"/>
    </w:rPr>
  </w:style>
  <w:style w:type="paragraph" w:styleId="ListParagraph">
    <w:name w:val="List Paragraph"/>
    <w:basedOn w:val="Normal"/>
    <w:uiPriority w:val="34"/>
    <w:qFormat/>
    <w:rsid w:val="00416FD6"/>
    <w:pPr>
      <w:ind w:left="720"/>
      <w:contextualSpacing/>
    </w:pPr>
  </w:style>
  <w:style w:type="character" w:styleId="IntenseEmphasis">
    <w:name w:val="Intense Emphasis"/>
    <w:basedOn w:val="DefaultParagraphFont"/>
    <w:uiPriority w:val="21"/>
    <w:qFormat/>
    <w:rsid w:val="00416FD6"/>
    <w:rPr>
      <w:i/>
      <w:iCs/>
      <w:color w:val="2F5496" w:themeColor="accent1" w:themeShade="BF"/>
    </w:rPr>
  </w:style>
  <w:style w:type="paragraph" w:styleId="IntenseQuote">
    <w:name w:val="Intense Quote"/>
    <w:basedOn w:val="Normal"/>
    <w:next w:val="Normal"/>
    <w:link w:val="IntenseQuoteChar"/>
    <w:uiPriority w:val="30"/>
    <w:qFormat/>
    <w:rsid w:val="00416F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6FD6"/>
    <w:rPr>
      <w:i/>
      <w:iCs/>
      <w:color w:val="2F5496" w:themeColor="accent1" w:themeShade="BF"/>
    </w:rPr>
  </w:style>
  <w:style w:type="character" w:styleId="IntenseReference">
    <w:name w:val="Intense Reference"/>
    <w:basedOn w:val="DefaultParagraphFont"/>
    <w:uiPriority w:val="32"/>
    <w:qFormat/>
    <w:rsid w:val="00416FD6"/>
    <w:rPr>
      <w:b/>
      <w:bCs/>
      <w:smallCaps/>
      <w:color w:val="2F5496" w:themeColor="accent1" w:themeShade="BF"/>
      <w:spacing w:val="5"/>
    </w:rPr>
  </w:style>
  <w:style w:type="paragraph" w:styleId="Header">
    <w:name w:val="header"/>
    <w:basedOn w:val="Normal"/>
    <w:link w:val="HeaderChar"/>
    <w:uiPriority w:val="99"/>
    <w:unhideWhenUsed/>
    <w:rsid w:val="00416F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FD6"/>
    <w:rPr>
      <w:rFonts w:ascii="Arial" w:hAnsi="Arial"/>
    </w:rPr>
  </w:style>
  <w:style w:type="paragraph" w:styleId="Footer">
    <w:name w:val="footer"/>
    <w:basedOn w:val="Normal"/>
    <w:link w:val="FooterChar"/>
    <w:uiPriority w:val="99"/>
    <w:unhideWhenUsed/>
    <w:rsid w:val="00416F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FD6"/>
    <w:rPr>
      <w:rFonts w:ascii="Arial" w:hAnsi="Arial"/>
    </w:rPr>
  </w:style>
  <w:style w:type="table" w:styleId="TableGrid">
    <w:name w:val="Table Grid"/>
    <w:basedOn w:val="TableNormal"/>
    <w:uiPriority w:val="39"/>
    <w:rsid w:val="00D13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3D33"/>
    <w:pPr>
      <w:spacing w:after="200" w:line="240" w:lineRule="auto"/>
    </w:pPr>
    <w:rPr>
      <w:iCs/>
      <w:color w:val="000000" w:themeColor="text1"/>
      <w:sz w:val="22"/>
      <w:szCs w:val="18"/>
    </w:rPr>
  </w:style>
  <w:style w:type="character" w:styleId="Hyperlink">
    <w:name w:val="Hyperlink"/>
    <w:basedOn w:val="DefaultParagraphFont"/>
    <w:uiPriority w:val="99"/>
    <w:unhideWhenUsed/>
    <w:rsid w:val="004B2A68"/>
    <w:rPr>
      <w:color w:val="0563C1" w:themeColor="hyperlink"/>
      <w:u w:val="single"/>
    </w:rPr>
  </w:style>
  <w:style w:type="character" w:styleId="UnresolvedMention">
    <w:name w:val="Unresolved Mention"/>
    <w:basedOn w:val="DefaultParagraphFont"/>
    <w:uiPriority w:val="99"/>
    <w:semiHidden/>
    <w:unhideWhenUsed/>
    <w:rsid w:val="004B2A68"/>
    <w:rPr>
      <w:color w:val="605E5C"/>
      <w:shd w:val="clear" w:color="auto" w:fill="E1DFDD"/>
    </w:rPr>
  </w:style>
  <w:style w:type="table" w:styleId="GridTable4-Accent6">
    <w:name w:val="Grid Table 4 Accent 6"/>
    <w:basedOn w:val="TableNormal"/>
    <w:uiPriority w:val="49"/>
    <w:rsid w:val="0036385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Light">
    <w:name w:val="Grid Table Light"/>
    <w:basedOn w:val="TableNormal"/>
    <w:uiPriority w:val="40"/>
    <w:rsid w:val="008006D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2">
    <w:name w:val="Grid Table 4 Accent 2"/>
    <w:basedOn w:val="TableNormal"/>
    <w:uiPriority w:val="49"/>
    <w:rsid w:val="001B6E8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1">
    <w:name w:val="toc 1"/>
    <w:basedOn w:val="Normal"/>
    <w:next w:val="Normal"/>
    <w:autoRedefine/>
    <w:uiPriority w:val="39"/>
    <w:unhideWhenUsed/>
    <w:rsid w:val="00C23A3D"/>
    <w:pPr>
      <w:spacing w:after="100"/>
    </w:pPr>
  </w:style>
  <w:style w:type="paragraph" w:styleId="TOC2">
    <w:name w:val="toc 2"/>
    <w:basedOn w:val="Normal"/>
    <w:next w:val="Normal"/>
    <w:autoRedefine/>
    <w:uiPriority w:val="39"/>
    <w:unhideWhenUsed/>
    <w:rsid w:val="00C23A3D"/>
    <w:pPr>
      <w:spacing w:after="100"/>
      <w:ind w:left="240"/>
    </w:pPr>
  </w:style>
  <w:style w:type="paragraph" w:styleId="TOC3">
    <w:name w:val="toc 3"/>
    <w:basedOn w:val="Normal"/>
    <w:next w:val="Normal"/>
    <w:autoRedefine/>
    <w:uiPriority w:val="39"/>
    <w:unhideWhenUsed/>
    <w:rsid w:val="00C23A3D"/>
    <w:pPr>
      <w:spacing w:after="100"/>
      <w:ind w:left="480"/>
    </w:pPr>
  </w:style>
  <w:style w:type="paragraph" w:styleId="TableofFigures">
    <w:name w:val="table of figures"/>
    <w:basedOn w:val="Normal"/>
    <w:next w:val="Normal"/>
    <w:uiPriority w:val="99"/>
    <w:unhideWhenUsed/>
    <w:rsid w:val="00C23A3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712833">
      <w:bodyDiv w:val="1"/>
      <w:marLeft w:val="0"/>
      <w:marRight w:val="0"/>
      <w:marTop w:val="0"/>
      <w:marBottom w:val="0"/>
      <w:divBdr>
        <w:top w:val="none" w:sz="0" w:space="0" w:color="auto"/>
        <w:left w:val="none" w:sz="0" w:space="0" w:color="auto"/>
        <w:bottom w:val="none" w:sz="0" w:space="0" w:color="auto"/>
        <w:right w:val="none" w:sz="0" w:space="0" w:color="auto"/>
      </w:divBdr>
      <w:divsChild>
        <w:div w:id="1197962673">
          <w:marLeft w:val="0"/>
          <w:marRight w:val="0"/>
          <w:marTop w:val="0"/>
          <w:marBottom w:val="0"/>
          <w:divBdr>
            <w:top w:val="none" w:sz="0" w:space="0" w:color="auto"/>
            <w:left w:val="none" w:sz="0" w:space="0" w:color="auto"/>
            <w:bottom w:val="none" w:sz="0" w:space="0" w:color="auto"/>
            <w:right w:val="none" w:sz="0" w:space="0" w:color="auto"/>
          </w:divBdr>
        </w:div>
      </w:divsChild>
    </w:div>
    <w:div w:id="1019550996">
      <w:bodyDiv w:val="1"/>
      <w:marLeft w:val="0"/>
      <w:marRight w:val="0"/>
      <w:marTop w:val="0"/>
      <w:marBottom w:val="0"/>
      <w:divBdr>
        <w:top w:val="none" w:sz="0" w:space="0" w:color="auto"/>
        <w:left w:val="none" w:sz="0" w:space="0" w:color="auto"/>
        <w:bottom w:val="none" w:sz="0" w:space="0" w:color="auto"/>
        <w:right w:val="none" w:sz="0" w:space="0" w:color="auto"/>
      </w:divBdr>
      <w:divsChild>
        <w:div w:id="738986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8.xml"/><Relationship Id="rId117" Type="http://schemas.openxmlformats.org/officeDocument/2006/relationships/footer" Target="footer1.xml"/><Relationship Id="rId21" Type="http://schemas.openxmlformats.org/officeDocument/2006/relationships/chart" Target="charts/chart13.xml"/><Relationship Id="rId42" Type="http://schemas.openxmlformats.org/officeDocument/2006/relationships/image" Target="media/image17.png"/><Relationship Id="rId47" Type="http://schemas.openxmlformats.org/officeDocument/2006/relationships/image" Target="media/image22.gif"/><Relationship Id="rId63" Type="http://schemas.openxmlformats.org/officeDocument/2006/relationships/hyperlink" Target="https://doi.org/10.4236/ajibm.2018.89128" TargetMode="External"/><Relationship Id="rId68" Type="http://schemas.openxmlformats.org/officeDocument/2006/relationships/hyperlink" Target="https://doi.org/10.55098/tjbmr.v6i2.661" TargetMode="External"/><Relationship Id="rId84" Type="http://schemas.openxmlformats.org/officeDocument/2006/relationships/image" Target="media/image32.emf"/><Relationship Id="rId89" Type="http://schemas.openxmlformats.org/officeDocument/2006/relationships/image" Target="media/image37.png"/><Relationship Id="rId112" Type="http://schemas.openxmlformats.org/officeDocument/2006/relationships/image" Target="media/image60.png"/><Relationship Id="rId16" Type="http://schemas.openxmlformats.org/officeDocument/2006/relationships/chart" Target="charts/chart8.xml"/><Relationship Id="rId107" Type="http://schemas.openxmlformats.org/officeDocument/2006/relationships/image" Target="media/image55.png"/><Relationship Id="rId11" Type="http://schemas.openxmlformats.org/officeDocument/2006/relationships/chart" Target="charts/chart3.xml"/><Relationship Id="rId32" Type="http://schemas.openxmlformats.org/officeDocument/2006/relationships/image" Target="media/image7.png"/><Relationship Id="rId37" Type="http://schemas.openxmlformats.org/officeDocument/2006/relationships/image" Target="media/image12.png"/><Relationship Id="rId53" Type="http://schemas.openxmlformats.org/officeDocument/2006/relationships/hyperlink" Target="https://doi.org/10.31538/iijse.v5i2.2195" TargetMode="External"/><Relationship Id="rId58" Type="http://schemas.openxmlformats.org/officeDocument/2006/relationships/hyperlink" Target="https://doi.org/10.3390/wevj17030122" TargetMode="External"/><Relationship Id="rId74" Type="http://schemas.openxmlformats.org/officeDocument/2006/relationships/hyperlink" Target="https://doi.org/10.1016/j.cstp.2026.101802" TargetMode="External"/><Relationship Id="rId79" Type="http://schemas.openxmlformats.org/officeDocument/2006/relationships/image" Target="media/image28.emf"/><Relationship Id="rId102" Type="http://schemas.openxmlformats.org/officeDocument/2006/relationships/image" Target="media/image50.png"/><Relationship Id="rId5" Type="http://schemas.openxmlformats.org/officeDocument/2006/relationships/footnotes" Target="footnotes.xml"/><Relationship Id="rId90" Type="http://schemas.openxmlformats.org/officeDocument/2006/relationships/image" Target="media/image38.png"/><Relationship Id="rId95" Type="http://schemas.openxmlformats.org/officeDocument/2006/relationships/image" Target="media/image43.png"/><Relationship Id="rId22" Type="http://schemas.openxmlformats.org/officeDocument/2006/relationships/chart" Target="charts/chart14.xml"/><Relationship Id="rId27" Type="http://schemas.openxmlformats.org/officeDocument/2006/relationships/image" Target="media/image3.png"/><Relationship Id="rId43" Type="http://schemas.openxmlformats.org/officeDocument/2006/relationships/image" Target="media/image18.png"/><Relationship Id="rId48" Type="http://schemas.openxmlformats.org/officeDocument/2006/relationships/image" Target="media/image23.png"/><Relationship Id="rId64" Type="http://schemas.openxmlformats.org/officeDocument/2006/relationships/hyperlink" Target="https://doi.org/10.4236/tel.2024.142031" TargetMode="External"/><Relationship Id="rId69" Type="http://schemas.openxmlformats.org/officeDocument/2006/relationships/hyperlink" Target="https://doi.org/10.3390/economies14030085" TargetMode="External"/><Relationship Id="rId113" Type="http://schemas.openxmlformats.org/officeDocument/2006/relationships/image" Target="media/image61.png"/><Relationship Id="rId118" Type="http://schemas.openxmlformats.org/officeDocument/2006/relationships/fontTable" Target="fontTable.xml"/><Relationship Id="rId80" Type="http://schemas.openxmlformats.org/officeDocument/2006/relationships/package" Target="embeddings/Microsoft_Excel_Worksheet.xlsx"/><Relationship Id="rId85" Type="http://schemas.openxmlformats.org/officeDocument/2006/relationships/image" Target="media/image33.emf"/><Relationship Id="rId12" Type="http://schemas.openxmlformats.org/officeDocument/2006/relationships/chart" Target="charts/chart4.xml"/><Relationship Id="rId17" Type="http://schemas.openxmlformats.org/officeDocument/2006/relationships/chart" Target="charts/chart9.xml"/><Relationship Id="rId33" Type="http://schemas.openxmlformats.org/officeDocument/2006/relationships/image" Target="media/image8.png"/><Relationship Id="rId38" Type="http://schemas.openxmlformats.org/officeDocument/2006/relationships/image" Target="media/image13.jpeg"/><Relationship Id="rId59" Type="http://schemas.openxmlformats.org/officeDocument/2006/relationships/hyperlink" Target="https://doi.org/10.53905/Gimer.v2i01.06" TargetMode="External"/><Relationship Id="rId103" Type="http://schemas.openxmlformats.org/officeDocument/2006/relationships/image" Target="media/image51.png"/><Relationship Id="rId108" Type="http://schemas.openxmlformats.org/officeDocument/2006/relationships/image" Target="media/image56.png"/><Relationship Id="rId54" Type="http://schemas.openxmlformats.org/officeDocument/2006/relationships/hyperlink" Target="https://doi.org/10.1108/JMB-08-2021-0032" TargetMode="External"/><Relationship Id="rId70" Type="http://schemas.openxmlformats.org/officeDocument/2006/relationships/hyperlink" Target="https://doi.org/10.35912/ijfam.v4i4.1090" TargetMode="External"/><Relationship Id="rId75" Type="http://schemas.openxmlformats.org/officeDocument/2006/relationships/hyperlink" Target="https://doi.org/10.3390/su17188128" TargetMode="External"/><Relationship Id="rId91" Type="http://schemas.openxmlformats.org/officeDocument/2006/relationships/image" Target="media/image39.png"/><Relationship Id="rId96"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chart" Target="charts/chart15.xml"/><Relationship Id="rId28" Type="http://schemas.openxmlformats.org/officeDocument/2006/relationships/image" Target="media/image4.emf"/><Relationship Id="rId49" Type="http://schemas.openxmlformats.org/officeDocument/2006/relationships/image" Target="media/image24.png"/><Relationship Id="rId114" Type="http://schemas.openxmlformats.org/officeDocument/2006/relationships/image" Target="media/image62.png"/><Relationship Id="rId119" Type="http://schemas.openxmlformats.org/officeDocument/2006/relationships/theme" Target="theme/theme1.xml"/><Relationship Id="rId10" Type="http://schemas.openxmlformats.org/officeDocument/2006/relationships/chart" Target="charts/chart2.xml"/><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hyperlink" Target="https://www.hyundai.com/pacific/en/company/about-hyundai?utm_source=chatgpt.com" TargetMode="External"/><Relationship Id="rId65" Type="http://schemas.openxmlformats.org/officeDocument/2006/relationships/hyperlink" Target="https://doi.org/10.1080/23322039.2026.2626087" TargetMode="External"/><Relationship Id="rId73" Type="http://schemas.openxmlformats.org/officeDocument/2006/relationships/hyperlink" Target="https://doi.org/10.1016/j.iref.2026.104926" TargetMode="External"/><Relationship Id="rId78" Type="http://schemas.openxmlformats.org/officeDocument/2006/relationships/hyperlink" Target="https://doi.org/10.47772/IJRISS.2025.910000175" TargetMode="External"/><Relationship Id="rId81" Type="http://schemas.openxmlformats.org/officeDocument/2006/relationships/image" Target="media/image29.emf"/><Relationship Id="rId86" Type="http://schemas.openxmlformats.org/officeDocument/2006/relationships/image" Target="media/image34.emf"/><Relationship Id="rId94" Type="http://schemas.openxmlformats.org/officeDocument/2006/relationships/image" Target="media/image42.png"/><Relationship Id="rId99" Type="http://schemas.openxmlformats.org/officeDocument/2006/relationships/image" Target="media/image47.png"/><Relationship Id="rId101" Type="http://schemas.openxmlformats.org/officeDocument/2006/relationships/image" Target="media/image49.png"/><Relationship Id="rId4" Type="http://schemas.openxmlformats.org/officeDocument/2006/relationships/webSettings" Target="webSettings.xml"/><Relationship Id="rId9"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chart" Target="charts/chart10.xml"/><Relationship Id="rId39" Type="http://schemas.openxmlformats.org/officeDocument/2006/relationships/image" Target="media/image14.png"/><Relationship Id="rId109" Type="http://schemas.openxmlformats.org/officeDocument/2006/relationships/image" Target="media/image57.png"/><Relationship Id="rId34" Type="http://schemas.openxmlformats.org/officeDocument/2006/relationships/image" Target="media/image9.png"/><Relationship Id="rId50" Type="http://schemas.openxmlformats.org/officeDocument/2006/relationships/image" Target="media/image25.png"/><Relationship Id="rId55" Type="http://schemas.openxmlformats.org/officeDocument/2006/relationships/hyperlink" Target="https://doi.org/10.3390/ijfs13030173" TargetMode="External"/><Relationship Id="rId76" Type="http://schemas.openxmlformats.org/officeDocument/2006/relationships/hyperlink" Target="https://doi.org/10.1504/IJSE.2026.151085" TargetMode="External"/><Relationship Id="rId97" Type="http://schemas.openxmlformats.org/officeDocument/2006/relationships/image" Target="media/image45.png"/><Relationship Id="rId104" Type="http://schemas.openxmlformats.org/officeDocument/2006/relationships/image" Target="media/image52.png"/><Relationship Id="rId7" Type="http://schemas.openxmlformats.org/officeDocument/2006/relationships/image" Target="media/image1.png"/><Relationship Id="rId71" Type="http://schemas.openxmlformats.org/officeDocument/2006/relationships/hyperlink" Target="https://doi.org/10.1080/23322039.2024.2404707" TargetMode="External"/><Relationship Id="rId92" Type="http://schemas.openxmlformats.org/officeDocument/2006/relationships/image" Target="media/image40.png"/><Relationship Id="rId2" Type="http://schemas.openxmlformats.org/officeDocument/2006/relationships/styles" Target="styles.xml"/><Relationship Id="rId29" Type="http://schemas.openxmlformats.org/officeDocument/2006/relationships/chart" Target="charts/chart19.xml"/><Relationship Id="rId24" Type="http://schemas.openxmlformats.org/officeDocument/2006/relationships/chart" Target="charts/chart16.xml"/><Relationship Id="rId40" Type="http://schemas.openxmlformats.org/officeDocument/2006/relationships/image" Target="media/image15.png"/><Relationship Id="rId45" Type="http://schemas.openxmlformats.org/officeDocument/2006/relationships/image" Target="media/image20.png"/><Relationship Id="rId66" Type="http://schemas.openxmlformats.org/officeDocument/2006/relationships/hyperlink" Target="https://doi.org/10.1016/j.iref.2026.104890" TargetMode="External"/><Relationship Id="rId87" Type="http://schemas.openxmlformats.org/officeDocument/2006/relationships/image" Target="media/image35.png"/><Relationship Id="rId110" Type="http://schemas.openxmlformats.org/officeDocument/2006/relationships/image" Target="media/image58.png"/><Relationship Id="rId115" Type="http://schemas.openxmlformats.org/officeDocument/2006/relationships/image" Target="media/image63.png"/><Relationship Id="rId61" Type="http://schemas.openxmlformats.org/officeDocument/2006/relationships/hyperlink" Target="https://doi.org/10.71016/hnjss/csfq9f66" TargetMode="External"/><Relationship Id="rId82" Type="http://schemas.openxmlformats.org/officeDocument/2006/relationships/image" Target="media/image30.emf"/><Relationship Id="rId19" Type="http://schemas.openxmlformats.org/officeDocument/2006/relationships/chart" Target="charts/chart11.xml"/><Relationship Id="rId14" Type="http://schemas.openxmlformats.org/officeDocument/2006/relationships/chart" Target="charts/chart6.xml"/><Relationship Id="rId30" Type="http://schemas.openxmlformats.org/officeDocument/2006/relationships/image" Target="media/image5.png"/><Relationship Id="rId35" Type="http://schemas.openxmlformats.org/officeDocument/2006/relationships/image" Target="media/image10.png"/><Relationship Id="rId56" Type="http://schemas.openxmlformats.org/officeDocument/2006/relationships/hyperlink" Target="https://doi.org/10.3390/en19081884" TargetMode="External"/><Relationship Id="rId77" Type="http://schemas.openxmlformats.org/officeDocument/2006/relationships/hyperlink" Target="https://doi.org/10.18623/rvd.v23.5327" TargetMode="External"/><Relationship Id="rId100" Type="http://schemas.openxmlformats.org/officeDocument/2006/relationships/image" Target="media/image48.png"/><Relationship Id="rId105" Type="http://schemas.openxmlformats.org/officeDocument/2006/relationships/image" Target="media/image53.png"/><Relationship Id="rId8" Type="http://schemas.openxmlformats.org/officeDocument/2006/relationships/image" Target="media/image2.png"/><Relationship Id="rId51" Type="http://schemas.openxmlformats.org/officeDocument/2006/relationships/image" Target="media/image26.png"/><Relationship Id="rId72" Type="http://schemas.openxmlformats.org/officeDocument/2006/relationships/hyperlink" Target="https://doi.org/10.20944/preprints202311.1548.v1" TargetMode="External"/><Relationship Id="rId93" Type="http://schemas.openxmlformats.org/officeDocument/2006/relationships/image" Target="media/image41.png"/><Relationship Id="rId98" Type="http://schemas.openxmlformats.org/officeDocument/2006/relationships/image" Target="media/image46.png"/><Relationship Id="rId3" Type="http://schemas.openxmlformats.org/officeDocument/2006/relationships/settings" Target="settings.xml"/><Relationship Id="rId25" Type="http://schemas.openxmlformats.org/officeDocument/2006/relationships/chart" Target="charts/chart17.xml"/><Relationship Id="rId46" Type="http://schemas.openxmlformats.org/officeDocument/2006/relationships/image" Target="media/image21.png"/><Relationship Id="rId67" Type="http://schemas.openxmlformats.org/officeDocument/2006/relationships/hyperlink" Target="https://doi.org/10.1002/9781118692028.ch26" TargetMode="External"/><Relationship Id="rId116" Type="http://schemas.openxmlformats.org/officeDocument/2006/relationships/image" Target="media/image64.png"/><Relationship Id="rId20" Type="http://schemas.openxmlformats.org/officeDocument/2006/relationships/chart" Target="charts/chart12.xml"/><Relationship Id="rId41" Type="http://schemas.openxmlformats.org/officeDocument/2006/relationships/image" Target="media/image16.jpeg"/><Relationship Id="rId62" Type="http://schemas.openxmlformats.org/officeDocument/2006/relationships/hyperlink" Target="https://doi.org/10.59141/jrssem.v5i6.1262" TargetMode="External"/><Relationship Id="rId83" Type="http://schemas.openxmlformats.org/officeDocument/2006/relationships/image" Target="media/image31.emf"/><Relationship Id="rId88" Type="http://schemas.openxmlformats.org/officeDocument/2006/relationships/image" Target="media/image36.png"/><Relationship Id="rId111" Type="http://schemas.openxmlformats.org/officeDocument/2006/relationships/image" Target="media/image59.png"/><Relationship Id="rId15" Type="http://schemas.openxmlformats.org/officeDocument/2006/relationships/chart" Target="charts/chart7.xml"/><Relationship Id="rId36" Type="http://schemas.openxmlformats.org/officeDocument/2006/relationships/image" Target="media/image11.png"/><Relationship Id="rId57" Type="http://schemas.openxmlformats.org/officeDocument/2006/relationships/hyperlink" Target="https://doi.org/10.38035/dijefa.v3i5.1507" TargetMode="External"/><Relationship Id="rId106" Type="http://schemas.openxmlformats.org/officeDocument/2006/relationships/image" Target="media/image54.png"/></Relationships>
</file>

<file path=word/charts/_rels/chart1.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9.xml"/><Relationship Id="rId1" Type="http://schemas.microsoft.com/office/2011/relationships/chartStyle" Target="style1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Gross Profit Margin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Profitability!$B$5:$F$5</c:f>
              <c:numCache>
                <c:formatCode>General</c:formatCode>
                <c:ptCount val="5"/>
                <c:pt idx="0">
                  <c:v>2020</c:v>
                </c:pt>
                <c:pt idx="1">
                  <c:v>2021</c:v>
                </c:pt>
                <c:pt idx="2">
                  <c:v>2022</c:v>
                </c:pt>
                <c:pt idx="3">
                  <c:v>2023</c:v>
                </c:pt>
                <c:pt idx="4">
                  <c:v>2024</c:v>
                </c:pt>
              </c:numCache>
            </c:numRef>
          </c:cat>
          <c:val>
            <c:numRef>
              <c:f>Profitability!$B$8:$F$8</c:f>
              <c:numCache>
                <c:formatCode>0.00%</c:formatCode>
                <c:ptCount val="5"/>
                <c:pt idx="0">
                  <c:v>0.17771246473272012</c:v>
                </c:pt>
                <c:pt idx="1">
                  <c:v>0.18646695239935207</c:v>
                </c:pt>
                <c:pt idx="2">
                  <c:v>0.19868478045312438</c:v>
                </c:pt>
                <c:pt idx="3">
                  <c:v>0.20585060408636405</c:v>
                </c:pt>
                <c:pt idx="4">
                  <c:v>0.20401170903669166</c:v>
                </c:pt>
              </c:numCache>
            </c:numRef>
          </c:val>
          <c:smooth val="0"/>
          <c:extLst>
            <c:ext xmlns:c16="http://schemas.microsoft.com/office/drawing/2014/chart" uri="{C3380CC4-5D6E-409C-BE32-E72D297353CC}">
              <c16:uniqueId val="{00000000-B8C5-4D36-863E-2CBC281F66EE}"/>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67272047"/>
        <c:axId val="1367260527"/>
      </c:lineChart>
      <c:catAx>
        <c:axId val="13672720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60527"/>
        <c:crosses val="autoZero"/>
        <c:auto val="1"/>
        <c:lblAlgn val="ctr"/>
        <c:lblOffset val="100"/>
        <c:noMultiLvlLbl val="0"/>
      </c:catAx>
      <c:valAx>
        <c:axId val="136726052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720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Net Profit Margin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Profitability!$B$12:$F$12</c:f>
              <c:numCache>
                <c:formatCode>General</c:formatCode>
                <c:ptCount val="5"/>
                <c:pt idx="0">
                  <c:v>2020</c:v>
                </c:pt>
                <c:pt idx="1">
                  <c:v>2021</c:v>
                </c:pt>
                <c:pt idx="2">
                  <c:v>2022</c:v>
                </c:pt>
                <c:pt idx="3">
                  <c:v>2023</c:v>
                </c:pt>
                <c:pt idx="4">
                  <c:v>2024</c:v>
                </c:pt>
              </c:numCache>
            </c:numRef>
          </c:cat>
          <c:val>
            <c:numRef>
              <c:f>Profitability!$B$15:$F$15</c:f>
              <c:numCache>
                <c:formatCode>0.00%</c:formatCode>
                <c:ptCount val="5"/>
                <c:pt idx="0">
                  <c:v>1.8505744185387508E-2</c:v>
                </c:pt>
                <c:pt idx="1">
                  <c:v>4.8406144866536126E-2</c:v>
                </c:pt>
                <c:pt idx="2">
                  <c:v>5.6014537822463566E-2</c:v>
                </c:pt>
                <c:pt idx="3">
                  <c:v>7.544590544143874E-2</c:v>
                </c:pt>
                <c:pt idx="4">
                  <c:v>7.5499748609198503E-2</c:v>
                </c:pt>
              </c:numCache>
            </c:numRef>
          </c:val>
          <c:smooth val="0"/>
          <c:extLst>
            <c:ext xmlns:c16="http://schemas.microsoft.com/office/drawing/2014/chart" uri="{C3380CC4-5D6E-409C-BE32-E72D297353CC}">
              <c16:uniqueId val="{00000000-E6E0-45AE-8A90-3F5C41484E8E}"/>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54238415"/>
        <c:axId val="1354249935"/>
      </c:lineChart>
      <c:catAx>
        <c:axId val="1354238415"/>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49935"/>
        <c:crosses val="autoZero"/>
        <c:auto val="1"/>
        <c:lblAlgn val="ctr"/>
        <c:lblOffset val="100"/>
        <c:noMultiLvlLbl val="0"/>
      </c:catAx>
      <c:valAx>
        <c:axId val="1354249935"/>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38415"/>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Operating Profit Margin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Profitability!$B$19:$F$19</c:f>
              <c:numCache>
                <c:formatCode>General</c:formatCode>
                <c:ptCount val="5"/>
                <c:pt idx="0">
                  <c:v>2020</c:v>
                </c:pt>
                <c:pt idx="1">
                  <c:v>2021</c:v>
                </c:pt>
                <c:pt idx="2">
                  <c:v>2022</c:v>
                </c:pt>
                <c:pt idx="3">
                  <c:v>2023</c:v>
                </c:pt>
                <c:pt idx="4">
                  <c:v>2024</c:v>
                </c:pt>
              </c:numCache>
            </c:numRef>
          </c:cat>
          <c:val>
            <c:numRef>
              <c:f>Profitability!$B$22:$F$22</c:f>
              <c:numCache>
                <c:formatCode>0.00%</c:formatCode>
                <c:ptCount val="5"/>
                <c:pt idx="0">
                  <c:v>2.3026213845067447E-2</c:v>
                </c:pt>
                <c:pt idx="1">
                  <c:v>5.6788652753195959E-2</c:v>
                </c:pt>
                <c:pt idx="2">
                  <c:v>6.8897346747770524E-2</c:v>
                </c:pt>
                <c:pt idx="3">
                  <c:v>9.2995009042558932E-2</c:v>
                </c:pt>
                <c:pt idx="4">
                  <c:v>8.1261760572904518E-2</c:v>
                </c:pt>
              </c:numCache>
            </c:numRef>
          </c:val>
          <c:smooth val="0"/>
          <c:extLst>
            <c:ext xmlns:c16="http://schemas.microsoft.com/office/drawing/2014/chart" uri="{C3380CC4-5D6E-409C-BE32-E72D297353CC}">
              <c16:uniqueId val="{00000000-D111-4159-8AA8-3DDCCAEC0A05}"/>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67244687"/>
        <c:axId val="1367267247"/>
      </c:lineChart>
      <c:catAx>
        <c:axId val="136724468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67247"/>
        <c:crosses val="autoZero"/>
        <c:auto val="1"/>
        <c:lblAlgn val="ctr"/>
        <c:lblOffset val="100"/>
        <c:noMultiLvlLbl val="0"/>
      </c:catAx>
      <c:valAx>
        <c:axId val="136726724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4468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Return on Assets (ROA)</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Profitability!$B$26:$F$26</c:f>
              <c:numCache>
                <c:formatCode>General</c:formatCode>
                <c:ptCount val="5"/>
                <c:pt idx="0">
                  <c:v>2020</c:v>
                </c:pt>
                <c:pt idx="1">
                  <c:v>2021</c:v>
                </c:pt>
                <c:pt idx="2">
                  <c:v>2022</c:v>
                </c:pt>
                <c:pt idx="3">
                  <c:v>2023</c:v>
                </c:pt>
                <c:pt idx="4">
                  <c:v>2024</c:v>
                </c:pt>
              </c:numCache>
            </c:numRef>
          </c:cat>
          <c:val>
            <c:numRef>
              <c:f>Profitability!$B$29:$F$29</c:f>
              <c:numCache>
                <c:formatCode>0.00%</c:formatCode>
                <c:ptCount val="5"/>
                <c:pt idx="0">
                  <c:v>9.1932467662397092E-3</c:v>
                </c:pt>
                <c:pt idx="1">
                  <c:v>2.4334961491074784E-2</c:v>
                </c:pt>
                <c:pt idx="2">
                  <c:v>3.1217397132901614E-2</c:v>
                </c:pt>
                <c:pt idx="3">
                  <c:v>4.3447409310846709E-2</c:v>
                </c:pt>
                <c:pt idx="4">
                  <c:v>3.8934576710476787E-2</c:v>
                </c:pt>
              </c:numCache>
            </c:numRef>
          </c:val>
          <c:smooth val="0"/>
          <c:extLst>
            <c:ext xmlns:c16="http://schemas.microsoft.com/office/drawing/2014/chart" uri="{C3380CC4-5D6E-409C-BE32-E72D297353CC}">
              <c16:uniqueId val="{00000000-79DD-42C4-A87D-86A7FC257BFE}"/>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86607"/>
        <c:axId val="97274127"/>
      </c:lineChart>
      <c:catAx>
        <c:axId val="9728660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74127"/>
        <c:crosses val="autoZero"/>
        <c:auto val="1"/>
        <c:lblAlgn val="ctr"/>
        <c:lblOffset val="100"/>
        <c:noMultiLvlLbl val="0"/>
      </c:catAx>
      <c:valAx>
        <c:axId val="9727412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660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Return on Equity (ROE)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Profitability!$B$33:$F$33</c:f>
              <c:numCache>
                <c:formatCode>General</c:formatCode>
                <c:ptCount val="5"/>
                <c:pt idx="0">
                  <c:v>2020</c:v>
                </c:pt>
                <c:pt idx="1">
                  <c:v>2021</c:v>
                </c:pt>
                <c:pt idx="2">
                  <c:v>2022</c:v>
                </c:pt>
                <c:pt idx="3">
                  <c:v>2023</c:v>
                </c:pt>
                <c:pt idx="4">
                  <c:v>2024</c:v>
                </c:pt>
              </c:numCache>
            </c:numRef>
          </c:cat>
          <c:val>
            <c:numRef>
              <c:f>Profitability!$B$36:$F$36</c:f>
              <c:numCache>
                <c:formatCode>0.00%</c:formatCode>
                <c:ptCount val="5"/>
                <c:pt idx="0">
                  <c:v>2.7699128762974857E-2</c:v>
                </c:pt>
                <c:pt idx="1">
                  <c:v>7.5921741892453112E-2</c:v>
                </c:pt>
                <c:pt idx="2">
                  <c:v>9.6948186084476973E-2</c:v>
                </c:pt>
                <c:pt idx="3">
                  <c:v>0.13267738129165724</c:v>
                </c:pt>
                <c:pt idx="4">
                  <c:v>0.12126027458833134</c:v>
                </c:pt>
              </c:numCache>
            </c:numRef>
          </c:val>
          <c:smooth val="0"/>
          <c:extLst>
            <c:ext xmlns:c16="http://schemas.microsoft.com/office/drawing/2014/chart" uri="{C3380CC4-5D6E-409C-BE32-E72D297353CC}">
              <c16:uniqueId val="{00000000-C8EB-428D-B83D-AC10A03612D9}"/>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85647"/>
        <c:axId val="97300047"/>
      </c:lineChart>
      <c:catAx>
        <c:axId val="972856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00047"/>
        <c:crosses val="autoZero"/>
        <c:auto val="1"/>
        <c:lblAlgn val="ctr"/>
        <c:lblOffset val="100"/>
        <c:noMultiLvlLbl val="0"/>
      </c:catAx>
      <c:valAx>
        <c:axId val="9730004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56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Liquidity!$B$5:$F$5</c:f>
              <c:numCache>
                <c:formatCode>General</c:formatCode>
                <c:ptCount val="5"/>
                <c:pt idx="0">
                  <c:v>2020</c:v>
                </c:pt>
                <c:pt idx="1">
                  <c:v>2021</c:v>
                </c:pt>
                <c:pt idx="2">
                  <c:v>2022</c:v>
                </c:pt>
                <c:pt idx="3">
                  <c:v>2023</c:v>
                </c:pt>
                <c:pt idx="4">
                  <c:v>2024</c:v>
                </c:pt>
              </c:numCache>
            </c:numRef>
          </c:cat>
          <c:val>
            <c:numRef>
              <c:f>Liquidity!$B$8:$F$8</c:f>
              <c:numCache>
                <c:formatCode>0.00</c:formatCode>
                <c:ptCount val="5"/>
                <c:pt idx="0">
                  <c:v>1.4074507453204135</c:v>
                </c:pt>
                <c:pt idx="1">
                  <c:v>1.3787328123992253</c:v>
                </c:pt>
                <c:pt idx="2">
                  <c:v>1.2984085908608372</c:v>
                </c:pt>
                <c:pt idx="3">
                  <c:v>1.3866112453183084</c:v>
                </c:pt>
                <c:pt idx="4">
                  <c:v>1.4559779497437815</c:v>
                </c:pt>
              </c:numCache>
            </c:numRef>
          </c:val>
          <c:smooth val="0"/>
          <c:extLst>
            <c:ext xmlns:c16="http://schemas.microsoft.com/office/drawing/2014/chart" uri="{C3380CC4-5D6E-409C-BE32-E72D297353CC}">
              <c16:uniqueId val="{00000000-6CC2-4E18-95F7-BEE300300909}"/>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80847"/>
        <c:axId val="97277007"/>
      </c:lineChart>
      <c:catAx>
        <c:axId val="972808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77007"/>
        <c:crosses val="autoZero"/>
        <c:auto val="1"/>
        <c:lblAlgn val="ctr"/>
        <c:lblOffset val="100"/>
        <c:noMultiLvlLbl val="0"/>
      </c:catAx>
      <c:valAx>
        <c:axId val="9727700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08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Quick Ratio (Acid-Test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Liquidity!$B$12:$F$12</c:f>
              <c:numCache>
                <c:formatCode>General</c:formatCode>
                <c:ptCount val="5"/>
                <c:pt idx="0">
                  <c:v>2020</c:v>
                </c:pt>
                <c:pt idx="1">
                  <c:v>2021</c:v>
                </c:pt>
                <c:pt idx="2">
                  <c:v>2022</c:v>
                </c:pt>
                <c:pt idx="3">
                  <c:v>2023</c:v>
                </c:pt>
                <c:pt idx="4">
                  <c:v>2024</c:v>
                </c:pt>
              </c:numCache>
            </c:numRef>
          </c:cat>
          <c:val>
            <c:numRef>
              <c:f>Liquidity!$B$16:$F$16</c:f>
              <c:numCache>
                <c:formatCode>0.00</c:formatCode>
                <c:ptCount val="5"/>
                <c:pt idx="0">
                  <c:v>1.2168381659538232</c:v>
                </c:pt>
                <c:pt idx="1">
                  <c:v>1.1974404168128769</c:v>
                </c:pt>
                <c:pt idx="2">
                  <c:v>1.1058992269999037</c:v>
                </c:pt>
                <c:pt idx="3">
                  <c:v>1.1494268505361684</c:v>
                </c:pt>
                <c:pt idx="4">
                  <c:v>1.2070646575535497</c:v>
                </c:pt>
              </c:numCache>
            </c:numRef>
          </c:val>
          <c:smooth val="0"/>
          <c:extLst>
            <c:ext xmlns:c16="http://schemas.microsoft.com/office/drawing/2014/chart" uri="{C3380CC4-5D6E-409C-BE32-E72D297353CC}">
              <c16:uniqueId val="{00000000-7FBF-4C5A-9C4D-80CDCD55EA9F}"/>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3967"/>
        <c:axId val="97312527"/>
      </c:lineChart>
      <c:catAx>
        <c:axId val="9731396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2527"/>
        <c:crosses val="autoZero"/>
        <c:auto val="1"/>
        <c:lblAlgn val="ctr"/>
        <c:lblOffset val="100"/>
        <c:noMultiLvlLbl val="0"/>
      </c:catAx>
      <c:valAx>
        <c:axId val="9731252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396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Inventory Turnover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Efficiency!$B$5:$F$5</c:f>
              <c:numCache>
                <c:formatCode>General</c:formatCode>
                <c:ptCount val="5"/>
                <c:pt idx="0">
                  <c:v>2020</c:v>
                </c:pt>
                <c:pt idx="1">
                  <c:v>2021</c:v>
                </c:pt>
                <c:pt idx="2">
                  <c:v>2022</c:v>
                </c:pt>
                <c:pt idx="3">
                  <c:v>2023</c:v>
                </c:pt>
                <c:pt idx="4">
                  <c:v>2024</c:v>
                </c:pt>
              </c:numCache>
            </c:numRef>
          </c:cat>
          <c:val>
            <c:numRef>
              <c:f>Efficiency!$B$10:$F$10</c:f>
              <c:numCache>
                <c:formatCode>0.00</c:formatCode>
                <c:ptCount val="5"/>
                <c:pt idx="0">
                  <c:v>6.8419362320723662</c:v>
                </c:pt>
                <c:pt idx="1">
                  <c:v>8.327478967552425</c:v>
                </c:pt>
                <c:pt idx="2">
                  <c:v>8.8067326738933716</c:v>
                </c:pt>
                <c:pt idx="3">
                  <c:v>8.1522761800128372</c:v>
                </c:pt>
                <c:pt idx="4">
                  <c:v>7.5007728812662453</c:v>
                </c:pt>
              </c:numCache>
            </c:numRef>
          </c:val>
          <c:smooth val="0"/>
          <c:extLst>
            <c:ext xmlns:c16="http://schemas.microsoft.com/office/drawing/2014/chart" uri="{C3380CC4-5D6E-409C-BE32-E72D297353CC}">
              <c16:uniqueId val="{00000000-90B9-4058-8552-F01023747ABD}"/>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78447"/>
        <c:axId val="97292847"/>
      </c:lineChart>
      <c:catAx>
        <c:axId val="972784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92847"/>
        <c:crosses val="autoZero"/>
        <c:auto val="1"/>
        <c:lblAlgn val="ctr"/>
        <c:lblOffset val="100"/>
        <c:noMultiLvlLbl val="0"/>
      </c:catAx>
      <c:valAx>
        <c:axId val="9729284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784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Receivables Collection Period (Days)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Efficiency!$B$14:$F$14</c:f>
              <c:numCache>
                <c:formatCode>General</c:formatCode>
                <c:ptCount val="5"/>
                <c:pt idx="0">
                  <c:v>2020</c:v>
                </c:pt>
                <c:pt idx="1">
                  <c:v>2021</c:v>
                </c:pt>
                <c:pt idx="2">
                  <c:v>2022</c:v>
                </c:pt>
                <c:pt idx="3">
                  <c:v>2023</c:v>
                </c:pt>
                <c:pt idx="4">
                  <c:v>2024</c:v>
                </c:pt>
              </c:numCache>
            </c:numRef>
          </c:cat>
          <c:val>
            <c:numRef>
              <c:f>Efficiency!$B$17:$F$17</c:f>
              <c:numCache>
                <c:formatCode>0</c:formatCode>
                <c:ptCount val="5"/>
                <c:pt idx="0">
                  <c:v>11.525744521741419</c:v>
                </c:pt>
                <c:pt idx="1">
                  <c:v>9.7675106329252941</c:v>
                </c:pt>
                <c:pt idx="2">
                  <c:v>10.958274167865179</c:v>
                </c:pt>
                <c:pt idx="3">
                  <c:v>10.506325020673497</c:v>
                </c:pt>
                <c:pt idx="4">
                  <c:v>12.30630968341571</c:v>
                </c:pt>
              </c:numCache>
            </c:numRef>
          </c:val>
          <c:smooth val="0"/>
          <c:extLst>
            <c:ext xmlns:c16="http://schemas.microsoft.com/office/drawing/2014/chart" uri="{C3380CC4-5D6E-409C-BE32-E72D297353CC}">
              <c16:uniqueId val="{00000000-2C78-43B0-83DB-7AEEB609858A}"/>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4927"/>
        <c:axId val="97305327"/>
      </c:lineChart>
      <c:catAx>
        <c:axId val="9731492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05327"/>
        <c:crosses val="autoZero"/>
        <c:auto val="1"/>
        <c:lblAlgn val="ctr"/>
        <c:lblOffset val="100"/>
        <c:noMultiLvlLbl val="0"/>
      </c:catAx>
      <c:valAx>
        <c:axId val="9730532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492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Payables Payment Period (Days)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Efficiency!$B$21:$F$21</c:f>
              <c:numCache>
                <c:formatCode>General</c:formatCode>
                <c:ptCount val="5"/>
                <c:pt idx="0">
                  <c:v>2020</c:v>
                </c:pt>
                <c:pt idx="1">
                  <c:v>2021</c:v>
                </c:pt>
                <c:pt idx="2">
                  <c:v>2022</c:v>
                </c:pt>
                <c:pt idx="3">
                  <c:v>2023</c:v>
                </c:pt>
                <c:pt idx="4">
                  <c:v>2024</c:v>
                </c:pt>
              </c:numCache>
            </c:numRef>
          </c:cat>
          <c:val>
            <c:numRef>
              <c:f>Efficiency!$B$24:$F$24</c:f>
              <c:numCache>
                <c:formatCode>0</c:formatCode>
                <c:ptCount val="5"/>
                <c:pt idx="0">
                  <c:v>37.531139490254745</c:v>
                </c:pt>
                <c:pt idx="1">
                  <c:v>34.925412832053922</c:v>
                </c:pt>
                <c:pt idx="2">
                  <c:v>34.506142760492139</c:v>
                </c:pt>
                <c:pt idx="3">
                  <c:v>30.945363619461816</c:v>
                </c:pt>
                <c:pt idx="4">
                  <c:v>32.840241489031136</c:v>
                </c:pt>
              </c:numCache>
            </c:numRef>
          </c:val>
          <c:smooth val="0"/>
          <c:extLst>
            <c:ext xmlns:c16="http://schemas.microsoft.com/office/drawing/2014/chart" uri="{C3380CC4-5D6E-409C-BE32-E72D297353CC}">
              <c16:uniqueId val="{00000000-E6DD-4FBD-9EA1-BA063A9A026B}"/>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21167"/>
        <c:axId val="97329807"/>
      </c:lineChart>
      <c:catAx>
        <c:axId val="9732116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9807"/>
        <c:crosses val="autoZero"/>
        <c:auto val="1"/>
        <c:lblAlgn val="ctr"/>
        <c:lblOffset val="100"/>
        <c:noMultiLvlLbl val="0"/>
      </c:catAx>
      <c:valAx>
        <c:axId val="9732980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116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Total Asset Turnover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Efficiency!$B$28:$F$28</c:f>
              <c:numCache>
                <c:formatCode>General</c:formatCode>
                <c:ptCount val="5"/>
                <c:pt idx="0">
                  <c:v>2020</c:v>
                </c:pt>
                <c:pt idx="1">
                  <c:v>2021</c:v>
                </c:pt>
                <c:pt idx="2">
                  <c:v>2022</c:v>
                </c:pt>
                <c:pt idx="3">
                  <c:v>2023</c:v>
                </c:pt>
                <c:pt idx="4">
                  <c:v>2024</c:v>
                </c:pt>
              </c:numCache>
            </c:numRef>
          </c:cat>
          <c:val>
            <c:numRef>
              <c:f>Efficiency!$B$31:$F$31</c:f>
              <c:numCache>
                <c:formatCode>0.00</c:formatCode>
                <c:ptCount val="5"/>
                <c:pt idx="0">
                  <c:v>0.49677800979756725</c:v>
                </c:pt>
                <c:pt idx="1">
                  <c:v>0.50272463461344341</c:v>
                </c:pt>
                <c:pt idx="2">
                  <c:v>0.55730884064141062</c:v>
                </c:pt>
                <c:pt idx="3">
                  <c:v>0.57587498031381801</c:v>
                </c:pt>
                <c:pt idx="4">
                  <c:v>0.51569147484198641</c:v>
                </c:pt>
              </c:numCache>
            </c:numRef>
          </c:val>
          <c:smooth val="0"/>
          <c:extLst>
            <c:ext xmlns:c16="http://schemas.microsoft.com/office/drawing/2014/chart" uri="{C3380CC4-5D6E-409C-BE32-E72D297353CC}">
              <c16:uniqueId val="{00000000-023D-4981-89E0-D521D8FEDA88}"/>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37487"/>
        <c:axId val="97335567"/>
      </c:lineChart>
      <c:catAx>
        <c:axId val="9733748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35567"/>
        <c:crosses val="autoZero"/>
        <c:auto val="1"/>
        <c:lblAlgn val="ctr"/>
        <c:lblOffset val="100"/>
        <c:noMultiLvlLbl val="0"/>
      </c:catAx>
      <c:valAx>
        <c:axId val="9733556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3748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Debt to Equity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Gearing!$B$5:$F$5</c:f>
              <c:numCache>
                <c:formatCode>General</c:formatCode>
                <c:ptCount val="5"/>
                <c:pt idx="0">
                  <c:v>2020</c:v>
                </c:pt>
                <c:pt idx="1">
                  <c:v>2021</c:v>
                </c:pt>
                <c:pt idx="2">
                  <c:v>2022</c:v>
                </c:pt>
                <c:pt idx="3">
                  <c:v>2023</c:v>
                </c:pt>
                <c:pt idx="4">
                  <c:v>2024</c:v>
                </c:pt>
              </c:numCache>
            </c:numRef>
          </c:cat>
          <c:val>
            <c:numRef>
              <c:f>Gearing!$B$8:$F$8</c:f>
              <c:numCache>
                <c:formatCode>0.00</c:formatCode>
                <c:ptCount val="5"/>
                <c:pt idx="0">
                  <c:v>1.7422262515134403</c:v>
                </c:pt>
                <c:pt idx="1">
                  <c:v>1.8317397658696934</c:v>
                </c:pt>
                <c:pt idx="2">
                  <c:v>1.8135553667083826</c:v>
                </c:pt>
                <c:pt idx="3">
                  <c:v>1.774431869971979</c:v>
                </c:pt>
                <c:pt idx="4">
                  <c:v>1.8251572906110818</c:v>
                </c:pt>
              </c:numCache>
            </c:numRef>
          </c:val>
          <c:smooth val="0"/>
          <c:extLst>
            <c:ext xmlns:c16="http://schemas.microsoft.com/office/drawing/2014/chart" uri="{C3380CC4-5D6E-409C-BE32-E72D297353CC}">
              <c16:uniqueId val="{00000000-F8B5-4182-8B0A-00EC101F7572}"/>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0607"/>
        <c:axId val="97316367"/>
      </c:lineChart>
      <c:catAx>
        <c:axId val="9731060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6367"/>
        <c:crosses val="autoZero"/>
        <c:auto val="1"/>
        <c:lblAlgn val="ctr"/>
        <c:lblOffset val="100"/>
        <c:noMultiLvlLbl val="0"/>
      </c:catAx>
      <c:valAx>
        <c:axId val="9731636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060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Interest Coverage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Gearing!$B$12:$F$12</c:f>
              <c:numCache>
                <c:formatCode>General</c:formatCode>
                <c:ptCount val="5"/>
                <c:pt idx="0">
                  <c:v>2020</c:v>
                </c:pt>
                <c:pt idx="1">
                  <c:v>2021</c:v>
                </c:pt>
                <c:pt idx="2">
                  <c:v>2022</c:v>
                </c:pt>
                <c:pt idx="3">
                  <c:v>2023</c:v>
                </c:pt>
                <c:pt idx="4">
                  <c:v>2024</c:v>
                </c:pt>
              </c:numCache>
            </c:numRef>
          </c:cat>
          <c:val>
            <c:numRef>
              <c:f>Gearing!$B$15:$F$15</c:f>
              <c:numCache>
                <c:formatCode>0.00</c:formatCode>
                <c:ptCount val="5"/>
                <c:pt idx="0">
                  <c:v>2.5049095650482065</c:v>
                </c:pt>
                <c:pt idx="1">
                  <c:v>12.178751299210445</c:v>
                </c:pt>
                <c:pt idx="2">
                  <c:v>9.3146539458257607</c:v>
                </c:pt>
                <c:pt idx="3">
                  <c:v>15.583497476048212</c:v>
                </c:pt>
                <c:pt idx="4">
                  <c:v>15.847283014542302</c:v>
                </c:pt>
              </c:numCache>
            </c:numRef>
          </c:val>
          <c:smooth val="0"/>
          <c:extLst>
            <c:ext xmlns:c16="http://schemas.microsoft.com/office/drawing/2014/chart" uri="{C3380CC4-5D6E-409C-BE32-E72D297353CC}">
              <c16:uniqueId val="{00000000-F783-44D2-9F8D-369563E9234F}"/>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12506399"/>
        <c:axId val="1112513119"/>
      </c:lineChart>
      <c:catAx>
        <c:axId val="1112506399"/>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12513119"/>
        <c:crosses val="autoZero"/>
        <c:auto val="1"/>
        <c:lblAlgn val="ctr"/>
        <c:lblOffset val="100"/>
        <c:noMultiLvlLbl val="0"/>
      </c:catAx>
      <c:valAx>
        <c:axId val="1112513119"/>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12506399"/>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Investment!$A$6</c:f>
              <c:strCache>
                <c:ptCount val="1"/>
                <c:pt idx="0">
                  <c:v>EPS (KRW)</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Investment!$B$5:$F$5</c:f>
              <c:numCache>
                <c:formatCode>General</c:formatCode>
                <c:ptCount val="5"/>
                <c:pt idx="0">
                  <c:v>2020</c:v>
                </c:pt>
                <c:pt idx="1">
                  <c:v>2021</c:v>
                </c:pt>
                <c:pt idx="2">
                  <c:v>2022</c:v>
                </c:pt>
                <c:pt idx="3">
                  <c:v>2023</c:v>
                </c:pt>
                <c:pt idx="4">
                  <c:v>2024</c:v>
                </c:pt>
              </c:numCache>
            </c:numRef>
          </c:cat>
          <c:val>
            <c:numRef>
              <c:f>Investment!$B$6:$F$6</c:f>
              <c:numCache>
                <c:formatCode>#,##0</c:formatCode>
                <c:ptCount val="5"/>
                <c:pt idx="0">
                  <c:v>5454</c:v>
                </c:pt>
                <c:pt idx="1">
                  <c:v>18979</c:v>
                </c:pt>
                <c:pt idx="2">
                  <c:v>28521</c:v>
                </c:pt>
                <c:pt idx="3">
                  <c:v>45703</c:v>
                </c:pt>
                <c:pt idx="4">
                  <c:v>47615</c:v>
                </c:pt>
              </c:numCache>
            </c:numRef>
          </c:val>
          <c:smooth val="0"/>
          <c:extLst>
            <c:ext xmlns:c16="http://schemas.microsoft.com/office/drawing/2014/chart" uri="{C3380CC4-5D6E-409C-BE32-E72D297353CC}">
              <c16:uniqueId val="{00000000-B76F-48C1-851D-2AFCC9F74AA1}"/>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764996880"/>
        <c:axId val="1764973360"/>
      </c:lineChart>
      <c:catAx>
        <c:axId val="1764996880"/>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764973360"/>
        <c:crosses val="autoZero"/>
        <c:auto val="1"/>
        <c:lblAlgn val="ctr"/>
        <c:lblOffset val="100"/>
        <c:noMultiLvlLbl val="0"/>
      </c:catAx>
      <c:valAx>
        <c:axId val="1764973360"/>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764996880"/>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Price/Earnings Ratio (P/E)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Investment!$B$10:$F$10</c:f>
              <c:numCache>
                <c:formatCode>General</c:formatCode>
                <c:ptCount val="5"/>
                <c:pt idx="0">
                  <c:v>2020</c:v>
                </c:pt>
                <c:pt idx="1">
                  <c:v>2021</c:v>
                </c:pt>
                <c:pt idx="2">
                  <c:v>2022</c:v>
                </c:pt>
                <c:pt idx="3">
                  <c:v>2023</c:v>
                </c:pt>
                <c:pt idx="4">
                  <c:v>2024</c:v>
                </c:pt>
              </c:numCache>
            </c:numRef>
          </c:cat>
          <c:val>
            <c:numRef>
              <c:f>Investment!$B$13:$F$13</c:f>
              <c:numCache>
                <c:formatCode>0.00</c:formatCode>
                <c:ptCount val="5"/>
                <c:pt idx="0">
                  <c:v>33.003300330033007</c:v>
                </c:pt>
                <c:pt idx="1">
                  <c:v>12.118657463512303</c:v>
                </c:pt>
                <c:pt idx="2">
                  <c:v>6.3111391606184917</c:v>
                </c:pt>
                <c:pt idx="3">
                  <c:v>5.0324923965604009</c:v>
                </c:pt>
                <c:pt idx="4">
                  <c:v>8.4007140606951598</c:v>
                </c:pt>
              </c:numCache>
            </c:numRef>
          </c:val>
          <c:smooth val="0"/>
          <c:extLst>
            <c:ext xmlns:c16="http://schemas.microsoft.com/office/drawing/2014/chart" uri="{C3380CC4-5D6E-409C-BE32-E72D297353CC}">
              <c16:uniqueId val="{00000000-58A5-4786-868F-E93489025B59}"/>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08187599"/>
        <c:axId val="1108189519"/>
      </c:lineChart>
      <c:catAx>
        <c:axId val="1108187599"/>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08189519"/>
        <c:crosses val="autoZero"/>
        <c:auto val="1"/>
        <c:lblAlgn val="ctr"/>
        <c:lblOffset val="100"/>
        <c:noMultiLvlLbl val="0"/>
      </c:catAx>
      <c:valAx>
        <c:axId val="1108189519"/>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08187599"/>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Flow'!$A$6</c:f>
              <c:strCache>
                <c:ptCount val="1"/>
                <c:pt idx="0">
                  <c:v>Operating Cash Flow (KRW mn)</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Flow'!$B$5:$F$5</c:f>
              <c:numCache>
                <c:formatCode>General</c:formatCode>
                <c:ptCount val="5"/>
                <c:pt idx="0">
                  <c:v>2020</c:v>
                </c:pt>
                <c:pt idx="1">
                  <c:v>2021</c:v>
                </c:pt>
                <c:pt idx="2">
                  <c:v>2022</c:v>
                </c:pt>
                <c:pt idx="3">
                  <c:v>2023</c:v>
                </c:pt>
                <c:pt idx="4">
                  <c:v>2024</c:v>
                </c:pt>
              </c:numCache>
            </c:numRef>
          </c:cat>
          <c:val>
            <c:numRef>
              <c:f>'Cash Flow'!$B$6:$F$6</c:f>
              <c:numCache>
                <c:formatCode>#,##0</c:formatCode>
                <c:ptCount val="5"/>
                <c:pt idx="0">
                  <c:v>-409807</c:v>
                </c:pt>
                <c:pt idx="1">
                  <c:v>-1176416</c:v>
                </c:pt>
                <c:pt idx="2">
                  <c:v>10627311</c:v>
                </c:pt>
                <c:pt idx="3">
                  <c:v>-2518760</c:v>
                </c:pt>
                <c:pt idx="4">
                  <c:v>-5661641</c:v>
                </c:pt>
              </c:numCache>
            </c:numRef>
          </c:val>
          <c:smooth val="0"/>
          <c:extLst>
            <c:ext xmlns:c16="http://schemas.microsoft.com/office/drawing/2014/chart" uri="{C3380CC4-5D6E-409C-BE32-E72D297353CC}">
              <c16:uniqueId val="{00000000-8849-4C69-ADD2-26EEFF47F782}"/>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25967"/>
        <c:axId val="97331727"/>
      </c:lineChart>
      <c:catAx>
        <c:axId val="9732596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31727"/>
        <c:crosses val="autoZero"/>
        <c:auto val="1"/>
        <c:lblAlgn val="ctr"/>
        <c:lblOffset val="100"/>
        <c:noMultiLvlLbl val="0"/>
      </c:catAx>
      <c:valAx>
        <c:axId val="9733172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596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Free Cash Flow (FCF)</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Flow'!$B$10:$F$10</c:f>
              <c:numCache>
                <c:formatCode>General</c:formatCode>
                <c:ptCount val="5"/>
                <c:pt idx="0">
                  <c:v>2020</c:v>
                </c:pt>
                <c:pt idx="1">
                  <c:v>2021</c:v>
                </c:pt>
                <c:pt idx="2">
                  <c:v>2022</c:v>
                </c:pt>
                <c:pt idx="3">
                  <c:v>2023</c:v>
                </c:pt>
                <c:pt idx="4">
                  <c:v>2024</c:v>
                </c:pt>
              </c:numCache>
            </c:numRef>
          </c:cat>
          <c:val>
            <c:numRef>
              <c:f>'Cash Flow'!$B$13:$F$13</c:f>
              <c:numCache>
                <c:formatCode>0</c:formatCode>
                <c:ptCount val="5"/>
                <c:pt idx="0">
                  <c:v>4278035</c:v>
                </c:pt>
                <c:pt idx="1">
                  <c:v>3127918</c:v>
                </c:pt>
                <c:pt idx="2">
                  <c:v>14642280</c:v>
                </c:pt>
                <c:pt idx="3">
                  <c:v>4551998</c:v>
                </c:pt>
                <c:pt idx="4">
                  <c:v>2399692</c:v>
                </c:pt>
              </c:numCache>
            </c:numRef>
          </c:val>
          <c:smooth val="0"/>
          <c:extLst>
            <c:ext xmlns:c16="http://schemas.microsoft.com/office/drawing/2014/chart" uri="{C3380CC4-5D6E-409C-BE32-E72D297353CC}">
              <c16:uniqueId val="{00000000-92CF-47E8-A22D-8A32A1EF9FBF}"/>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54208655"/>
        <c:axId val="1354215855"/>
      </c:lineChart>
      <c:catAx>
        <c:axId val="1354208655"/>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15855"/>
        <c:crosses val="autoZero"/>
        <c:auto val="1"/>
        <c:lblAlgn val="ctr"/>
        <c:lblOffset val="100"/>
        <c:noMultiLvlLbl val="0"/>
      </c:catAx>
      <c:valAx>
        <c:axId val="1354215855"/>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08655"/>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Cash Flow Adequacy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Flow'!$B$17:$F$17</c:f>
              <c:numCache>
                <c:formatCode>General</c:formatCode>
                <c:ptCount val="5"/>
                <c:pt idx="0">
                  <c:v>2020</c:v>
                </c:pt>
                <c:pt idx="1">
                  <c:v>2021</c:v>
                </c:pt>
                <c:pt idx="2">
                  <c:v>2022</c:v>
                </c:pt>
                <c:pt idx="3">
                  <c:v>2023</c:v>
                </c:pt>
                <c:pt idx="4">
                  <c:v>2024</c:v>
                </c:pt>
              </c:numCache>
            </c:numRef>
          </c:cat>
          <c:val>
            <c:numRef>
              <c:f>'Cash Flow'!$B$20:$F$20</c:f>
              <c:numCache>
                <c:formatCode>0.00</c:formatCode>
                <c:ptCount val="5"/>
                <c:pt idx="0">
                  <c:v>8.7419115234685804E-2</c:v>
                </c:pt>
                <c:pt idx="1">
                  <c:v>0.27330964558047771</c:v>
                </c:pt>
                <c:pt idx="2">
                  <c:v>2.6469223050040984</c:v>
                </c:pt>
                <c:pt idx="3">
                  <c:v>0.3562220627547994</c:v>
                </c:pt>
                <c:pt idx="4">
                  <c:v>0.70232069559711774</c:v>
                </c:pt>
              </c:numCache>
            </c:numRef>
          </c:val>
          <c:smooth val="0"/>
          <c:extLst>
            <c:ext xmlns:c16="http://schemas.microsoft.com/office/drawing/2014/chart" uri="{C3380CC4-5D6E-409C-BE32-E72D297353CC}">
              <c16:uniqueId val="{00000000-0EA4-43DF-B8E3-68CB6576709C}"/>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0127"/>
        <c:axId val="97327887"/>
      </c:lineChart>
      <c:catAx>
        <c:axId val="9731012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7887"/>
        <c:crosses val="autoZero"/>
        <c:auto val="1"/>
        <c:lblAlgn val="ctr"/>
        <c:lblOffset val="100"/>
        <c:noMultiLvlLbl val="0"/>
      </c:catAx>
      <c:valAx>
        <c:axId val="9732788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012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Cash Conversion Cycle (CCC)</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dLbl>
              <c:idx val="0"/>
              <c:layout>
                <c:manualLayout>
                  <c:x val="-9.9076552930883646E-2"/>
                  <c:y val="6.947907553222505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5CE-480D-8DB0-6BB755F70AB7}"/>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Conversion Cycle (CCC)'!$B$5:$F$5</c:f>
              <c:numCache>
                <c:formatCode>General</c:formatCode>
                <c:ptCount val="5"/>
                <c:pt idx="0">
                  <c:v>2020</c:v>
                </c:pt>
                <c:pt idx="1">
                  <c:v>2021</c:v>
                </c:pt>
                <c:pt idx="2">
                  <c:v>2022</c:v>
                </c:pt>
                <c:pt idx="3">
                  <c:v>2023</c:v>
                </c:pt>
                <c:pt idx="4">
                  <c:v>2024</c:v>
                </c:pt>
              </c:numCache>
            </c:numRef>
          </c:cat>
          <c:val>
            <c:numRef>
              <c:f>'Cash Conversion Cycle (CCC)'!$B$10:$F$10</c:f>
              <c:numCache>
                <c:formatCode>0.00</c:formatCode>
                <c:ptCount val="5"/>
                <c:pt idx="0">
                  <c:v>27.342076802565217</c:v>
                </c:pt>
                <c:pt idx="1">
                  <c:v>18.672889979657164</c:v>
                </c:pt>
                <c:pt idx="2">
                  <c:v>17.897695104566203</c:v>
                </c:pt>
                <c:pt idx="3">
                  <c:v>24.333733071396338</c:v>
                </c:pt>
                <c:pt idx="4">
                  <c:v>28.127720237151458</c:v>
                </c:pt>
              </c:numCache>
            </c:numRef>
          </c:val>
          <c:smooth val="0"/>
          <c:extLst>
            <c:ext xmlns:c16="http://schemas.microsoft.com/office/drawing/2014/chart" uri="{C3380CC4-5D6E-409C-BE32-E72D297353CC}">
              <c16:uniqueId val="{00000001-45CE-480D-8DB0-6BB755F70AB7}"/>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93327"/>
        <c:axId val="97282287"/>
      </c:lineChart>
      <c:catAx>
        <c:axId val="9729332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2287"/>
        <c:crosses val="autoZero"/>
        <c:auto val="1"/>
        <c:lblAlgn val="ctr"/>
        <c:lblOffset val="100"/>
        <c:noMultiLvlLbl val="0"/>
      </c:catAx>
      <c:valAx>
        <c:axId val="9728228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9332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040DCD77-CF57-4E59-B48B-6AEA7CD7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85</Pages>
  <Words>8928</Words>
  <Characters>50896</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Naitiksinh Pareshbhai Parmar (2525945)</cp:lastModifiedBy>
  <cp:revision>2</cp:revision>
  <dcterms:created xsi:type="dcterms:W3CDTF">2026-04-24T10:41:00Z</dcterms:created>
  <dcterms:modified xsi:type="dcterms:W3CDTF">2026-04-24T10:41:00Z</dcterms:modified>
</cp:coreProperties>
</file>