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5103"/>
        </w:tabs>
        <w:jc w:val="center"/>
        <w:rPr>
          <w:rFonts w:ascii="Arial" w:hAnsi="Arial" w:cs="Arial"/>
          <w:b/>
          <w:bCs/>
          <w:sz w:val="24"/>
          <w:szCs w:val="24"/>
        </w:rPr>
      </w:pPr>
      <w:r>
        <w:rPr>
          <w:rFonts w:ascii="Arial" w:hAnsi="Arial" w:cs="Arial"/>
          <w:b/>
          <w:bCs/>
          <w:sz w:val="24"/>
          <w:szCs w:val="24"/>
        </w:rPr>
        <w:t>APPLICATION FOR ETHICAL APPROVAL</w:t>
      </w:r>
    </w:p>
    <w:p>
      <w:pPr>
        <w:tabs>
          <w:tab w:val="left" w:pos="5103"/>
        </w:tabs>
        <w:jc w:val="center"/>
        <w:rPr>
          <w:rFonts w:ascii="Arial" w:hAnsi="Arial" w:cs="Arial"/>
          <w:b/>
          <w:bCs/>
        </w:rPr>
      </w:pPr>
    </w:p>
    <w:p>
      <w:pPr>
        <w:tabs>
          <w:tab w:val="left" w:pos="5103"/>
        </w:tabs>
        <w:jc w:val="both"/>
        <w:rPr>
          <w:rFonts w:ascii="Arial" w:hAnsi="Arial" w:cs="Arial"/>
          <w:b/>
          <w:bCs/>
          <w:sz w:val="22"/>
          <w:szCs w:val="22"/>
        </w:rPr>
      </w:pPr>
    </w:p>
    <w:tbl>
      <w:tblPr>
        <w:tblStyle w:val="19"/>
        <w:tblW w:w="104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35"/>
      </w:tblGrid>
      <w:tr>
        <w:tc>
          <w:tcPr>
            <w:tcW w:w="10435" w:type="dxa"/>
          </w:tcPr>
          <w:p>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b/>
                <w:bCs/>
                <w:sz w:val="22"/>
                <w:szCs w:val="22"/>
              </w:rPr>
            </w:pPr>
            <w:r>
              <w:rPr>
                <w:rFonts w:ascii="Arial" w:hAnsi="Arial" w:cs="Arial"/>
                <w:b/>
                <w:bCs/>
                <w:sz w:val="22"/>
                <w:szCs w:val="22"/>
              </w:rPr>
              <w:t>RESEARCH STUDENTS</w:t>
            </w:r>
          </w:p>
          <w:p>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r>
              <w:rPr>
                <w:rFonts w:ascii="Arial" w:hAnsi="Arial" w:cs="Arial"/>
                <w:sz w:val="22"/>
                <w:szCs w:val="22"/>
              </w:rPr>
              <w:t xml:space="preserve">This form is to be completed by the student within </w:t>
            </w:r>
            <w:r>
              <w:rPr>
                <w:rFonts w:ascii="Arial" w:hAnsi="Arial" w:cs="Arial"/>
                <w:b/>
                <w:sz w:val="22"/>
                <w:szCs w:val="22"/>
              </w:rPr>
              <w:t>SIX</w:t>
            </w:r>
            <w:r>
              <w:rPr>
                <w:rFonts w:ascii="Arial" w:hAnsi="Arial" w:cs="Arial"/>
                <w:sz w:val="22"/>
                <w:szCs w:val="22"/>
              </w:rPr>
              <w:t xml:space="preserve"> months for full-time students and </w:t>
            </w:r>
            <w:r>
              <w:rPr>
                <w:rFonts w:ascii="Arial" w:hAnsi="Arial" w:cs="Arial"/>
                <w:b/>
                <w:sz w:val="22"/>
                <w:szCs w:val="22"/>
              </w:rPr>
              <w:t xml:space="preserve">TWELVE </w:t>
            </w:r>
            <w:r>
              <w:rPr>
                <w:rFonts w:ascii="Arial" w:hAnsi="Arial" w:cs="Arial"/>
                <w:sz w:val="22"/>
                <w:szCs w:val="22"/>
              </w:rPr>
              <w:t xml:space="preserve">months for part time students, after the commencement of the research degree or following progression to Part Two of your course. </w:t>
            </w:r>
          </w:p>
          <w:p>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bCs/>
                <w:sz w:val="22"/>
                <w:szCs w:val="22"/>
              </w:rPr>
            </w:pPr>
          </w:p>
          <w:p>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bCs/>
                <w:sz w:val="22"/>
                <w:szCs w:val="22"/>
              </w:rPr>
            </w:pPr>
            <w:r>
              <w:rPr>
                <w:rFonts w:ascii="Arial" w:hAnsi="Arial" w:cs="Arial"/>
                <w:bCs/>
                <w:sz w:val="22"/>
                <w:szCs w:val="22"/>
              </w:rPr>
              <w:t xml:space="preserve">Once complete, submit this form via the </w:t>
            </w:r>
            <w:r>
              <w:rPr>
                <w:rFonts w:ascii="Arial" w:hAnsi="Arial" w:cs="Arial"/>
                <w:b/>
                <w:i/>
                <w:iCs/>
                <w:sz w:val="22"/>
                <w:szCs w:val="22"/>
                <w:u w:val="single"/>
              </w:rPr>
              <w:t>MyTSD Doctoral College Portal</w:t>
            </w:r>
            <w:r>
              <w:rPr>
                <w:rFonts w:ascii="Arial" w:hAnsi="Arial" w:cs="Arial"/>
                <w:bCs/>
                <w:sz w:val="22"/>
                <w:szCs w:val="22"/>
              </w:rPr>
              <w:t xml:space="preserve"> at (</w:t>
            </w:r>
            <w:r>
              <w:fldChar w:fldCharType="begin"/>
            </w:r>
            <w:r>
              <w:instrText xml:space="preserve"> HYPERLINK "https://mytsd.uwtsd.ac.uk" </w:instrText>
            </w:r>
            <w:r>
              <w:fldChar w:fldCharType="separate"/>
            </w:r>
            <w:r>
              <w:rPr>
                <w:rStyle w:val="8"/>
                <w:rFonts w:ascii="Arial" w:hAnsi="Arial" w:cs="Arial"/>
                <w:bCs/>
                <w:sz w:val="22"/>
                <w:szCs w:val="22"/>
              </w:rPr>
              <w:t>https://mytsd.uwtsd.ac.uk</w:t>
            </w:r>
            <w:r>
              <w:rPr>
                <w:rStyle w:val="8"/>
                <w:rFonts w:ascii="Arial" w:hAnsi="Arial" w:cs="Arial"/>
                <w:bCs/>
                <w:sz w:val="22"/>
                <w:szCs w:val="22"/>
              </w:rPr>
              <w:fldChar w:fldCharType="end"/>
            </w:r>
            <w:r>
              <w:rPr>
                <w:rFonts w:ascii="Arial" w:hAnsi="Arial" w:cs="Arial"/>
                <w:bCs/>
                <w:sz w:val="22"/>
                <w:szCs w:val="22"/>
              </w:rPr>
              <w:t>).</w:t>
            </w:r>
          </w:p>
          <w:p>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p>
          <w:p>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r>
              <w:rPr>
                <w:rFonts w:ascii="Arial" w:hAnsi="Arial" w:cs="Arial"/>
                <w:sz w:val="22"/>
                <w:szCs w:val="22"/>
              </w:rPr>
              <w:t>This document is also available in Welsh.</w:t>
            </w:r>
          </w:p>
          <w:p>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p>
        </w:tc>
      </w:tr>
      <w:tr>
        <w:tc>
          <w:tcPr>
            <w:tcW w:w="10435" w:type="dxa"/>
          </w:tcPr>
          <w:p>
            <w:pPr>
              <w:rPr>
                <w:rFonts w:ascii="Arial" w:hAnsi="Arial" w:cs="Arial"/>
                <w:b/>
                <w:sz w:val="22"/>
                <w:szCs w:val="22"/>
              </w:rPr>
            </w:pPr>
            <w:r>
              <w:rPr>
                <w:rFonts w:ascii="Arial" w:hAnsi="Arial" w:cs="Arial"/>
                <w:b/>
                <w:sz w:val="22"/>
                <w:szCs w:val="22"/>
              </w:rPr>
              <w:t>RESEARCH STAFF ONLY</w:t>
            </w:r>
          </w:p>
          <w:p>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8"/>
                <w:rFonts w:ascii="Arial" w:hAnsi="Arial" w:cs="Arial"/>
                <w:sz w:val="22"/>
                <w:szCs w:val="22"/>
              </w:rPr>
              <w:t>pgresearch@uwtsd.ac.uk</w:t>
            </w:r>
            <w:r>
              <w:rPr>
                <w:rStyle w:val="8"/>
                <w:rFonts w:ascii="Arial" w:hAnsi="Arial" w:cs="Arial"/>
                <w:sz w:val="22"/>
                <w:szCs w:val="22"/>
              </w:rPr>
              <w:fldChar w:fldCharType="end"/>
            </w:r>
            <w:r>
              <w:rPr>
                <w:rFonts w:ascii="Arial" w:hAnsi="Arial" w:cs="Arial"/>
                <w:sz w:val="22"/>
                <w:szCs w:val="22"/>
              </w:rPr>
              <w:t xml:space="preserve"> , with the title ‘Ethical Approval’ followed by your name.</w:t>
            </w:r>
          </w:p>
          <w:p>
            <w:pPr>
              <w:rPr>
                <w:rFonts w:ascii="Arial" w:hAnsi="Arial" w:cs="Arial"/>
                <w:sz w:val="22"/>
                <w:szCs w:val="22"/>
              </w:rPr>
            </w:pPr>
          </w:p>
        </w:tc>
      </w:tr>
      <w:tr>
        <w:tc>
          <w:tcPr>
            <w:tcW w:w="10435" w:type="dxa"/>
          </w:tcPr>
          <w:p>
            <w:pPr>
              <w:pBdr>
                <w:top w:val="single" w:color="auto" w:sz="4" w:space="1"/>
                <w:left w:val="single" w:color="auto" w:sz="4" w:space="4"/>
                <w:bottom w:val="single" w:color="auto" w:sz="4" w:space="1"/>
                <w:right w:val="single" w:color="auto" w:sz="4" w:space="21"/>
                <w:between w:val="single" w:color="auto" w:sz="4" w:space="1"/>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pPr>
        <w:tabs>
          <w:tab w:val="left" w:pos="5103"/>
        </w:tabs>
        <w:jc w:val="both"/>
        <w:rPr>
          <w:rFonts w:ascii="Arial" w:hAnsi="Arial" w:cs="Arial"/>
          <w:b/>
          <w:bCs/>
          <w:sz w:val="22"/>
          <w:szCs w:val="22"/>
        </w:rPr>
      </w:pPr>
    </w:p>
    <w:p>
      <w:pPr>
        <w:tabs>
          <w:tab w:val="left" w:pos="5103"/>
        </w:tabs>
        <w:jc w:val="both"/>
        <w:rPr>
          <w:rFonts w:ascii="Arial" w:hAnsi="Arial" w:cs="Arial"/>
          <w:b/>
          <w:bCs/>
          <w:sz w:val="22"/>
          <w:szCs w:val="22"/>
        </w:rPr>
      </w:pPr>
    </w:p>
    <w:p>
      <w:pPr>
        <w:tabs>
          <w:tab w:val="left" w:pos="5103"/>
        </w:tabs>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pPr>
        <w:tabs>
          <w:tab w:val="left" w:pos="5103"/>
        </w:tabs>
        <w:jc w:val="center"/>
        <w:rPr>
          <w:rFonts w:ascii="Arial" w:hAnsi="Arial" w:cs="Arial"/>
          <w:b/>
          <w:bCs/>
          <w:sz w:val="16"/>
          <w:szCs w:val="16"/>
        </w:rPr>
      </w:pPr>
    </w:p>
    <w:p>
      <w:pPr>
        <w:tabs>
          <w:tab w:val="left" w:pos="5103"/>
        </w:tabs>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pPr>
        <w:tabs>
          <w:tab w:val="left" w:pos="5103"/>
        </w:tabs>
        <w:jc w:val="both"/>
        <w:rPr>
          <w:rFonts w:ascii="Arial" w:hAnsi="Arial" w:cs="Arial"/>
          <w:sz w:val="22"/>
          <w:szCs w:val="22"/>
        </w:rPr>
      </w:pPr>
    </w:p>
    <w:p>
      <w:pPr>
        <w:tabs>
          <w:tab w:val="left" w:pos="5103"/>
        </w:tabs>
        <w:jc w:val="both"/>
        <w:rPr>
          <w:rFonts w:ascii="Arial" w:hAnsi="Arial" w:cs="Arial"/>
          <w:sz w:val="22"/>
          <w:szCs w:val="22"/>
        </w:rPr>
      </w:pPr>
      <w:r>
        <w:rPr>
          <w:rFonts w:ascii="Arial" w:hAnsi="Arial" w:cs="Arial"/>
          <w:sz w:val="22"/>
          <w:szCs w:val="22"/>
        </w:rPr>
        <w:t>The individual undertaking the research activity is known as the “principal researcher”.</w:t>
      </w:r>
    </w:p>
    <w:p>
      <w:pPr>
        <w:tabs>
          <w:tab w:val="left" w:pos="5103"/>
        </w:tabs>
        <w:jc w:val="both"/>
        <w:rPr>
          <w:rFonts w:ascii="Arial" w:hAnsi="Arial" w:cs="Arial"/>
          <w:sz w:val="22"/>
          <w:szCs w:val="22"/>
        </w:rPr>
      </w:pPr>
    </w:p>
    <w:p>
      <w:pPr>
        <w:tabs>
          <w:tab w:val="left" w:pos="5103"/>
        </w:tabs>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pPr>
        <w:tabs>
          <w:tab w:val="left" w:pos="5103"/>
        </w:tabs>
        <w:jc w:val="both"/>
        <w:rPr>
          <w:rFonts w:ascii="Arial" w:hAnsi="Arial" w:cs="Arial"/>
          <w:sz w:val="22"/>
          <w:szCs w:val="22"/>
        </w:rPr>
      </w:pPr>
    </w:p>
    <w:p>
      <w:pPr>
        <w:tabs>
          <w:tab w:val="left" w:pos="5103"/>
        </w:tabs>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pPr>
        <w:autoSpaceDE w:val="0"/>
        <w:autoSpaceDN w:val="0"/>
        <w:adjustRightInd w:val="0"/>
        <w:jc w:val="both"/>
        <w:rPr>
          <w:rFonts w:ascii="Arial" w:hAnsi="Arial" w:cs="Arial"/>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6"/>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2544"/>
        <w:gridCol w:w="709"/>
        <w:gridCol w:w="2551"/>
        <w:gridCol w:w="709"/>
        <w:gridCol w:w="2526"/>
        <w:gridCol w:w="850"/>
      </w:tblGrid>
      <w:tr>
        <w:trPr>
          <w:trHeight w:val="439"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1</w:t>
            </w:r>
          </w:p>
        </w:tc>
        <w:tc>
          <w:tcPr>
            <w:tcW w:w="3253" w:type="dxa"/>
            <w:gridSpan w:val="2"/>
            <w:shd w:val="clear" w:color="auto" w:fill="F1F1F1" w:themeFill="background1" w:themeFillShade="F2"/>
            <w:vAlign w:val="center"/>
          </w:tcPr>
          <w:p>
            <w:pPr>
              <w:rPr>
                <w:rFonts w:ascii="Arial" w:hAnsi="Arial" w:cs="Arial"/>
                <w:sz w:val="22"/>
                <w:szCs w:val="22"/>
              </w:rPr>
            </w:pPr>
            <w:r>
              <w:rPr>
                <w:rFonts w:ascii="Arial" w:hAnsi="Arial" w:cs="Arial"/>
                <w:sz w:val="22"/>
                <w:szCs w:val="22"/>
              </w:rPr>
              <w:t>Full Name:</w:t>
            </w:r>
          </w:p>
        </w:tc>
        <w:tc>
          <w:tcPr>
            <w:tcW w:w="6636" w:type="dxa"/>
            <w:gridSpan w:val="4"/>
            <w:vAlign w:val="center"/>
          </w:tcPr>
          <w:p>
            <w:pPr>
              <w:rPr>
                <w:rFonts w:ascii="Arial" w:hAnsi="Arial" w:cs="Arial"/>
                <w:sz w:val="22"/>
                <w:szCs w:val="22"/>
                <w:lang w:val="en-US"/>
              </w:rPr>
            </w:pPr>
            <w:r>
              <w:rPr>
                <w:rFonts w:ascii="Arial" w:hAnsi="Arial" w:cs="Arial"/>
                <w:sz w:val="22"/>
                <w:szCs w:val="22"/>
                <w:lang w:val="en-US"/>
              </w:rPr>
              <w:t>Kwan Mei Yan</w:t>
            </w:r>
          </w:p>
        </w:tc>
      </w:tr>
      <w:tr>
        <w:trPr>
          <w:trHeight w:val="472" w:hRule="atLeast"/>
        </w:trPr>
        <w:tc>
          <w:tcPr>
            <w:tcW w:w="559" w:type="dxa"/>
            <w:shd w:val="clear" w:color="auto" w:fill="BEBEBE" w:themeFill="background1" w:themeFillShade="BF"/>
            <w:vAlign w:val="center"/>
          </w:tcPr>
          <w:p>
            <w:pPr>
              <w:rPr>
                <w:rFonts w:ascii="Arial" w:hAnsi="Arial" w:cs="Arial"/>
                <w:sz w:val="22"/>
                <w:szCs w:val="22"/>
              </w:rPr>
            </w:pPr>
            <w:r>
              <w:rPr>
                <w:rFonts w:ascii="Arial" w:hAnsi="Arial" w:cs="Arial"/>
                <w:sz w:val="22"/>
                <w:szCs w:val="22"/>
              </w:rPr>
              <w:t>2</w:t>
            </w:r>
          </w:p>
        </w:tc>
        <w:tc>
          <w:tcPr>
            <w:tcW w:w="3253" w:type="dxa"/>
            <w:gridSpan w:val="2"/>
            <w:shd w:val="clear" w:color="auto" w:fill="BEBEBE" w:themeFill="background1" w:themeFillShade="BF"/>
            <w:vAlign w:val="center"/>
          </w:tcPr>
          <w:p>
            <w:pPr>
              <w:rPr>
                <w:rFonts w:ascii="Arial" w:hAnsi="Arial" w:cs="Arial"/>
                <w:sz w:val="22"/>
                <w:szCs w:val="22"/>
              </w:rPr>
            </w:pPr>
            <w:r>
              <w:rPr>
                <w:rFonts w:ascii="Arial" w:hAnsi="Arial" w:cs="Arial"/>
                <w:sz w:val="22"/>
                <w:szCs w:val="22"/>
              </w:rPr>
              <w:t>Tick all boxes that apply:</w:t>
            </w:r>
          </w:p>
        </w:tc>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Member of staff:</w:t>
            </w:r>
          </w:p>
        </w:tc>
        <w:tc>
          <w:tcPr>
            <w:tcW w:w="709" w:type="dxa"/>
            <w:shd w:val="clear" w:color="auto" w:fill="BEBEBE" w:themeFill="background1" w:themeFillShade="BF"/>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Honorary research fellow:</w:t>
            </w:r>
          </w:p>
        </w:tc>
        <w:tc>
          <w:tcPr>
            <w:tcW w:w="850" w:type="dxa"/>
            <w:shd w:val="clear" w:color="auto" w:fill="BEBEBE" w:themeFill="background1" w:themeFillShade="BF"/>
            <w:vAlign w:val="center"/>
          </w:tcPr>
          <w:p>
            <w:pPr>
              <w:jc w:val="center"/>
              <w:rPr>
                <w:rFonts w:ascii="Arial" w:hAnsi="Arial" w:cs="Arial"/>
                <w:sz w:val="22"/>
                <w:szCs w:val="22"/>
              </w:rPr>
            </w:pPr>
            <w:r>
              <w:rPr>
                <w:rFonts w:ascii="Segoe UI Symbol" w:hAnsi="Segoe UI Symbol" w:eastAsia="MS Gothic" w:cs="Segoe UI Symbol"/>
                <w:sz w:val="22"/>
                <w:szCs w:val="22"/>
              </w:rPr>
              <w:t>☐</w:t>
            </w:r>
          </w:p>
        </w:tc>
      </w:tr>
      <w:tr>
        <w:trPr>
          <w:trHeight w:val="472" w:hRule="atLeast"/>
        </w:trPr>
        <w:tc>
          <w:tcPr>
            <w:tcW w:w="559" w:type="dxa"/>
            <w:shd w:val="clear" w:color="auto" w:fill="F1F1F1" w:themeFill="background1" w:themeFillShade="F2"/>
            <w:vAlign w:val="center"/>
          </w:tcPr>
          <w:p>
            <w:pPr>
              <w:rPr>
                <w:rFonts w:ascii="Arial" w:hAnsi="Arial" w:cs="Arial"/>
                <w:sz w:val="22"/>
                <w:szCs w:val="22"/>
              </w:rPr>
            </w:pPr>
          </w:p>
        </w:tc>
        <w:tc>
          <w:tcPr>
            <w:tcW w:w="2544"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ascii="MS Gothic" w:hAnsi="MS Gothic" w:eastAsia="MS Gothic" w:cs="Segoe UI Symbol"/>
                    <w:sz w:val="22"/>
                    <w:szCs w:val="22"/>
                  </w:rPr>
                  <w:t>☒</w:t>
                </w:r>
              </w:p>
            </w:tc>
          </w:sdtContent>
        </w:sdt>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311216975"/>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ascii="Segoe UI Symbol" w:hAnsi="Segoe UI Symbol" w:eastAsia="MS Gothic" w:cs="Segoe UI Symbol"/>
                    <w:sz w:val="22"/>
                    <w:szCs w:val="22"/>
                  </w:rPr>
                  <w:t>☐</w:t>
                </w:r>
              </w:p>
            </w:tc>
          </w:sdtContent>
        </w:sdt>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1958910653"/>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jc w:val="center"/>
                  <w:rPr>
                    <w:rFonts w:ascii="Arial" w:hAnsi="Arial" w:cs="Arial"/>
                    <w:sz w:val="22"/>
                    <w:szCs w:val="22"/>
                  </w:rPr>
                </w:pPr>
                <w:r>
                  <w:rPr>
                    <w:rFonts w:ascii="Segoe UI Symbol" w:hAnsi="Segoe UI Symbol" w:eastAsia="MS Gothic" w:cs="Segoe UI Symbol"/>
                    <w:sz w:val="22"/>
                    <w:szCs w:val="22"/>
                  </w:rPr>
                  <w:t>☐</w:t>
                </w:r>
              </w:p>
            </w:tc>
          </w:sdtContent>
        </w:sdt>
      </w:tr>
    </w:tbl>
    <w:p>
      <w:pPr>
        <w:rPr>
          <w:rFonts w:ascii="Arial" w:hAnsi="Arial" w:cs="Arial"/>
          <w:bCs/>
          <w:iCs/>
          <w:sz w:val="16"/>
          <w:szCs w:val="16"/>
        </w:rPr>
      </w:pPr>
    </w:p>
    <w:tbl>
      <w:tblPr>
        <w:tblStyle w:val="6"/>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trPr>
          <w:cantSplit/>
          <w:trHeight w:val="334"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3</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Institute/Academic Discipline/Centre:</w:t>
            </w:r>
          </w:p>
        </w:tc>
        <w:tc>
          <w:tcPr>
            <w:tcW w:w="6636" w:type="dxa"/>
            <w:vAlign w:val="center"/>
          </w:tcPr>
          <w:p>
            <w:pPr>
              <w:rPr>
                <w:rFonts w:ascii="Arial" w:hAnsi="Arial" w:cs="Arial"/>
                <w:sz w:val="22"/>
                <w:szCs w:val="22"/>
              </w:rPr>
            </w:pPr>
          </w:p>
          <w:p>
            <w:pPr>
              <w:rPr>
                <w:rFonts w:ascii="Arial" w:hAnsi="Arial" w:cs="Arial"/>
                <w:sz w:val="22"/>
                <w:szCs w:val="22"/>
                <w:lang w:val="en-US"/>
              </w:rPr>
            </w:pPr>
            <w:r>
              <w:rPr>
                <w:rFonts w:ascii="Arial" w:hAnsi="Arial" w:cs="Arial"/>
                <w:sz w:val="22"/>
                <w:szCs w:val="22"/>
                <w:lang w:val="en-US"/>
              </w:rPr>
              <w:t>HKMA</w:t>
            </w:r>
          </w:p>
        </w:tc>
      </w:tr>
      <w:tr>
        <w:trPr>
          <w:cantSplit/>
          <w:trHeight w:val="340"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4</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Campus:</w:t>
            </w:r>
          </w:p>
        </w:tc>
        <w:tc>
          <w:tcPr>
            <w:tcW w:w="6636" w:type="dxa"/>
            <w:vAlign w:val="center"/>
          </w:tcPr>
          <w:p>
            <w:pPr>
              <w:rPr>
                <w:rFonts w:ascii="Arial" w:hAnsi="Arial" w:cs="Arial"/>
                <w:sz w:val="22"/>
                <w:szCs w:val="22"/>
              </w:rPr>
            </w:pPr>
          </w:p>
          <w:p>
            <w:pPr>
              <w:rPr>
                <w:rFonts w:ascii="Arial" w:hAnsi="Arial" w:cs="Arial"/>
                <w:sz w:val="22"/>
                <w:szCs w:val="22"/>
                <w:lang w:val="en-US"/>
              </w:rPr>
            </w:pPr>
            <w:r>
              <w:rPr>
                <w:rFonts w:ascii="Arial" w:hAnsi="Arial" w:cs="Arial"/>
                <w:sz w:val="22"/>
                <w:szCs w:val="22"/>
                <w:lang w:val="en-US"/>
              </w:rPr>
              <w:t>University of Wales Trinity Saint David</w:t>
            </w:r>
          </w:p>
        </w:tc>
      </w:tr>
      <w:tr>
        <w:trPr>
          <w:cantSplit/>
          <w:trHeight w:val="340"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5</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E-mail address:</w:t>
            </w:r>
          </w:p>
        </w:tc>
        <w:tc>
          <w:tcPr>
            <w:tcW w:w="6636" w:type="dxa"/>
            <w:vAlign w:val="center"/>
          </w:tcPr>
          <w:p>
            <w:pPr>
              <w:rPr>
                <w:rFonts w:ascii="Arial" w:hAnsi="Arial" w:cs="Arial"/>
                <w:sz w:val="22"/>
                <w:szCs w:val="22"/>
              </w:rPr>
            </w:pPr>
          </w:p>
          <w:p>
            <w:pPr>
              <w:rPr>
                <w:rFonts w:ascii="Arial" w:hAnsi="Arial" w:cs="Arial"/>
                <w:sz w:val="22"/>
                <w:szCs w:val="22"/>
                <w:lang w:val="en-US"/>
              </w:rPr>
            </w:pPr>
            <w:r>
              <w:rPr>
                <w:rFonts w:ascii="Arial" w:hAnsi="Arial" w:cs="Arial"/>
                <w:sz w:val="22"/>
                <w:szCs w:val="22"/>
                <w:lang w:val="en-US"/>
              </w:rPr>
              <w:t>karlakwan@yahoo.com.hk</w:t>
            </w:r>
          </w:p>
        </w:tc>
      </w:tr>
      <w:tr>
        <w:trPr>
          <w:cantSplit/>
          <w:trHeight w:val="340"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6</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Contact Telephone Number:</w:t>
            </w:r>
          </w:p>
        </w:tc>
        <w:tc>
          <w:tcPr>
            <w:tcW w:w="6636" w:type="dxa"/>
            <w:vAlign w:val="center"/>
          </w:tcPr>
          <w:p>
            <w:pPr>
              <w:rPr>
                <w:rFonts w:ascii="Arial" w:hAnsi="Arial" w:cs="Arial"/>
                <w:sz w:val="22"/>
                <w:szCs w:val="22"/>
              </w:rPr>
            </w:pPr>
          </w:p>
          <w:p>
            <w:pPr>
              <w:rPr>
                <w:rFonts w:ascii="Arial" w:hAnsi="Arial" w:cs="Arial"/>
                <w:sz w:val="22"/>
                <w:szCs w:val="22"/>
                <w:lang w:val="en-US"/>
              </w:rPr>
            </w:pPr>
            <w:r>
              <w:rPr>
                <w:rFonts w:ascii="Arial" w:hAnsi="Arial" w:cs="Arial"/>
                <w:sz w:val="22"/>
                <w:szCs w:val="22"/>
                <w:lang w:val="en-US"/>
              </w:rPr>
              <w:t>64441695</w:t>
            </w:r>
          </w:p>
        </w:tc>
      </w:tr>
      <w:tr>
        <w:tc>
          <w:tcPr>
            <w:tcW w:w="559" w:type="dxa"/>
            <w:shd w:val="clear" w:color="auto" w:fill="BEBEBE" w:themeFill="background1" w:themeFillShade="BF"/>
            <w:vAlign w:val="center"/>
          </w:tcPr>
          <w:p>
            <w:pPr>
              <w:rPr>
                <w:rFonts w:ascii="Arial" w:hAnsi="Arial" w:cs="Arial"/>
                <w:b/>
                <w:i/>
                <w:sz w:val="22"/>
                <w:szCs w:val="22"/>
              </w:rPr>
            </w:pPr>
          </w:p>
        </w:tc>
        <w:tc>
          <w:tcPr>
            <w:tcW w:w="9889" w:type="dxa"/>
            <w:gridSpan w:val="2"/>
            <w:shd w:val="clear" w:color="auto" w:fill="BEBEBE" w:themeFill="background1" w:themeFillShade="BF"/>
            <w:vAlign w:val="center"/>
          </w:tcPr>
          <w:p>
            <w:pPr>
              <w:rPr>
                <w:rFonts w:ascii="Arial" w:hAnsi="Arial" w:cs="Arial"/>
                <w:sz w:val="22"/>
                <w:szCs w:val="22"/>
              </w:rPr>
            </w:pPr>
            <w:r>
              <w:rPr>
                <w:rFonts w:ascii="Arial" w:hAnsi="Arial" w:cs="Arial"/>
                <w:b/>
                <w:i/>
                <w:sz w:val="22"/>
                <w:szCs w:val="22"/>
              </w:rPr>
              <w:t>For students:</w:t>
            </w:r>
          </w:p>
        </w:tc>
      </w:tr>
      <w:tr>
        <w:trPr>
          <w:trHeight w:val="513"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7</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Student Number:</w:t>
            </w:r>
          </w:p>
        </w:tc>
        <w:tc>
          <w:tcPr>
            <w:tcW w:w="6636" w:type="dxa"/>
            <w:vAlign w:val="center"/>
          </w:tcPr>
          <w:p>
            <w:pPr>
              <w:rPr>
                <w:rFonts w:ascii="Arial" w:hAnsi="Arial" w:cs="Arial"/>
                <w:sz w:val="22"/>
                <w:szCs w:val="22"/>
                <w:lang w:val="en-US"/>
              </w:rPr>
            </w:pPr>
            <w:r>
              <w:rPr>
                <w:rFonts w:ascii="Arial" w:hAnsi="Arial" w:cs="Arial"/>
                <w:sz w:val="22"/>
                <w:szCs w:val="22"/>
                <w:lang w:val="en-US"/>
              </w:rPr>
              <w:t>2337373</w:t>
            </w:r>
          </w:p>
        </w:tc>
      </w:tr>
      <w:tr>
        <w:trPr>
          <w:trHeight w:val="549"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8</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Programme of Study:</w:t>
            </w:r>
          </w:p>
        </w:tc>
        <w:tc>
          <w:tcPr>
            <w:tcW w:w="6636" w:type="dxa"/>
            <w:vAlign w:val="center"/>
          </w:tcPr>
          <w:p>
            <w:pPr>
              <w:rPr>
                <w:rFonts w:ascii="Arial" w:hAnsi="Arial" w:cs="Arial"/>
                <w:sz w:val="22"/>
                <w:szCs w:val="22"/>
                <w:lang w:val="en-US"/>
              </w:rPr>
            </w:pPr>
            <w:r>
              <w:rPr>
                <w:rFonts w:ascii="Arial" w:hAnsi="Arial" w:cs="Arial"/>
                <w:sz w:val="22"/>
                <w:szCs w:val="22"/>
                <w:lang w:val="en-US"/>
              </w:rPr>
              <w:t>Master of Business Administration</w:t>
            </w:r>
          </w:p>
        </w:tc>
      </w:tr>
      <w:tr>
        <w:trPr>
          <w:trHeight w:val="557"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9</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Director of Studies/Supervisor:</w:t>
            </w:r>
          </w:p>
        </w:tc>
        <w:tc>
          <w:tcPr>
            <w:tcW w:w="6636" w:type="dxa"/>
            <w:vAlign w:val="center"/>
          </w:tcPr>
          <w:p>
            <w:pPr>
              <w:rPr>
                <w:rFonts w:ascii="Arial" w:hAnsi="Arial" w:cs="Arial"/>
                <w:sz w:val="22"/>
                <w:szCs w:val="22"/>
                <w:lang w:val="en-US"/>
              </w:rPr>
            </w:pPr>
            <w:r>
              <w:rPr>
                <w:rFonts w:ascii="Arial" w:hAnsi="Arial" w:cs="Arial"/>
                <w:sz w:val="22"/>
                <w:szCs w:val="22"/>
                <w:lang w:val="en-US"/>
              </w:rPr>
              <w:t>Dr Joe Leung</w:t>
            </w:r>
          </w:p>
        </w:tc>
      </w:tr>
    </w:tbl>
    <w:p>
      <w:pPr>
        <w:rPr>
          <w:rFonts w:ascii="Arial" w:hAnsi="Arial" w:cs="Arial"/>
          <w:bCs/>
          <w:iCs/>
        </w:rPr>
      </w:pPr>
    </w:p>
    <w:p>
      <w:pPr>
        <w:autoSpaceDE w:val="0"/>
        <w:autoSpaceDN w:val="0"/>
        <w:adjustRightInd w:val="0"/>
        <w:jc w:val="both"/>
        <w:rPr>
          <w:rFonts w:ascii="Arial" w:hAnsi="Arial" w:cs="Arial"/>
          <w:b/>
          <w:sz w:val="22"/>
          <w:szCs w:val="22"/>
        </w:rPr>
      </w:pPr>
    </w:p>
    <w:p>
      <w:pPr>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1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693"/>
        <w:gridCol w:w="2539"/>
        <w:gridCol w:w="993"/>
        <w:gridCol w:w="850"/>
        <w:gridCol w:w="992"/>
        <w:gridCol w:w="851"/>
      </w:tblGrid>
      <w:t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rPr>
              <w:rFonts w:ascii="Arial" w:hAnsi="Arial" w:cs="Arial"/>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MS Gothic" w:hAnsi="MS Gothic" w:cs="Segoe UI Symbol"/>
                    <w:bCs/>
                    <w:sz w:val="22"/>
                    <w:szCs w:val="22"/>
                  </w:rPr>
                  <w:t>☒</w:t>
                </w:r>
              </w:p>
            </w:tc>
          </w:sdtContent>
        </w:sdt>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rPr>
              <w:rFonts w:ascii="Arial" w:hAnsi="Arial" w:cs="Arial"/>
              <w:bCs/>
              <w:sz w:val="22"/>
              <w:szCs w:val="22"/>
            </w:rPr>
          </w:sdtEndPr>
          <w:sdtContent>
            <w:tc>
              <w:tcPr>
                <w:tcW w:w="851"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Segoe UI Symbol" w:hAnsi="Segoe UI Symbol" w:cs="Segoe UI Symbol"/>
                    <w:bCs/>
                    <w:sz w:val="22"/>
                    <w:szCs w:val="22"/>
                  </w:rPr>
                  <w:t>☐</w:t>
                </w:r>
              </w:p>
            </w:tc>
          </w:sdtContent>
        </w:sdt>
      </w:tr>
      <w:tr>
        <w:tc>
          <w:tcPr>
            <w:tcW w:w="562" w:type="dxa"/>
            <w:shd w:val="clear" w:color="auto" w:fill="F1F1F1" w:themeFill="background1" w:themeFillShade="F2"/>
          </w:tcPr>
          <w:p>
            <w:pPr>
              <w:autoSpaceDE w:val="0"/>
              <w:autoSpaceDN w:val="0"/>
              <w:adjustRightInd w:val="0"/>
              <w:rPr>
                <w:rFonts w:ascii="Arial" w:hAnsi="Arial" w:cs="Arial"/>
                <w:b/>
                <w:bCs/>
                <w:sz w:val="22"/>
                <w:szCs w:val="22"/>
              </w:rPr>
            </w:pPr>
          </w:p>
        </w:tc>
        <w:tc>
          <w:tcPr>
            <w:tcW w:w="8075" w:type="dxa"/>
            <w:gridSpan w:val="4"/>
            <w:shd w:val="clear" w:color="auto" w:fill="F1F1F1" w:themeFill="background1" w:themeFillShade="F2"/>
          </w:tcPr>
          <w:p>
            <w:pPr>
              <w:autoSpaceDE w:val="0"/>
              <w:autoSpaceDN w:val="0"/>
              <w:adjustRightInd w:val="0"/>
              <w:rPr>
                <w:rFonts w:ascii="Arial" w:hAnsi="Arial" w:cs="Arial"/>
                <w:b/>
                <w:bCs/>
                <w:sz w:val="22"/>
                <w:szCs w:val="22"/>
              </w:rPr>
            </w:pPr>
          </w:p>
        </w:tc>
        <w:tc>
          <w:tcPr>
            <w:tcW w:w="1843" w:type="dxa"/>
            <w:gridSpan w:val="2"/>
            <w:shd w:val="clear" w:color="auto" w:fill="F1F1F1" w:themeFill="background1" w:themeFillShade="F2"/>
          </w:tcPr>
          <w:p>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trPr>
          <w:trHeight w:val="437" w:hRule="atLeast"/>
        </w:trPr>
        <w:tc>
          <w:tcPr>
            <w:tcW w:w="562" w:type="dxa"/>
            <w:vMerge w:val="restart"/>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lang w:val="en-US"/>
              </w:rPr>
            </w:pPr>
            <w:r>
              <w:rPr>
                <w:rFonts w:ascii="Arial" w:hAnsi="Arial" w:cs="Arial"/>
                <w:b/>
                <w:bCs/>
                <w:sz w:val="22"/>
                <w:szCs w:val="22"/>
                <w:lang w:val="en-US"/>
              </w:rPr>
              <w:t>15 Jan 2025</w:t>
            </w:r>
          </w:p>
        </w:tc>
      </w:tr>
      <w:tr>
        <w:trPr>
          <w:trHeight w:val="415" w:hRule="atLeast"/>
        </w:trPr>
        <w:tc>
          <w:tcPr>
            <w:tcW w:w="562"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sz w:val="22"/>
              <w:szCs w:val="22"/>
            </w:rPr>
            <w:id w:val="1394927872"/>
            <w14:checkbox>
              <w14:checked w14:val="1"/>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lang w:val="en-US"/>
              </w:rPr>
              <w:t>15 Jan 2025</w:t>
            </w:r>
          </w:p>
        </w:tc>
      </w:tr>
      <w:tr>
        <w:tc>
          <w:tcPr>
            <w:tcW w:w="562"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(write in)</w:t>
            </w:r>
          </w:p>
          <w:p>
            <w:pPr>
              <w:autoSpaceDE w:val="0"/>
              <w:autoSpaceDN w:val="0"/>
              <w:adjustRightInd w:val="0"/>
              <w:rPr>
                <w:rFonts w:ascii="Arial" w:hAnsi="Arial" w:cs="Arial"/>
                <w:sz w:val="22"/>
                <w:szCs w:val="22"/>
              </w:rPr>
            </w:pPr>
          </w:p>
        </w:tc>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bl>
    <w:p>
      <w:pPr>
        <w:autoSpaceDE w:val="0"/>
        <w:autoSpaceDN w:val="0"/>
        <w:adjustRightInd w:val="0"/>
        <w:spacing w:after="240"/>
        <w:jc w:val="both"/>
        <w:rPr>
          <w:rFonts w:ascii="Arial" w:hAnsi="Arial" w:cs="Arial"/>
          <w:bCs/>
          <w:iCs/>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1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tc>
          <w:tcPr>
            <w:tcW w:w="562" w:type="dxa"/>
            <w:shd w:val="clear" w:color="auto" w:fill="F1F1F1" w:themeFill="background1" w:themeFillShade="F2"/>
          </w:tcPr>
          <w:p>
            <w:pPr>
              <w:autoSpaceDE w:val="0"/>
              <w:autoSpaceDN w:val="0"/>
              <w:adjustRightInd w:val="0"/>
              <w:rPr>
                <w:rFonts w:ascii="Arial" w:hAnsi="Arial" w:cs="Arial"/>
                <w:sz w:val="22"/>
                <w:szCs w:val="22"/>
              </w:rPr>
            </w:pPr>
          </w:p>
        </w:tc>
        <w:tc>
          <w:tcPr>
            <w:tcW w:w="9918"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rPr>
          <w:trHeight w:val="355" w:hRule="atLeast"/>
        </w:trPr>
        <w:tc>
          <w:tcPr>
            <w:tcW w:w="562" w:type="dxa"/>
            <w:vAlign w:val="center"/>
          </w:tcPr>
          <w:p>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pPr>
              <w:autoSpaceDE w:val="0"/>
              <w:autoSpaceDN w:val="0"/>
              <w:adjustRightInd w:val="0"/>
              <w:rPr>
                <w:rFonts w:ascii="Arial" w:hAnsi="Arial" w:cs="Arial"/>
                <w:b/>
                <w:bCs/>
                <w:sz w:val="22"/>
                <w:szCs w:val="22"/>
              </w:rPr>
            </w:pPr>
            <w:r>
              <w:fldChar w:fldCharType="begin"/>
            </w:r>
            <w:r>
              <w:instrText xml:space="preserve"> HYPERLINK "file:///C:/Users/c.lohmann-hancock/AppData/Local/Microsoft/Windows/INetCache/REICoP-17-20-v3-Final.pdf" </w:instrText>
            </w:r>
            <w:r>
              <w:fldChar w:fldCharType="separate"/>
            </w:r>
            <w:r>
              <w:rPr>
                <w:rStyle w:val="8"/>
                <w:rFonts w:ascii="Arial" w:hAnsi="Arial" w:cs="Arial"/>
                <w:b/>
                <w:bCs/>
                <w:color w:val="auto"/>
                <w:sz w:val="22"/>
                <w:szCs w:val="22"/>
                <w:u w:val="none"/>
              </w:rPr>
              <w:t>UWTSD Research Ethics &amp; Integrity Code of Practice</w:t>
            </w:r>
            <w:r>
              <w:rPr>
                <w:rStyle w:val="8"/>
                <w:rFonts w:ascii="Arial" w:hAnsi="Arial" w:cs="Arial"/>
                <w:b/>
                <w:bCs/>
                <w:color w:val="auto"/>
                <w:sz w:val="22"/>
                <w:szCs w:val="22"/>
                <w:u w:val="none"/>
              </w:rPr>
              <w:fldChar w:fldCharType="end"/>
            </w:r>
          </w:p>
        </w:tc>
        <w:sdt>
          <w:sdtPr>
            <w:rPr>
              <w:rFonts w:ascii="Arial" w:hAnsi="Arial" w:cs="Arial"/>
              <w:sz w:val="22"/>
              <w:szCs w:val="22"/>
            </w:rPr>
            <w:id w:val="1578479508"/>
            <w14:checkbox>
              <w14:checked w14:val="1"/>
              <w14:checkedState w14:val="2612" w14:font="MS Gothic"/>
              <w14:uncheckedState w14:val="2610" w14:font="MS Gothic"/>
            </w14:checkbox>
          </w:sdtPr>
          <w:sdtEndPr>
            <w:rPr>
              <w:rFonts w:ascii="Arial" w:hAnsi="Arial" w:cs="Arial"/>
              <w:sz w:val="22"/>
              <w:szCs w:val="22"/>
            </w:rPr>
          </w:sdtEndPr>
          <w:sdtContent>
            <w:tc>
              <w:tcPr>
                <w:tcW w:w="1134" w:type="dxa"/>
                <w:shd w:val="clear" w:color="auto" w:fill="BEBEBE" w:themeFill="background1" w:themeFillShade="BF"/>
                <w:vAlign w:val="center"/>
              </w:tcPr>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tc>
          </w:sdtContent>
        </w:sdt>
      </w:tr>
      <w:tr>
        <w:trPr>
          <w:trHeight w:val="417" w:hRule="atLeast"/>
        </w:trPr>
        <w:tc>
          <w:tcPr>
            <w:tcW w:w="562" w:type="dxa"/>
            <w:vAlign w:val="center"/>
          </w:tcPr>
          <w:p>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vAlign w:val="center"/>
          </w:tcPr>
          <w:sdt>
            <w:sdtPr>
              <w:rPr>
                <w:rFonts w:ascii="Arial" w:hAnsi="Arial" w:cs="Arial"/>
                <w:sz w:val="22"/>
                <w:szCs w:val="22"/>
              </w:rPr>
              <w:id w:val="517900613"/>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i/>
                    <w:sz w:val="22"/>
                    <w:szCs w:val="22"/>
                  </w:rPr>
                </w:pPr>
                <w:r>
                  <w:rPr>
                    <w:rFonts w:ascii="MS Gothic" w:hAnsi="MS Gothic" w:eastAsia="MS Gothic" w:cs="Segoe UI Symbol"/>
                    <w:sz w:val="22"/>
                    <w:szCs w:val="22"/>
                  </w:rPr>
                  <w:t>☒</w:t>
                </w:r>
              </w:p>
            </w:sdtContent>
          </w:sdt>
        </w:tc>
      </w:tr>
      <w:tr>
        <w:trPr>
          <w:trHeight w:val="409" w:hRule="atLeast"/>
        </w:trPr>
        <w:tc>
          <w:tcPr>
            <w:tcW w:w="562" w:type="dxa"/>
            <w:vAlign w:val="center"/>
          </w:tcPr>
          <w:p>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pPr>
              <w:autoSpaceDE w:val="0"/>
              <w:autoSpaceDN w:val="0"/>
              <w:adjustRightInd w:val="0"/>
              <w:rPr>
                <w:rFonts w:ascii="Arial" w:hAnsi="Arial" w:cs="Arial"/>
                <w:i/>
                <w:sz w:val="22"/>
                <w:szCs w:val="22"/>
              </w:rPr>
            </w:pPr>
            <w:r>
              <w:rPr>
                <w:rFonts w:ascii="Arial" w:hAnsi="Arial" w:cs="Arial"/>
                <w:i/>
                <w:sz w:val="22"/>
                <w:szCs w:val="22"/>
              </w:rPr>
              <w:t>[List any other relevant documents here]</w:t>
            </w:r>
          </w:p>
        </w:tc>
        <w:tc>
          <w:tcPr>
            <w:tcW w:w="1134" w:type="dxa"/>
            <w:shd w:val="clear" w:color="auto" w:fill="BEBEBE" w:themeFill="background1" w:themeFillShade="BF"/>
            <w:vAlign w:val="center"/>
          </w:tcPr>
          <w:sdt>
            <w:sdtPr>
              <w:rPr>
                <w:rFonts w:ascii="Arial" w:hAnsi="Arial" w:cs="Arial"/>
                <w:sz w:val="22"/>
                <w:szCs w:val="22"/>
              </w:rPr>
              <w:id w:val="198319466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i/>
                    <w:sz w:val="22"/>
                    <w:szCs w:val="22"/>
                  </w:rPr>
                </w:pPr>
                <w:r>
                  <w:rPr>
                    <w:rFonts w:ascii="MS Gothic" w:hAnsi="MS Gothic" w:eastAsia="MS Gothic" w:cs="Segoe UI Symbol"/>
                    <w:sz w:val="22"/>
                    <w:szCs w:val="22"/>
                  </w:rPr>
                  <w:t>☐</w:t>
                </w:r>
              </w:p>
            </w:sdtContent>
          </w:sdt>
        </w:tc>
      </w:tr>
    </w:tbl>
    <w:p>
      <w:pPr>
        <w:autoSpaceDE w:val="0"/>
        <w:autoSpaceDN w:val="0"/>
        <w:adjustRightInd w:val="0"/>
        <w:spacing w:after="240"/>
        <w:jc w:val="both"/>
        <w:rPr>
          <w:rFonts w:ascii="Arial" w:hAnsi="Arial" w:cs="Arial"/>
          <w:b/>
          <w:sz w:val="22"/>
          <w:szCs w:val="22"/>
        </w:rPr>
      </w:pPr>
    </w:p>
    <w:p>
      <w:pPr>
        <w:autoSpaceDE w:val="0"/>
        <w:autoSpaceDN w:val="0"/>
        <w:adjustRightInd w:val="0"/>
        <w:jc w:val="both"/>
        <w:rPr>
          <w:rFonts w:ascii="Arial" w:hAnsi="Arial" w:cs="Arial"/>
          <w:b/>
          <w:sz w:val="22"/>
          <w:szCs w:val="22"/>
        </w:rPr>
      </w:pPr>
      <w:r>
        <w:rPr>
          <w:rFonts w:ascii="Arial" w:hAnsi="Arial" w:cs="Arial"/>
          <w:b/>
          <w:sz w:val="22"/>
          <w:szCs w:val="22"/>
        </w:rPr>
        <w:t>SECTION D: External Collaborative Research Activity</w:t>
      </w:r>
    </w:p>
    <w:p>
      <w:pPr>
        <w:autoSpaceDE w:val="0"/>
        <w:autoSpaceDN w:val="0"/>
        <w:adjustRightInd w:val="0"/>
        <w:spacing w:after="240"/>
        <w:jc w:val="both"/>
        <w:rPr>
          <w:rFonts w:ascii="Arial" w:hAnsi="Arial" w:cs="Arial"/>
          <w:sz w:val="22"/>
          <w:szCs w:val="22"/>
        </w:rPr>
      </w:pPr>
      <w:r>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1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823"/>
        <w:gridCol w:w="2409"/>
        <w:gridCol w:w="993"/>
        <w:gridCol w:w="850"/>
        <w:gridCol w:w="982"/>
        <w:gridCol w:w="10"/>
        <w:gridCol w:w="851"/>
      </w:tblGrid>
      <w:tr>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6"/>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6"/>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pPr>
              <w:autoSpaceDE w:val="0"/>
              <w:autoSpaceDN w:val="0"/>
              <w:adjustRightInd w:val="0"/>
              <w:jc w:val="both"/>
              <w:rPr>
                <w:rFonts w:ascii="Arial" w:hAnsi="Arial" w:cs="Arial"/>
                <w:sz w:val="22"/>
                <w:szCs w:val="22"/>
              </w:rPr>
            </w:pPr>
          </w:p>
        </w:tc>
        <w:tc>
          <w:tcPr>
            <w:tcW w:w="6095" w:type="dxa"/>
            <w:gridSpan w:val="6"/>
          </w:tcPr>
          <w:p>
            <w:pPr>
              <w:autoSpaceDE w:val="0"/>
              <w:autoSpaceDN w:val="0"/>
              <w:adjustRightInd w:val="0"/>
              <w:rPr>
                <w:rFonts w:ascii="Arial" w:hAnsi="Arial" w:cs="Arial"/>
                <w:bCs/>
                <w:sz w:val="22"/>
                <w:szCs w:val="22"/>
              </w:rPr>
            </w:pPr>
          </w:p>
        </w:tc>
      </w:tr>
      <w:t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865568674"/>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530156086"/>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trPr>
          <w:trHeight w:val="386"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8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722876127"/>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trPr>
          <w:trHeight w:val="386"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sz w:val="22"/>
                <w:szCs w:val="22"/>
              </w:rPr>
              <w:id w:val="143872041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8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2028366337"/>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attach copy)</w:t>
            </w:r>
          </w:p>
          <w:p>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783770211"/>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bl>
    <w:p>
      <w:pPr>
        <w:rPr>
          <w:rFonts w:ascii="Arial" w:hAnsi="Arial" w:cs="Arial"/>
          <w:bCs/>
          <w:iCs/>
          <w:sz w:val="16"/>
          <w:szCs w:val="16"/>
        </w:rPr>
      </w:pPr>
    </w:p>
    <w:p>
      <w:pPr>
        <w:rPr>
          <w:rFonts w:ascii="Arial" w:hAnsi="Arial" w:cs="Arial"/>
          <w:b/>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19"/>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6237"/>
        <w:gridCol w:w="993"/>
        <w:gridCol w:w="895"/>
        <w:gridCol w:w="947"/>
        <w:gridCol w:w="851"/>
      </w:tblGrid>
      <w:tr>
        <w:trPr>
          <w:trHeight w:val="507" w:hRule="atLeast"/>
        </w:trPr>
        <w:tc>
          <w:tcPr>
            <w:tcW w:w="567" w:type="dxa"/>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EBEBE" w:themeFill="background1" w:themeFillShade="BF"/>
            <w:vAlign w:val="center"/>
          </w:tcPr>
          <w:sdt>
            <w:sdtPr>
              <w:rPr>
                <w:rFonts w:ascii="Arial" w:hAnsi="Arial" w:cs="Arial"/>
                <w:sz w:val="22"/>
                <w:szCs w:val="22"/>
              </w:rPr>
              <w:id w:val="3139544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bCs/>
                    <w:sz w:val="22"/>
                    <w:szCs w:val="22"/>
                  </w:rPr>
                </w:pPr>
                <w:r>
                  <w:rPr>
                    <w:rFonts w:ascii="Segoe UI Symbol" w:hAnsi="Segoe UI Symbol" w:eastAsia="MS Gothic" w:cs="Segoe UI Symbol"/>
                    <w:sz w:val="22"/>
                    <w:szCs w:val="22"/>
                  </w:rPr>
                  <w:t>☐</w:t>
                </w:r>
              </w:p>
            </w:sdtContent>
          </w:sdt>
        </w:tc>
        <w:tc>
          <w:tcPr>
            <w:tcW w:w="947"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EBEBE" w:themeFill="background1" w:themeFillShade="BF"/>
            <w:vAlign w:val="center"/>
          </w:tcPr>
          <w:sdt>
            <w:sdtPr>
              <w:rPr>
                <w:rFonts w:ascii="Arial" w:hAnsi="Arial" w:cs="Arial"/>
                <w:sz w:val="22"/>
                <w:szCs w:val="22"/>
              </w:rPr>
              <w:id w:val="210885048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bCs/>
                    <w:sz w:val="22"/>
                    <w:szCs w:val="22"/>
                  </w:rPr>
                </w:pPr>
                <w:r>
                  <w:rPr>
                    <w:rFonts w:ascii="MS Gothic" w:hAnsi="MS Gothic" w:eastAsia="MS Gothic" w:cs="Segoe UI Symbol"/>
                    <w:sz w:val="22"/>
                    <w:szCs w:val="22"/>
                  </w:rPr>
                  <w:t>☒</w:t>
                </w:r>
              </w:p>
            </w:sdtContent>
          </w:sdt>
        </w:tc>
      </w:tr>
      <w:tr>
        <w:tc>
          <w:tcPr>
            <w:tcW w:w="567" w:type="dxa"/>
          </w:tcPr>
          <w:p>
            <w:pPr>
              <w:autoSpaceDE w:val="0"/>
              <w:autoSpaceDN w:val="0"/>
              <w:adjustRightInd w:val="0"/>
              <w:rPr>
                <w:rFonts w:ascii="Arial" w:hAnsi="Arial" w:cs="Arial"/>
                <w:bCs/>
                <w:sz w:val="22"/>
                <w:szCs w:val="22"/>
              </w:rPr>
            </w:pPr>
          </w:p>
        </w:tc>
        <w:tc>
          <w:tcPr>
            <w:tcW w:w="9923" w:type="dxa"/>
            <w:gridSpan w:val="5"/>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 (this may be a copy of an email if appropriate).</w:t>
            </w:r>
          </w:p>
          <w:p>
            <w:pPr>
              <w:autoSpaceDE w:val="0"/>
              <w:autoSpaceDN w:val="0"/>
              <w:adjustRightInd w:val="0"/>
              <w:rPr>
                <w:rFonts w:ascii="Arial" w:hAnsi="Arial" w:cs="Arial"/>
                <w:b/>
                <w:bCs/>
                <w:sz w:val="22"/>
                <w:szCs w:val="22"/>
              </w:rPr>
            </w:pPr>
          </w:p>
        </w:tc>
      </w:tr>
    </w:tbl>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Style w:val="6"/>
        <w:tblW w:w="5006"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628"/>
        <w:gridCol w:w="2692"/>
        <w:gridCol w:w="2728"/>
        <w:gridCol w:w="2727"/>
        <w:gridCol w:w="1812"/>
      </w:tblGrid>
      <w:tr>
        <w:trPr>
          <w:trHeight w:val="454" w:hRule="atLeast"/>
        </w:trPr>
        <w:tc>
          <w:tcPr>
            <w:tcW w:w="296"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Indicative title:</w:t>
            </w:r>
          </w:p>
        </w:tc>
        <w:tc>
          <w:tcPr>
            <w:tcW w:w="3432" w:type="pct"/>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r>
              <w:rPr>
                <w:rFonts w:hint="eastAsia"/>
                <w:b/>
                <w:bCs/>
              </w:rPr>
              <w:t>Factors Influencing Healthcare Choices of Hong Kong Residents</w:t>
            </w:r>
          </w:p>
        </w:tc>
      </w:tr>
      <w:tr>
        <w:trPr>
          <w:trHeight w:val="454" w:hRule="atLeast"/>
        </w:trPr>
        <w:tc>
          <w:tcPr>
            <w:tcW w:w="296"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r>
              <w:rPr>
                <w:rFonts w:ascii="Arial" w:hAnsi="Arial" w:cs="Arial"/>
                <w:b/>
                <w:bCs/>
                <w:sz w:val="22"/>
                <w:szCs w:val="22"/>
                <w:lang w:val="en-US"/>
              </w:rPr>
              <w:t>15 Jan 2025</w:t>
            </w:r>
          </w:p>
        </w:tc>
        <w:tc>
          <w:tcPr>
            <w:tcW w:w="1288"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end date:</w:t>
            </w:r>
          </w:p>
        </w:tc>
        <w:tc>
          <w:tcPr>
            <w:tcW w:w="856" w:type="pct"/>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lang w:val="en-US"/>
              </w:rPr>
            </w:pPr>
            <w:r>
              <w:rPr>
                <w:rFonts w:ascii="Arial" w:hAnsi="Arial" w:cs="Arial"/>
                <w:sz w:val="22"/>
                <w:szCs w:val="22"/>
                <w:lang w:val="en-US"/>
              </w:rPr>
              <w:t>17 Nov 2025</w:t>
            </w:r>
          </w:p>
        </w:tc>
      </w:tr>
      <w:tr>
        <w:trPr>
          <w:trHeight w:val="454" w:hRule="atLeast"/>
        </w:trPr>
        <w:tc>
          <w:tcPr>
            <w:tcW w:w="296" w:type="pct"/>
            <w:tcBorders>
              <w:top w:val="single" w:color="auto" w:sz="4" w:space="0"/>
            </w:tcBorders>
            <w:shd w:val="clear" w:color="auto" w:fill="F1F1F1" w:themeFill="background1" w:themeFillShade="F2"/>
            <w:vAlign w:val="center"/>
          </w:tcPr>
          <w:p>
            <w:pPr>
              <w:spacing w:before="120" w:after="120"/>
              <w:rPr>
                <w:rFonts w:ascii="Arial" w:hAnsi="Arial" w:cs="Arial"/>
                <w:sz w:val="22"/>
                <w:szCs w:val="22"/>
              </w:rPr>
            </w:pPr>
          </w:p>
        </w:tc>
        <w:tc>
          <w:tcPr>
            <w:tcW w:w="4703" w:type="pct"/>
            <w:gridSpan w:val="4"/>
            <w:tcBorders>
              <w:top w:val="single" w:color="auto" w:sz="4" w:space="0"/>
            </w:tcBorders>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Introduction to the Research (maximum 300 words per section)</w:t>
            </w:r>
          </w:p>
          <w:p>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points below:</w:t>
            </w:r>
          </w:p>
          <w:p>
            <w:pPr>
              <w:pStyle w:val="31"/>
              <w:numPr>
                <w:ilvl w:val="0"/>
                <w:numId w:val="1"/>
              </w:numPr>
              <w:ind w:left="0"/>
              <w:contextualSpacing w:val="0"/>
              <w:rPr>
                <w:rFonts w:ascii="Arial" w:hAnsi="Arial" w:cs="Arial"/>
                <w:i/>
              </w:rPr>
            </w:pPr>
            <w:r>
              <w:rPr>
                <w:rFonts w:ascii="Arial" w:hAnsi="Arial" w:cs="Arial"/>
                <w:i/>
              </w:rPr>
              <w:t>Purpose of Research Activity</w:t>
            </w:r>
          </w:p>
          <w:p>
            <w:pPr>
              <w:pStyle w:val="31"/>
              <w:numPr>
                <w:ilvl w:val="0"/>
                <w:numId w:val="1"/>
              </w:numPr>
              <w:ind w:left="0"/>
              <w:contextualSpacing w:val="0"/>
              <w:rPr>
                <w:rFonts w:ascii="Arial" w:hAnsi="Arial" w:cs="Arial"/>
                <w:i/>
              </w:rPr>
            </w:pPr>
            <w:r>
              <w:rPr>
                <w:rFonts w:ascii="Arial" w:hAnsi="Arial" w:cs="Arial"/>
                <w:i/>
              </w:rPr>
              <w:t>Proposed Research Question</w:t>
            </w:r>
          </w:p>
          <w:p>
            <w:pPr>
              <w:pStyle w:val="31"/>
              <w:numPr>
                <w:ilvl w:val="0"/>
                <w:numId w:val="1"/>
              </w:numPr>
              <w:ind w:left="0"/>
              <w:contextualSpacing w:val="0"/>
              <w:rPr>
                <w:rFonts w:ascii="Arial" w:hAnsi="Arial" w:cs="Arial"/>
                <w:i/>
              </w:rPr>
            </w:pPr>
            <w:r>
              <w:rPr>
                <w:rFonts w:ascii="Arial" w:hAnsi="Arial" w:cs="Arial"/>
                <w:i/>
              </w:rPr>
              <w:t>Aims of Research Activity</w:t>
            </w:r>
          </w:p>
          <w:p>
            <w:pPr>
              <w:pStyle w:val="31"/>
              <w:numPr>
                <w:ilvl w:val="0"/>
                <w:numId w:val="1"/>
              </w:numPr>
              <w:spacing w:after="240"/>
              <w:ind w:left="0" w:hanging="357"/>
              <w:contextualSpacing w:val="0"/>
              <w:rPr>
                <w:rFonts w:ascii="Arial" w:hAnsi="Arial" w:cs="Arial"/>
                <w:i/>
              </w:rPr>
            </w:pPr>
            <w:r>
              <w:rPr>
                <w:rFonts w:ascii="Arial" w:hAnsi="Arial" w:cs="Arial"/>
                <w:i/>
              </w:rPr>
              <w:t>Objectives of Research Activity</w:t>
            </w:r>
          </w:p>
          <w:p>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pPr>
              <w:pStyle w:val="31"/>
              <w:numPr>
                <w:ilvl w:val="0"/>
                <w:numId w:val="1"/>
              </w:numPr>
              <w:ind w:left="0"/>
              <w:contextualSpacing w:val="0"/>
              <w:rPr>
                <w:rFonts w:ascii="Arial" w:hAnsi="Arial" w:cs="Arial"/>
                <w:i/>
              </w:rPr>
            </w:pPr>
            <w:r>
              <w:rPr>
                <w:rFonts w:ascii="Arial" w:hAnsi="Arial" w:cs="Arial"/>
                <w:i/>
              </w:rPr>
              <w:t xml:space="preserve">What the research activity will add to the body of knowledge </w:t>
            </w:r>
          </w:p>
          <w:p>
            <w:pPr>
              <w:pStyle w:val="31"/>
              <w:numPr>
                <w:ilvl w:val="0"/>
                <w:numId w:val="1"/>
              </w:numPr>
              <w:ind w:left="0"/>
              <w:contextualSpacing w:val="0"/>
              <w:rPr>
                <w:rFonts w:ascii="Arial" w:hAnsi="Arial" w:cs="Arial"/>
              </w:rPr>
            </w:pPr>
            <w:r>
              <w:rPr>
                <w:rFonts w:ascii="Arial" w:hAnsi="Arial" w:cs="Arial"/>
                <w:i/>
              </w:rPr>
              <w:t xml:space="preserve">How it addresses an area of importance. </w:t>
            </w:r>
          </w:p>
        </w:tc>
      </w:tr>
      <w:tr>
        <w:trPr>
          <w:trHeight w:val="454" w:hRule="atLeast"/>
        </w:trPr>
        <w:tc>
          <w:tcPr>
            <w:tcW w:w="296" w:type="pct"/>
            <w:vAlign w:val="center"/>
          </w:tcPr>
          <w:p>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pPr>
              <w:rPr>
                <w:rFonts w:ascii="Arial" w:hAnsi="Arial" w:cs="Arial"/>
              </w:rPr>
            </w:pPr>
            <w:r>
              <w:rPr>
                <w:rFonts w:ascii="-webkit-standard" w:hAnsi="-webkit-standard" w:eastAsia="-webkit-standard" w:cs="-webkit-standard"/>
                <w:color w:val="000000"/>
                <w:lang w:val="en-US" w:eastAsia="zh-CN" w:bidi="ar"/>
              </w:rPr>
              <w:t>The purpose of this research activity is to analyze factors influencing healthcare choices in Hong Kong, focusing on perceived service quality, personal recommendations, and pricing transparency to enhance patient experiences.</w:t>
            </w:r>
          </w:p>
          <w:p>
            <w:pPr>
              <w:rPr>
                <w:rFonts w:ascii="Arial" w:hAnsi="Arial" w:cs="Arial"/>
              </w:rPr>
            </w:pPr>
          </w:p>
        </w:tc>
      </w:tr>
      <w:tr>
        <w:trPr>
          <w:trHeight w:val="454" w:hRule="atLeast"/>
        </w:trPr>
        <w:tc>
          <w:tcPr>
            <w:tcW w:w="296" w:type="pct"/>
            <w:vAlign w:val="center"/>
          </w:tcPr>
          <w:p>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Research Question</w:t>
            </w:r>
          </w:p>
          <w:p>
            <w:pPr>
              <w:rPr>
                <w:rFonts w:ascii="Arial" w:hAnsi="Arial" w:cs="Arial"/>
              </w:rPr>
            </w:pPr>
          </w:p>
          <w:p>
            <w:pPr>
              <w:rPr>
                <w:color w:val="000000"/>
              </w:rPr>
            </w:pPr>
            <w:r>
              <w:rPr>
                <w:rFonts w:hint="eastAsia" w:ascii="SimSun" w:hAnsi="SimSun" w:eastAsia="SimSun" w:cs="SimSun"/>
                <w:sz w:val="24"/>
              </w:rPr>
              <w:t xml:space="preserve"> </w:t>
            </w:r>
            <w:r>
              <w:rPr>
                <w:rFonts w:ascii="SimSun" w:hAnsi="SimSun" w:eastAsia="SimSun" w:cs="SimSun"/>
                <w:sz w:val="24"/>
                <w:lang w:val="en-US"/>
              </w:rPr>
              <w:t>-</w:t>
            </w:r>
            <w:r>
              <w:rPr>
                <w:color w:val="000000"/>
              </w:rPr>
              <w:t>How does perceived service quality affect patient satisfaction in private healthcare in Hong Kong?</w:t>
            </w:r>
          </w:p>
          <w:p>
            <w:pPr>
              <w:rPr>
                <w:color w:val="000000"/>
              </w:rPr>
            </w:pPr>
            <w:r>
              <w:rPr>
                <w:rFonts w:hint="eastAsia" w:ascii="SimSun" w:hAnsi="SimSun" w:eastAsia="SimSun" w:cs="SimSun"/>
                <w:sz w:val="24"/>
              </w:rPr>
              <w:t xml:space="preserve"> </w:t>
            </w:r>
            <w:r>
              <w:rPr>
                <w:rFonts w:ascii="SimSun" w:hAnsi="SimSun" w:eastAsia="SimSun" w:cs="SimSun"/>
                <w:sz w:val="24"/>
                <w:lang w:val="en-US"/>
              </w:rPr>
              <w:t>-</w:t>
            </w:r>
            <w:r>
              <w:rPr>
                <w:color w:val="000000"/>
              </w:rPr>
              <w:t>What role do personal recommendations play in influencing healthcare choices among Hong Kong residents?</w:t>
            </w:r>
          </w:p>
          <w:p>
            <w:pPr>
              <w:rPr>
                <w:color w:val="000000"/>
              </w:rPr>
            </w:pPr>
            <w:r>
              <w:rPr>
                <w:rFonts w:hint="eastAsia" w:ascii="SimSun" w:hAnsi="SimSun" w:eastAsia="SimSun" w:cs="SimSun"/>
                <w:sz w:val="24"/>
              </w:rPr>
              <w:t xml:space="preserve"> </w:t>
            </w:r>
            <w:r>
              <w:rPr>
                <w:rFonts w:ascii="SimSun" w:hAnsi="SimSun" w:eastAsia="SimSun" w:cs="SimSun"/>
                <w:sz w:val="24"/>
                <w:lang w:val="en-US"/>
              </w:rPr>
              <w:t>-</w:t>
            </w:r>
            <w:r>
              <w:rPr>
                <w:color w:val="000000"/>
              </w:rPr>
              <w:t>How does pricing transparency impact patient trust and decision-making in private healthcare?</w:t>
            </w:r>
          </w:p>
          <w:p>
            <w:pPr>
              <w:autoSpaceDE w:val="0"/>
              <w:autoSpaceDN w:val="0"/>
              <w:adjustRightInd w:val="0"/>
              <w:rPr>
                <w:rFonts w:ascii="Arial" w:hAnsi="Arial" w:cs="Arial"/>
                <w:b/>
                <w:bCs/>
                <w:sz w:val="22"/>
                <w:szCs w:val="22"/>
              </w:rPr>
            </w:pPr>
          </w:p>
        </w:tc>
      </w:tr>
      <w:tr>
        <w:trPr>
          <w:trHeight w:val="454" w:hRule="atLeast"/>
        </w:trPr>
        <w:tc>
          <w:tcPr>
            <w:tcW w:w="296" w:type="pct"/>
            <w:vAlign w:val="center"/>
          </w:tcPr>
          <w:p>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pPr>
              <w:rPr>
                <w:rFonts w:ascii="Arial" w:hAnsi="Arial" w:cs="Arial"/>
              </w:rPr>
            </w:pPr>
          </w:p>
          <w:p>
            <w:r>
              <w:rPr>
                <w:rFonts w:ascii="-webkit-standard" w:hAnsi="-webkit-standard" w:eastAsia="-webkit-standard" w:cs="-webkit-standard"/>
                <w:color w:val="000000"/>
                <w:lang w:val="en-US" w:eastAsia="zh-CN" w:bidi="ar"/>
              </w:rPr>
              <w:t>The aims of this research activity are to investigate factors affecting healthcare choices in Hong Kong, focusing on service quality, personal recommendations, and pricing transparency to improve patient satisfaction and engagement.</w:t>
            </w:r>
          </w:p>
          <w:p>
            <w:pPr>
              <w:rPr>
                <w:rFonts w:ascii="Arial" w:hAnsi="Arial" w:cs="Arial"/>
              </w:rPr>
            </w:pPr>
          </w:p>
          <w:p>
            <w:pPr>
              <w:rPr>
                <w:rFonts w:ascii="Arial" w:hAnsi="Arial" w:cs="Arial"/>
                <w:sz w:val="22"/>
                <w:szCs w:val="22"/>
              </w:rPr>
            </w:pPr>
          </w:p>
          <w:p>
            <w:pPr>
              <w:rPr>
                <w:rFonts w:ascii="Arial" w:hAnsi="Arial" w:cs="Arial"/>
              </w:rPr>
            </w:pPr>
          </w:p>
        </w:tc>
      </w:tr>
      <w:tr>
        <w:trPr>
          <w:trHeight w:val="454" w:hRule="atLeast"/>
        </w:trPr>
        <w:tc>
          <w:tcPr>
            <w:tcW w:w="296" w:type="pct"/>
            <w:vAlign w:val="center"/>
          </w:tcPr>
          <w:p>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pPr>
              <w:rPr>
                <w:rFonts w:ascii="Arial" w:hAnsi="Arial" w:cs="Arial"/>
              </w:rPr>
            </w:pPr>
          </w:p>
          <w:p>
            <w:r>
              <w:rPr>
                <w:rFonts w:ascii="-webkit-standard" w:hAnsi="-webkit-standard" w:eastAsia="-webkit-standard" w:cs="-webkit-standard"/>
                <w:color w:val="000000"/>
                <w:lang w:val="en-US" w:eastAsia="zh-CN" w:bidi="ar"/>
              </w:rPr>
              <w:t>The research objectives are to assess service quality's impact on satisfaction, evaluate personal recommendations' influence, analyze pricing transparency's role, and identify demographic factors affecting healthcare choices in Hong Kong.</w:t>
            </w:r>
          </w:p>
          <w:p>
            <w:pPr>
              <w:rPr>
                <w:rFonts w:ascii="Arial" w:hAnsi="Arial" w:cs="Arial"/>
                <w:sz w:val="22"/>
                <w:szCs w:val="22"/>
              </w:rPr>
            </w:pPr>
          </w:p>
        </w:tc>
      </w:tr>
      <w:tr>
        <w:trPr>
          <w:trHeight w:val="454" w:hRule="atLeast"/>
        </w:trPr>
        <w:tc>
          <w:tcPr>
            <w:tcW w:w="296" w:type="pct"/>
            <w:shd w:val="clear" w:color="auto" w:fill="F1F1F1" w:themeFill="background1" w:themeFillShade="F2"/>
            <w:vAlign w:val="center"/>
          </w:tcPr>
          <w:p>
            <w:pPr>
              <w:spacing w:before="120" w:after="120"/>
              <w:rPr>
                <w:rFonts w:ascii="Arial" w:hAnsi="Arial" w:cs="Arial"/>
                <w:sz w:val="22"/>
                <w:szCs w:val="22"/>
              </w:rPr>
            </w:pPr>
          </w:p>
        </w:tc>
        <w:tc>
          <w:tcPr>
            <w:tcW w:w="4703" w:type="pct"/>
            <w:gridSpan w:val="4"/>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Proposed methods (maximum 600 words)</w:t>
            </w:r>
          </w:p>
          <w:p>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trPr>
          <w:trHeight w:val="454" w:hRule="atLeast"/>
        </w:trPr>
        <w:tc>
          <w:tcPr>
            <w:tcW w:w="296" w:type="pct"/>
            <w:vAlign w:val="center"/>
          </w:tcPr>
          <w:p>
            <w:pPr>
              <w:rPr>
                <w:rFonts w:ascii="Arial" w:hAnsi="Arial" w:cs="Arial"/>
                <w:sz w:val="22"/>
                <w:szCs w:val="22"/>
              </w:rPr>
            </w:pPr>
            <w:r>
              <w:rPr>
                <w:rFonts w:ascii="Arial" w:hAnsi="Arial" w:cs="Arial"/>
                <w:sz w:val="22"/>
                <w:szCs w:val="22"/>
              </w:rPr>
              <w:t>7</w:t>
            </w:r>
          </w:p>
        </w:tc>
        <w:tc>
          <w:tcPr>
            <w:tcW w:w="4703" w:type="pct"/>
            <w:gridSpan w:val="4"/>
            <w:vAlign w:val="center"/>
          </w:tcPr>
          <w:p>
            <w:pPr>
              <w:pStyle w:val="17"/>
              <w:rPr>
                <w:color w:val="000000"/>
              </w:rPr>
            </w:pPr>
            <w:r>
              <w:rPr>
                <w:color w:val="000000"/>
              </w:rPr>
              <w:t>This research will utilize a quantitative, survey-based approach to investigate the factors influencing consumers' choices of mobile service providers, focusing on the roles of price, product features, privacy concerns, and brand trust in shaping purchase decisions.</w:t>
            </w:r>
          </w:p>
          <w:p>
            <w:pPr>
              <w:pStyle w:val="17"/>
              <w:rPr>
                <w:color w:val="000000"/>
              </w:rPr>
            </w:pPr>
            <w:r>
              <w:rPr>
                <w:rStyle w:val="10"/>
                <w:b w:val="0"/>
                <w:bCs w:val="0"/>
                <w:color w:val="000000"/>
              </w:rPr>
              <w:t>Data Collection</w:t>
            </w:r>
            <w:r>
              <w:rPr>
                <w:color w:val="000000"/>
              </w:rPr>
              <w:t> will be conducted through a structured online questionnaire distributed via email, social media, and consumer panels to engage a diverse pool of mobile users. The questionnaire will cover demographic information and key constructs, including price, product features, privacy concerns, brand identity, and purchase intention, all rated on a 6-point Likert scale.</w:t>
            </w:r>
          </w:p>
          <w:p>
            <w:pPr>
              <w:pStyle w:val="17"/>
              <w:rPr>
                <w:color w:val="000000"/>
              </w:rPr>
            </w:pPr>
            <w:r>
              <w:rPr>
                <w:color w:val="000000"/>
              </w:rPr>
              <w:t>A </w:t>
            </w:r>
            <w:r>
              <w:rPr>
                <w:rStyle w:val="10"/>
                <w:b w:val="0"/>
                <w:bCs w:val="0"/>
                <w:color w:val="000000"/>
              </w:rPr>
              <w:t>stratified random sampling</w:t>
            </w:r>
            <w:r>
              <w:rPr>
                <w:color w:val="000000"/>
              </w:rPr>
              <w:t xml:space="preserve"> method will ensure representation across demographics, targeting at least </w:t>
            </w:r>
            <w:r>
              <w:rPr>
                <w:color w:val="000000"/>
                <w:lang w:val="en-US"/>
              </w:rPr>
              <w:t>400</w:t>
            </w:r>
            <w:r>
              <w:rPr>
                <w:color w:val="000000"/>
              </w:rPr>
              <w:t xml:space="preserve"> respondents for reliable analysis. A </w:t>
            </w:r>
            <w:r>
              <w:rPr>
                <w:rStyle w:val="10"/>
                <w:b w:val="0"/>
                <w:bCs w:val="0"/>
                <w:color w:val="000000"/>
              </w:rPr>
              <w:t>pilot study</w:t>
            </w:r>
            <w:r>
              <w:rPr>
                <w:color w:val="000000"/>
              </w:rPr>
              <w:t> with 20-30 participants will test the questionnaire for clarity and reliability.</w:t>
            </w:r>
          </w:p>
          <w:p>
            <w:pPr>
              <w:pStyle w:val="17"/>
              <w:rPr>
                <w:rFonts w:ascii="Arial" w:hAnsi="Arial" w:cs="Arial"/>
                <w:b/>
                <w:sz w:val="22"/>
                <w:szCs w:val="22"/>
              </w:rPr>
            </w:pPr>
            <w:r>
              <w:rPr>
                <w:color w:val="000000"/>
              </w:rPr>
              <w:t>Data will be collected anonymously and stored securely, with access limited to the research team. Statistical analyses will include descriptive statistics, correlation, multiple regression, and mediation analysis, ensuring adherence to ethical standards throughout the study.</w:t>
            </w:r>
          </w:p>
        </w:tc>
      </w:tr>
      <w:tr>
        <w:trPr>
          <w:trHeight w:val="454" w:hRule="atLeast"/>
        </w:trPr>
        <w:tc>
          <w:tcPr>
            <w:tcW w:w="296" w:type="pct"/>
            <w:shd w:val="clear" w:color="auto" w:fill="F1F1F1" w:themeFill="background1" w:themeFillShade="F2"/>
            <w:vAlign w:val="center"/>
          </w:tcPr>
          <w:p>
            <w:pPr>
              <w:spacing w:before="120"/>
              <w:rPr>
                <w:rFonts w:ascii="Arial" w:hAnsi="Arial" w:cs="Arial"/>
                <w:bCs/>
                <w:sz w:val="22"/>
                <w:szCs w:val="22"/>
              </w:rPr>
            </w:pPr>
            <w:r>
              <w:rPr>
                <w:rFonts w:ascii="Arial" w:hAnsi="Arial" w:cs="Arial"/>
              </w:rPr>
              <w:br w:type="page"/>
            </w:r>
          </w:p>
        </w:tc>
        <w:tc>
          <w:tcPr>
            <w:tcW w:w="4703" w:type="pct"/>
            <w:gridSpan w:val="4"/>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Location of research activity</w:t>
            </w:r>
          </w:p>
          <w:p>
            <w:pPr>
              <w:rPr>
                <w:rFonts w:ascii="Arial" w:hAnsi="Arial" w:cs="Arial"/>
                <w:sz w:val="22"/>
                <w:szCs w:val="22"/>
              </w:rPr>
            </w:pPr>
            <w:r>
              <w:rPr>
                <w:rFonts w:ascii="Arial" w:hAnsi="Arial" w:cs="Arial"/>
                <w:sz w:val="22"/>
                <w:szCs w:val="22"/>
              </w:rPr>
              <w:t>Identify all locations where research activity will take place.</w:t>
            </w:r>
          </w:p>
        </w:tc>
      </w:tr>
      <w:tr>
        <w:trPr>
          <w:trHeight w:val="454" w:hRule="atLeast"/>
        </w:trPr>
        <w:tc>
          <w:tcPr>
            <w:tcW w:w="296" w:type="pct"/>
            <w:vAlign w:val="center"/>
          </w:tcPr>
          <w:p>
            <w:pPr>
              <w:rPr>
                <w:rFonts w:ascii="Arial" w:hAnsi="Arial" w:cs="Arial"/>
                <w:bCs/>
                <w:sz w:val="22"/>
                <w:szCs w:val="22"/>
              </w:rPr>
            </w:pPr>
            <w:r>
              <w:rPr>
                <w:rFonts w:ascii="Arial" w:hAnsi="Arial" w:cs="Arial"/>
                <w:bCs/>
                <w:sz w:val="22"/>
                <w:szCs w:val="22"/>
              </w:rPr>
              <w:t>8</w:t>
            </w:r>
          </w:p>
        </w:tc>
        <w:tc>
          <w:tcPr>
            <w:tcW w:w="4703" w:type="pct"/>
            <w:gridSpan w:val="4"/>
            <w:vAlign w:val="center"/>
          </w:tcPr>
          <w:p>
            <w:pPr>
              <w:rPr>
                <w:rFonts w:ascii="Arial" w:hAnsi="Arial" w:cs="Arial"/>
                <w:sz w:val="22"/>
                <w:szCs w:val="22"/>
              </w:rPr>
            </w:pPr>
          </w:p>
          <w:p>
            <w:pPr>
              <w:rPr>
                <w:rFonts w:ascii="Arial" w:hAnsi="Arial" w:cs="Arial"/>
                <w:sz w:val="22"/>
                <w:szCs w:val="22"/>
                <w:lang w:val="en-US"/>
              </w:rPr>
            </w:pPr>
            <w:r>
              <w:rPr>
                <w:rFonts w:ascii="Arial" w:hAnsi="Arial" w:cs="Arial"/>
                <w:sz w:val="22"/>
                <w:szCs w:val="22"/>
                <w:lang w:val="en-US"/>
              </w:rPr>
              <w:t>Hong Kong</w:t>
            </w:r>
          </w:p>
          <w:p>
            <w:pPr>
              <w:rPr>
                <w:rFonts w:ascii="Arial" w:hAnsi="Arial" w:cs="Arial"/>
                <w:b/>
                <w:sz w:val="22"/>
                <w:szCs w:val="22"/>
              </w:rPr>
            </w:pPr>
          </w:p>
        </w:tc>
      </w:tr>
      <w:tr>
        <w:trPr>
          <w:trHeight w:val="454" w:hRule="atLeast"/>
        </w:trPr>
        <w:tc>
          <w:tcPr>
            <w:tcW w:w="296" w:type="pct"/>
            <w:shd w:val="clear" w:color="auto" w:fill="F1F1F1" w:themeFill="background1" w:themeFillShade="F2"/>
            <w:vAlign w:val="center"/>
          </w:tcPr>
          <w:p>
            <w:pPr>
              <w:spacing w:before="120"/>
              <w:rPr>
                <w:rFonts w:ascii="Arial" w:hAnsi="Arial" w:cs="Arial"/>
                <w:bCs/>
                <w:sz w:val="22"/>
                <w:szCs w:val="22"/>
              </w:rPr>
            </w:pPr>
          </w:p>
        </w:tc>
        <w:tc>
          <w:tcPr>
            <w:tcW w:w="4703" w:type="pct"/>
            <w:gridSpan w:val="4"/>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Research activity outside of the UK</w:t>
            </w:r>
          </w:p>
          <w:p>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trPr>
          <w:trHeight w:val="454" w:hRule="atLeast"/>
        </w:trPr>
        <w:tc>
          <w:tcPr>
            <w:tcW w:w="296" w:type="pct"/>
            <w:vAlign w:val="center"/>
          </w:tcPr>
          <w:p>
            <w:pPr>
              <w:rPr>
                <w:rFonts w:ascii="Arial" w:hAnsi="Arial" w:cs="Arial"/>
                <w:bCs/>
                <w:sz w:val="22"/>
                <w:szCs w:val="22"/>
              </w:rPr>
            </w:pPr>
            <w:r>
              <w:rPr>
                <w:rFonts w:ascii="Arial" w:hAnsi="Arial" w:cs="Arial"/>
                <w:bCs/>
                <w:sz w:val="22"/>
                <w:szCs w:val="22"/>
              </w:rPr>
              <w:t>9</w:t>
            </w:r>
          </w:p>
        </w:tc>
        <w:tc>
          <w:tcPr>
            <w:tcW w:w="4703" w:type="pct"/>
            <w:gridSpan w:val="4"/>
            <w:vAlign w:val="center"/>
          </w:tcPr>
          <w:p>
            <w:pPr>
              <w:rPr>
                <w:rFonts w:ascii="Arial" w:hAnsi="Arial" w:cs="Arial"/>
              </w:rPr>
            </w:pPr>
          </w:p>
          <w:p>
            <w:r>
              <w:rPr>
                <w:rFonts w:ascii="-webkit-standard" w:hAnsi="-webkit-standard" w:eastAsia="-webkit-standard" w:cs="-webkit-standard"/>
                <w:color w:val="000000"/>
                <w:lang w:val="en-US" w:eastAsia="zh-CN" w:bidi="ar"/>
              </w:rPr>
              <w:t>The proposed research will be conducted in Hong Kong, requiring adherence to local ethical standards and obtaining all necessary permissions to ensure compliance with regulatory requirements.</w:t>
            </w:r>
          </w:p>
          <w:p>
            <w:pPr>
              <w:rPr>
                <w:rFonts w:ascii="Arial" w:hAnsi="Arial" w:cs="Arial"/>
                <w:b/>
                <w:i/>
                <w:sz w:val="22"/>
                <w:szCs w:val="22"/>
              </w:rPr>
            </w:pPr>
          </w:p>
        </w:tc>
      </w:tr>
    </w:tbl>
    <w:p>
      <w:pPr>
        <w:rPr>
          <w:rFonts w:ascii="Arial" w:hAnsi="Arial" w:cs="Arial"/>
        </w:rPr>
      </w:pPr>
    </w:p>
    <w:tbl>
      <w:tblPr>
        <w:tblStyle w:val="19"/>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7371"/>
        <w:gridCol w:w="1276"/>
        <w:gridCol w:w="1276"/>
      </w:tblGrid>
      <w:tr>
        <w:trPr>
          <w:trHeight w:val="383" w:hRule="atLeast"/>
        </w:trPr>
        <w:tc>
          <w:tcPr>
            <w:tcW w:w="567" w:type="dxa"/>
            <w:vMerge w:val="restart"/>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shd w:val="clear" w:color="auto" w:fill="D8D8D8"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ascii="MS Gothic" w:hAnsi="MS Gothic" w:eastAsia="MS Gothic" w:cs="Segoe UI Symbol"/>
                    <w:bCs/>
                    <w:sz w:val="22"/>
                    <w:szCs w:val="22"/>
                  </w:rPr>
                  <w:t>☒</w:t>
                </w:r>
              </w:p>
            </w:sdtContent>
          </w:sdt>
        </w:tc>
      </w:tr>
      <w:tr>
        <w:trPr>
          <w:trHeight w:val="218" w:hRule="atLeast"/>
        </w:trPr>
        <w:tc>
          <w:tcPr>
            <w:tcW w:w="567" w:type="dxa"/>
            <w:vMerge w:val="continue"/>
            <w:shd w:val="clear" w:color="auto" w:fill="F1F1F1" w:themeFill="background1" w:themeFillShade="F2"/>
            <w:vAlign w:val="center"/>
          </w:tcPr>
          <w:p>
            <w:pPr>
              <w:autoSpaceDE w:val="0"/>
              <w:autoSpaceDN w:val="0"/>
              <w:adjustRightInd w:val="0"/>
              <w:rPr>
                <w:rFonts w:ascii="Arial" w:hAnsi="Arial" w:cs="Arial"/>
                <w:bCs/>
                <w:sz w:val="22"/>
                <w:szCs w:val="22"/>
              </w:rPr>
            </w:pPr>
          </w:p>
        </w:tc>
        <w:tc>
          <w:tcPr>
            <w:tcW w:w="7371"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rPr>
                  <w:rFonts w:ascii="Arial" w:hAnsi="Arial" w:cs="Arial"/>
                  <w:bCs/>
                  <w:sz w:val="22"/>
                  <w:szCs w:val="22"/>
                </w:rPr>
              </w:sdtEndPr>
              <w:sdtContent>
                <w:r>
                  <w:rPr>
                    <w:rFonts w:ascii="Segoe UI Symbol" w:hAnsi="Segoe UI Symbol" w:eastAsia="MS Gothic" w:cs="Segoe UI Symbol"/>
                    <w:bCs/>
                    <w:sz w:val="22"/>
                    <w:szCs w:val="22"/>
                  </w:rPr>
                  <w:t>☐</w:t>
                </w:r>
              </w:sdtContent>
            </w:sdt>
          </w:p>
        </w:tc>
      </w:tr>
      <w:tr>
        <w:tc>
          <w:tcPr>
            <w:tcW w:w="567" w:type="dxa"/>
            <w:shd w:val="clear" w:color="auto" w:fill="FFFFFF" w:themeFill="background1"/>
            <w:vAlign w:val="center"/>
          </w:tcPr>
          <w:p>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pPr>
              <w:autoSpaceDE w:val="0"/>
              <w:autoSpaceDN w:val="0"/>
              <w:adjustRightInd w:val="0"/>
              <w:rPr>
                <w:rFonts w:ascii="Arial" w:hAnsi="Arial" w:cs="Arial"/>
                <w:bCs/>
                <w:sz w:val="22"/>
                <w:szCs w:val="22"/>
              </w:rPr>
            </w:pPr>
          </w:p>
        </w:tc>
      </w:tr>
    </w:tbl>
    <w:p>
      <w:pPr>
        <w:autoSpaceDE w:val="0"/>
        <w:autoSpaceDN w:val="0"/>
        <w:adjustRightInd w:val="0"/>
        <w:spacing w:after="240"/>
        <w:jc w:val="both"/>
        <w:rPr>
          <w:rFonts w:ascii="Arial" w:hAnsi="Arial" w:cs="Arial"/>
          <w:b/>
          <w:sz w:val="22"/>
          <w:szCs w:val="22"/>
        </w:rPr>
      </w:pPr>
    </w:p>
    <w:tbl>
      <w:tblPr>
        <w:tblStyle w:val="19"/>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tc>
          <w:tcPr>
            <w:tcW w:w="56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p>
        </w:tc>
        <w:tc>
          <w:tcPr>
            <w:tcW w:w="821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EBEBE" w:themeFill="background1" w:themeFillShade="BF"/>
            <w:vAlign w:val="center"/>
          </w:tcPr>
          <w:sdt>
            <w:sdtPr>
              <w:rPr>
                <w:rFonts w:ascii="Arial" w:hAnsi="Arial" w:cs="Arial"/>
                <w:sz w:val="22"/>
                <w:szCs w:val="22"/>
              </w:rPr>
              <w:id w:val="50833847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EBEBE"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EBEBE"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EBEBE" w:themeFill="background1" w:themeFillShade="BF"/>
            <w:vAlign w:val="center"/>
          </w:tcPr>
          <w:sdt>
            <w:sdtPr>
              <w:rPr>
                <w:rFonts w:ascii="Arial" w:hAnsi="Arial" w:cs="Arial"/>
                <w:sz w:val="22"/>
                <w:szCs w:val="22"/>
              </w:rPr>
              <w:id w:val="99768877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EBEBE"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EBEBE" w:themeFill="background1" w:themeFillShade="BF"/>
            <w:vAlign w:val="center"/>
          </w:tcPr>
          <w:sdt>
            <w:sdtPr>
              <w:rPr>
                <w:rFonts w:ascii="Arial" w:hAnsi="Arial" w:cs="Arial"/>
                <w:sz w:val="22"/>
                <w:szCs w:val="22"/>
              </w:rPr>
              <w:id w:val="62143195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2051796082"/>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EBEBE"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b/>
                <w:bCs/>
                <w:sz w:val="22"/>
                <w:szCs w:val="22"/>
              </w:rPr>
            </w:pPr>
            <w:r>
              <w:rPr>
                <w:rFonts w:ascii="Arial" w:hAnsi="Arial" w:cs="Arial"/>
                <w:color w:val="808080"/>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spacing w:after="240"/>
        <w:rPr>
          <w:rFonts w:ascii="Arial" w:hAnsi="Arial" w:cs="Arial"/>
          <w:b/>
          <w:sz w:val="22"/>
          <w:szCs w:val="22"/>
        </w:rPr>
      </w:pPr>
      <w:r>
        <w:rPr>
          <w:rFonts w:ascii="Arial" w:hAnsi="Arial" w:cs="Arial"/>
          <w:b/>
          <w:sz w:val="22"/>
          <w:szCs w:val="22"/>
        </w:rPr>
        <w:t>SECTION F: Scope of Research Activity</w:t>
      </w:r>
    </w:p>
    <w:tbl>
      <w:tblPr>
        <w:tblStyle w:val="19"/>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27"/>
        <w:gridCol w:w="846"/>
        <w:gridCol w:w="816"/>
      </w:tblGrid>
      <w:tr>
        <w:trPr>
          <w:trHeight w:val="558" w:hRule="atLeast"/>
        </w:trPr>
        <w:tc>
          <w:tcPr>
            <w:tcW w:w="562" w:type="dxa"/>
            <w:shd w:val="clear" w:color="auto" w:fill="F1F1F1" w:themeFill="background1" w:themeFillShade="F2"/>
            <w:vAlign w:val="center"/>
          </w:tcPr>
          <w:p>
            <w:pPr>
              <w:autoSpaceDE w:val="0"/>
              <w:autoSpaceDN w:val="0"/>
              <w:adjustRightInd w:val="0"/>
              <w:rPr>
                <w:rFonts w:ascii="Arial" w:hAnsi="Arial" w:cs="Arial"/>
                <w:b/>
                <w:sz w:val="22"/>
                <w:szCs w:val="22"/>
              </w:rPr>
            </w:pPr>
          </w:p>
        </w:tc>
        <w:tc>
          <w:tcPr>
            <w:tcW w:w="8227" w:type="dxa"/>
            <w:shd w:val="clear" w:color="auto" w:fill="F1F1F1" w:themeFill="background1" w:themeFillShade="F2"/>
            <w:vAlign w:val="center"/>
          </w:tcPr>
          <w:p>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rPr>
          <w:trHeight w:val="439"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93471055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39"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sz w:val="22"/>
                <w:szCs w:val="22"/>
              </w:rPr>
              <w:id w:val="23582807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rPr>
          <w:trHeight w:val="439"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EBEBE" w:themeFill="background1" w:themeFillShade="BF"/>
            <w:vAlign w:val="center"/>
          </w:tcPr>
          <w:sdt>
            <w:sdtPr>
              <w:rPr>
                <w:rFonts w:ascii="Arial" w:hAnsi="Arial" w:cs="Arial"/>
                <w:sz w:val="22"/>
                <w:szCs w:val="22"/>
              </w:rPr>
              <w:id w:val="55745256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EBEBE"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sz w:val="22"/>
                <w:szCs w:val="22"/>
              </w:rPr>
              <w:id w:val="137442733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EBEBE"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770900130"/>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rPr>
          <w:trHeight w:val="439"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75539427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rPr>
          <w:trHeight w:val="439"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sz w:val="22"/>
                <w:szCs w:val="22"/>
              </w:rPr>
              <w:id w:val="58974331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sz w:val="22"/>
                <w:szCs w:val="22"/>
              </w:rPr>
              <w:id w:val="64262578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03084419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sz w:val="22"/>
                <w:szCs w:val="22"/>
              </w:rPr>
              <w:id w:val="134791204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37775278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sz w:val="22"/>
                <w:szCs w:val="22"/>
              </w:rPr>
              <w:id w:val="120906298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236436814"/>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67461749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EBEBE"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EBEBE"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vMerge w:val="restart"/>
            <w:shd w:val="clear" w:color="auto" w:fill="BEBEBE"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rPr>
          <w:trHeight w:val="403" w:hRule="atLeast"/>
        </w:trPr>
        <w:tc>
          <w:tcPr>
            <w:tcW w:w="562" w:type="dxa"/>
            <w:vAlign w:val="center"/>
          </w:tcPr>
          <w:p>
            <w:pPr>
              <w:autoSpaceDE w:val="0"/>
              <w:autoSpaceDN w:val="0"/>
              <w:adjustRightInd w:val="0"/>
              <w:rPr>
                <w:rFonts w:ascii="Arial" w:hAnsi="Arial" w:cs="Arial"/>
                <w:sz w:val="22"/>
                <w:szCs w:val="22"/>
              </w:rPr>
            </w:pPr>
          </w:p>
        </w:tc>
        <w:tc>
          <w:tcPr>
            <w:tcW w:w="822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pPr>
        <w:rPr>
          <w:rFonts w:ascii="Arial" w:hAnsi="Arial" w:cs="Arial"/>
          <w:bCs/>
          <w:iCs/>
          <w:sz w:val="22"/>
          <w:szCs w:val="22"/>
        </w:rPr>
      </w:pPr>
    </w:p>
    <w:p>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pPr>
        <w:rPr>
          <w:rFonts w:ascii="Arial" w:hAnsi="Arial" w:cs="Arial"/>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p>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pPr>
        <w:rPr>
          <w:rFonts w:ascii="Arial" w:hAnsi="Arial" w:cs="Arial"/>
          <w:bCs/>
          <w:sz w:val="24"/>
          <w:szCs w:val="24"/>
        </w:rPr>
      </w:pPr>
    </w:p>
    <w:tbl>
      <w:tblPr>
        <w:tblStyle w:val="19"/>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tc>
          <w:tcPr>
            <w:tcW w:w="56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p>
        </w:tc>
        <w:tc>
          <w:tcPr>
            <w:tcW w:w="821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sz w:val="22"/>
                <w:szCs w:val="22"/>
              </w:rPr>
              <w:id w:val="1963834592"/>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98898410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sz w:val="22"/>
                <w:szCs w:val="22"/>
              </w:rPr>
              <w:id w:val="17362421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16029270"/>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sz w:val="22"/>
                <w:szCs w:val="22"/>
              </w:rPr>
              <w:id w:val="206360216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sz w:val="22"/>
                <w:szCs w:val="22"/>
              </w:rPr>
              <w:id w:val="2082904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sz w:val="22"/>
                <w:szCs w:val="22"/>
              </w:rPr>
              <w:id w:val="73890609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vMerge w:val="restart"/>
            <w:shd w:val="clear" w:color="auto" w:fill="BEBEBE" w:themeFill="background1" w:themeFillShade="BF"/>
            <w:vAlign w:val="center"/>
          </w:tcPr>
          <w:sdt>
            <w:sdtPr>
              <w:rPr>
                <w:rFonts w:ascii="Arial" w:hAnsi="Arial" w:cs="Arial"/>
                <w:sz w:val="22"/>
                <w:szCs w:val="22"/>
              </w:rPr>
              <w:id w:val="16830852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821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Details of any other participant groups:</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sz w:val="22"/>
                <w:szCs w:val="22"/>
              </w:rPr>
            </w:pPr>
          </w:p>
        </w:tc>
        <w:tc>
          <w:tcPr>
            <w:tcW w:w="850"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rPr>
          <w:rFonts w:ascii="Arial" w:hAnsi="Arial" w:cs="Arial"/>
          <w:bCs/>
          <w:sz w:val="24"/>
          <w:szCs w:val="24"/>
        </w:rPr>
      </w:pPr>
    </w:p>
    <w:tbl>
      <w:tblPr>
        <w:tblStyle w:val="19"/>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256"/>
        <w:gridCol w:w="6633"/>
      </w:tblGrid>
      <w:tr>
        <w:trPr>
          <w:trHeight w:val="403" w:hRule="atLeast"/>
        </w:trPr>
        <w:tc>
          <w:tcPr>
            <w:tcW w:w="562" w:type="dxa"/>
            <w:tcBorders>
              <w:bottom w:val="single" w:color="auto" w:sz="4" w:space="0"/>
            </w:tcBorders>
            <w:shd w:val="clear" w:color="auto" w:fill="F1F1F1" w:themeFill="background1" w:themeFillShade="F2"/>
          </w:tcPr>
          <w:p>
            <w:pPr>
              <w:rPr>
                <w:rFonts w:ascii="Arial" w:hAnsi="Arial" w:cs="Arial"/>
                <w:bCs/>
                <w:sz w:val="22"/>
                <w:szCs w:val="22"/>
              </w:rPr>
            </w:pPr>
          </w:p>
        </w:tc>
        <w:tc>
          <w:tcPr>
            <w:tcW w:w="9889" w:type="dxa"/>
            <w:gridSpan w:val="2"/>
            <w:tcBorders>
              <w:bottom w:val="single" w:color="auto" w:sz="4" w:space="0"/>
            </w:tcBorders>
            <w:shd w:val="clear" w:color="auto" w:fill="F1F1F1" w:themeFill="background1" w:themeFillShade="F2"/>
            <w:vAlign w:val="center"/>
          </w:tcPr>
          <w:p>
            <w:pPr>
              <w:rPr>
                <w:rFonts w:ascii="Arial" w:hAnsi="Arial" w:cs="Arial"/>
                <w:b/>
                <w:sz w:val="22"/>
                <w:szCs w:val="22"/>
              </w:rPr>
            </w:pPr>
            <w:r>
              <w:rPr>
                <w:rFonts w:ascii="Arial" w:hAnsi="Arial" w:cs="Arial"/>
                <w:b/>
                <w:sz w:val="22"/>
                <w:szCs w:val="22"/>
              </w:rPr>
              <w:t>Participant numbers and source</w:t>
            </w:r>
          </w:p>
          <w:p>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many participants are expected?</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lang w:val="en-US"/>
              </w:rPr>
            </w:pPr>
            <w:r>
              <w:rPr>
                <w:rFonts w:ascii="Arial" w:hAnsi="Arial" w:cs="Arial"/>
                <w:sz w:val="22"/>
                <w:szCs w:val="22"/>
                <w:lang w:val="en-US"/>
              </w:rPr>
              <w:t>400</w:t>
            </w:r>
          </w:p>
          <w:p>
            <w:pPr>
              <w:rPr>
                <w:rFonts w:ascii="Arial" w:hAnsi="Arial" w:cs="Arial"/>
                <w:sz w:val="22"/>
                <w:szCs w:val="22"/>
              </w:rPr>
            </w:pPr>
          </w:p>
          <w:p>
            <w:pPr>
              <w:rPr>
                <w:rFonts w:ascii="Arial" w:hAnsi="Arial" w:cs="Arial"/>
                <w:b/>
                <w:sz w:val="22"/>
                <w:szCs w:val="22"/>
              </w:rPr>
            </w:pPr>
          </w:p>
        </w:tc>
      </w:tr>
      <w:tr>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Who will the participants be?</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r>
              <w:rPr>
                <w:rFonts w:ascii="Arial" w:hAnsi="Arial" w:cs="Arial"/>
                <w:lang w:val="en-US"/>
              </w:rPr>
              <w:t>Participants will included individuals aged 1</w:t>
            </w:r>
            <w:r>
              <w:rPr>
                <w:rFonts w:hint="eastAsia" w:ascii="Arial" w:hAnsi="Arial" w:cs="Arial"/>
                <w:lang w:val="en-US" w:eastAsia="zh-TW"/>
              </w:rPr>
              <w:t>8</w:t>
            </w:r>
            <w:r>
              <w:rPr>
                <w:rFonts w:ascii="Arial" w:hAnsi="Arial" w:cs="Arial"/>
                <w:lang w:val="en-US"/>
              </w:rPr>
              <w:t xml:space="preserve"> and older who are Hong Kong residents</w:t>
            </w:r>
            <w:r>
              <w:rPr>
                <w:rFonts w:hint="eastAsia" w:ascii="Arial" w:hAnsi="Arial" w:cs="Arial"/>
                <w:lang w:val="en-US" w:eastAsia="zh-TW"/>
              </w:rPr>
              <w:t xml:space="preserve"> with mobile device</w:t>
            </w:r>
            <w:r>
              <w:rPr>
                <w:rFonts w:ascii="Arial" w:hAnsi="Arial" w:cs="Arial"/>
                <w:lang w:val="en-US" w:eastAsia="zh-TW"/>
              </w:rPr>
              <w:t>s</w:t>
            </w:r>
          </w:p>
          <w:p>
            <w:pPr>
              <w:rPr>
                <w:rFonts w:ascii="Arial" w:hAnsi="Arial" w:cs="Arial"/>
                <w:i/>
                <w:color w:val="808080"/>
                <w:sz w:val="18"/>
                <w:szCs w:val="18"/>
              </w:rPr>
            </w:pPr>
          </w:p>
        </w:tc>
      </w:tr>
      <w:tr>
        <w:trPr>
          <w:trHeight w:val="403" w:hRule="atLeast"/>
        </w:trPr>
        <w:tc>
          <w:tcPr>
            <w:tcW w:w="562" w:type="dxa"/>
            <w:tcBorders>
              <w:top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pPr>
              <w:rPr>
                <w:rFonts w:ascii="Arial" w:hAnsi="Arial" w:cs="Arial"/>
                <w:sz w:val="22"/>
                <w:szCs w:val="22"/>
              </w:rPr>
            </w:pPr>
          </w:p>
          <w:p>
            <w:pPr>
              <w:rPr>
                <w:rFonts w:ascii="Arial" w:hAnsi="Arial" w:cs="Arial"/>
                <w:sz w:val="22"/>
                <w:szCs w:val="22"/>
              </w:rPr>
            </w:pPr>
            <w:r>
              <w:rPr>
                <w:rFonts w:ascii="Arial" w:hAnsi="Arial" w:cs="Arial"/>
                <w:sz w:val="18"/>
                <w:szCs w:val="18"/>
              </w:rPr>
              <w:t xml:space="preserve">Participants </w:t>
            </w:r>
          </w:p>
          <w:p>
            <w:pPr>
              <w:rPr>
                <w:rFonts w:ascii="Arial" w:hAnsi="Arial" w:cs="Arial"/>
                <w:sz w:val="22"/>
                <w:szCs w:val="22"/>
              </w:rPr>
            </w:pPr>
          </w:p>
          <w:p>
            <w:pPr>
              <w:rPr>
                <w:rFonts w:ascii="Arial" w:hAnsi="Arial" w:cs="Arial"/>
                <w:color w:val="808080"/>
                <w:sz w:val="18"/>
                <w:szCs w:val="18"/>
              </w:rPr>
            </w:pPr>
          </w:p>
        </w:tc>
      </w:tr>
    </w:tbl>
    <w:p>
      <w:pPr>
        <w:rPr>
          <w:rFonts w:ascii="Arial" w:hAnsi="Arial" w:cs="Arial"/>
          <w:bCs/>
          <w:sz w:val="24"/>
          <w:szCs w:val="24"/>
        </w:rPr>
      </w:pPr>
    </w:p>
    <w:p>
      <w:pPr>
        <w:rPr>
          <w:rFonts w:ascii="Arial" w:hAnsi="Arial" w:cs="Arial"/>
        </w:rPr>
      </w:pPr>
    </w:p>
    <w:tbl>
      <w:tblPr>
        <w:tblStyle w:val="19"/>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p>
        </w:tc>
        <w:tc>
          <w:tcPr>
            <w:tcW w:w="7088"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539469854"/>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40480120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sz w:val="22"/>
                <w:szCs w:val="22"/>
              </w:rPr>
              <w:id w:val="167961048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54024804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sz w:val="22"/>
                <w:szCs w:val="22"/>
              </w:rPr>
              <w:id w:val="1617645025"/>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5343636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10537745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sz w:val="22"/>
                <w:szCs w:val="22"/>
              </w:rPr>
              <w:id w:val="60038827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630672872"/>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7599855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04994652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05310752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rPr>
          <w:trHeight w:val="403" w:hRule="atLeast"/>
        </w:trPr>
        <w:tc>
          <w:tcPr>
            <w:tcW w:w="562" w:type="dxa"/>
            <w:tcBorders>
              <w:bottom w:val="single" w:color="auto" w:sz="4" w:space="0"/>
            </w:tcBorders>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trPr>
          <w:trHeight w:val="403" w:hRule="atLeast"/>
        </w:trPr>
        <w:tc>
          <w:tcPr>
            <w:tcW w:w="562" w:type="dxa"/>
            <w:vAlign w:val="center"/>
          </w:tcPr>
          <w:p>
            <w:pPr>
              <w:jc w:val="center"/>
              <w:rPr>
                <w:rFonts w:ascii="Arial" w:hAnsi="Arial" w:cs="Arial"/>
                <w:sz w:val="22"/>
                <w:szCs w:val="22"/>
              </w:rPr>
            </w:pPr>
          </w:p>
        </w:tc>
        <w:tc>
          <w:tcPr>
            <w:tcW w:w="9923" w:type="dxa"/>
            <w:gridSpan w:val="4"/>
            <w:vAlign w:val="center"/>
          </w:tcPr>
          <w:p>
            <w:pPr>
              <w:rPr>
                <w:rFonts w:ascii="Arial" w:hAnsi="Arial" w:cs="Arial"/>
                <w:sz w:val="22"/>
                <w:szCs w:val="22"/>
              </w:rPr>
            </w:pPr>
          </w:p>
          <w:p>
            <w:pPr>
              <w:autoSpaceDE w:val="0"/>
              <w:autoSpaceDN w:val="0"/>
              <w:adjustRightInd w:val="0"/>
              <w:rPr>
                <w:rFonts w:ascii="Arial" w:hAnsi="Arial" w:cs="Arial"/>
                <w:lang w:val="en-US"/>
              </w:rPr>
            </w:pPr>
          </w:p>
        </w:tc>
      </w:tr>
    </w:tbl>
    <w:p>
      <w:pPr>
        <w:rPr>
          <w:rFonts w:ascii="Arial" w:hAnsi="Arial" w:cs="Arial"/>
        </w:rPr>
      </w:pPr>
    </w:p>
    <w:tbl>
      <w:tblPr>
        <w:tblStyle w:val="19"/>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tc>
          <w:tcPr>
            <w:tcW w:w="562" w:type="dxa"/>
            <w:shd w:val="clear" w:color="auto" w:fill="F1F1F1" w:themeFill="background1" w:themeFillShade="F2"/>
          </w:tcPr>
          <w:p>
            <w:pPr>
              <w:autoSpaceDE w:val="0"/>
              <w:autoSpaceDN w:val="0"/>
              <w:adjustRightInd w:val="0"/>
              <w:jc w:val="both"/>
              <w:rPr>
                <w:rFonts w:ascii="Arial" w:hAnsi="Arial" w:cs="Arial"/>
                <w:bCs/>
                <w:sz w:val="22"/>
                <w:szCs w:val="22"/>
              </w:rPr>
            </w:pPr>
          </w:p>
        </w:tc>
        <w:tc>
          <w:tcPr>
            <w:tcW w:w="7088" w:type="dxa"/>
            <w:shd w:val="clear" w:color="auto" w:fill="F1F1F1" w:themeFill="background1" w:themeFillShade="F2"/>
            <w:vAlign w:val="center"/>
          </w:tcPr>
          <w:p>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54951626"/>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51511327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92143701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sz w:val="22"/>
                <w:szCs w:val="22"/>
              </w:rPr>
              <w:id w:val="154031830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937093285"/>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trPr>
          <w:trHeight w:val="403" w:hRule="atLeast"/>
        </w:trPr>
        <w:tc>
          <w:tcPr>
            <w:tcW w:w="562" w:type="dxa"/>
            <w:vAlign w:val="center"/>
          </w:tcPr>
          <w:p>
            <w:pPr>
              <w:jc w:val="center"/>
              <w:rPr>
                <w:rFonts w:ascii="Arial" w:hAnsi="Arial" w:cs="Arial"/>
                <w:sz w:val="22"/>
                <w:szCs w:val="22"/>
              </w:rPr>
            </w:pPr>
          </w:p>
        </w:tc>
        <w:tc>
          <w:tcPr>
            <w:tcW w:w="9923" w:type="dxa"/>
            <w:gridSpan w:val="4"/>
            <w:vAlign w:val="center"/>
          </w:tcPr>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rPr>
            </w:pP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H: Anticipated Risks</w:t>
      </w:r>
    </w:p>
    <w:p>
      <w:pPr>
        <w:rPr>
          <w:rFonts w:ascii="Arial" w:hAnsi="Arial" w:cs="Arial"/>
          <w:b/>
          <w:sz w:val="22"/>
          <w:szCs w:val="22"/>
        </w:rPr>
      </w:pPr>
    </w:p>
    <w:tbl>
      <w:tblPr>
        <w:tblStyle w:val="6"/>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4991"/>
        <w:gridCol w:w="3402"/>
        <w:gridCol w:w="850"/>
        <w:gridCol w:w="680"/>
      </w:tblGrid>
      <w:tr>
        <w:tc>
          <w:tcPr>
            <w:tcW w:w="596" w:type="dxa"/>
            <w:tcBorders>
              <w:bottom w:val="single" w:color="auto" w:sz="4" w:space="0"/>
            </w:tcBorders>
            <w:shd w:val="clear" w:color="auto" w:fill="F1F1F1" w:themeFill="background1" w:themeFillShade="F2"/>
          </w:tcPr>
          <w:p>
            <w:pPr>
              <w:pStyle w:val="2"/>
              <w:jc w:val="left"/>
              <w:rPr>
                <w:rFonts w:ascii="Arial" w:hAnsi="Arial" w:cs="Arial"/>
                <w:b w:val="0"/>
                <w:bCs w:val="0"/>
              </w:rPr>
            </w:pPr>
          </w:p>
        </w:tc>
        <w:tc>
          <w:tcPr>
            <w:tcW w:w="9923" w:type="dxa"/>
            <w:gridSpan w:val="4"/>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SimSun"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pPr>
              <w:rPr>
                <w:rFonts w:ascii="Arial" w:hAnsi="Arial" w:cs="Arial"/>
              </w:rPr>
            </w:pPr>
          </w:p>
          <w:p>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tc>
          <w:tcPr>
            <w:tcW w:w="596" w:type="dxa"/>
            <w:vMerge w:val="restart"/>
            <w:shd w:val="clear" w:color="auto" w:fill="F1F1F1" w:themeFill="background1" w:themeFillShade="F2"/>
            <w:vAlign w:val="center"/>
          </w:tcPr>
          <w:p>
            <w:pPr>
              <w:pStyle w:val="2"/>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1F1F1" w:themeFill="background1" w:themeFillShade="F2"/>
            <w:vAlign w:val="center"/>
          </w:tcPr>
          <w:p>
            <w:pPr>
              <w:pStyle w:val="2"/>
              <w:jc w:val="left"/>
              <w:rPr>
                <w:rFonts w:ascii="Arial" w:hAnsi="Arial" w:cs="Arial"/>
                <w:sz w:val="20"/>
                <w:szCs w:val="16"/>
              </w:rPr>
            </w:pPr>
            <w:r>
              <w:rPr>
                <w:rFonts w:ascii="Arial" w:hAnsi="Arial" w:cs="Arial"/>
                <w:sz w:val="20"/>
                <w:szCs w:val="16"/>
              </w:rPr>
              <w:t xml:space="preserve">Full risk assessment completed and appended? </w:t>
            </w: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 xml:space="preserve">Yes </w:t>
            </w:r>
          </w:p>
        </w:tc>
        <w:tc>
          <w:tcPr>
            <w:tcW w:w="680" w:type="dxa"/>
            <w:tcBorders>
              <w:bottom w:val="single" w:color="auto" w:sz="4" w:space="0"/>
            </w:tcBorders>
            <w:shd w:val="clear" w:color="auto" w:fill="BEBEBE" w:themeFill="background1" w:themeFillShade="BF"/>
          </w:tcPr>
          <w:p>
            <w:pPr>
              <w:pStyle w:val="2"/>
              <w:rPr>
                <w:rFonts w:ascii="Arial" w:hAnsi="Arial" w:cs="Arial"/>
                <w:sz w:val="20"/>
                <w:szCs w:val="16"/>
              </w:rPr>
            </w:pPr>
            <w:sdt>
              <w:sdtPr>
                <w:rPr>
                  <w:rFonts w:ascii="Arial" w:hAnsi="Arial" w:cs="Arial"/>
                  <w:b w:val="0"/>
                  <w:bCs w:val="0"/>
                </w:rPr>
                <w:id w:val="1797415381"/>
                <w14:checkbox>
                  <w14:checked w14:val="0"/>
                  <w14:checkedState w14:val="2612" w14:font="MS Gothic"/>
                  <w14:uncheckedState w14:val="2610" w14:font="MS Gothic"/>
                </w14:checkbox>
              </w:sdtPr>
              <w:sdtEndPr>
                <w:rPr>
                  <w:rFonts w:ascii="Arial" w:hAnsi="Arial" w:cs="Arial"/>
                  <w:b w:val="0"/>
                  <w:bCs w:val="0"/>
                </w:rPr>
              </w:sdtEndPr>
              <w:sdtContent>
                <w:r>
                  <w:rPr>
                    <w:rFonts w:ascii="Segoe UI Symbol" w:hAnsi="Segoe UI Symbol" w:eastAsia="MS Gothic" w:cs="Segoe UI Symbol"/>
                    <w:b w:val="0"/>
                    <w:bCs w:val="0"/>
                  </w:rPr>
                  <w:t>☐</w:t>
                </w:r>
              </w:sdtContent>
            </w:sdt>
          </w:p>
        </w:tc>
      </w:tr>
      <w:tr>
        <w:tc>
          <w:tcPr>
            <w:tcW w:w="596" w:type="dxa"/>
            <w:vMerge w:val="continue"/>
            <w:tcBorders>
              <w:bottom w:val="single" w:color="auto" w:sz="4" w:space="0"/>
            </w:tcBorders>
            <w:shd w:val="clear" w:color="auto" w:fill="F1F1F1" w:themeFill="background1" w:themeFillShade="F2"/>
            <w:vAlign w:val="center"/>
          </w:tcPr>
          <w:p>
            <w:pPr>
              <w:pStyle w:val="2"/>
              <w:rPr>
                <w:rFonts w:ascii="Arial" w:hAnsi="Arial" w:cs="Arial"/>
                <w:b w:val="0"/>
                <w:bCs w:val="0"/>
                <w:sz w:val="20"/>
                <w:szCs w:val="16"/>
              </w:rPr>
            </w:pPr>
          </w:p>
        </w:tc>
        <w:tc>
          <w:tcPr>
            <w:tcW w:w="8393" w:type="dxa"/>
            <w:gridSpan w:val="2"/>
            <w:vMerge w:val="continue"/>
            <w:tcBorders>
              <w:bottom w:val="single" w:color="auto" w:sz="4" w:space="0"/>
            </w:tcBorders>
            <w:shd w:val="clear" w:color="auto" w:fill="F1F1F1" w:themeFill="background1" w:themeFillShade="F2"/>
          </w:tcPr>
          <w:p>
            <w:pPr>
              <w:pStyle w:val="2"/>
              <w:jc w:val="left"/>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No</w:t>
            </w:r>
          </w:p>
        </w:tc>
        <w:tc>
          <w:tcPr>
            <w:tcW w:w="680" w:type="dxa"/>
            <w:tcBorders>
              <w:bottom w:val="single" w:color="auto" w:sz="4" w:space="0"/>
            </w:tcBorders>
            <w:shd w:val="clear" w:color="auto" w:fill="BEBEBE" w:themeFill="background1" w:themeFillShade="BF"/>
          </w:tcPr>
          <w:p>
            <w:pPr>
              <w:pStyle w:val="2"/>
              <w:rPr>
                <w:rFonts w:ascii="Arial" w:hAnsi="Arial" w:cs="Arial"/>
                <w:b w:val="0"/>
                <w:bCs w:val="0"/>
              </w:rPr>
            </w:pPr>
            <w:sdt>
              <w:sdtPr>
                <w:rPr>
                  <w:rFonts w:ascii="Arial" w:hAnsi="Arial" w:cs="Arial"/>
                  <w:b w:val="0"/>
                  <w:bCs w:val="0"/>
                </w:rPr>
                <w:id w:val="-1"/>
                <w14:checkbox>
                  <w14:checked w14:val="1"/>
                  <w14:checkedState w14:val="2612" w14:font="MS Gothic"/>
                  <w14:uncheckedState w14:val="2610" w14:font="MS Gothic"/>
                </w14:checkbox>
              </w:sdtPr>
              <w:sdtEndPr>
                <w:rPr>
                  <w:rFonts w:ascii="Arial" w:hAnsi="Arial" w:cs="Arial"/>
                  <w:b w:val="0"/>
                  <w:bCs w:val="0"/>
                </w:rPr>
              </w:sdtEndPr>
              <w:sdtContent>
                <w:r>
                  <w:rPr>
                    <w:rFonts w:ascii="MS Gothic" w:hAnsi="MS Gothic" w:eastAsia="MS Gothic" w:cs="Segoe UI Symbol"/>
                    <w:b w:val="0"/>
                    <w:bCs w:val="0"/>
                  </w:rPr>
                  <w:t>☒</w:t>
                </w:r>
              </w:sdtContent>
            </w:sdt>
          </w:p>
        </w:tc>
      </w:tr>
      <w:tr>
        <w:tc>
          <w:tcPr>
            <w:tcW w:w="596" w:type="dxa"/>
            <w:tcBorders>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2</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participants</w:t>
            </w:r>
          </w:p>
          <w:p>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w:t>
            </w:r>
          </w:p>
        </w:tc>
      </w:tr>
      <w:tr>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rPr>
            </w:pPr>
            <w:r>
              <w:rPr>
                <w:rFonts w:ascii="Arial" w:hAnsi="Arial" w:cs="Arial"/>
              </w:rPr>
              <w:t>Risk to participants:</w:t>
            </w:r>
          </w:p>
          <w:p>
            <w:pPr>
              <w:autoSpaceDE w:val="0"/>
              <w:autoSpaceDN w:val="0"/>
              <w:adjustRightInd w:val="0"/>
              <w:rPr>
                <w:rFonts w:ascii="Arial" w:hAnsi="Arial" w:cs="Arial"/>
              </w:rPr>
            </w:pPr>
          </w:p>
          <w:p>
            <w:pPr>
              <w:autoSpaceDE w:val="0"/>
              <w:autoSpaceDN w:val="0"/>
              <w:adjustRightInd w:val="0"/>
            </w:pPr>
            <w:r>
              <w:rPr>
                <w:rFonts w:ascii="Arial" w:hAnsi="Arial" w:cs="Arial"/>
                <w:lang w:val="en-US"/>
              </w:rPr>
              <w:t xml:space="preserve">eg: </w:t>
            </w:r>
            <w:r>
              <w:rPr>
                <w:rStyle w:val="10"/>
                <w:color w:val="000000"/>
              </w:rPr>
              <w:t>Sector-Specific Health &amp; Safety</w:t>
            </w:r>
            <w:r>
              <w:rPr>
                <w:color w:val="000000"/>
              </w:rPr>
              <w:t>: Participants may discuss sensitive health issues, which could evoke discomfort or anxiety related to their personal health experiences.</w:t>
            </w:r>
          </w:p>
          <w:p>
            <w:pPr>
              <w:pStyle w:val="17"/>
              <w:rPr>
                <w:rFonts w:ascii="Arial" w:hAnsi="Arial" w:cs="Arial"/>
                <w:sz w:val="20"/>
                <w:szCs w:val="20"/>
              </w:rPr>
            </w:pPr>
            <w:r>
              <w:rPr>
                <w:rStyle w:val="10"/>
                <w:color w:val="000000"/>
                <w:sz w:val="20"/>
                <w:szCs w:val="20"/>
                <w:lang w:val="en-US"/>
              </w:rPr>
              <w:t xml:space="preserve">eg: </w:t>
            </w:r>
            <w:r>
              <w:rPr>
                <w:rStyle w:val="10"/>
                <w:color w:val="000000"/>
                <w:sz w:val="20"/>
                <w:szCs w:val="20"/>
              </w:rPr>
              <w:t>Emotional Distress</w:t>
            </w:r>
            <w:r>
              <w:rPr>
                <w:color w:val="000000"/>
                <w:sz w:val="20"/>
                <w:szCs w:val="20"/>
              </w:rPr>
              <w:t>: Engaging with topics about healthcare choices may trigger emotional responses or stress, particularly for individuals who have faced negative experiences in the healthcare system.</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rPr>
            </w:pPr>
            <w:r>
              <w:rPr>
                <w:rFonts w:ascii="Arial" w:hAnsi="Arial" w:cs="Arial"/>
                <w:i/>
              </w:rPr>
              <w:t>How you will mitigate the risk to participants:</w:t>
            </w:r>
          </w:p>
          <w:p>
            <w:pPr>
              <w:pStyle w:val="17"/>
              <w:numPr>
                <w:ilvl w:val="0"/>
                <w:numId w:val="2"/>
              </w:numPr>
              <w:rPr>
                <w:sz w:val="20"/>
                <w:szCs w:val="20"/>
              </w:rPr>
            </w:pPr>
            <w:r>
              <w:rPr>
                <w:rStyle w:val="10"/>
                <w:color w:val="000000"/>
                <w:sz w:val="20"/>
                <w:szCs w:val="20"/>
              </w:rPr>
              <w:t>Informed Consent</w:t>
            </w:r>
            <w:r>
              <w:rPr>
                <w:color w:val="000000"/>
                <w:sz w:val="20"/>
                <w:szCs w:val="20"/>
              </w:rPr>
              <w:t>: Clearly explain the study's purpose, potential risks, and data handling practices to ensure participants are fully informed before consenting to participate.</w:t>
            </w:r>
          </w:p>
          <w:p>
            <w:pPr>
              <w:pStyle w:val="17"/>
              <w:numPr>
                <w:ilvl w:val="0"/>
                <w:numId w:val="2"/>
              </w:numPr>
              <w:rPr>
                <w:sz w:val="20"/>
                <w:szCs w:val="20"/>
              </w:rPr>
            </w:pPr>
            <w:r>
              <w:rPr>
                <w:rStyle w:val="10"/>
                <w:color w:val="000000"/>
                <w:sz w:val="20"/>
                <w:szCs w:val="20"/>
              </w:rPr>
              <w:t>Anonymity and Confidentiality</w:t>
            </w:r>
            <w:r>
              <w:rPr>
                <w:color w:val="000000"/>
                <w:sz w:val="20"/>
                <w:szCs w:val="20"/>
              </w:rPr>
              <w:t>: Ensure that all responses are anonymous and stored securely, with access limited to the research team.</w:t>
            </w:r>
          </w:p>
          <w:p>
            <w:pPr>
              <w:pStyle w:val="17"/>
              <w:numPr>
                <w:ilvl w:val="0"/>
                <w:numId w:val="2"/>
              </w:numPr>
              <w:rPr>
                <w:sz w:val="20"/>
                <w:szCs w:val="20"/>
              </w:rPr>
            </w:pPr>
            <w:r>
              <w:rPr>
                <w:rStyle w:val="10"/>
                <w:color w:val="000000"/>
                <w:sz w:val="20"/>
                <w:szCs w:val="20"/>
              </w:rPr>
              <w:t>Support Resources</w:t>
            </w:r>
            <w:r>
              <w:rPr>
                <w:color w:val="000000"/>
                <w:sz w:val="20"/>
                <w:szCs w:val="20"/>
              </w:rPr>
              <w:t>: Provide participants with information about support services available for those experiencing emotional distress related to the survey topics.</w:t>
            </w:r>
          </w:p>
          <w:p>
            <w:pPr>
              <w:pStyle w:val="17"/>
              <w:numPr>
                <w:ilvl w:val="0"/>
                <w:numId w:val="2"/>
              </w:numPr>
              <w:rPr>
                <w:rFonts w:ascii="Arial" w:hAnsi="Arial" w:cs="Arial"/>
                <w:i/>
                <w:sz w:val="20"/>
                <w:szCs w:val="20"/>
              </w:rPr>
            </w:pPr>
            <w:r>
              <w:rPr>
                <w:rStyle w:val="10"/>
                <w:color w:val="000000"/>
                <w:sz w:val="20"/>
                <w:szCs w:val="20"/>
              </w:rPr>
              <w:t>Data Protection Measures</w:t>
            </w:r>
            <w:r>
              <w:rPr>
                <w:color w:val="000000"/>
                <w:sz w:val="20"/>
                <w:szCs w:val="20"/>
              </w:rPr>
              <w:t>: Implement robust data security protocols to safeguard personal information and comply with relevant data protection regulations.</w:t>
            </w:r>
            <w:r>
              <w:rPr>
                <w:rFonts w:hint="eastAsia" w:ascii="SimSun" w:hAnsi="SimSun" w:eastAsia="SimSun" w:cs="SimSun"/>
                <w:sz w:val="20"/>
                <w:szCs w:val="20"/>
              </w:rPr>
              <w:t xml:space="preserve"> </w:t>
            </w:r>
          </w:p>
        </w:tc>
      </w:tr>
      <w:tr>
        <w:tc>
          <w:tcPr>
            <w:tcW w:w="596" w:type="dxa"/>
            <w:tcBorders>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tc>
          <w:tcPr>
            <w:tcW w:w="596" w:type="dxa"/>
            <w:tcBorders>
              <w:top w:val="single" w:color="auto" w:sz="4" w:space="0"/>
              <w:bottom w:val="single" w:color="auto" w:sz="4" w:space="0"/>
            </w:tcBorders>
            <w:vAlign w:val="center"/>
          </w:tcPr>
          <w:p>
            <w:pPr>
              <w:jc w:val="center"/>
              <w:rPr>
                <w:rFonts w:ascii="Arial" w:hAnsi="Arial" w:cs="Arial"/>
                <w:sz w:val="22"/>
                <w:szCs w:val="22"/>
              </w:rPr>
            </w:pPr>
          </w:p>
        </w:tc>
        <w:tc>
          <w:tcPr>
            <w:tcW w:w="9923" w:type="dxa"/>
            <w:gridSpan w:val="4"/>
            <w:tcBorders>
              <w:top w:val="single" w:color="auto" w:sz="4" w:space="0"/>
              <w:bottom w:val="single" w:color="auto" w:sz="4" w:space="0"/>
            </w:tcBorders>
          </w:tcPr>
          <w:p>
            <w:pPr>
              <w:rPr>
                <w:rFonts w:ascii="Arial" w:hAnsi="Arial" w:cs="Arial"/>
                <w:sz w:val="22"/>
                <w:szCs w:val="22"/>
                <w:lang w:val="en-US"/>
              </w:rPr>
            </w:pPr>
            <w:r>
              <w:rPr>
                <w:rFonts w:hint="eastAsia" w:ascii="Arial" w:hAnsi="Arial" w:cs="Arial"/>
                <w:sz w:val="22"/>
                <w:szCs w:val="22"/>
              </w:rPr>
              <w:t>Procedures for Handling Sensitive Topics</w:t>
            </w:r>
            <w:r>
              <w:rPr>
                <w:rFonts w:ascii="Arial" w:hAnsi="Arial" w:cs="Arial"/>
                <w:sz w:val="22"/>
                <w:szCs w:val="22"/>
                <w:lang w:val="en-US"/>
              </w:rPr>
              <w:t>:</w:t>
            </w:r>
          </w:p>
          <w:p>
            <w:pPr>
              <w:rPr>
                <w:rFonts w:ascii="Arial" w:hAnsi="Arial" w:cs="Arial"/>
                <w:sz w:val="22"/>
                <w:szCs w:val="22"/>
              </w:rPr>
            </w:pPr>
          </w:p>
          <w:p>
            <w:pPr>
              <w:rPr>
                <w:rFonts w:ascii="Arial" w:hAnsi="Arial" w:cs="Arial"/>
                <w:sz w:val="22"/>
                <w:szCs w:val="22"/>
              </w:rPr>
            </w:pPr>
            <w:r>
              <w:rPr>
                <w:rFonts w:hint="eastAsia" w:ascii="Arial" w:hAnsi="Arial" w:cs="Arial"/>
                <w:sz w:val="22"/>
                <w:szCs w:val="22"/>
              </w:rPr>
              <w:t>Informed Consent: Participants will receive a comprehensive briefing about the survey's nature, including any potentially sensitive topics. They will be given the option to skip questions they find uncomfortable, with an emphasis that their participation is entirely voluntary.</w:t>
            </w:r>
          </w:p>
          <w:p>
            <w:pPr>
              <w:rPr>
                <w:rFonts w:ascii="Arial" w:hAnsi="Arial" w:cs="Arial"/>
                <w:sz w:val="22"/>
                <w:szCs w:val="22"/>
              </w:rPr>
            </w:pPr>
          </w:p>
          <w:p>
            <w:pPr>
              <w:rPr>
                <w:rFonts w:ascii="Arial" w:hAnsi="Arial" w:cs="Arial"/>
                <w:sz w:val="22"/>
                <w:szCs w:val="22"/>
              </w:rPr>
            </w:pPr>
            <w:r>
              <w:rPr>
                <w:rFonts w:hint="eastAsia" w:ascii="Arial" w:hAnsi="Arial" w:cs="Arial"/>
                <w:sz w:val="22"/>
                <w:szCs w:val="22"/>
              </w:rPr>
              <w:t>Anonymization: All responses will be anonymized to safeguard participants' identities and maintain confidentiality, thereby reducing the risk of personal exposure.</w:t>
            </w:r>
          </w:p>
          <w:p>
            <w:pPr>
              <w:rPr>
                <w:rFonts w:ascii="Arial" w:hAnsi="Arial" w:cs="Arial"/>
                <w:sz w:val="22"/>
                <w:szCs w:val="22"/>
              </w:rPr>
            </w:pPr>
          </w:p>
          <w:p>
            <w:pPr>
              <w:rPr>
                <w:rFonts w:ascii="Arial" w:hAnsi="Arial" w:cs="Arial"/>
                <w:sz w:val="22"/>
                <w:szCs w:val="22"/>
              </w:rPr>
            </w:pPr>
            <w:r>
              <w:rPr>
                <w:rFonts w:hint="eastAsia" w:ascii="Arial" w:hAnsi="Arial" w:cs="Arial"/>
                <w:sz w:val="22"/>
                <w:szCs w:val="22"/>
              </w:rPr>
              <w:t>Data Security: Data collected through Google Forms will be stored securely with encryption, ensuring that access is restricted to authorized personnel only.</w:t>
            </w:r>
          </w:p>
          <w:p>
            <w:pPr>
              <w:rPr>
                <w:rFonts w:ascii="Arial" w:hAnsi="Arial" w:cs="Arial"/>
                <w:sz w:val="22"/>
                <w:szCs w:val="22"/>
              </w:rPr>
            </w:pPr>
          </w:p>
          <w:p>
            <w:pPr>
              <w:rPr>
                <w:rFonts w:ascii="Arial" w:hAnsi="Arial" w:cs="Arial"/>
                <w:sz w:val="22"/>
                <w:szCs w:val="22"/>
              </w:rPr>
            </w:pPr>
            <w:r>
              <w:rPr>
                <w:rFonts w:hint="eastAsia" w:ascii="Arial" w:hAnsi="Arial" w:cs="Arial"/>
                <w:sz w:val="22"/>
                <w:szCs w:val="22"/>
              </w:rPr>
              <w:t>Disclosure Clause: The consent form will include a statement informing participants that if any illegal activities are disclosed during the survey, the relevant authorities may need to be notified in compliance with legal obligations.</w:t>
            </w:r>
          </w:p>
          <w:p>
            <w:pPr>
              <w:autoSpaceDE w:val="0"/>
              <w:autoSpaceDN w:val="0"/>
              <w:adjustRightInd w:val="0"/>
              <w:rPr>
                <w:rFonts w:ascii="Arial" w:hAnsi="Arial" w:cs="Arial"/>
              </w:rPr>
            </w:pPr>
          </w:p>
        </w:tc>
      </w:tr>
      <w:tr>
        <w:tc>
          <w:tcPr>
            <w:tcW w:w="596" w:type="dxa"/>
            <w:tcBorders>
              <w:top w:val="single" w:color="auto" w:sz="4" w:space="0"/>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4</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the investigator</w:t>
            </w:r>
          </w:p>
          <w:p>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the investigator:</w:t>
            </w:r>
          </w:p>
          <w:p>
            <w:pPr>
              <w:rPr>
                <w:rFonts w:ascii="Arial" w:hAnsi="Arial" w:cs="Arial"/>
                <w:sz w:val="22"/>
                <w:szCs w:val="22"/>
              </w:rPr>
            </w:pPr>
          </w:p>
          <w:p>
            <w:pPr>
              <w:rPr>
                <w:rFonts w:ascii="Arial" w:hAnsi="Arial" w:cs="Arial"/>
                <w:sz w:val="22"/>
                <w:szCs w:val="22"/>
              </w:rPr>
            </w:pPr>
            <w:r>
              <w:rPr>
                <w:rFonts w:hint="eastAsia" w:ascii="Arial" w:hAnsi="Arial" w:cs="Arial"/>
                <w:sz w:val="22"/>
                <w:szCs w:val="22"/>
              </w:rPr>
              <w:t>Emotional Distress from Participant Feedback: The researcher may encounter negative or emotionally charged feedback from participants, especially if they express strong dissatisfaction or concerns related to the survey content or research topics.</w:t>
            </w:r>
          </w:p>
          <w:p>
            <w:pPr>
              <w:rPr>
                <w:rFonts w:ascii="Arial" w:hAnsi="Arial" w:cs="Arial"/>
                <w:sz w:val="22"/>
                <w:szCs w:val="22"/>
              </w:rPr>
            </w:pPr>
          </w:p>
          <w:p>
            <w:pPr>
              <w:rPr>
                <w:rFonts w:ascii="Arial" w:hAnsi="Arial" w:cs="Arial"/>
                <w:sz w:val="22"/>
                <w:szCs w:val="22"/>
              </w:rPr>
            </w:pPr>
            <w:r>
              <w:rPr>
                <w:rFonts w:hint="eastAsia" w:ascii="Arial" w:hAnsi="Arial" w:cs="Arial"/>
                <w:sz w:val="22"/>
                <w:szCs w:val="22"/>
              </w:rPr>
              <w:t>Risk of Accusations of Harm or Impropriety: Participants may misinterpret certain aspects of the research process or feel that their privacy has been compromised, which could result in claims of harm, unethical conduct, or misconduct against the investigator.</w:t>
            </w:r>
          </w:p>
          <w:p>
            <w:pPr>
              <w:rPr>
                <w:rFonts w:ascii="Arial" w:hAnsi="Arial" w:cs="Arial"/>
                <w:sz w:val="22"/>
                <w:szCs w:val="22"/>
              </w:rPr>
            </w:pPr>
          </w:p>
          <w:p>
            <w:pPr>
              <w:autoSpaceDE w:val="0"/>
              <w:autoSpaceDN w:val="0"/>
              <w:adjustRightInd w:val="0"/>
              <w:rPr>
                <w:rFonts w:ascii="Arial" w:hAnsi="Arial" w:cs="Arial"/>
                <w:sz w:val="22"/>
                <w:szCs w:val="22"/>
              </w:rPr>
            </w:pP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pPr>
              <w:rPr>
                <w:rFonts w:ascii="Arial" w:hAnsi="Arial" w:cs="Arial"/>
                <w:sz w:val="22"/>
                <w:szCs w:val="22"/>
              </w:rPr>
            </w:pPr>
            <w:r>
              <w:rPr>
                <w:rFonts w:hint="eastAsia" w:ascii="Arial" w:hAnsi="Arial" w:cs="Arial"/>
                <w:sz w:val="22"/>
                <w:szCs w:val="22"/>
              </w:rPr>
              <w:t>Professional Boundaries: The researcher will maintain professional boundaries and seek support from supervisors or colleagues if feedback causes significant stress.</w:t>
            </w:r>
          </w:p>
          <w:p>
            <w:pPr>
              <w:rPr>
                <w:rFonts w:ascii="Arial" w:hAnsi="Arial" w:cs="Arial"/>
                <w:sz w:val="22"/>
                <w:szCs w:val="22"/>
              </w:rPr>
            </w:pPr>
          </w:p>
          <w:p>
            <w:pPr>
              <w:rPr>
                <w:rFonts w:ascii="Arial" w:hAnsi="Arial" w:cs="Arial"/>
                <w:sz w:val="22"/>
                <w:szCs w:val="22"/>
              </w:rPr>
            </w:pPr>
            <w:r>
              <w:rPr>
                <w:rFonts w:hint="eastAsia" w:ascii="Arial" w:hAnsi="Arial" w:cs="Arial"/>
                <w:sz w:val="22"/>
                <w:szCs w:val="22"/>
              </w:rPr>
              <w:t>Debriefing Sessions: Regular debriefing sessions will be organized to discuss and manage any emotional challenges encountered during the data collection process.</w:t>
            </w:r>
          </w:p>
          <w:p>
            <w:pPr>
              <w:rPr>
                <w:rFonts w:ascii="Arial" w:hAnsi="Arial" w:cs="Arial"/>
                <w:sz w:val="22"/>
                <w:szCs w:val="22"/>
              </w:rPr>
            </w:pPr>
          </w:p>
          <w:p>
            <w:pPr>
              <w:rPr>
                <w:rFonts w:ascii="Arial" w:hAnsi="Arial" w:cs="Arial"/>
                <w:sz w:val="22"/>
                <w:szCs w:val="22"/>
              </w:rPr>
            </w:pPr>
            <w:r>
              <w:rPr>
                <w:rFonts w:hint="eastAsia" w:ascii="Arial" w:hAnsi="Arial" w:cs="Arial"/>
                <w:sz w:val="22"/>
                <w:szCs w:val="22"/>
              </w:rPr>
              <w:t>Clear Communication: Participants will receive clear, written information about the study's aims, procedures, and data protection protocols, ensuring informed consent is obtained from all participants.</w:t>
            </w:r>
          </w:p>
          <w:p>
            <w:pPr>
              <w:rPr>
                <w:rFonts w:ascii="Arial" w:hAnsi="Arial" w:cs="Arial"/>
                <w:sz w:val="22"/>
                <w:szCs w:val="22"/>
              </w:rPr>
            </w:pPr>
          </w:p>
          <w:p>
            <w:pPr>
              <w:rPr>
                <w:rFonts w:ascii="Arial" w:hAnsi="Arial" w:cs="Arial"/>
                <w:sz w:val="22"/>
                <w:szCs w:val="22"/>
              </w:rPr>
            </w:pPr>
            <w:r>
              <w:rPr>
                <w:rFonts w:hint="eastAsia" w:ascii="Arial" w:hAnsi="Arial" w:cs="Arial"/>
                <w:sz w:val="22"/>
                <w:szCs w:val="22"/>
              </w:rPr>
              <w:t>Adherence to Ethical Standards: All interactions and procedures will comply with institutional ethical standards, and any concerns raised by participants will be addressed promptly and transparently.</w:t>
            </w: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rPr>
            </w:pPr>
          </w:p>
        </w:tc>
      </w:tr>
      <w:tr>
        <w:tc>
          <w:tcPr>
            <w:tcW w:w="596" w:type="dxa"/>
            <w:tcBorders>
              <w:top w:val="single" w:color="auto" w:sz="4" w:space="0"/>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5</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University/institutional risks</w:t>
            </w:r>
          </w:p>
          <w:p>
            <w:pPr>
              <w:rPr>
                <w:rFonts w:ascii="Arial" w:hAnsi="Arial" w:cs="Arial"/>
                <w:sz w:val="22"/>
                <w:szCs w:val="22"/>
              </w:rPr>
            </w:pPr>
            <w:r>
              <w:rPr>
                <w:rFonts w:ascii="Arial" w:hAnsi="Arial" w:cs="Arial"/>
                <w:sz w:val="22"/>
                <w:szCs w:val="22"/>
              </w:rPr>
              <w:t>For example: adverse publicity, financial loss, data protection</w:t>
            </w:r>
          </w:p>
        </w:tc>
      </w:tr>
      <w:tr>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the University:</w:t>
            </w:r>
          </w:p>
          <w:p>
            <w:pPr>
              <w:pStyle w:val="17"/>
              <w:spacing w:before="0" w:after="0"/>
              <w:rPr>
                <w:color w:val="000000"/>
                <w:lang w:val="en-US"/>
              </w:rPr>
            </w:pPr>
            <w:r>
              <w:rPr>
                <w:color w:val="000000"/>
                <w:lang w:val="en-US"/>
              </w:rPr>
              <w:t>-</w:t>
            </w:r>
            <w:r>
              <w:rPr>
                <w:color w:val="000000"/>
              </w:rPr>
              <w:t>Data Protection Violations: Mishandling participant data may breach data protection regulations, leading to potential legal repercussions and reputational damage for the university</w:t>
            </w:r>
            <w:r>
              <w:rPr>
                <w:color w:val="000000"/>
                <w:lang w:val="en-US"/>
              </w:rPr>
              <w:t>.</w:t>
            </w:r>
          </w:p>
          <w:p>
            <w:pPr>
              <w:pStyle w:val="17"/>
              <w:spacing w:before="0" w:after="0"/>
              <w:rPr>
                <w:rFonts w:ascii="Arial" w:hAnsi="Arial" w:cs="Arial"/>
                <w:sz w:val="22"/>
                <w:szCs w:val="22"/>
              </w:rPr>
            </w:pPr>
            <w:r>
              <w:rPr>
                <w:color w:val="000000"/>
                <w:lang w:val="en-US"/>
              </w:rPr>
              <w:t>-</w:t>
            </w:r>
            <w:r>
              <w:rPr>
                <w:color w:val="000000"/>
              </w:rPr>
              <w:t>Controversial Findings: If the research uncovers sensitive or contentious findings—such as negative perceptions of brands or marketing practices—there is a risk of adverse publicity that could harm the university’s reputation.</w:t>
            </w:r>
          </w:p>
          <w:p>
            <w:pPr>
              <w:autoSpaceDE w:val="0"/>
              <w:autoSpaceDN w:val="0"/>
              <w:adjustRightInd w:val="0"/>
              <w:rPr>
                <w:rFonts w:ascii="Arial" w:hAnsi="Arial" w:cs="Arial"/>
                <w:sz w:val="22"/>
                <w:szCs w:val="22"/>
              </w:rPr>
            </w:pP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i/>
                <w:sz w:val="18"/>
                <w:szCs w:val="18"/>
              </w:rPr>
              <w:t>How you will mitigate the risk to the University:</w:t>
            </w:r>
          </w:p>
          <w:p>
            <w:pPr>
              <w:pStyle w:val="17"/>
              <w:spacing w:before="0" w:after="0"/>
              <w:rPr>
                <w:color w:val="000000"/>
                <w:lang w:val="en-US"/>
              </w:rPr>
            </w:pPr>
            <w:r>
              <w:rPr>
                <w:color w:val="000000"/>
              </w:rPr>
              <w:t>Data Management and Communication Procedure</w:t>
            </w:r>
            <w:r>
              <w:rPr>
                <w:color w:val="000000"/>
                <w:lang w:val="en-US"/>
              </w:rPr>
              <w:t>:</w:t>
            </w:r>
          </w:p>
          <w:p>
            <w:pPr>
              <w:pStyle w:val="17"/>
              <w:spacing w:before="0" w:after="0"/>
              <w:rPr>
                <w:color w:val="000000"/>
              </w:rPr>
            </w:pPr>
            <w:r>
              <w:rPr>
                <w:color w:val="000000"/>
              </w:rPr>
              <w:t>Data Anonymization and Security: All data will be anonymized and securely stored on password-protected systems, with access restricted to authorized research team members. Data collection and storage will adhere to institutional data protection policies and relevant legal standards (such as GDPR), with all data transfers encrypted.</w:t>
            </w:r>
          </w:p>
          <w:p>
            <w:pPr>
              <w:pStyle w:val="17"/>
              <w:spacing w:before="0" w:after="0"/>
              <w:rPr>
                <w:color w:val="000000"/>
              </w:rPr>
            </w:pPr>
            <w:r>
              <w:rPr>
                <w:color w:val="000000"/>
              </w:rPr>
              <w:t>Objective Presentation of Findings: Research findings will be presented objectively and sensitively, with careful consideration of language and context. Prior to publishing any potentially sensitive results, the university's communications or PR office will be informed, and all external communications will be reviewed to ensure appropriateness.</w:t>
            </w:r>
          </w:p>
          <w:p>
            <w:pPr>
              <w:autoSpaceDE w:val="0"/>
              <w:autoSpaceDN w:val="0"/>
              <w:adjustRightInd w:val="0"/>
              <w:rPr>
                <w:rFonts w:ascii="Arial" w:hAnsi="Arial" w:cs="Arial"/>
              </w:rPr>
            </w:pPr>
          </w:p>
        </w:tc>
      </w:tr>
      <w:tr>
        <w:tc>
          <w:tcPr>
            <w:tcW w:w="596" w:type="dxa"/>
            <w:tcBorders>
              <w:top w:val="single" w:color="auto" w:sz="4" w:space="0"/>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Environmental risks</w:t>
            </w:r>
          </w:p>
          <w:p>
            <w:pPr>
              <w:rPr>
                <w:rFonts w:ascii="Arial" w:hAnsi="Arial" w:cs="Arial"/>
                <w:sz w:val="22"/>
                <w:szCs w:val="22"/>
              </w:rPr>
            </w:pPr>
            <w:r>
              <w:rPr>
                <w:rFonts w:ascii="Arial" w:hAnsi="Arial" w:cs="Arial"/>
                <w:sz w:val="22"/>
                <w:szCs w:val="22"/>
              </w:rPr>
              <w:t>For example: accidental spillage of pollutants, damage to local ecosystems</w:t>
            </w:r>
          </w:p>
        </w:tc>
      </w:tr>
      <w:tr>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color w:val="000000"/>
              </w:rPr>
            </w:pPr>
            <w:r>
              <w:rPr>
                <w:rFonts w:ascii="Arial" w:hAnsi="Arial" w:cs="Arial"/>
                <w:sz w:val="22"/>
                <w:szCs w:val="22"/>
              </w:rPr>
              <w:t>Risk to the environment:</w:t>
            </w:r>
          </w:p>
          <w:p>
            <w:pPr>
              <w:pStyle w:val="17"/>
              <w:spacing w:before="0" w:after="0"/>
              <w:rPr>
                <w:color w:val="000000"/>
              </w:rPr>
            </w:pPr>
            <w:r>
              <w:rPr>
                <w:color w:val="000000"/>
                <w:lang w:val="en-US"/>
              </w:rPr>
              <w:t>-</w:t>
            </w:r>
            <w:r>
              <w:rPr>
                <w:color w:val="000000"/>
              </w:rPr>
              <w:t>Increased Electronic Waste and Energy Consumption: The use of electronic devices for survey distribution, data storage, and analysis may result in higher energy consumption and, over time, contribute to increased electronic waste.</w:t>
            </w:r>
          </w:p>
          <w:p>
            <w:pPr>
              <w:pStyle w:val="17"/>
              <w:spacing w:before="0" w:after="0"/>
              <w:rPr>
                <w:color w:val="000000"/>
              </w:rPr>
            </w:pPr>
            <w:r>
              <w:rPr>
                <w:color w:val="000000"/>
                <w:lang w:val="en-US"/>
              </w:rPr>
              <w:t>-</w:t>
            </w:r>
            <w:r>
              <w:rPr>
                <w:color w:val="000000"/>
              </w:rPr>
              <w:t>Paper Waste: If any aspect of the survey or consent process involves printed materials, there is a risk of generating unnecessary paper waste.</w:t>
            </w: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pPr>
              <w:autoSpaceDE w:val="0"/>
              <w:autoSpaceDN w:val="0"/>
              <w:adjustRightInd w:val="0"/>
              <w:rPr>
                <w:color w:val="000000"/>
              </w:rPr>
            </w:pPr>
            <w:r>
              <w:rPr>
                <w:color w:val="000000"/>
                <w:lang w:val="en-US"/>
              </w:rPr>
              <w:t>-</w:t>
            </w:r>
            <w:r>
              <w:rPr>
                <w:color w:val="000000"/>
              </w:rPr>
              <w:t>Energy-Efficient Practices: Utilize energy-efficient devices and cloud services that follow sustainable practices.</w:t>
            </w:r>
          </w:p>
          <w:p>
            <w:pPr>
              <w:pStyle w:val="17"/>
              <w:spacing w:before="0" w:after="0"/>
              <w:rPr>
                <w:color w:val="000000"/>
              </w:rPr>
            </w:pPr>
            <w:r>
              <w:rPr>
                <w:color w:val="000000"/>
                <w:lang w:val="en-US"/>
              </w:rPr>
              <w:t>-</w:t>
            </w:r>
            <w:r>
              <w:rPr>
                <w:color w:val="000000"/>
              </w:rPr>
              <w:t>Device Management: Encourage the research team to turn off devices when not in use and to recycle electronics responsibly.</w:t>
            </w:r>
          </w:p>
          <w:p>
            <w:pPr>
              <w:pStyle w:val="17"/>
              <w:spacing w:before="0" w:after="0"/>
              <w:rPr>
                <w:color w:val="000000"/>
              </w:rPr>
            </w:pPr>
            <w:r>
              <w:rPr>
                <w:color w:val="000000"/>
                <w:lang w:val="en-US"/>
              </w:rPr>
              <w:t>-</w:t>
            </w:r>
            <w:r>
              <w:rPr>
                <w:color w:val="000000"/>
              </w:rPr>
              <w:t>Digital Prioritization: Prioritize digital formats for all research materials and communications to minimize paper usage.</w:t>
            </w:r>
          </w:p>
          <w:p>
            <w:pPr>
              <w:pStyle w:val="17"/>
              <w:spacing w:before="0" w:after="0"/>
              <w:rPr>
                <w:rFonts w:ascii="Arial" w:hAnsi="Arial" w:cs="Arial"/>
              </w:rPr>
            </w:pPr>
            <w:r>
              <w:rPr>
                <w:color w:val="000000"/>
                <w:lang w:val="en-US"/>
              </w:rPr>
              <w:t>-</w:t>
            </w:r>
            <w:r>
              <w:rPr>
                <w:color w:val="000000"/>
              </w:rPr>
              <w:t>Sustainable Printing: If printing is necessary, use recycled paper and print double-sided to reduce waste.</w:t>
            </w:r>
          </w:p>
        </w:tc>
      </w:tr>
    </w:tbl>
    <w:p>
      <w:pPr>
        <w:rPr>
          <w:rFonts w:ascii="Arial" w:hAnsi="Arial" w:cs="Arial"/>
        </w:rPr>
      </w:pPr>
    </w:p>
    <w:tbl>
      <w:tblPr>
        <w:tblStyle w:val="6"/>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7401"/>
        <w:gridCol w:w="821"/>
        <w:gridCol w:w="850"/>
        <w:gridCol w:w="851"/>
      </w:tblGrid>
      <w:tr>
        <w:trPr>
          <w:trHeight w:val="483" w:hRule="atLeast"/>
        </w:trPr>
        <w:tc>
          <w:tcPr>
            <w:tcW w:w="596"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tc>
          <w:tcPr>
            <w:tcW w:w="596"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YES</w:t>
            </w:r>
          </w:p>
          <w:p>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p>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N/A</w:t>
            </w:r>
          </w:p>
          <w:p>
            <w:pPr>
              <w:autoSpaceDE w:val="0"/>
              <w:autoSpaceDN w:val="0"/>
              <w:adjustRightInd w:val="0"/>
              <w:jc w:val="center"/>
              <w:rPr>
                <w:rFonts w:ascii="Arial" w:hAnsi="Arial" w:cs="Arial"/>
                <w:b/>
                <w:sz w:val="22"/>
                <w:szCs w:val="22"/>
              </w:rPr>
            </w:pPr>
          </w:p>
        </w:tc>
      </w:tr>
      <w:tr>
        <w:trPr>
          <w:trHeight w:val="492" w:hRule="atLeast"/>
        </w:trPr>
        <w:tc>
          <w:tcPr>
            <w:tcW w:w="596"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sz w:val="16"/>
                <w:szCs w:val="16"/>
              </w:rPr>
            </w:pPr>
            <w:sdt>
              <w:sdtPr>
                <w:rPr>
                  <w:rFonts w:ascii="Arial" w:hAnsi="Arial" w:cs="Arial"/>
                  <w:sz w:val="22"/>
                  <w:szCs w:val="22"/>
                </w:rPr>
                <w:id w:val="1638143995"/>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850"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sz w:val="16"/>
                <w:szCs w:val="16"/>
              </w:rPr>
            </w:pPr>
            <w:sdt>
              <w:sdtPr>
                <w:rPr>
                  <w:rFonts w:ascii="Arial" w:hAnsi="Arial" w:cs="Arial"/>
                  <w:sz w:val="22"/>
                  <w:szCs w:val="22"/>
                </w:rPr>
                <w:id w:val="1023446494"/>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Segoe UI Symbol"/>
                    <w:sz w:val="22"/>
                    <w:szCs w:val="22"/>
                  </w:rPr>
                  <w:t>☒</w:t>
                </w:r>
              </w:sdtContent>
            </w:sdt>
          </w:p>
        </w:tc>
        <w:tc>
          <w:tcPr>
            <w:tcW w:w="851"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sz w:val="16"/>
                <w:szCs w:val="16"/>
              </w:rPr>
            </w:pPr>
            <w:sdt>
              <w:sdtPr>
                <w:rPr>
                  <w:rFonts w:ascii="Arial" w:hAnsi="Arial" w:cs="Arial"/>
                  <w:sz w:val="22"/>
                  <w:szCs w:val="22"/>
                </w:rPr>
                <w:id w:val="908112023"/>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r>
      <w:tr>
        <w:trPr>
          <w:trHeight w:val="492" w:hRule="atLeast"/>
        </w:trPr>
        <w:tc>
          <w:tcPr>
            <w:tcW w:w="596"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vAlign w:val="center"/>
          </w:tcPr>
          <w:p>
            <w:pPr>
              <w:autoSpaceDE w:val="0"/>
              <w:autoSpaceDN w:val="0"/>
              <w:adjustRightInd w:val="0"/>
              <w:jc w:val="center"/>
              <w:rPr>
                <w:rFonts w:ascii="Arial" w:hAnsi="Arial" w:cs="Arial"/>
                <w:b/>
                <w:bCs/>
                <w:sz w:val="22"/>
                <w:szCs w:val="22"/>
              </w:rPr>
            </w:pP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I: Feedback, Consent and Confidentiality</w:t>
      </w:r>
    </w:p>
    <w:p>
      <w:pPr>
        <w:rPr>
          <w:rFonts w:ascii="Arial" w:hAnsi="Arial" w:cs="Arial"/>
          <w:b/>
          <w:sz w:val="22"/>
          <w:szCs w:val="22"/>
        </w:rPr>
      </w:pPr>
    </w:p>
    <w:tbl>
      <w:tblPr>
        <w:tblStyle w:val="6"/>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923"/>
      </w:tblGrid>
      <w:tr>
        <w:trPr>
          <w:trHeight w:val="675" w:hRule="atLeast"/>
        </w:trPr>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Feedback</w:t>
            </w:r>
          </w:p>
          <w:p>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rPr>
            </w:pPr>
            <w:r>
              <w:rPr>
                <w:rFonts w:ascii="-webkit-standard" w:hAnsi="-webkit-standard" w:eastAsia="-webkit-standard" w:cs="-webkit-standard"/>
                <w:color w:val="000000"/>
                <w:lang w:val="en-US" w:eastAsia="zh-CN" w:bidi="ar"/>
              </w:rPr>
              <w:t>After completing the survey, participants will receive a thank-you message via email or through the survey platform, expressing gratitude for their time and participation.</w:t>
            </w:r>
          </w:p>
        </w:tc>
      </w:tr>
      <w:tr>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Informed consent</w:t>
            </w:r>
          </w:p>
          <w:p>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pStyle w:val="17"/>
              <w:numPr>
                <w:ilvl w:val="0"/>
                <w:numId w:val="3"/>
              </w:numPr>
              <w:spacing w:before="0" w:after="0"/>
              <w:rPr>
                <w:color w:val="000000"/>
                <w:sz w:val="20"/>
                <w:szCs w:val="20"/>
              </w:rPr>
            </w:pPr>
            <w:r>
              <w:rPr>
                <w:color w:val="000000"/>
                <w:sz w:val="20"/>
                <w:szCs w:val="20"/>
              </w:rPr>
              <w:t>Information Provision to Potential Participants</w:t>
            </w:r>
          </w:p>
          <w:p>
            <w:pPr>
              <w:pStyle w:val="17"/>
              <w:spacing w:before="0" w:after="0"/>
              <w:rPr>
                <w:color w:val="000000"/>
                <w:sz w:val="20"/>
                <w:szCs w:val="20"/>
              </w:rPr>
            </w:pPr>
            <w:r>
              <w:rPr>
                <w:color w:val="000000"/>
                <w:sz w:val="20"/>
                <w:szCs w:val="20"/>
              </w:rPr>
              <w:t>Before giving their consent, participants will receive detailed information about the study through an introductory section embedded in the online survey. This section will include:</w:t>
            </w:r>
          </w:p>
          <w:p>
            <w:pPr>
              <w:pStyle w:val="17"/>
              <w:spacing w:before="0" w:after="0"/>
              <w:rPr>
                <w:color w:val="000000"/>
                <w:sz w:val="20"/>
                <w:szCs w:val="20"/>
              </w:rPr>
            </w:pPr>
            <w:r>
              <w:rPr>
                <w:color w:val="000000"/>
                <w:sz w:val="20"/>
                <w:szCs w:val="20"/>
                <w:lang w:val="en-US"/>
              </w:rPr>
              <w:t>-</w:t>
            </w:r>
            <w:r>
              <w:rPr>
                <w:color w:val="000000"/>
                <w:sz w:val="20"/>
                <w:szCs w:val="20"/>
              </w:rPr>
              <w:t>The purpose of the research</w:t>
            </w:r>
          </w:p>
          <w:p>
            <w:pPr>
              <w:pStyle w:val="17"/>
              <w:spacing w:before="0" w:after="0"/>
              <w:rPr>
                <w:color w:val="000000"/>
                <w:sz w:val="20"/>
                <w:szCs w:val="20"/>
              </w:rPr>
            </w:pPr>
            <w:r>
              <w:rPr>
                <w:color w:val="000000"/>
                <w:sz w:val="20"/>
                <w:szCs w:val="20"/>
                <w:lang w:val="en-US"/>
              </w:rPr>
              <w:t>-</w:t>
            </w:r>
            <w:r>
              <w:rPr>
                <w:color w:val="000000"/>
                <w:sz w:val="20"/>
                <w:szCs w:val="20"/>
              </w:rPr>
              <w:t>The required actions for participation (e.g., completing the questionnaire)</w:t>
            </w:r>
          </w:p>
          <w:p>
            <w:pPr>
              <w:pStyle w:val="17"/>
              <w:spacing w:before="0" w:after="0"/>
              <w:rPr>
                <w:color w:val="000000"/>
                <w:sz w:val="20"/>
                <w:szCs w:val="20"/>
              </w:rPr>
            </w:pPr>
            <w:r>
              <w:rPr>
                <w:color w:val="000000"/>
                <w:sz w:val="20"/>
                <w:szCs w:val="20"/>
                <w:lang w:val="en-US"/>
              </w:rPr>
              <w:t>-</w:t>
            </w:r>
            <w:r>
              <w:rPr>
                <w:color w:val="000000"/>
                <w:sz w:val="20"/>
                <w:szCs w:val="20"/>
              </w:rPr>
              <w:t>The estimated time needed to complete the survey</w:t>
            </w:r>
          </w:p>
          <w:p>
            <w:pPr>
              <w:pStyle w:val="17"/>
              <w:spacing w:before="0" w:after="0"/>
              <w:rPr>
                <w:color w:val="000000"/>
                <w:sz w:val="20"/>
                <w:szCs w:val="20"/>
              </w:rPr>
            </w:pPr>
            <w:r>
              <w:rPr>
                <w:color w:val="000000"/>
                <w:sz w:val="20"/>
                <w:szCs w:val="20"/>
                <w:lang w:val="en-US"/>
              </w:rPr>
              <w:t>-</w:t>
            </w:r>
            <w:r>
              <w:rPr>
                <w:color w:val="000000"/>
                <w:sz w:val="20"/>
                <w:szCs w:val="20"/>
              </w:rPr>
              <w:t>The voluntary nature of participation and the right to withdraw at any time without penalty</w:t>
            </w:r>
          </w:p>
          <w:p>
            <w:pPr>
              <w:pStyle w:val="17"/>
              <w:spacing w:before="0" w:after="0"/>
              <w:rPr>
                <w:color w:val="000000"/>
                <w:sz w:val="20"/>
                <w:szCs w:val="20"/>
              </w:rPr>
            </w:pPr>
            <w:r>
              <w:rPr>
                <w:color w:val="000000"/>
                <w:sz w:val="20"/>
                <w:szCs w:val="20"/>
                <w:lang w:val="en-US"/>
              </w:rPr>
              <w:t>-</w:t>
            </w:r>
            <w:r>
              <w:rPr>
                <w:color w:val="000000"/>
                <w:sz w:val="20"/>
                <w:szCs w:val="20"/>
              </w:rPr>
              <w:t>Contact details for the researcher for any questions or clarifications</w:t>
            </w:r>
          </w:p>
          <w:p>
            <w:pPr>
              <w:pStyle w:val="17"/>
              <w:numPr>
                <w:ilvl w:val="0"/>
                <w:numId w:val="3"/>
              </w:numPr>
              <w:spacing w:before="0" w:after="0"/>
              <w:rPr>
                <w:color w:val="000000"/>
                <w:sz w:val="20"/>
                <w:szCs w:val="20"/>
              </w:rPr>
            </w:pPr>
            <w:r>
              <w:rPr>
                <w:color w:val="000000"/>
                <w:sz w:val="20"/>
                <w:szCs w:val="20"/>
              </w:rPr>
              <w:t>Consent Procedures</w:t>
            </w:r>
          </w:p>
          <w:p>
            <w:pPr>
              <w:pStyle w:val="17"/>
              <w:spacing w:before="0" w:after="0"/>
              <w:rPr>
                <w:color w:val="000000"/>
                <w:sz w:val="20"/>
                <w:szCs w:val="20"/>
              </w:rPr>
            </w:pPr>
            <w:r>
              <w:rPr>
                <w:color w:val="000000"/>
                <w:sz w:val="20"/>
                <w:szCs w:val="20"/>
                <w:lang w:val="en-US"/>
              </w:rPr>
              <w:t>-</w:t>
            </w:r>
            <w:r>
              <w:rPr>
                <w:color w:val="000000"/>
                <w:sz w:val="20"/>
                <w:szCs w:val="20"/>
              </w:rPr>
              <w:t>Participants will indicate their consent by checking a box on the Google Forms survey, affirming their understanding of the study's purpose and agreement to participate. This checkbox will be mandatory before accessing the questionnaire.</w:t>
            </w:r>
          </w:p>
          <w:p>
            <w:pPr>
              <w:pStyle w:val="17"/>
              <w:spacing w:before="0" w:after="0"/>
              <w:rPr>
                <w:color w:val="000000"/>
                <w:sz w:val="20"/>
                <w:szCs w:val="20"/>
              </w:rPr>
            </w:pPr>
            <w:r>
              <w:rPr>
                <w:color w:val="000000"/>
                <w:sz w:val="20"/>
                <w:szCs w:val="20"/>
                <w:lang w:val="en-US"/>
              </w:rPr>
              <w:t>-</w:t>
            </w:r>
            <w:r>
              <w:rPr>
                <w:color w:val="000000"/>
                <w:sz w:val="20"/>
                <w:szCs w:val="20"/>
              </w:rPr>
              <w:t>Consent will be automatically recorded through Google Forms, which logs responses along with timestamps, providing a clear record of participants' agreement to participate.</w:t>
            </w:r>
          </w:p>
          <w:p>
            <w:pPr>
              <w:pStyle w:val="17"/>
              <w:spacing w:before="0" w:after="0"/>
              <w:rPr>
                <w:color w:val="000000"/>
                <w:sz w:val="20"/>
                <w:szCs w:val="20"/>
              </w:rPr>
            </w:pPr>
            <w:r>
              <w:rPr>
                <w:color w:val="000000"/>
                <w:sz w:val="20"/>
                <w:szCs w:val="20"/>
                <w:lang w:val="en-US"/>
              </w:rPr>
              <w:t>-</w:t>
            </w:r>
            <w:r>
              <w:rPr>
                <w:color w:val="000000"/>
                <w:sz w:val="20"/>
                <w:szCs w:val="20"/>
              </w:rPr>
              <w:t>All consent procedures will comply with relevant data protection laws, ensuring participants' rights and privacy are maintained throughout the research process.</w:t>
            </w:r>
          </w:p>
          <w:p>
            <w:pPr>
              <w:pStyle w:val="17"/>
              <w:spacing w:before="0" w:after="0"/>
              <w:rPr>
                <w:color w:val="000000"/>
                <w:sz w:val="20"/>
                <w:szCs w:val="20"/>
              </w:rPr>
            </w:pPr>
            <w:r>
              <w:rPr>
                <w:color w:val="000000"/>
                <w:sz w:val="20"/>
                <w:szCs w:val="20"/>
              </w:rPr>
              <w:t>By implementing these measures, the study ensures that participants are fully informed and provide their consent prior to data collection.</w:t>
            </w:r>
          </w:p>
          <w:p>
            <w:pPr>
              <w:autoSpaceDE w:val="0"/>
              <w:autoSpaceDN w:val="0"/>
              <w:adjustRightInd w:val="0"/>
              <w:rPr>
                <w:rFonts w:ascii="Arial" w:hAnsi="Arial" w:cs="Arial"/>
              </w:rPr>
            </w:pPr>
          </w:p>
        </w:tc>
      </w:tr>
      <w:tr>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b/>
                <w:sz w:val="22"/>
                <w:szCs w:val="22"/>
              </w:rPr>
            </w:pPr>
            <w:r>
              <w:rPr>
                <w:rFonts w:ascii="Arial" w:hAnsi="Arial" w:cs="Arial"/>
                <w:b/>
                <w:sz w:val="22"/>
                <w:szCs w:val="22"/>
              </w:rPr>
              <w:t>Confidentiality / Anonymity</w:t>
            </w:r>
          </w:p>
          <w:p>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r>
              <w:rPr>
                <w:rFonts w:ascii="-webkit-standard" w:hAnsi="-webkit-standard" w:eastAsia="-webkit-standard" w:cs="-webkit-standard"/>
                <w:color w:val="000000"/>
                <w:lang w:val="en-US" w:eastAsia="zh-CN" w:bidi="ar"/>
              </w:rPr>
              <w:t>Anonymity and confidentiality will be strictly maintained throughout the study. No personally identifiable information will be collected, and responses will be recorded anonymously. Data will be securely stored and presented in aggregate form. Explicit consent will be obtained if follow-up interviews require contact details. These measures uphold ethical standards.</w:t>
            </w: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rPr>
            </w:pPr>
          </w:p>
        </w:tc>
      </w:tr>
    </w:tbl>
    <w:p>
      <w:pPr>
        <w:rPr>
          <w:rFonts w:ascii="Arial" w:hAnsi="Arial" w:cs="Arial"/>
          <w:sz w:val="22"/>
          <w:szCs w:val="22"/>
        </w:rPr>
      </w:pPr>
    </w:p>
    <w:p>
      <w:pPr>
        <w:rPr>
          <w:rFonts w:ascii="Arial" w:hAnsi="Arial" w:cs="Arial"/>
          <w:b/>
          <w:sz w:val="22"/>
          <w:szCs w:val="22"/>
        </w:rPr>
      </w:pPr>
      <w:r>
        <w:rPr>
          <w:rFonts w:ascii="Arial" w:hAnsi="Arial" w:cs="Arial"/>
          <w:b/>
          <w:sz w:val="22"/>
          <w:szCs w:val="22"/>
        </w:rPr>
        <w:t>SECTION J: Data Protection and Storage</w:t>
      </w:r>
    </w:p>
    <w:p>
      <w:pPr>
        <w:rPr>
          <w:rFonts w:ascii="Arial" w:hAnsi="Arial" w:cs="Arial"/>
          <w:b/>
          <w:sz w:val="22"/>
          <w:szCs w:val="22"/>
        </w:rPr>
      </w:pPr>
    </w:p>
    <w:tbl>
      <w:tblPr>
        <w:tblStyle w:val="6"/>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7905"/>
        <w:gridCol w:w="992"/>
        <w:gridCol w:w="1026"/>
      </w:tblGrid>
      <w:tr>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17"/>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17"/>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7"/>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7"/>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NO</w:t>
            </w:r>
          </w:p>
        </w:tc>
      </w:tr>
      <w:tr>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17"/>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17"/>
              <w:autoSpaceDE w:val="0"/>
              <w:autoSpaceDN w:val="0"/>
              <w:adjustRightInd w:val="0"/>
              <w:spacing w:before="0" w:beforeAutospacing="0" w:after="0" w:afterAutospacing="0"/>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17"/>
              <w:autoSpaceDE w:val="0"/>
              <w:autoSpaceDN w:val="0"/>
              <w:adjustRightInd w:val="0"/>
              <w:jc w:val="center"/>
              <w:rPr>
                <w:rFonts w:ascii="Arial" w:hAnsi="Arial" w:eastAsia="MS Gothic" w:cs="Arial"/>
                <w:sz w:val="22"/>
                <w:szCs w:val="22"/>
                <w:lang w:val="en-US"/>
              </w:rPr>
            </w:pPr>
            <w:r>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autoSpaceDE w:val="0"/>
              <w:autoSpaceDN w:val="0"/>
              <w:adjustRightInd w:val="0"/>
              <w:jc w:val="center"/>
              <w:rPr>
                <w:rFonts w:ascii="Arial" w:hAnsi="Arial" w:eastAsia="MS Gothic" w:cs="Arial"/>
                <w:sz w:val="22"/>
                <w:szCs w:val="22"/>
                <w:lang w:val="en-US"/>
              </w:rPr>
            </w:pPr>
          </w:p>
          <w:sdt>
            <w:sdtPr>
              <w:rPr>
                <w:rFonts w:ascii="Arial" w:hAnsi="Arial" w:cs="Arial"/>
                <w:sz w:val="22"/>
                <w:szCs w:val="22"/>
              </w:rPr>
              <w:id w:val="98397676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p>
            <w:pPr>
              <w:autoSpaceDE w:val="0"/>
              <w:autoSpaceDN w:val="0"/>
              <w:adjustRightInd w:val="0"/>
              <w:jc w:val="center"/>
              <w:rPr>
                <w:rFonts w:ascii="Arial" w:hAnsi="Arial" w:eastAsia="MS Gothic" w:cs="Arial"/>
                <w:sz w:val="22"/>
                <w:szCs w:val="22"/>
                <w:lang w:val="en-US"/>
              </w:rPr>
            </w:pPr>
          </w:p>
        </w:tc>
      </w:tr>
      <w:tr>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7"/>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7"/>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i/>
              </w:rPr>
            </w:pPr>
            <w:r>
              <w:rPr>
                <w:rFonts w:ascii="Arial" w:hAnsi="Arial" w:cs="Arial"/>
                <w:i/>
                <w:color w:val="808080"/>
                <w:sz w:val="18"/>
                <w:szCs w:val="18"/>
              </w:rPr>
              <w:t>(this box should expand as you type)</w:t>
            </w:r>
          </w:p>
        </w:tc>
      </w:tr>
      <w:tr>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17"/>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17"/>
              <w:autoSpaceDE w:val="0"/>
              <w:autoSpaceDN w:val="0"/>
              <w:adjustRightInd w:val="0"/>
              <w:spacing w:before="0" w:beforeAutospacing="0" w:after="0" w:afterAutospacing="0"/>
              <w:rPr>
                <w:rFonts w:ascii="Arial" w:hAnsi="Arial" w:cs="Arial"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7"/>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7"/>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NO</w:t>
            </w:r>
          </w:p>
        </w:tc>
      </w:tr>
      <w:tr>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7"/>
              <w:spacing w:before="0" w:beforeAutospacing="0" w:after="0" w:afterAutospacing="0"/>
              <w:jc w:val="center"/>
              <w:rPr>
                <w:rStyle w:val="10"/>
                <w:rFonts w:ascii="Arial" w:hAnsi="Arial" w:cs="Arial"/>
                <w:b w:val="0"/>
                <w:iCs/>
                <w:color w:val="000000"/>
                <w:sz w:val="20"/>
                <w:szCs w:val="23"/>
              </w:rPr>
            </w:pPr>
            <w:r>
              <w:rPr>
                <w:rStyle w:val="10"/>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7"/>
              <w:spacing w:before="0" w:beforeAutospacing="0" w:after="0" w:afterAutospacing="0"/>
              <w:rPr>
                <w:rFonts w:ascii="Arial" w:hAnsi="Arial" w:cs="Arial"/>
              </w:rPr>
            </w:pPr>
            <w:r>
              <w:rPr>
                <w:rStyle w:val="10"/>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pPr>
              <w:pStyle w:val="17"/>
              <w:spacing w:before="0" w:beforeAutospacing="0" w:after="0" w:afterAutospacing="0"/>
              <w:rPr>
                <w:rFonts w:ascii="Arial" w:hAnsi="Arial" w:cs="Arial"/>
              </w:rPr>
            </w:pPr>
            <w:r>
              <w:rPr>
                <w:rFonts w:ascii="Arial" w:hAnsi="Arial" w:cs="Arial"/>
                <w:i/>
                <w:iCs/>
                <w:color w:val="000000"/>
                <w:sz w:val="20"/>
                <w:szCs w:val="23"/>
              </w:rPr>
              <w:t>(a) racial or ethnic origin,</w:t>
            </w:r>
          </w:p>
          <w:p>
            <w:pPr>
              <w:pStyle w:val="17"/>
              <w:spacing w:before="0" w:beforeAutospacing="0" w:after="0" w:afterAutospacing="0"/>
              <w:rPr>
                <w:rFonts w:ascii="Arial" w:hAnsi="Arial" w:cs="Arial"/>
              </w:rPr>
            </w:pPr>
            <w:r>
              <w:rPr>
                <w:rFonts w:ascii="Arial" w:hAnsi="Arial" w:cs="Arial"/>
                <w:i/>
                <w:iCs/>
                <w:color w:val="000000"/>
                <w:sz w:val="20"/>
                <w:szCs w:val="23"/>
              </w:rPr>
              <w:t>(b) political opinions,</w:t>
            </w:r>
          </w:p>
          <w:p>
            <w:pPr>
              <w:pStyle w:val="17"/>
              <w:spacing w:before="0" w:beforeAutospacing="0" w:after="0" w:afterAutospacing="0"/>
              <w:rPr>
                <w:rFonts w:ascii="Arial" w:hAnsi="Arial" w:cs="Arial"/>
              </w:rPr>
            </w:pPr>
            <w:r>
              <w:rPr>
                <w:rFonts w:ascii="Arial" w:hAnsi="Arial" w:cs="Arial"/>
                <w:i/>
                <w:iCs/>
                <w:color w:val="000000"/>
                <w:sz w:val="20"/>
                <w:szCs w:val="23"/>
              </w:rPr>
              <w:t>(c ) religious beliefs or other beliefs of a similar nature,</w:t>
            </w:r>
          </w:p>
          <w:p>
            <w:pPr>
              <w:pStyle w:val="17"/>
              <w:spacing w:before="0" w:beforeAutospacing="0" w:after="0" w:afterAutospacing="0"/>
              <w:rPr>
                <w:rFonts w:ascii="Arial" w:hAnsi="Arial" w:cs="Arial"/>
              </w:rPr>
            </w:pPr>
            <w:r>
              <w:rPr>
                <w:rFonts w:ascii="Arial" w:hAnsi="Arial" w:cs="Arial"/>
                <w:i/>
                <w:iCs/>
                <w:color w:val="000000"/>
                <w:sz w:val="20"/>
                <w:szCs w:val="23"/>
              </w:rPr>
              <w:t>(d) membership of a trade union (within the meaning of the Trade Union and Labour Relations (Consolidation) Act 1992),</w:t>
            </w:r>
          </w:p>
          <w:p>
            <w:pPr>
              <w:pStyle w:val="17"/>
              <w:spacing w:before="0" w:beforeAutospacing="0" w:after="0" w:afterAutospacing="0"/>
              <w:rPr>
                <w:rFonts w:ascii="Arial" w:hAnsi="Arial" w:cs="Arial"/>
              </w:rPr>
            </w:pPr>
            <w:r>
              <w:rPr>
                <w:rFonts w:ascii="Arial" w:hAnsi="Arial" w:cs="Arial"/>
                <w:i/>
                <w:iCs/>
                <w:color w:val="000000"/>
                <w:sz w:val="20"/>
                <w:szCs w:val="23"/>
              </w:rPr>
              <w:t>(e) physical or mental health or condition,</w:t>
            </w:r>
          </w:p>
          <w:p>
            <w:pPr>
              <w:pStyle w:val="17"/>
              <w:spacing w:before="0" w:beforeAutospacing="0" w:after="0" w:afterAutospacing="0"/>
              <w:rPr>
                <w:rFonts w:ascii="Arial" w:hAnsi="Arial" w:cs="Arial"/>
              </w:rPr>
            </w:pPr>
            <w:r>
              <w:rPr>
                <w:rFonts w:ascii="Arial" w:hAnsi="Arial" w:cs="Arial"/>
                <w:i/>
                <w:iCs/>
                <w:color w:val="000000"/>
                <w:sz w:val="20"/>
                <w:szCs w:val="23"/>
              </w:rPr>
              <w:t>(f) sexual life,</w:t>
            </w:r>
          </w:p>
          <w:p>
            <w:pPr>
              <w:pStyle w:val="17"/>
              <w:spacing w:before="0" w:beforeAutospacing="0" w:after="0" w:afterAutospacing="0"/>
              <w:rPr>
                <w:rFonts w:ascii="Arial" w:hAnsi="Arial" w:cs="Arial"/>
              </w:rPr>
            </w:pPr>
            <w:r>
              <w:rPr>
                <w:rFonts w:ascii="Arial" w:hAnsi="Arial" w:cs="Arial"/>
                <w:i/>
                <w:iCs/>
                <w:color w:val="000000"/>
                <w:sz w:val="20"/>
                <w:szCs w:val="23"/>
              </w:rPr>
              <w:t>(g) genetics,</w:t>
            </w:r>
          </w:p>
          <w:p>
            <w:pPr>
              <w:pStyle w:val="17"/>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17"/>
              <w:autoSpaceDE w:val="0"/>
              <w:autoSpaceDN w:val="0"/>
              <w:adjustRightInd w:val="0"/>
              <w:jc w:val="center"/>
              <w:rPr>
                <w:rFonts w:ascii="Arial" w:hAnsi="Arial" w:cs="Arial"/>
              </w:rPr>
            </w:pPr>
            <w:r>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17"/>
              <w:autoSpaceDE w:val="0"/>
              <w:autoSpaceDN w:val="0"/>
              <w:adjustRightInd w:val="0"/>
              <w:ind w:firstLine="240" w:firstLineChars="100"/>
              <w:jc w:val="both"/>
              <w:rPr>
                <w:rFonts w:ascii="Arial" w:hAnsi="Arial" w:cs="Arial"/>
              </w:rPr>
            </w:pPr>
          </w:p>
          <w:sdt>
            <w:sdtPr>
              <w:rPr>
                <w:rFonts w:ascii="Arial" w:hAnsi="Arial" w:cs="Arial"/>
                <w:sz w:val="22"/>
                <w:szCs w:val="22"/>
              </w:rPr>
              <w:id w:val="1771661616"/>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p>
            <w:pPr>
              <w:pStyle w:val="17"/>
              <w:autoSpaceDE w:val="0"/>
              <w:autoSpaceDN w:val="0"/>
              <w:adjustRightInd w:val="0"/>
              <w:ind w:firstLine="240" w:firstLineChars="100"/>
              <w:jc w:val="both"/>
              <w:rPr>
                <w:rFonts w:ascii="Arial" w:hAnsi="Arial" w:cs="Arial"/>
              </w:rPr>
            </w:pPr>
          </w:p>
        </w:tc>
      </w:tr>
      <w:tr>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7"/>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7"/>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pPr>
        <w:rPr>
          <w:rFonts w:ascii="Arial" w:hAnsi="Arial" w:cs="Arial"/>
        </w:rPr>
      </w:pPr>
    </w:p>
    <w:tbl>
      <w:tblPr>
        <w:tblStyle w:val="19"/>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p>
        </w:tc>
        <w:tc>
          <w:tcPr>
            <w:tcW w:w="7905" w:type="dxa"/>
            <w:shd w:val="clear" w:color="auto" w:fill="F1F1F1" w:themeFill="background1" w:themeFillShade="F2"/>
          </w:tcPr>
          <w:p>
            <w:pPr>
              <w:autoSpaceDE w:val="0"/>
              <w:autoSpaceDN w:val="0"/>
              <w:adjustRightInd w:val="0"/>
              <w:rPr>
                <w:rFonts w:ascii="Arial" w:hAnsi="Arial" w:cs="Arial"/>
                <w:b/>
                <w:bCs/>
                <w:sz w:val="22"/>
                <w:szCs w:val="22"/>
              </w:rPr>
            </w:pPr>
            <w:r>
              <w:rPr>
                <w:rFonts w:ascii="Arial" w:hAnsi="Arial" w:cs="Arial"/>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sz w:val="22"/>
                <w:szCs w:val="22"/>
              </w:rPr>
              <w:id w:val="510647276"/>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sz w:val="22"/>
                <w:szCs w:val="22"/>
              </w:rPr>
              <w:id w:val="117369017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170405038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614105253"/>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sz w:val="22"/>
                <w:szCs w:val="22"/>
              </w:rPr>
              <w:id w:val="10123376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1420299635"/>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Other – specify:</w:t>
            </w:r>
          </w:p>
          <w:p>
            <w:pPr>
              <w:autoSpaceDE w:val="0"/>
              <w:autoSpaceDN w:val="0"/>
              <w:adjustRightInd w:val="0"/>
              <w:rPr>
                <w:rFonts w:ascii="Arial" w:hAnsi="Arial" w:cs="Arial"/>
                <w:sz w:val="22"/>
                <w:szCs w:val="22"/>
              </w:rPr>
            </w:pPr>
          </w:p>
        </w:tc>
        <w:tc>
          <w:tcPr>
            <w:tcW w:w="992" w:type="dxa"/>
            <w:shd w:val="clear" w:color="auto" w:fill="BEBEBE" w:themeFill="background1" w:themeFillShade="BF"/>
            <w:vAlign w:val="center"/>
          </w:tcPr>
          <w:sdt>
            <w:sdtPr>
              <w:rPr>
                <w:rFonts w:ascii="Arial" w:hAnsi="Arial" w:cs="Arial"/>
                <w:sz w:val="22"/>
                <w:szCs w:val="22"/>
              </w:rPr>
              <w:id w:val="80459246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1F1F1" w:themeFill="background1" w:themeFillShade="F2"/>
          </w:tcPr>
          <w:p>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trPr>
          <w:trHeight w:val="403" w:hRule="atLeast"/>
        </w:trPr>
        <w:tc>
          <w:tcPr>
            <w:tcW w:w="562" w:type="dxa"/>
            <w:vAlign w:val="center"/>
          </w:tcPr>
          <w:p>
            <w:pPr>
              <w:jc w:val="center"/>
              <w:rPr>
                <w:rFonts w:ascii="Arial" w:hAnsi="Arial" w:cs="Arial"/>
                <w:sz w:val="22"/>
                <w:szCs w:val="22"/>
              </w:rPr>
            </w:pPr>
          </w:p>
        </w:tc>
        <w:tc>
          <w:tcPr>
            <w:tcW w:w="9923" w:type="dxa"/>
            <w:gridSpan w:val="3"/>
          </w:tcPr>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bl>
    <w:p>
      <w:pPr>
        <w:rPr>
          <w:rFonts w:ascii="Arial" w:hAnsi="Arial" w:cs="Arial"/>
        </w:rPr>
      </w:pPr>
    </w:p>
    <w:tbl>
      <w:tblPr>
        <w:tblStyle w:val="19"/>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p>
        </w:tc>
        <w:tc>
          <w:tcPr>
            <w:tcW w:w="9923" w:type="dxa"/>
            <w:gridSpan w:val="3"/>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b/>
                <w:bCs/>
                <w:sz w:val="22"/>
                <w:szCs w:val="22"/>
              </w:rPr>
              <w:t>Data Protection</w:t>
            </w:r>
          </w:p>
        </w:tc>
      </w:tr>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EBEBE"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698343296"/>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88259828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EBEBE" w:themeFill="background1" w:themeFillShade="BF"/>
            <w:vAlign w:val="center"/>
          </w:tcPr>
          <w:sdt>
            <w:sdtPr>
              <w:rPr>
                <w:rFonts w:ascii="Arial" w:hAnsi="Arial" w:cs="Arial"/>
                <w:sz w:val="22"/>
                <w:szCs w:val="22"/>
              </w:rPr>
              <w:id w:val="741607803"/>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20</w:t>
            </w: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EBEBE"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rPr>
          <w:trHeight w:val="403" w:hRule="atLeast"/>
        </w:trPr>
        <w:tc>
          <w:tcPr>
            <w:tcW w:w="562" w:type="dxa"/>
            <w:shd w:val="clear" w:color="auto" w:fill="F1F1F1" w:themeFill="background1" w:themeFillShade="F2"/>
            <w:vAlign w:val="center"/>
          </w:tcPr>
          <w:p>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1F1F1" w:themeFill="background1" w:themeFillShade="F2"/>
            <w:vAlign w:val="center"/>
          </w:tcPr>
          <w:p>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 any international equivalents, where appropriate):</w:t>
            </w:r>
          </w:p>
        </w:tc>
      </w:tr>
      <w:tr>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vAlign w:val="center"/>
          </w:tcPr>
          <w:p>
            <w:pPr>
              <w:autoSpaceDE w:val="0"/>
              <w:autoSpaceDN w:val="0"/>
              <w:adjustRightInd w:val="0"/>
              <w:rPr>
                <w:rFonts w:ascii="Arial" w:hAnsi="Arial" w:cs="Arial"/>
                <w:sz w:val="22"/>
                <w:szCs w:val="22"/>
              </w:rPr>
            </w:pPr>
          </w:p>
          <w:p>
            <w:r>
              <w:rPr>
                <w:rFonts w:ascii="-webkit-standard" w:hAnsi="-webkit-standard" w:eastAsia="-webkit-standard" w:cs="-webkit-standard"/>
                <w:color w:val="000000"/>
                <w:lang w:val="en-US" w:eastAsia="zh-CN" w:bidi="ar"/>
              </w:rPr>
              <w:t>Participants will receive detailed information about the study and their rights, with the option to withdraw at any time. Consent will be collected via a checkbox. Data will be anonymized, securely stored, and accessible only to authorized personnel. All procedures will comply with GDPR and the Data Protection Act 2018.</w:t>
            </w:r>
          </w:p>
          <w:p>
            <w:pPr>
              <w:autoSpaceDE w:val="0"/>
              <w:autoSpaceDN w:val="0"/>
              <w:adjustRightInd w:val="0"/>
              <w:rPr>
                <w:rFonts w:ascii="Arial" w:hAnsi="Arial" w:cs="Arial"/>
              </w:rPr>
            </w:pPr>
          </w:p>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vAlign w:val="center"/>
          </w:tcPr>
          <w:p>
            <w:pPr>
              <w:pStyle w:val="3"/>
              <w:rPr>
                <w:rFonts w:hint="default"/>
                <w:color w:val="000000"/>
                <w:sz w:val="20"/>
                <w:szCs w:val="20"/>
              </w:rPr>
            </w:pPr>
            <w:r>
              <w:rPr>
                <w:color w:val="000000"/>
                <w:sz w:val="20"/>
                <w:szCs w:val="20"/>
              </w:rPr>
              <w:t>Roles in the Research</w:t>
            </w:r>
            <w:r>
              <w:rPr>
                <w:rFonts w:hint="default"/>
                <w:color w:val="000000"/>
                <w:sz w:val="20"/>
                <w:szCs w:val="20"/>
              </w:rPr>
              <w:t>:</w:t>
            </w:r>
          </w:p>
          <w:p>
            <w:pPr>
              <w:pStyle w:val="17"/>
              <w:rPr>
                <w:color w:val="000000"/>
                <w:sz w:val="20"/>
                <w:szCs w:val="20"/>
              </w:rPr>
            </w:pPr>
            <w:r>
              <w:rPr>
                <w:rStyle w:val="10"/>
                <w:color w:val="000000"/>
                <w:sz w:val="20"/>
                <w:szCs w:val="20"/>
              </w:rPr>
              <w:t>Researcher</w:t>
            </w:r>
            <w:r>
              <w:rPr>
                <w:color w:val="000000"/>
                <w:sz w:val="20"/>
                <w:szCs w:val="20"/>
              </w:rPr>
              <w:t>: The primary investigator responsible for designing the study, conducting research, and analyzing data.</w:t>
            </w:r>
          </w:p>
          <w:p>
            <w:pPr>
              <w:pStyle w:val="17"/>
              <w:rPr>
                <w:color w:val="000000"/>
                <w:sz w:val="20"/>
                <w:szCs w:val="20"/>
              </w:rPr>
            </w:pPr>
            <w:r>
              <w:rPr>
                <w:rStyle w:val="10"/>
                <w:color w:val="000000"/>
                <w:sz w:val="20"/>
                <w:szCs w:val="20"/>
              </w:rPr>
              <w:t>Supervisor/Advisor</w:t>
            </w:r>
            <w:r>
              <w:rPr>
                <w:color w:val="000000"/>
                <w:sz w:val="20"/>
                <w:szCs w:val="20"/>
              </w:rPr>
              <w:t>: A faculty member or mentor overseeing the project to ensure compliance with academic standards and ethical guidelines.</w:t>
            </w:r>
          </w:p>
          <w:p>
            <w:pPr>
              <w:pStyle w:val="17"/>
              <w:rPr>
                <w:color w:val="000000"/>
                <w:sz w:val="20"/>
                <w:szCs w:val="20"/>
              </w:rPr>
            </w:pPr>
            <w:r>
              <w:rPr>
                <w:rStyle w:val="10"/>
                <w:color w:val="000000"/>
                <w:sz w:val="20"/>
                <w:szCs w:val="20"/>
              </w:rPr>
              <w:t>Statistical Analyst</w:t>
            </w:r>
            <w:r>
              <w:rPr>
                <w:color w:val="000000"/>
                <w:sz w:val="20"/>
                <w:szCs w:val="20"/>
              </w:rPr>
              <w:t>: A qualified analyst may access anonymized data for statistical analyses, if needed.</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sz w:val="22"/>
                <w:szCs w:val="22"/>
              </w:rPr>
              <w:t>Researcher</w:t>
            </w:r>
          </w:p>
          <w:p>
            <w:pPr>
              <w:autoSpaceDE w:val="0"/>
              <w:autoSpaceDN w:val="0"/>
              <w:adjustRightInd w:val="0"/>
              <w:rPr>
                <w:rFonts w:ascii="Arial" w:hAnsi="Arial" w:cs="Arial"/>
                <w:sz w:val="22"/>
                <w:szCs w:val="22"/>
              </w:rPr>
            </w:pPr>
          </w:p>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tcPr>
          <w:p>
            <w:pPr>
              <w:pStyle w:val="3"/>
              <w:rPr>
                <w:rFonts w:hint="default"/>
                <w:color w:val="000000"/>
                <w:sz w:val="20"/>
                <w:szCs w:val="20"/>
              </w:rPr>
            </w:pPr>
            <w:r>
              <w:rPr>
                <w:color w:val="000000"/>
                <w:sz w:val="20"/>
                <w:szCs w:val="20"/>
              </w:rPr>
              <w:t>Data Storage and Security Measures</w:t>
            </w:r>
          </w:p>
          <w:p>
            <w:pPr>
              <w:pStyle w:val="17"/>
              <w:rPr>
                <w:color w:val="000000"/>
                <w:sz w:val="20"/>
                <w:szCs w:val="20"/>
              </w:rPr>
            </w:pPr>
            <w:r>
              <w:rPr>
                <w:color w:val="000000"/>
                <w:sz w:val="20"/>
                <w:szCs w:val="20"/>
              </w:rPr>
              <w:t>All data collected will be securely stored on Google’s Cloud servers.</w:t>
            </w:r>
          </w:p>
          <w:p>
            <w:pPr>
              <w:pStyle w:val="17"/>
              <w:rPr>
                <w:rFonts w:ascii="Arial" w:hAnsi="Arial" w:cs="Arial"/>
                <w:sz w:val="22"/>
                <w:szCs w:val="22"/>
              </w:rPr>
            </w:pPr>
            <w:r>
              <w:rPr>
                <w:rStyle w:val="10"/>
                <w:b w:val="0"/>
                <w:bCs w:val="0"/>
                <w:color w:val="000000"/>
                <w:sz w:val="20"/>
                <w:szCs w:val="20"/>
              </w:rPr>
              <w:t>Security Measures</w:t>
            </w:r>
            <w:r>
              <w:rPr>
                <w:color w:val="000000"/>
                <w:sz w:val="20"/>
                <w:szCs w:val="20"/>
              </w:rPr>
              <w:t> include encryption during transmission and at rest, with access restricted by strong passwords. Only the researcher, supervisor, and designated statistical analysts will have access. Data will be retained only for the research project's duration and securely destroyed afterward, ensuring no future access or misuse. Regular backups will prevent data loss.</w:t>
            </w:r>
          </w:p>
        </w:tc>
      </w:tr>
      <w:tr>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Pr>
                <w:rStyle w:val="8"/>
                <w:rFonts w:ascii="Arial" w:hAnsi="Arial" w:cs="Arial"/>
                <w:color w:val="000000"/>
                <w:sz w:val="22"/>
                <w:szCs w:val="22"/>
              </w:rPr>
              <w:t>https://researchdata.uwtsd.ac.uk/</w:t>
            </w:r>
            <w:r>
              <w:rPr>
                <w:rStyle w:val="8"/>
                <w:rFonts w:ascii="Arial" w:hAnsi="Arial" w:cs="Arial"/>
                <w:color w:val="000000"/>
                <w:sz w:val="22"/>
                <w:szCs w:val="22"/>
              </w:rPr>
              <w:fldChar w:fldCharType="end"/>
            </w:r>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rFonts w:ascii="Arial" w:hAnsi="Arial" w:cs="Arial"/>
                <w:color w:val="000000"/>
              </w:rPr>
              <w:t xml:space="preserve"> </w:t>
            </w:r>
          </w:p>
        </w:tc>
      </w:tr>
      <w:tr>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lang w:val="en-US"/>
              </w:rPr>
            </w:pPr>
            <w:r>
              <w:rPr>
                <w:rFonts w:ascii="Arial" w:hAnsi="Arial" w:cs="Arial"/>
                <w:sz w:val="22"/>
                <w:szCs w:val="22"/>
                <w:lang w:val="en-US"/>
              </w:rPr>
              <w:t xml:space="preserve">No </w:t>
            </w:r>
          </w:p>
        </w:tc>
      </w:tr>
      <w:tr>
        <w:trPr>
          <w:trHeight w:val="606"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26</w:t>
            </w:r>
          </w:p>
        </w:tc>
        <w:tc>
          <w:tcPr>
            <w:tcW w:w="7905" w:type="dxa"/>
            <w:shd w:val="clear" w:color="auto" w:fill="F1F1F1" w:themeFill="background1" w:themeFillShade="F2"/>
          </w:tcPr>
          <w:p>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8"/>
                <w:rFonts w:ascii="Arial" w:hAnsi="Arial" w:cs="Arial"/>
                <w:color w:val="000000"/>
                <w:sz w:val="22"/>
                <w:szCs w:val="22"/>
              </w:rPr>
              <w:t>https://www.uwtsd.ac.uk/library/research-data-management/</w:t>
            </w:r>
            <w:r>
              <w:rPr>
                <w:rStyle w:val="8"/>
                <w:rFonts w:ascii="Arial" w:hAnsi="Arial" w:cs="Arial"/>
                <w:color w:val="000000"/>
                <w:sz w:val="22"/>
                <w:szCs w:val="22"/>
              </w:rPr>
              <w:fldChar w:fldCharType="end"/>
            </w:r>
            <w:r>
              <w:rPr>
                <w:rFonts w:ascii="Arial" w:hAnsi="Arial" w:cs="Arial"/>
                <w:color w:val="000000"/>
                <w:sz w:val="22"/>
                <w:szCs w:val="22"/>
              </w:rPr>
              <w:t>)</w:t>
            </w:r>
          </w:p>
        </w:tc>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vAlign w:val="center"/>
          </w:tcPr>
          <w:p>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rPr>
                  <w:rFonts w:ascii="Arial" w:hAnsi="Arial" w:cs="Arial"/>
                </w:rPr>
              </w:sdtEndPr>
              <w:sdtContent>
                <w:r>
                  <w:rPr>
                    <w:rFonts w:ascii="MS Gothic" w:hAnsi="MS Gothic" w:eastAsia="MS Gothic" w:cs="Segoe UI Symbol"/>
                  </w:rPr>
                  <w:t>☒</w:t>
                </w:r>
              </w:sdtContent>
            </w:sdt>
          </w:p>
        </w:tc>
      </w:tr>
      <w:tr>
        <w:trPr>
          <w:trHeight w:val="632"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vAlign w:val="center"/>
          </w:tcPr>
          <w:p>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rPr>
                  <w:rFonts w:ascii="Arial" w:hAnsi="Arial" w:cs="Arial"/>
                </w:rPr>
              </w:sdtEndPr>
              <w:sdtContent>
                <w:r>
                  <w:rPr>
                    <w:rFonts w:ascii="MS Gothic" w:hAnsi="MS Gothic" w:eastAsia="MS Gothic" w:cs="Segoe UI Symbol"/>
                  </w:rPr>
                  <w:t>☒</w:t>
                </w:r>
              </w:sdtContent>
            </w:sdt>
          </w:p>
        </w:tc>
      </w:tr>
    </w:tbl>
    <w:p>
      <w:pPr>
        <w:rPr>
          <w:rFonts w:ascii="Arial" w:hAnsi="Arial" w:cs="Arial"/>
          <w:b/>
          <w:bCs/>
          <w:sz w:val="22"/>
          <w:szCs w:val="22"/>
        </w:rPr>
      </w:pPr>
    </w:p>
    <w:p>
      <w:pPr>
        <w:rPr>
          <w:rFonts w:ascii="Arial" w:hAnsi="Arial" w:cs="Arial"/>
          <w:b/>
          <w:bCs/>
          <w:sz w:val="22"/>
          <w:szCs w:val="22"/>
        </w:rPr>
      </w:pPr>
      <w:r>
        <w:rPr>
          <w:rFonts w:ascii="Arial" w:hAnsi="Arial" w:cs="Arial"/>
          <w:b/>
          <w:bCs/>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Style w:val="6"/>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4"/>
        <w:gridCol w:w="2964"/>
        <w:gridCol w:w="4820"/>
        <w:gridCol w:w="2139"/>
      </w:tblGrid>
      <w:tr>
        <w:trPr>
          <w:trHeight w:val="1807" w:hRule="atLeast"/>
        </w:trPr>
        <w:tc>
          <w:tcPr>
            <w:tcW w:w="554" w:type="dxa"/>
            <w:shd w:val="clear" w:color="auto" w:fill="F1F1F1" w:themeFill="background1" w:themeFillShade="F2"/>
            <w:vAlign w:val="center"/>
          </w:tcPr>
          <w:p>
            <w:pPr>
              <w:jc w:val="center"/>
              <w:rPr>
                <w:rFonts w:ascii="Arial" w:hAnsi="Arial" w:cs="Arial"/>
                <w:sz w:val="22"/>
                <w:szCs w:val="22"/>
              </w:rPr>
            </w:pPr>
          </w:p>
        </w:tc>
        <w:tc>
          <w:tcPr>
            <w:tcW w:w="9923" w:type="dxa"/>
            <w:gridSpan w:val="3"/>
            <w:shd w:val="clear" w:color="auto" w:fill="F1F1F1" w:themeFill="background1" w:themeFillShade="F2"/>
            <w:vAlign w:val="center"/>
          </w:tcPr>
          <w:p>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pPr>
              <w:jc w:val="both"/>
              <w:rPr>
                <w:rFonts w:ascii="Arial" w:hAnsi="Arial" w:cs="Arial"/>
                <w:b/>
                <w:bCs/>
                <w:color w:val="000000"/>
                <w:sz w:val="22"/>
                <w:szCs w:val="22"/>
              </w:rPr>
            </w:pPr>
          </w:p>
          <w:p>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8"/>
                <w:rFonts w:ascii="Arial" w:hAnsi="Arial" w:cs="Arial"/>
                <w:sz w:val="22"/>
                <w:szCs w:val="22"/>
              </w:rPr>
              <w:t>https://www.uwtsd.ac.uk/research/research-ethics/</w:t>
            </w:r>
            <w:r>
              <w:rPr>
                <w:rStyle w:val="8"/>
                <w:rFonts w:ascii="Arial" w:hAnsi="Arial" w:cs="Arial"/>
                <w:sz w:val="22"/>
                <w:szCs w:val="22"/>
              </w:rPr>
              <w:fldChar w:fldCharType="end"/>
            </w:r>
            <w:r>
              <w:rPr>
                <w:rFonts w:ascii="Arial" w:hAnsi="Arial" w:cs="Arial"/>
                <w:sz w:val="22"/>
                <w:szCs w:val="22"/>
              </w:rPr>
              <w:t xml:space="preserve"> </w:t>
            </w:r>
          </w:p>
        </w:tc>
      </w:tr>
      <w:tr>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color="auto" w:sz="4" w:space="0"/>
            </w:tcBorders>
            <w:vAlign w:val="center"/>
          </w:tcPr>
          <w:p>
            <w:pPr>
              <w:spacing w:before="100" w:beforeAutospacing="1" w:after="100" w:afterAutospacing="1"/>
              <w:rPr>
                <w:rFonts w:ascii="Arial" w:hAnsi="Arial" w:cs="Arial"/>
                <w:sz w:val="22"/>
                <w:szCs w:val="22"/>
                <w:lang w:val="en-US"/>
              </w:rPr>
            </w:pPr>
            <w:r>
              <w:rPr>
                <w:rFonts w:ascii="Arial" w:hAnsi="Arial" w:cs="Arial"/>
                <w:sz w:val="22"/>
                <w:szCs w:val="22"/>
                <w:lang w:val="en-US"/>
              </w:rPr>
              <w:t>Kwan Mei Yan</w:t>
            </w:r>
          </w:p>
        </w:tc>
        <w:tc>
          <w:tcPr>
            <w:tcW w:w="2139" w:type="dxa"/>
            <w:vAlign w:val="center"/>
          </w:tcPr>
          <w:p>
            <w:pPr>
              <w:spacing w:before="100" w:beforeAutospacing="1" w:after="100" w:afterAutospacing="1"/>
              <w:rPr>
                <w:rFonts w:ascii="Arial" w:hAnsi="Arial" w:cs="Arial"/>
                <w:b/>
                <w:bCs/>
                <w:sz w:val="22"/>
                <w:szCs w:val="22"/>
              </w:rPr>
            </w:pPr>
            <w:r>
              <w:rPr>
                <w:rFonts w:ascii="Arial" w:hAnsi="Arial" w:cs="Arial"/>
                <w:b/>
                <w:bCs/>
                <w:sz w:val="22"/>
                <w:szCs w:val="22"/>
              </w:rPr>
              <w:t>Date:</w:t>
            </w:r>
          </w:p>
          <w:p>
            <w:pPr>
              <w:spacing w:before="100" w:beforeAutospacing="1" w:after="100" w:afterAutospacing="1"/>
              <w:rPr>
                <w:rFonts w:ascii="Arial" w:hAnsi="Arial" w:cs="Arial"/>
                <w:sz w:val="22"/>
                <w:szCs w:val="22"/>
              </w:rPr>
            </w:pPr>
            <w:r>
              <w:rPr>
                <w:rFonts w:ascii="Arial" w:hAnsi="Arial" w:cs="Arial"/>
                <w:sz w:val="22"/>
                <w:szCs w:val="22"/>
              </w:rPr>
              <w:t>2</w:t>
            </w:r>
            <w:r>
              <w:rPr>
                <w:rFonts w:hint="default" w:ascii="Arial" w:hAnsi="Arial" w:cs="Arial"/>
                <w:sz w:val="22"/>
                <w:szCs w:val="22"/>
                <w:lang w:val="en-US"/>
              </w:rPr>
              <w:t>4</w:t>
            </w:r>
            <w:r>
              <w:rPr>
                <w:rFonts w:ascii="Arial" w:hAnsi="Arial" w:cs="Arial"/>
                <w:sz w:val="22"/>
                <w:szCs w:val="22"/>
              </w:rPr>
              <w:t xml:space="preserve"> Jun, 2025</w:t>
            </w: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STUDENT Submissions:</w:t>
      </w:r>
    </w:p>
    <w:tbl>
      <w:tblPr>
        <w:tblStyle w:val="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2"/>
        <w:gridCol w:w="3092"/>
        <w:gridCol w:w="4660"/>
        <w:gridCol w:w="2172"/>
      </w:tblGrid>
      <w:tr>
        <w:trPr>
          <w:trHeight w:val="346" w:hRule="atLeast"/>
        </w:trPr>
        <w:tc>
          <w:tcPr>
            <w:tcW w:w="365" w:type="pct"/>
            <w:shd w:val="clear" w:color="auto" w:fill="F1F1F1" w:themeFill="background1" w:themeFillShade="F2"/>
            <w:vAlign w:val="center"/>
          </w:tcPr>
          <w:p>
            <w:pPr>
              <w:pStyle w:val="31"/>
              <w:ind w:left="0"/>
              <w:jc w:val="center"/>
              <w:rPr>
                <w:rFonts w:ascii="Arial" w:hAnsi="Arial" w:cs="Arial"/>
              </w:rPr>
            </w:pPr>
            <w:r>
              <w:rPr>
                <w:rFonts w:ascii="Arial" w:hAnsi="Arial" w:cs="Arial"/>
              </w:rPr>
              <w:t>2</w:t>
            </w:r>
          </w:p>
        </w:tc>
        <w:tc>
          <w:tcPr>
            <w:tcW w:w="1444" w:type="pct"/>
            <w:shd w:val="clear" w:color="auto" w:fill="F1F1F1" w:themeFill="background1" w:themeFillShade="F2"/>
            <w:vAlign w:val="center"/>
          </w:tcPr>
          <w:p>
            <w:pPr>
              <w:pStyle w:val="31"/>
              <w:ind w:left="0"/>
              <w:rPr>
                <w:rFonts w:ascii="Arial" w:hAnsi="Arial" w:cs="Arial"/>
              </w:rPr>
            </w:pPr>
            <w:r>
              <w:rPr>
                <w:rFonts w:ascii="Arial" w:hAnsi="Arial" w:cs="Arial"/>
              </w:rPr>
              <w:t>Director of Studies/Supervisor:</w:t>
            </w:r>
          </w:p>
        </w:tc>
        <w:tc>
          <w:tcPr>
            <w:tcW w:w="2176" w:type="pct"/>
            <w:shd w:val="clear" w:color="auto" w:fill="auto"/>
            <w:vAlign w:val="center"/>
          </w:tcPr>
          <w:p>
            <w:pPr>
              <w:pStyle w:val="31"/>
              <w:ind w:left="0"/>
              <w:rPr>
                <w:rFonts w:ascii="Arial" w:hAnsi="Arial" w:cs="Arial"/>
              </w:rPr>
            </w:pPr>
            <w:r>
              <w:rPr>
                <w:rFonts w:hint="eastAsia" w:ascii="Arial" w:hAnsi="Arial" w:cs="Arial"/>
              </w:rPr>
              <w:t>D</w:t>
            </w:r>
            <w:r>
              <w:rPr>
                <w:rFonts w:ascii="Arial" w:hAnsi="Arial" w:cs="Arial"/>
              </w:rPr>
              <w:t>r. Joe Leung</w:t>
            </w:r>
          </w:p>
        </w:tc>
        <w:tc>
          <w:tcPr>
            <w:tcW w:w="1014" w:type="pct"/>
            <w:vMerge w:val="restart"/>
          </w:tcPr>
          <w:p>
            <w:pPr>
              <w:pStyle w:val="31"/>
              <w:ind w:left="0"/>
              <w:rPr>
                <w:rFonts w:ascii="Arial" w:hAnsi="Arial" w:cs="Arial"/>
              </w:rPr>
            </w:pPr>
            <w:r>
              <w:rPr>
                <w:rFonts w:ascii="Arial" w:hAnsi="Arial" w:cs="Arial"/>
                <w:b/>
                <w:bCs/>
              </w:rPr>
              <w:t xml:space="preserve">Date: </w:t>
            </w:r>
            <w:r>
              <w:rPr>
                <w:rFonts w:ascii="Arial" w:hAnsi="Arial" w:cs="Arial"/>
                <w:bCs/>
              </w:rPr>
              <w:t>24 June 2025</w:t>
            </w:r>
          </w:p>
        </w:tc>
      </w:tr>
      <w:tr>
        <w:trPr>
          <w:trHeight w:val="347" w:hRule="atLeast"/>
        </w:trPr>
        <w:tc>
          <w:tcPr>
            <w:tcW w:w="365" w:type="pct"/>
            <w:shd w:val="clear" w:color="auto" w:fill="F1F1F1" w:themeFill="background1" w:themeFillShade="F2"/>
            <w:vAlign w:val="center"/>
          </w:tcPr>
          <w:p>
            <w:pPr>
              <w:pStyle w:val="31"/>
              <w:ind w:left="0"/>
              <w:jc w:val="center"/>
              <w:rPr>
                <w:rFonts w:ascii="Arial" w:hAnsi="Arial" w:cs="Arial"/>
              </w:rPr>
            </w:pPr>
            <w:r>
              <w:rPr>
                <w:rFonts w:ascii="Arial" w:hAnsi="Arial" w:cs="Arial"/>
              </w:rPr>
              <w:t>3</w:t>
            </w:r>
          </w:p>
        </w:tc>
        <w:tc>
          <w:tcPr>
            <w:tcW w:w="1444" w:type="pct"/>
            <w:shd w:val="clear" w:color="auto" w:fill="F1F1F1" w:themeFill="background1" w:themeFillShade="F2"/>
            <w:vAlign w:val="center"/>
          </w:tcPr>
          <w:p>
            <w:pPr>
              <w:pStyle w:val="31"/>
              <w:ind w:left="0"/>
              <w:rPr>
                <w:rFonts w:ascii="Arial" w:hAnsi="Arial" w:cs="Arial"/>
              </w:rPr>
            </w:pPr>
            <w:r>
              <w:rPr>
                <w:rFonts w:ascii="Arial" w:hAnsi="Arial" w:cs="Arial"/>
              </w:rPr>
              <w:t>Signature:</w:t>
            </w:r>
          </w:p>
        </w:tc>
        <w:tc>
          <w:tcPr>
            <w:tcW w:w="2176" w:type="pct"/>
            <w:shd w:val="clear" w:color="auto" w:fill="auto"/>
            <w:vAlign w:val="center"/>
          </w:tcPr>
          <w:p>
            <w:pPr>
              <w:pStyle w:val="31"/>
              <w:ind w:left="0"/>
              <w:rPr>
                <w:rFonts w:ascii="Brush Script MT" w:hAnsi="Brush Script MT" w:eastAsia="Brush Script MT" w:cs="Brush Script MT"/>
                <w:sz w:val="40"/>
                <w:szCs w:val="40"/>
              </w:rPr>
            </w:pPr>
            <w:r>
              <w:rPr>
                <w:rFonts w:hint="eastAsia" w:ascii="Brush Script MT" w:hAnsi="Brush Script MT" w:eastAsia="Brush Script MT" w:cs="Brush Script MT"/>
                <w:sz w:val="40"/>
                <w:szCs w:val="40"/>
              </w:rPr>
              <w:t>J</w:t>
            </w:r>
            <w:r>
              <w:rPr>
                <w:rFonts w:ascii="Brush Script MT" w:hAnsi="Brush Script MT" w:eastAsia="Brush Script MT" w:cs="Brush Script MT"/>
                <w:sz w:val="40"/>
                <w:szCs w:val="40"/>
              </w:rPr>
              <w:t>oe Leung</w:t>
            </w:r>
          </w:p>
        </w:tc>
        <w:tc>
          <w:tcPr>
            <w:tcW w:w="1014" w:type="pct"/>
            <w:vMerge w:val="continue"/>
            <w:vAlign w:val="center"/>
          </w:tcPr>
          <w:p>
            <w:pPr>
              <w:pStyle w:val="31"/>
              <w:ind w:left="0"/>
              <w:rPr>
                <w:rFonts w:ascii="Arial" w:hAnsi="Arial" w:cs="Arial"/>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STAFF Submissions:</w:t>
      </w:r>
    </w:p>
    <w:tbl>
      <w:tblPr>
        <w:tblStyle w:val="6"/>
        <w:tblW w:w="500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
        <w:gridCol w:w="3094"/>
        <w:gridCol w:w="4662"/>
        <w:gridCol w:w="2170"/>
      </w:tblGrid>
      <w:tr>
        <w:trPr>
          <w:trHeight w:val="346" w:hRule="atLeast"/>
        </w:trPr>
        <w:tc>
          <w:tcPr>
            <w:tcW w:w="366" w:type="pct"/>
            <w:shd w:val="clear" w:color="auto" w:fill="F1F1F1" w:themeFill="background1" w:themeFillShade="F2"/>
            <w:vAlign w:val="center"/>
          </w:tcPr>
          <w:p>
            <w:pPr>
              <w:pStyle w:val="31"/>
              <w:ind w:left="0"/>
              <w:jc w:val="center"/>
              <w:rPr>
                <w:rFonts w:ascii="Arial" w:hAnsi="Arial" w:cs="Arial"/>
              </w:rPr>
            </w:pPr>
            <w:r>
              <w:rPr>
                <w:rFonts w:ascii="Arial" w:hAnsi="Arial" w:cs="Arial"/>
              </w:rPr>
              <w:t>4</w:t>
            </w:r>
          </w:p>
        </w:tc>
        <w:tc>
          <w:tcPr>
            <w:tcW w:w="1444" w:type="pct"/>
            <w:shd w:val="clear" w:color="auto" w:fill="F1F1F1" w:themeFill="background1" w:themeFillShade="F2"/>
            <w:vAlign w:val="center"/>
          </w:tcPr>
          <w:p>
            <w:pPr>
              <w:pStyle w:val="31"/>
              <w:ind w:left="0"/>
              <w:rPr>
                <w:rFonts w:ascii="Arial" w:hAnsi="Arial" w:cs="Arial"/>
              </w:rPr>
            </w:pPr>
            <w:r>
              <w:rPr>
                <w:rFonts w:ascii="Arial" w:hAnsi="Arial" w:cs="Arial"/>
              </w:rPr>
              <w:t>Academic Director/ Assistant Dean:</w:t>
            </w:r>
          </w:p>
        </w:tc>
        <w:tc>
          <w:tcPr>
            <w:tcW w:w="2176" w:type="pct"/>
            <w:shd w:val="clear" w:color="auto" w:fill="auto"/>
            <w:vAlign w:val="center"/>
          </w:tcPr>
          <w:p>
            <w:pPr>
              <w:pStyle w:val="31"/>
              <w:ind w:left="0"/>
              <w:rPr>
                <w:rFonts w:ascii="Arial" w:hAnsi="Arial" w:cs="Arial"/>
              </w:rPr>
            </w:pPr>
          </w:p>
        </w:tc>
        <w:tc>
          <w:tcPr>
            <w:tcW w:w="1013" w:type="pct"/>
            <w:vMerge w:val="restart"/>
          </w:tcPr>
          <w:p>
            <w:pPr>
              <w:pStyle w:val="31"/>
              <w:ind w:left="0"/>
              <w:rPr>
                <w:rFonts w:ascii="Arial" w:hAnsi="Arial" w:cs="Arial"/>
              </w:rPr>
            </w:pPr>
            <w:r>
              <w:rPr>
                <w:rFonts w:ascii="Arial" w:hAnsi="Arial" w:cs="Arial"/>
                <w:b/>
                <w:bCs/>
              </w:rPr>
              <w:t>Date:</w:t>
            </w:r>
          </w:p>
        </w:tc>
      </w:tr>
      <w:tr>
        <w:trPr>
          <w:trHeight w:val="347" w:hRule="atLeast"/>
        </w:trPr>
        <w:tc>
          <w:tcPr>
            <w:tcW w:w="366" w:type="pct"/>
            <w:shd w:val="clear" w:color="auto" w:fill="F1F1F1" w:themeFill="background1" w:themeFillShade="F2"/>
            <w:vAlign w:val="center"/>
          </w:tcPr>
          <w:p>
            <w:pPr>
              <w:pStyle w:val="31"/>
              <w:ind w:left="0"/>
              <w:jc w:val="center"/>
              <w:rPr>
                <w:rFonts w:ascii="Arial" w:hAnsi="Arial" w:cs="Arial"/>
              </w:rPr>
            </w:pPr>
            <w:r>
              <w:rPr>
                <w:rFonts w:ascii="Arial" w:hAnsi="Arial" w:cs="Arial"/>
              </w:rPr>
              <w:t>5</w:t>
            </w:r>
          </w:p>
        </w:tc>
        <w:tc>
          <w:tcPr>
            <w:tcW w:w="1444" w:type="pct"/>
            <w:shd w:val="clear" w:color="auto" w:fill="F1F1F1" w:themeFill="background1" w:themeFillShade="F2"/>
            <w:vAlign w:val="center"/>
          </w:tcPr>
          <w:p>
            <w:pPr>
              <w:pStyle w:val="31"/>
              <w:ind w:left="0"/>
              <w:rPr>
                <w:rFonts w:ascii="Arial" w:hAnsi="Arial" w:cs="Arial"/>
              </w:rPr>
            </w:pPr>
            <w:r>
              <w:rPr>
                <w:rFonts w:ascii="Arial" w:hAnsi="Arial" w:cs="Arial"/>
              </w:rPr>
              <w:t>Signature:</w:t>
            </w:r>
          </w:p>
        </w:tc>
        <w:tc>
          <w:tcPr>
            <w:tcW w:w="2176" w:type="pct"/>
            <w:shd w:val="clear" w:color="auto" w:fill="auto"/>
            <w:vAlign w:val="center"/>
          </w:tcPr>
          <w:p>
            <w:pPr>
              <w:pStyle w:val="31"/>
              <w:ind w:left="0"/>
              <w:rPr>
                <w:rFonts w:ascii="Arial" w:hAnsi="Arial" w:cs="Arial"/>
              </w:rPr>
            </w:pPr>
          </w:p>
          <w:p>
            <w:pPr>
              <w:pStyle w:val="31"/>
              <w:ind w:left="0"/>
              <w:rPr>
                <w:rFonts w:ascii="Arial" w:hAnsi="Arial" w:cs="Arial"/>
              </w:rPr>
            </w:pPr>
          </w:p>
        </w:tc>
        <w:tc>
          <w:tcPr>
            <w:tcW w:w="1013" w:type="pct"/>
            <w:vMerge w:val="continue"/>
            <w:vAlign w:val="center"/>
          </w:tcPr>
          <w:p>
            <w:pPr>
              <w:pStyle w:val="31"/>
              <w:ind w:left="0"/>
              <w:rPr>
                <w:rFonts w:ascii="Arial" w:hAnsi="Arial" w:cs="Arial"/>
              </w:rPr>
            </w:pPr>
          </w:p>
        </w:tc>
      </w:tr>
    </w:tbl>
    <w:p>
      <w:pPr>
        <w:rPr>
          <w:rFonts w:ascii="Arial" w:hAnsi="Arial" w:cs="Arial"/>
          <w:b/>
          <w:sz w:val="22"/>
          <w:szCs w:val="22"/>
        </w:rPr>
      </w:pPr>
    </w:p>
    <w:p>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19"/>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9810"/>
      </w:tblGrid>
      <w:tr>
        <w:trPr>
          <w:trHeight w:val="491" w:hRule="atLeast"/>
        </w:trPr>
        <w:tc>
          <w:tcPr>
            <w:tcW w:w="675" w:type="dxa"/>
            <w:shd w:val="clear" w:color="auto" w:fill="BEBEBE"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rPr>
                <w:rFonts w:ascii="Arial" w:hAnsi="Arial" w:cs="Arial"/>
              </w:rPr>
            </w:sdtEndPr>
            <w:sdtContent>
              <w:p>
                <w:pPr>
                  <w:jc w:val="center"/>
                  <w:rPr>
                    <w:rFonts w:ascii="Arial" w:hAnsi="Arial" w:eastAsia="MS Gothic" w:cs="Arial"/>
                    <w:sz w:val="22"/>
                    <w:szCs w:val="22"/>
                  </w:rPr>
                </w:pPr>
                <w:r>
                  <w:rPr>
                    <w:rFonts w:ascii="MS Gothic" w:hAnsi="MS Gothic" w:eastAsia="MS Gothic" w:cs="Segoe UI Symbol"/>
                    <w:lang w:val="en-GB" w:eastAsia="en-US" w:bidi="ar-SA"/>
                  </w:rPr>
                  <w:t>☒</w:t>
                </w:r>
              </w:p>
            </w:sdtContent>
          </w:sdt>
        </w:tc>
        <w:tc>
          <w:tcPr>
            <w:tcW w:w="9810" w:type="dxa"/>
            <w:vAlign w:val="center"/>
          </w:tcPr>
          <w:p>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w:trPr>
          <w:trHeight w:val="413" w:hRule="atLeast"/>
        </w:trPr>
        <w:tc>
          <w:tcPr>
            <w:tcW w:w="675" w:type="dxa"/>
            <w:shd w:val="clear" w:color="auto" w:fill="BEBEBE" w:themeFill="background1" w:themeFillShade="BF"/>
            <w:vAlign w:val="center"/>
          </w:tcPr>
          <w:sdt>
            <w:sdtPr>
              <w:rPr>
                <w:rFonts w:ascii="Arial" w:hAnsi="Arial" w:cs="Arial"/>
              </w:rPr>
              <w:id w:val="294646429"/>
              <w14:checkbox>
                <w14:checked w14:val="1"/>
                <w14:checkedState w14:val="2612" w14:font="MS Gothic"/>
                <w14:uncheckedState w14:val="2610" w14:font="MS Gothic"/>
              </w14:checkbox>
            </w:sdtPr>
            <w:sdtEndPr>
              <w:rPr>
                <w:rFonts w:ascii="Arial" w:hAnsi="Arial" w:cs="Arial"/>
              </w:rPr>
            </w:sdtEndPr>
            <w:sdtContent>
              <w:p>
                <w:pPr>
                  <w:jc w:val="center"/>
                  <w:rPr>
                    <w:rFonts w:ascii="Arial" w:hAnsi="Arial" w:eastAsia="MS Gothic" w:cs="Arial"/>
                    <w:sz w:val="22"/>
                    <w:szCs w:val="22"/>
                  </w:rPr>
                </w:pPr>
                <w:r>
                  <w:rPr>
                    <w:rFonts w:ascii="MS Gothic" w:hAnsi="MS Gothic" w:eastAsia="MS Gothic" w:cs="Segoe UI Symbol"/>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trPr>
          <w:trHeight w:val="419" w:hRule="atLeast"/>
        </w:trPr>
        <w:tc>
          <w:tcPr>
            <w:tcW w:w="675" w:type="dxa"/>
            <w:shd w:val="clear" w:color="auto" w:fill="BEBEBE"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rPr>
                <w:rFonts w:ascii="Arial" w:hAnsi="Arial" w:cs="Arial"/>
              </w:rPr>
            </w:sdtEndPr>
            <w:sdtContent>
              <w:p>
                <w:pPr>
                  <w:jc w:val="center"/>
                  <w:rPr>
                    <w:rFonts w:ascii="Arial" w:hAnsi="Arial" w:cs="Arial"/>
                    <w:sz w:val="22"/>
                    <w:szCs w:val="22"/>
                  </w:rPr>
                </w:pPr>
                <w:r>
                  <w:rPr>
                    <w:rFonts w:ascii="MS Gothic" w:hAnsi="MS Gothic" w:eastAsia="MS Gothic" w:cs="Segoe UI Symbol"/>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confirm that the research activity has received approval in principle</w:t>
            </w:r>
          </w:p>
        </w:tc>
      </w:tr>
      <w:tr>
        <w:trPr>
          <w:trHeight w:val="492" w:hRule="atLeast"/>
        </w:trPr>
        <w:tc>
          <w:tcPr>
            <w:tcW w:w="675" w:type="dxa"/>
            <w:shd w:val="clear" w:color="auto" w:fill="BEBEBE" w:themeFill="background1" w:themeFillShade="BF"/>
            <w:vAlign w:val="center"/>
          </w:tcPr>
          <w:sdt>
            <w:sdtPr>
              <w:rPr>
                <w:rFonts w:ascii="Arial" w:hAnsi="Arial" w:cs="Arial"/>
              </w:rPr>
              <w:id w:val="853231794"/>
              <w14:checkbox>
                <w14:checked w14:val="0"/>
                <w14:checkedState w14:val="2612" w14:font="MS Gothic"/>
                <w14:uncheckedState w14:val="2610" w14:font="MS Gothic"/>
              </w14:checkbox>
            </w:sdtPr>
            <w:sdtEndPr>
              <w:rPr>
                <w:rFonts w:ascii="Arial" w:hAnsi="Arial" w:cs="Arial"/>
              </w:rPr>
            </w:sdtEndPr>
            <w:sdtContent>
              <w:p>
                <w:pPr>
                  <w:jc w:val="center"/>
                  <w:rPr>
                    <w:rFonts w:ascii="Arial" w:hAnsi="Arial" w:cs="Arial"/>
                    <w:sz w:val="22"/>
                    <w:szCs w:val="22"/>
                  </w:rPr>
                </w:pPr>
                <w:r>
                  <w:rPr>
                    <w:rFonts w:ascii="Segoe UI Symbol" w:hAnsi="Segoe UI Symbol" w:eastAsia="MS Gothic" w:cs="Segoe UI Symbol"/>
                  </w:rPr>
                  <w:t>☐</w:t>
                </w:r>
              </w:p>
            </w:sdtContent>
          </w:sdt>
        </w:tc>
        <w:tc>
          <w:tcPr>
            <w:tcW w:w="9810" w:type="dxa"/>
            <w:vAlign w:val="center"/>
          </w:tcPr>
          <w:p>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trPr>
          <w:trHeight w:val="720" w:hRule="atLeast"/>
        </w:trPr>
        <w:tc>
          <w:tcPr>
            <w:tcW w:w="675" w:type="dxa"/>
            <w:shd w:val="clear" w:color="auto" w:fill="BEBEBE"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rPr>
                <w:rFonts w:ascii="Arial" w:hAnsi="Arial" w:cs="Arial"/>
              </w:rPr>
            </w:sdtEndPr>
            <w:sdtContent>
              <w:p>
                <w:pPr>
                  <w:jc w:val="center"/>
                  <w:rPr>
                    <w:rFonts w:ascii="Arial" w:hAnsi="Arial" w:cs="Arial"/>
                  </w:rPr>
                </w:pPr>
                <w:r>
                  <w:rPr>
                    <w:rFonts w:ascii="Segoe UI Symbol" w:hAnsi="Segoe UI Symbol" w:eastAsia="MS Gothic" w:cs="Segoe UI Symbol"/>
                  </w:rPr>
                  <w:t>☐</w:t>
                </w:r>
              </w:p>
            </w:sdtContent>
          </w:sdt>
        </w:tc>
        <w:tc>
          <w:tcPr>
            <w:tcW w:w="9810" w:type="dxa"/>
            <w:vAlign w:val="center"/>
          </w:tcPr>
          <w:p>
            <w:pPr>
              <w:rPr>
                <w:rFonts w:ascii="Arial" w:hAnsi="Arial" w:cs="Arial"/>
                <w:sz w:val="22"/>
                <w:szCs w:val="22"/>
              </w:rPr>
            </w:pPr>
            <w:r>
              <w:rPr>
                <w:rFonts w:ascii="Arial" w:hAnsi="Arial" w:cs="Arial"/>
                <w:sz w:val="22"/>
                <w:szCs w:val="22"/>
              </w:rPr>
              <w:t xml:space="preserve">I have attached a full risk assessment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trPr>
          <w:trHeight w:val="858" w:hRule="atLeast"/>
        </w:trPr>
        <w:tc>
          <w:tcPr>
            <w:tcW w:w="675" w:type="dxa"/>
            <w:shd w:val="clear" w:color="auto" w:fill="BEBEBE"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rPr>
                <w:rFonts w:ascii="Arial" w:hAnsi="Arial" w:cs="Arial"/>
              </w:rPr>
            </w:sdtEndPr>
            <w:sdtContent>
              <w:p>
                <w:pPr>
                  <w:jc w:val="center"/>
                  <w:rPr>
                    <w:rFonts w:ascii="Arial" w:hAnsi="Arial" w:cs="Arial"/>
                    <w:sz w:val="22"/>
                    <w:szCs w:val="22"/>
                  </w:rPr>
                </w:pPr>
                <w:r>
                  <w:rPr>
                    <w:rFonts w:ascii="MS Gothic" w:hAnsi="MS Gothic" w:eastAsia="MS Gothic" w:cs="Segoe UI Symbol"/>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trPr>
          <w:trHeight w:val="969" w:hRule="atLeast"/>
        </w:trPr>
        <w:tc>
          <w:tcPr>
            <w:tcW w:w="675" w:type="dxa"/>
            <w:shd w:val="clear" w:color="auto" w:fill="BEBEBE"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rPr>
                <w:rFonts w:ascii="Arial" w:hAnsi="Arial" w:cs="Arial"/>
              </w:rPr>
            </w:sdtEndPr>
            <w:sdtContent>
              <w:p>
                <w:pPr>
                  <w:jc w:val="center"/>
                  <w:rPr>
                    <w:rFonts w:ascii="Arial" w:hAnsi="Arial" w:cs="Arial"/>
                    <w:sz w:val="22"/>
                    <w:szCs w:val="22"/>
                  </w:rPr>
                </w:pPr>
                <w:r>
                  <w:rPr>
                    <w:rFonts w:ascii="MS Gothic" w:hAnsi="MS Gothic" w:eastAsia="MS Gothic" w:cs="Segoe UI Symbol"/>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pPr>
        <w:tabs>
          <w:tab w:val="left" w:pos="5103"/>
        </w:tabs>
        <w:rPr>
          <w:rFonts w:ascii="Arial" w:hAnsi="Arial" w:cs="Arial"/>
          <w:b/>
          <w:bCs/>
          <w:sz w:val="22"/>
          <w:szCs w:val="22"/>
        </w:rPr>
      </w:pPr>
    </w:p>
    <w:tbl>
      <w:tblPr>
        <w:tblStyle w:val="6"/>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85"/>
      </w:tblGrid>
      <w:tr>
        <w:tc>
          <w:tcPr>
            <w:tcW w:w="10485" w:type="dxa"/>
            <w:shd w:val="clear" w:color="auto" w:fill="D8D8D8" w:themeFill="background1" w:themeFillShade="D9"/>
          </w:tcPr>
          <w:p>
            <w:pPr>
              <w:rPr>
                <w:rFonts w:ascii="Arial" w:hAnsi="Arial" w:cs="Arial"/>
                <w:b/>
                <w:sz w:val="22"/>
                <w:szCs w:val="22"/>
              </w:rPr>
            </w:pPr>
            <w:r>
              <w:rPr>
                <w:rFonts w:ascii="Arial" w:hAnsi="Arial" w:cs="Arial"/>
                <w:b/>
                <w:sz w:val="22"/>
                <w:szCs w:val="22"/>
              </w:rPr>
              <w:t>RESEARCH STUDENTS ONLY</w:t>
            </w:r>
          </w:p>
          <w:p>
            <w:pPr>
              <w:rPr>
                <w:rFonts w:ascii="Arial" w:hAnsi="Arial" w:cs="Arial"/>
                <w:sz w:val="22"/>
                <w:szCs w:val="22"/>
              </w:rPr>
            </w:pPr>
            <w:r>
              <w:rPr>
                <w:rFonts w:ascii="Arial" w:hAnsi="Arial" w:cs="Arial"/>
                <w:sz w:val="22"/>
                <w:szCs w:val="22"/>
              </w:rPr>
              <w:t xml:space="preserve">Once complete, submit this form via the </w:t>
            </w:r>
            <w:r>
              <w:rPr>
                <w:rFonts w:ascii="Arial" w:hAnsi="Arial" w:cs="Arial"/>
                <w:b/>
                <w:bCs/>
                <w:sz w:val="22"/>
                <w:szCs w:val="22"/>
                <w:u w:val="single"/>
              </w:rPr>
              <w:t>MyTSD Doctoral College Portal</w:t>
            </w:r>
            <w:r>
              <w:rPr>
                <w:rFonts w:ascii="Arial" w:hAnsi="Arial" w:cs="Arial"/>
                <w:sz w:val="22"/>
                <w:szCs w:val="22"/>
              </w:rPr>
              <w:t xml:space="preserve"> at (</w:t>
            </w:r>
            <w:r>
              <w:fldChar w:fldCharType="begin"/>
            </w:r>
            <w:r>
              <w:instrText xml:space="preserve"> HYPERLINK "https://mytsd.uwtsd.ac.uk" </w:instrText>
            </w:r>
            <w:r>
              <w:fldChar w:fldCharType="separate"/>
            </w:r>
            <w:r>
              <w:rPr>
                <w:rStyle w:val="8"/>
                <w:rFonts w:ascii="Arial" w:hAnsi="Arial" w:cs="Arial"/>
                <w:sz w:val="22"/>
                <w:szCs w:val="22"/>
              </w:rPr>
              <w:t>https://mytsd.uwtsd.ac.uk</w:t>
            </w:r>
            <w:r>
              <w:rPr>
                <w:rStyle w:val="8"/>
                <w:rFonts w:ascii="Arial" w:hAnsi="Arial" w:cs="Arial"/>
                <w:sz w:val="22"/>
                <w:szCs w:val="22"/>
              </w:rPr>
              <w:fldChar w:fldCharType="end"/>
            </w:r>
            <w:r>
              <w:rPr>
                <w:rFonts w:ascii="Arial" w:hAnsi="Arial" w:cs="Arial"/>
                <w:sz w:val="22"/>
                <w:szCs w:val="22"/>
              </w:rPr>
              <w:t>).</w:t>
            </w:r>
          </w:p>
          <w:p>
            <w:pPr>
              <w:rPr>
                <w:rFonts w:ascii="Arial" w:hAnsi="Arial" w:cs="Arial"/>
                <w:sz w:val="22"/>
                <w:szCs w:val="22"/>
              </w:rPr>
            </w:pPr>
          </w:p>
        </w:tc>
      </w:tr>
      <w:tr>
        <w:tc>
          <w:tcPr>
            <w:tcW w:w="10485" w:type="dxa"/>
            <w:shd w:val="clear" w:color="auto" w:fill="D8D8D8" w:themeFill="background1" w:themeFillShade="D9"/>
          </w:tcPr>
          <w:p>
            <w:pPr>
              <w:rPr>
                <w:rFonts w:ascii="Arial" w:hAnsi="Arial" w:cs="Arial"/>
                <w:b/>
                <w:sz w:val="22"/>
                <w:szCs w:val="22"/>
              </w:rPr>
            </w:pPr>
            <w:r>
              <w:rPr>
                <w:rFonts w:ascii="Arial" w:hAnsi="Arial" w:cs="Arial"/>
                <w:b/>
                <w:sz w:val="22"/>
                <w:szCs w:val="22"/>
              </w:rPr>
              <w:t>RESEARCH STAFF ONLY</w:t>
            </w:r>
          </w:p>
          <w:p>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8"/>
                <w:rFonts w:ascii="Arial" w:hAnsi="Arial" w:cs="Arial"/>
                <w:sz w:val="22"/>
                <w:szCs w:val="22"/>
              </w:rPr>
              <w:t>pgresearch@uwtsd.ac.uk</w:t>
            </w:r>
            <w:r>
              <w:rPr>
                <w:rStyle w:val="8"/>
                <w:rFonts w:ascii="Arial" w:hAnsi="Arial" w:cs="Arial"/>
                <w:sz w:val="22"/>
                <w:szCs w:val="22"/>
              </w:rPr>
              <w:fldChar w:fldCharType="end"/>
            </w:r>
            <w:r>
              <w:rPr>
                <w:rFonts w:ascii="Arial" w:hAnsi="Arial" w:cs="Arial"/>
                <w:sz w:val="22"/>
                <w:szCs w:val="22"/>
              </w:rPr>
              <w:t xml:space="preserve"> , with the title ‘Ethical Approval’ followed by your name.</w:t>
            </w:r>
          </w:p>
          <w:p>
            <w:pPr>
              <w:rPr>
                <w:rFonts w:ascii="Arial" w:hAnsi="Arial" w:cs="Arial"/>
                <w:sz w:val="22"/>
                <w:szCs w:val="22"/>
              </w:rPr>
            </w:pPr>
          </w:p>
        </w:tc>
      </w:tr>
      <w:tr>
        <w:tc>
          <w:tcPr>
            <w:tcW w:w="10485" w:type="dxa"/>
            <w:shd w:val="clear" w:color="auto" w:fill="D8D8D8" w:themeFill="background1" w:themeFillShade="D9"/>
          </w:tcPr>
          <w:p>
            <w:pPr>
              <w:pBdr>
                <w:top w:val="single" w:color="auto" w:sz="4" w:space="1"/>
                <w:left w:val="single" w:color="auto" w:sz="4" w:space="4"/>
                <w:bottom w:val="single" w:color="auto" w:sz="4" w:space="1"/>
                <w:right w:val="single" w:color="auto" w:sz="4" w:space="21"/>
                <w:between w:val="single" w:color="auto" w:sz="4" w:space="1"/>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pPr>
        <w:tabs>
          <w:tab w:val="left" w:pos="5103"/>
        </w:tabs>
        <w:rPr>
          <w:rFonts w:ascii="Arial" w:hAnsi="Arial" w:cs="Arial"/>
          <w:bCs/>
          <w:sz w:val="22"/>
          <w:szCs w:val="22"/>
        </w:rPr>
      </w:pPr>
    </w:p>
    <w:p>
      <w:pPr>
        <w:tabs>
          <w:tab w:val="left" w:pos="5103"/>
        </w:tabs>
      </w:pPr>
      <w:r>
        <w:drawing>
          <wp:inline distT="0" distB="0" distL="114300" distR="114300">
            <wp:extent cx="5738495" cy="6521450"/>
            <wp:effectExtent l="0" t="0" r="1905" b="635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1"/>
                    <pic:cNvPicPr>
                      <a:picLocks noChangeAspect="1"/>
                    </pic:cNvPicPr>
                  </pic:nvPicPr>
                  <pic:blipFill>
                    <a:blip r:embed="rId6"/>
                    <a:stretch>
                      <a:fillRect/>
                    </a:stretch>
                  </pic:blipFill>
                  <pic:spPr>
                    <a:xfrm>
                      <a:off x="0" y="0"/>
                      <a:ext cx="5738495" cy="6521450"/>
                    </a:xfrm>
                    <a:prstGeom prst="rect">
                      <a:avLst/>
                    </a:prstGeom>
                    <a:noFill/>
                    <a:ln>
                      <a:noFill/>
                    </a:ln>
                  </pic:spPr>
                </pic:pic>
              </a:graphicData>
            </a:graphic>
          </wp:inline>
        </w:drawing>
      </w:r>
    </w:p>
    <w:p>
      <w:pPr>
        <w:tabs>
          <w:tab w:val="left" w:pos="5103"/>
        </w:tabs>
      </w:pPr>
    </w:p>
    <w:p>
      <w:pPr>
        <w:tabs>
          <w:tab w:val="left" w:pos="5103"/>
        </w:tabs>
      </w:pPr>
    </w:p>
    <w:p>
      <w:pPr>
        <w:tabs>
          <w:tab w:val="left" w:pos="5103"/>
        </w:tabs>
      </w:pPr>
    </w:p>
    <w:p>
      <w:pPr>
        <w:tabs>
          <w:tab w:val="left" w:pos="5103"/>
        </w:tabs>
      </w:pPr>
    </w:p>
    <w:p>
      <w:pPr>
        <w:tabs>
          <w:tab w:val="left" w:pos="5103"/>
        </w:tabs>
      </w:pPr>
    </w:p>
    <w:p>
      <w:pPr>
        <w:tabs>
          <w:tab w:val="left" w:pos="5103"/>
        </w:tabs>
      </w:pPr>
    </w:p>
    <w:p>
      <w:pPr>
        <w:tabs>
          <w:tab w:val="left" w:pos="5103"/>
        </w:tabs>
      </w:pPr>
    </w:p>
    <w:p>
      <w:pPr>
        <w:tabs>
          <w:tab w:val="left" w:pos="5103"/>
        </w:tabs>
      </w:pPr>
    </w:p>
    <w:p>
      <w:pPr>
        <w:tabs>
          <w:tab w:val="left" w:pos="5103"/>
        </w:tabs>
      </w:pPr>
    </w:p>
    <w:p>
      <w:pPr>
        <w:tabs>
          <w:tab w:val="left" w:pos="5103"/>
        </w:tabs>
      </w:pPr>
    </w:p>
    <w:p>
      <w:pPr>
        <w:tabs>
          <w:tab w:val="left" w:pos="5103"/>
        </w:tabs>
      </w:pPr>
    </w:p>
    <w:p>
      <w:pPr>
        <w:tabs>
          <w:tab w:val="left" w:pos="5103"/>
        </w:tabs>
      </w:pPr>
    </w:p>
    <w:p>
      <w:pPr>
        <w:tabs>
          <w:tab w:val="left" w:pos="5103"/>
        </w:tabs>
      </w:pPr>
    </w:p>
    <w:p>
      <w:pPr>
        <w:tabs>
          <w:tab w:val="left" w:pos="5103"/>
        </w:tabs>
      </w:pPr>
    </w:p>
    <w:p>
      <w:pPr>
        <w:tabs>
          <w:tab w:val="left" w:pos="5103"/>
        </w:tabs>
      </w:pPr>
    </w:p>
    <w:p>
      <w:pPr>
        <w:tabs>
          <w:tab w:val="left" w:pos="5103"/>
        </w:tabs>
      </w:pPr>
    </w:p>
    <w:p>
      <w:pPr>
        <w:tabs>
          <w:tab w:val="left" w:pos="5103"/>
        </w:tabs>
      </w:pPr>
    </w:p>
    <w:p>
      <w:pPr>
        <w:tabs>
          <w:tab w:val="left" w:pos="5103"/>
        </w:tabs>
      </w:pPr>
    </w:p>
    <w:p>
      <w:pPr>
        <w:tabs>
          <w:tab w:val="left" w:pos="5103"/>
        </w:tabs>
      </w:pPr>
    </w:p>
    <w:p/>
    <w:p/>
    <w:tbl>
      <w:tblPr>
        <w:tblStyle w:val="6"/>
        <w:tblW w:w="9464" w:type="dxa"/>
        <w:tblInd w:w="0" w:type="dxa"/>
        <w:tblLayout w:type="autofit"/>
        <w:tblCellMar>
          <w:top w:w="0" w:type="dxa"/>
          <w:left w:w="108" w:type="dxa"/>
          <w:bottom w:w="0" w:type="dxa"/>
          <w:right w:w="108" w:type="dxa"/>
        </w:tblCellMar>
      </w:tblPr>
      <w:tblGrid>
        <w:gridCol w:w="2860"/>
        <w:gridCol w:w="5470"/>
        <w:gridCol w:w="1134"/>
      </w:tblGrid>
      <w:tr>
        <w:trPr>
          <w:trHeight w:val="605" w:hRule="atLeast"/>
        </w:trPr>
        <w:tc>
          <w:tcPr>
            <w:tcW w:w="9464" w:type="dxa"/>
            <w:gridSpan w:val="3"/>
            <w:tcBorders>
              <w:top w:val="double" w:color="000000" w:sz="6" w:space="0"/>
              <w:left w:val="double" w:color="000000" w:sz="6" w:space="0"/>
              <w:bottom w:val="double" w:color="000000" w:sz="6" w:space="0"/>
              <w:right w:val="double" w:color="000000" w:sz="6" w:space="0"/>
            </w:tcBorders>
          </w:tcPr>
          <w:p>
            <w:pPr>
              <w:pStyle w:val="33"/>
              <w:rPr>
                <w:rFonts w:hint="default" w:ascii="Arial Bold" w:hAnsi="Arial Bold" w:cs="Arial Bold"/>
                <w:b/>
                <w:bCs/>
                <w:sz w:val="22"/>
                <w:szCs w:val="22"/>
                <w:lang w:val="en-US"/>
              </w:rPr>
            </w:pPr>
            <w:r>
              <w:rPr>
                <w:rFonts w:hint="default" w:ascii="Arial Bold" w:hAnsi="Arial Bold" w:cs="Arial Bold"/>
                <w:b/>
                <w:bCs/>
                <w:sz w:val="22"/>
                <w:szCs w:val="22"/>
                <w:lang w:val="en-US"/>
              </w:rPr>
              <w:t>University of Wales Trinity Saint David</w:t>
            </w:r>
          </w:p>
          <w:p>
            <w:pPr>
              <w:pStyle w:val="33"/>
              <w:rPr>
                <w:rFonts w:hint="eastAsia"/>
                <w:sz w:val="26"/>
                <w:szCs w:val="26"/>
              </w:rPr>
            </w:pPr>
            <w:r>
              <w:rPr>
                <w:rFonts w:hint="default" w:ascii="Arial Bold" w:hAnsi="Arial Bold" w:cs="Arial Bold"/>
                <w:b/>
                <w:bCs/>
                <w:sz w:val="22"/>
                <w:szCs w:val="22"/>
                <w:lang w:val="en-US"/>
              </w:rPr>
              <w:t>Master of Business Administration</w:t>
            </w:r>
          </w:p>
        </w:tc>
      </w:tr>
      <w:tr>
        <w:trPr>
          <w:trHeight w:val="363" w:hRule="atLeast"/>
        </w:trPr>
        <w:tc>
          <w:tcPr>
            <w:tcW w:w="9464" w:type="dxa"/>
            <w:gridSpan w:val="3"/>
            <w:tcBorders>
              <w:top w:val="double" w:color="000000" w:sz="6" w:space="0"/>
              <w:left w:val="double" w:color="000000" w:sz="6" w:space="0"/>
              <w:bottom w:val="double" w:color="000000" w:sz="6" w:space="0"/>
              <w:right w:val="double" w:color="000000" w:sz="6" w:space="0"/>
            </w:tcBorders>
            <w:vAlign w:val="center"/>
          </w:tcPr>
          <w:p>
            <w:pPr>
              <w:pStyle w:val="33"/>
              <w:jc w:val="both"/>
              <w:rPr>
                <w:rFonts w:ascii="Times New Roman" w:hAnsi="Times New Roman" w:cs="Times New Roman"/>
              </w:rPr>
            </w:pPr>
            <w:r>
              <w:rPr>
                <w:rFonts w:ascii="Times New Roman" w:hAnsi="Times New Roman" w:cs="Times New Roman"/>
              </w:rPr>
              <w:t>Proposal</w:t>
            </w:r>
          </w:p>
        </w:tc>
      </w:tr>
      <w:tr>
        <w:trPr>
          <w:trHeight w:val="518" w:hRule="atLeast"/>
        </w:trPr>
        <w:tc>
          <w:tcPr>
            <w:tcW w:w="2860" w:type="dxa"/>
            <w:tcBorders>
              <w:top w:val="double" w:color="000000" w:sz="6" w:space="0"/>
              <w:left w:val="double" w:color="000000" w:sz="6" w:space="0"/>
              <w:bottom w:val="single" w:color="000000" w:sz="6" w:space="0"/>
              <w:right w:val="single" w:color="000000" w:sz="6" w:space="0"/>
            </w:tcBorders>
          </w:tcPr>
          <w:p>
            <w:pPr>
              <w:pStyle w:val="33"/>
              <w:spacing w:before="120" w:beforeLines="50"/>
              <w:rPr>
                <w:rFonts w:hint="default" w:ascii="Times New Roman Bold" w:hAnsi="Times New Roman Bold" w:cs="Times New Roman Bold"/>
                <w:b/>
                <w:bCs/>
                <w:sz w:val="22"/>
                <w:szCs w:val="22"/>
              </w:rPr>
            </w:pPr>
            <w:r>
              <w:rPr>
                <w:rFonts w:hint="default" w:ascii="Times New Roman Bold" w:hAnsi="Times New Roman Bold" w:cs="Times New Roman Bold"/>
                <w:b/>
                <w:bCs/>
                <w:sz w:val="22"/>
                <w:szCs w:val="22"/>
              </w:rPr>
              <w:t xml:space="preserve">Name </w:t>
            </w:r>
          </w:p>
        </w:tc>
        <w:tc>
          <w:tcPr>
            <w:tcW w:w="6604" w:type="dxa"/>
            <w:gridSpan w:val="2"/>
            <w:tcBorders>
              <w:top w:val="double" w:color="000000" w:sz="6" w:space="0"/>
              <w:left w:val="single" w:color="000000" w:sz="6" w:space="0"/>
              <w:bottom w:val="single" w:color="000000" w:sz="6" w:space="0"/>
              <w:right w:val="double" w:color="000000" w:sz="6" w:space="0"/>
            </w:tcBorders>
          </w:tcPr>
          <w:p>
            <w:pPr>
              <w:pStyle w:val="33"/>
              <w:rPr>
                <w:rFonts w:hint="default" w:ascii="Times New Roman" w:hAnsi="Times New Roman" w:cs="Times New Roman"/>
                <w:color w:val="auto"/>
                <w:lang w:val="en-US"/>
              </w:rPr>
            </w:pPr>
            <w:r>
              <w:rPr>
                <w:rFonts w:hint="default" w:ascii="Times New Roman" w:hAnsi="Times New Roman" w:cs="Times New Roman"/>
                <w:color w:val="auto"/>
                <w:lang w:val="en-US"/>
              </w:rPr>
              <w:t>Kwan Mei Yan</w:t>
            </w:r>
          </w:p>
        </w:tc>
      </w:tr>
      <w:tr>
        <w:trPr>
          <w:trHeight w:val="513" w:hRule="atLeast"/>
        </w:trPr>
        <w:tc>
          <w:tcPr>
            <w:tcW w:w="2860" w:type="dxa"/>
            <w:tcBorders>
              <w:top w:val="single" w:color="000000" w:sz="6" w:space="0"/>
              <w:left w:val="double" w:color="000000" w:sz="6" w:space="0"/>
              <w:bottom w:val="single" w:color="000000" w:sz="6" w:space="0"/>
              <w:right w:val="single" w:color="000000" w:sz="6" w:space="0"/>
            </w:tcBorders>
          </w:tcPr>
          <w:p>
            <w:pPr>
              <w:pStyle w:val="33"/>
              <w:spacing w:before="120" w:beforeLines="50"/>
              <w:rPr>
                <w:rFonts w:hint="default" w:ascii="Times New Roman Bold" w:hAnsi="Times New Roman Bold" w:cs="Times New Roman Bold"/>
                <w:b/>
                <w:bCs/>
                <w:sz w:val="22"/>
                <w:szCs w:val="22"/>
              </w:rPr>
            </w:pPr>
            <w:r>
              <w:rPr>
                <w:rFonts w:hint="default" w:ascii="Times New Roman Bold" w:hAnsi="Times New Roman Bold" w:cs="Times New Roman Bold"/>
                <w:b/>
                <w:bCs/>
                <w:sz w:val="22"/>
                <w:szCs w:val="22"/>
              </w:rPr>
              <w:t xml:space="preserve">Student Number </w:t>
            </w:r>
          </w:p>
        </w:tc>
        <w:tc>
          <w:tcPr>
            <w:tcW w:w="6604" w:type="dxa"/>
            <w:gridSpan w:val="2"/>
            <w:tcBorders>
              <w:top w:val="single" w:color="000000" w:sz="6" w:space="0"/>
              <w:left w:val="single" w:color="000000" w:sz="6" w:space="0"/>
              <w:bottom w:val="single" w:color="000000" w:sz="6" w:space="0"/>
              <w:right w:val="double" w:color="000000" w:sz="6" w:space="0"/>
            </w:tcBorders>
          </w:tcPr>
          <w:p>
            <w:pPr>
              <w:pStyle w:val="33"/>
              <w:rPr>
                <w:rFonts w:ascii="Times New Roman" w:hAnsi="Times New Roman" w:cs="Times New Roman"/>
                <w:color w:val="auto"/>
              </w:rPr>
            </w:pPr>
            <w:r>
              <w:rPr>
                <w:rFonts w:ascii="Arial" w:hAnsi="Arial" w:cs="Arial"/>
                <w:sz w:val="22"/>
                <w:szCs w:val="22"/>
                <w:lang w:val="en-US"/>
              </w:rPr>
              <w:t>2337373</w:t>
            </w:r>
          </w:p>
        </w:tc>
      </w:tr>
      <w:tr>
        <w:trPr>
          <w:trHeight w:val="915" w:hRule="atLeast"/>
        </w:trPr>
        <w:tc>
          <w:tcPr>
            <w:tcW w:w="2860" w:type="dxa"/>
            <w:tcBorders>
              <w:top w:val="single" w:color="000000" w:sz="6" w:space="0"/>
              <w:left w:val="double" w:color="000000" w:sz="6" w:space="0"/>
              <w:bottom w:val="single" w:color="000000" w:sz="6" w:space="0"/>
              <w:right w:val="single" w:color="000000" w:sz="6" w:space="0"/>
            </w:tcBorders>
          </w:tcPr>
          <w:p>
            <w:pPr>
              <w:pStyle w:val="33"/>
              <w:spacing w:before="120" w:beforeLines="50"/>
              <w:rPr>
                <w:rFonts w:hint="default" w:ascii="Times New Roman Bold" w:hAnsi="Times New Roman Bold" w:cs="Times New Roman Bold"/>
                <w:b/>
                <w:bCs/>
                <w:sz w:val="22"/>
                <w:szCs w:val="22"/>
              </w:rPr>
            </w:pPr>
            <w:r>
              <w:rPr>
                <w:rFonts w:hint="default" w:ascii="Times New Roman Bold" w:hAnsi="Times New Roman Bold" w:cs="Times New Roman Bold"/>
                <w:b/>
                <w:bCs/>
                <w:sz w:val="22"/>
                <w:szCs w:val="22"/>
              </w:rPr>
              <w:t xml:space="preserve">Proposed Title </w:t>
            </w:r>
          </w:p>
        </w:tc>
        <w:tc>
          <w:tcPr>
            <w:tcW w:w="6604" w:type="dxa"/>
            <w:gridSpan w:val="2"/>
            <w:tcBorders>
              <w:top w:val="single" w:color="000000" w:sz="6" w:space="0"/>
              <w:left w:val="single" w:color="000000" w:sz="6" w:space="0"/>
              <w:bottom w:val="single" w:color="000000" w:sz="6" w:space="0"/>
              <w:right w:val="double" w:color="000000" w:sz="6" w:space="0"/>
            </w:tcBorders>
          </w:tcPr>
          <w:p>
            <w:pPr>
              <w:shd w:val="clear" w:color="auto" w:fill="FFFFFF"/>
              <w:rPr>
                <w:rFonts w:ascii="Times New Roman" w:hAnsi="Times New Roman"/>
              </w:rPr>
            </w:pPr>
            <w:r>
              <w:rPr>
                <w:rFonts w:hint="eastAsia"/>
                <w:b w:val="0"/>
                <w:bCs w:val="0"/>
              </w:rPr>
              <w:t>Factors Influencing Healthcare Choices of Hong Kong Residents</w:t>
            </w:r>
          </w:p>
        </w:tc>
      </w:tr>
      <w:tr>
        <w:trPr>
          <w:trHeight w:val="580" w:hRule="atLeast"/>
        </w:trPr>
        <w:tc>
          <w:tcPr>
            <w:tcW w:w="2860" w:type="dxa"/>
            <w:tcBorders>
              <w:top w:val="single" w:color="000000" w:sz="6" w:space="0"/>
              <w:left w:val="double" w:color="000000" w:sz="6" w:space="0"/>
              <w:bottom w:val="single" w:color="000000" w:sz="6" w:space="0"/>
              <w:right w:val="single" w:color="000000" w:sz="6" w:space="0"/>
            </w:tcBorders>
          </w:tcPr>
          <w:p>
            <w:pPr>
              <w:pStyle w:val="33"/>
              <w:spacing w:before="120" w:beforeLines="50"/>
              <w:rPr>
                <w:rFonts w:hint="default" w:ascii="Times New Roman Bold" w:hAnsi="Times New Roman Bold" w:cs="Times New Roman Bold"/>
                <w:b/>
                <w:bCs/>
                <w:sz w:val="22"/>
                <w:szCs w:val="22"/>
              </w:rPr>
            </w:pPr>
            <w:r>
              <w:rPr>
                <w:rFonts w:hint="default" w:ascii="Times New Roman Bold" w:hAnsi="Times New Roman Bold" w:cs="Times New Roman Bold"/>
                <w:b/>
                <w:bCs/>
                <w:sz w:val="22"/>
                <w:szCs w:val="22"/>
              </w:rPr>
              <w:t xml:space="preserve">Dissertation Tutor </w:t>
            </w:r>
          </w:p>
        </w:tc>
        <w:tc>
          <w:tcPr>
            <w:tcW w:w="6604" w:type="dxa"/>
            <w:gridSpan w:val="2"/>
            <w:tcBorders>
              <w:top w:val="single" w:color="000000" w:sz="6" w:space="0"/>
              <w:left w:val="single" w:color="000000" w:sz="6" w:space="0"/>
              <w:bottom w:val="single" w:color="000000" w:sz="6" w:space="0"/>
              <w:right w:val="double" w:color="000000" w:sz="6" w:space="0"/>
            </w:tcBorders>
          </w:tcPr>
          <w:p>
            <w:pPr>
              <w:pStyle w:val="33"/>
              <w:rPr>
                <w:rFonts w:hint="default" w:ascii="Times New Roman" w:hAnsi="Times New Roman" w:cs="Times New Roman"/>
                <w:color w:val="auto"/>
                <w:lang w:val="en-US"/>
              </w:rPr>
            </w:pPr>
            <w:r>
              <w:rPr>
                <w:rFonts w:hint="default" w:ascii="Times New Roman" w:hAnsi="Times New Roman" w:cs="Times New Roman"/>
                <w:color w:val="auto"/>
                <w:lang w:val="en-US"/>
              </w:rPr>
              <w:t>Dr Joe Leung</w:t>
            </w:r>
          </w:p>
        </w:tc>
      </w:tr>
      <w:tr>
        <w:trPr>
          <w:trHeight w:val="9467" w:hRule="atLeast"/>
        </w:trPr>
        <w:tc>
          <w:tcPr>
            <w:tcW w:w="8330" w:type="dxa"/>
            <w:gridSpan w:val="2"/>
            <w:tcBorders>
              <w:top w:val="double" w:color="000000" w:sz="2" w:space="0"/>
              <w:left w:val="double" w:color="000000" w:sz="2" w:space="0"/>
              <w:bottom w:val="double" w:color="000000" w:sz="2" w:space="0"/>
              <w:right w:val="single" w:color="auto" w:sz="4" w:space="0"/>
            </w:tcBorders>
          </w:tcPr>
          <w:p>
            <w:pPr>
              <w:pStyle w:val="33"/>
              <w:rPr>
                <w:rFonts w:hint="default" w:ascii="Times New Roman Bold" w:hAnsi="Times New Roman Bold" w:cs="Times New Roman Bold"/>
                <w:b/>
                <w:bCs/>
              </w:rPr>
            </w:pPr>
            <w:r>
              <w:rPr>
                <w:rFonts w:hint="default" w:ascii="Times New Roman Bold" w:hAnsi="Times New Roman Bold" w:cs="Times New Roman Bold"/>
                <w:b/>
                <w:bCs/>
              </w:rPr>
              <w:t>Contents</w:t>
            </w:r>
          </w:p>
          <w:p>
            <w:pPr>
              <w:pStyle w:val="33"/>
              <w:rPr>
                <w:rFonts w:ascii="Times New Roman" w:hAnsi="Times New Roman" w:cs="Times New Roman"/>
              </w:rPr>
            </w:pPr>
          </w:p>
          <w:p>
            <w:pPr>
              <w:pStyle w:val="33"/>
              <w:rPr>
                <w:rFonts w:ascii="Times New Roman" w:hAnsi="Times New Roman" w:cs="Times New Roman"/>
              </w:rPr>
            </w:pPr>
            <w:r>
              <w:rPr>
                <w:rFonts w:ascii="Times New Roman" w:hAnsi="Times New Roman" w:cs="Times New Roman"/>
              </w:rPr>
              <w:t>Introduction</w:t>
            </w:r>
          </w:p>
          <w:p>
            <w:pPr>
              <w:pStyle w:val="33"/>
              <w:rPr>
                <w:rFonts w:ascii="Times New Roman" w:hAnsi="Times New Roman" w:cs="Times New Roman"/>
              </w:rPr>
            </w:pPr>
          </w:p>
          <w:p>
            <w:pPr>
              <w:numPr>
                <w:ilvl w:val="1"/>
                <w:numId w:val="4"/>
              </w:num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Field of Research / Background</w:t>
            </w:r>
          </w:p>
          <w:p>
            <w:pPr>
              <w:numPr>
                <w:ilvl w:val="1"/>
                <w:numId w:val="4"/>
              </w:numPr>
              <w:spacing w:line="360" w:lineRule="auto"/>
              <w:ind w:left="0" w:leftChars="0" w:firstLine="0" w:firstLineChars="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Identification of the Research Problem</w:t>
            </w:r>
          </w:p>
          <w:p>
            <w:pPr>
              <w:numPr>
                <w:ilvl w:val="1"/>
                <w:numId w:val="4"/>
              </w:numPr>
              <w:spacing w:line="360" w:lineRule="auto"/>
              <w:ind w:left="0" w:leftChars="0" w:firstLine="0" w:firstLineChars="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Research Objectives</w:t>
            </w:r>
          </w:p>
          <w:p>
            <w:pPr>
              <w:numPr>
                <w:ilvl w:val="1"/>
                <w:numId w:val="4"/>
              </w:numPr>
              <w:spacing w:line="360" w:lineRule="auto"/>
              <w:ind w:left="0" w:leftChars="0" w:firstLine="0" w:firstLineChars="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Research Questions </w:t>
            </w:r>
            <w:r>
              <w:rPr>
                <w:rFonts w:hint="default" w:ascii="Times New Roman Regular" w:hAnsi="Times New Roman Regular" w:cs="Times New Roman Regular"/>
                <w:sz w:val="24"/>
                <w:szCs w:val="24"/>
                <w:lang w:val="en-US"/>
              </w:rPr>
              <w:t xml:space="preserve"> </w:t>
            </w:r>
          </w:p>
          <w:p>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1.5 Value/Contribution of the Research</w:t>
            </w:r>
          </w:p>
          <w:p>
            <w:pPr>
              <w:numPr>
                <w:numId w:val="0"/>
              </w:numPr>
              <w:spacing w:line="360" w:lineRule="auto"/>
              <w:ind w:leftChars="0"/>
              <w:jc w:val="both"/>
              <w:rPr>
                <w:rFonts w:hint="default" w:ascii="Times New Roman Regular" w:hAnsi="Times New Roman Regular" w:cs="Times New Roman Regular"/>
                <w:sz w:val="24"/>
                <w:szCs w:val="24"/>
              </w:rPr>
            </w:pPr>
          </w:p>
          <w:p>
            <w:pPr>
              <w:numPr>
                <w:numId w:val="0"/>
              </w:numPr>
              <w:spacing w:line="360" w:lineRule="auto"/>
              <w:ind w:leftChars="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lang w:val="en-US"/>
              </w:rPr>
              <w:t xml:space="preserve"> </w:t>
            </w:r>
            <w:r>
              <w:rPr>
                <w:rFonts w:hint="default" w:ascii="Times New Roman Regular" w:hAnsi="Times New Roman Regular" w:cs="Times New Roman Regular"/>
                <w:sz w:val="24"/>
                <w:szCs w:val="24"/>
              </w:rPr>
              <w:t>2.1 Discussion of Research Focus Areas</w:t>
            </w:r>
          </w:p>
          <w:p>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lang w:val="en-US"/>
              </w:rPr>
              <w:t xml:space="preserve">2.1.1 </w:t>
            </w:r>
            <w:r>
              <w:rPr>
                <w:rFonts w:hint="default" w:ascii="Times New Roman Regular" w:hAnsi="Times New Roman Regular" w:cs="Times New Roman Regular"/>
                <w:sz w:val="24"/>
                <w:szCs w:val="24"/>
              </w:rPr>
              <w:t>Independent Variables (IVs)</w:t>
            </w:r>
          </w:p>
          <w:p>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lang w:val="en-US"/>
              </w:rPr>
              <w:t xml:space="preserve">2.1.2 </w:t>
            </w:r>
            <w:r>
              <w:rPr>
                <w:rFonts w:hint="default" w:ascii="Times New Roman Regular" w:hAnsi="Times New Roman Regular" w:cs="Times New Roman Regular"/>
                <w:sz w:val="24"/>
                <w:szCs w:val="24"/>
              </w:rPr>
              <w:t>Dependent Variables (DVs)</w:t>
            </w:r>
          </w:p>
          <w:p>
            <w:pPr>
              <w:pStyle w:val="33"/>
              <w:rPr>
                <w:rFonts w:ascii="Times New Roman" w:hAnsi="Times New Roman" w:cs="Times New Roman"/>
              </w:rPr>
            </w:pPr>
          </w:p>
          <w:p>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3.1 Research Method </w:t>
            </w:r>
          </w:p>
          <w:p>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3.2 Population </w:t>
            </w:r>
          </w:p>
          <w:p>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3.3 Explain Relevant Methods for Data Analysis </w:t>
            </w:r>
          </w:p>
          <w:p>
            <w:pPr>
              <w:spacing w:line="360" w:lineRule="auto"/>
              <w:jc w:val="both"/>
              <w:rPr>
                <w:rFonts w:hint="default" w:ascii="Times New Roman Regular" w:hAnsi="Times New Roman Regular" w:cs="Times New Roman Regular"/>
                <w:sz w:val="24"/>
                <w:szCs w:val="24"/>
              </w:rPr>
            </w:pPr>
          </w:p>
          <w:p>
            <w:pPr>
              <w:rPr>
                <w:rFonts w:hint="default"/>
                <w:sz w:val="24"/>
                <w:szCs w:val="24"/>
                <w:lang w:val="en-US"/>
              </w:rPr>
            </w:pPr>
            <w:r>
              <w:rPr>
                <w:rFonts w:hint="default"/>
                <w:sz w:val="24"/>
                <w:szCs w:val="24"/>
                <w:lang w:val="en-US"/>
              </w:rPr>
              <w:t>Reference</w:t>
            </w:r>
            <w:bookmarkStart w:id="0" w:name="_GoBack"/>
            <w:bookmarkEnd w:id="0"/>
          </w:p>
          <w:p>
            <w:pPr>
              <w:spacing w:line="360" w:lineRule="auto"/>
              <w:jc w:val="both"/>
              <w:rPr>
                <w:rFonts w:hint="default" w:ascii="Times New Roman Regular" w:hAnsi="Times New Roman Regular" w:cs="Times New Roman Regular"/>
                <w:sz w:val="24"/>
                <w:szCs w:val="24"/>
              </w:rPr>
            </w:pPr>
          </w:p>
          <w:p>
            <w:pPr>
              <w:pStyle w:val="33"/>
              <w:rPr>
                <w:rFonts w:ascii="Times New Roman" w:hAnsi="Times New Roman" w:cs="Times New Roman"/>
              </w:rPr>
            </w:pPr>
          </w:p>
        </w:tc>
        <w:tc>
          <w:tcPr>
            <w:tcW w:w="1134" w:type="dxa"/>
            <w:tcBorders>
              <w:top w:val="double" w:color="000000" w:sz="2" w:space="0"/>
              <w:left w:val="single" w:color="auto" w:sz="4" w:space="0"/>
              <w:bottom w:val="double" w:color="000000" w:sz="2" w:space="0"/>
              <w:right w:val="double" w:color="000000" w:sz="2" w:space="0"/>
            </w:tcBorders>
          </w:tcPr>
          <w:p>
            <w:pPr>
              <w:pStyle w:val="33"/>
              <w:rPr>
                <w:rFonts w:hint="eastAsia" w:ascii="TRAZV A+ Times" w:hAnsi="TRAZV A+ Times" w:cs="TRAZV A+ Times"/>
                <w:b/>
                <w:bCs/>
              </w:rPr>
            </w:pPr>
            <w:r>
              <w:rPr>
                <w:rFonts w:ascii="TRAZV A+ Times" w:hAnsi="TRAZV A+ Times" w:cs="TRAZV A+ Times"/>
                <w:b/>
                <w:bCs/>
              </w:rPr>
              <w:t>Page</w:t>
            </w:r>
          </w:p>
          <w:p>
            <w:pPr>
              <w:pStyle w:val="33"/>
              <w:rPr>
                <w:rFonts w:hint="eastAsia" w:ascii="TRAZV A+ Times" w:hAnsi="TRAZV A+ Times" w:cs="TRAZV A+ Times"/>
              </w:rPr>
            </w:pPr>
          </w:p>
          <w:p>
            <w:pPr>
              <w:pStyle w:val="33"/>
              <w:rPr>
                <w:rFonts w:hint="default" w:ascii="TRAZV A+ Times" w:hAnsi="TRAZV A+ Times" w:cs="TRAZV A+ Times"/>
                <w:lang w:val="en-US"/>
              </w:rPr>
            </w:pPr>
            <w:r>
              <w:rPr>
                <w:rFonts w:hint="default" w:ascii="TRAZV A+ Times" w:hAnsi="TRAZV A+ Times" w:cs="TRAZV A+ Times"/>
                <w:lang w:val="en-US"/>
              </w:rPr>
              <w:t>17</w:t>
            </w:r>
          </w:p>
          <w:p>
            <w:pPr>
              <w:pStyle w:val="33"/>
              <w:rPr>
                <w:rFonts w:ascii="TRAZV A+ Times" w:hAnsi="TRAZV A+ Times" w:cs="TRAZV A+ Times"/>
              </w:rPr>
            </w:pPr>
          </w:p>
          <w:p>
            <w:pPr>
              <w:pStyle w:val="33"/>
              <w:spacing w:line="360" w:lineRule="auto"/>
              <w:rPr>
                <w:rFonts w:hint="default" w:ascii="TRAZV A+ Times" w:hAnsi="TRAZV A+ Times" w:cs="TRAZV A+ Times"/>
                <w:lang w:val="en-US"/>
              </w:rPr>
            </w:pPr>
            <w:r>
              <w:rPr>
                <w:rFonts w:hint="default" w:ascii="TRAZV A+ Times" w:hAnsi="TRAZV A+ Times" w:cs="TRAZV A+ Times"/>
                <w:lang w:val="en-US"/>
              </w:rPr>
              <w:t>17</w:t>
            </w:r>
          </w:p>
          <w:p>
            <w:pPr>
              <w:pStyle w:val="33"/>
              <w:spacing w:line="360" w:lineRule="auto"/>
              <w:rPr>
                <w:rFonts w:hint="default" w:ascii="TRAZV A+ Times" w:hAnsi="TRAZV A+ Times" w:cs="TRAZV A+ Times"/>
                <w:lang w:val="en-US"/>
              </w:rPr>
            </w:pPr>
            <w:r>
              <w:rPr>
                <w:rFonts w:hint="default" w:ascii="TRAZV A+ Times" w:hAnsi="TRAZV A+ Times" w:cs="TRAZV A+ Times"/>
                <w:lang w:val="en-US"/>
              </w:rPr>
              <w:t>17</w:t>
            </w:r>
          </w:p>
          <w:p>
            <w:pPr>
              <w:pStyle w:val="33"/>
              <w:spacing w:line="360" w:lineRule="auto"/>
              <w:rPr>
                <w:rFonts w:hint="default" w:ascii="TRAZV A+ Times" w:hAnsi="TRAZV A+ Times" w:cs="TRAZV A+ Times"/>
                <w:lang w:val="en-US"/>
              </w:rPr>
            </w:pPr>
            <w:r>
              <w:rPr>
                <w:rFonts w:hint="default" w:ascii="TRAZV A+ Times" w:hAnsi="TRAZV A+ Times" w:cs="TRAZV A+ Times"/>
                <w:lang w:val="en-US"/>
              </w:rPr>
              <w:t>17</w:t>
            </w:r>
          </w:p>
          <w:p>
            <w:pPr>
              <w:pStyle w:val="33"/>
              <w:spacing w:line="360" w:lineRule="auto"/>
              <w:rPr>
                <w:rFonts w:hint="default" w:ascii="TRAZV A+ Times" w:hAnsi="TRAZV A+ Times" w:cs="TRAZV A+ Times"/>
                <w:lang w:val="en-US"/>
              </w:rPr>
            </w:pPr>
            <w:r>
              <w:rPr>
                <w:rFonts w:hint="default" w:ascii="TRAZV A+ Times" w:hAnsi="TRAZV A+ Times" w:cs="TRAZV A+ Times"/>
                <w:lang w:val="en-US"/>
              </w:rPr>
              <w:t>18</w:t>
            </w:r>
          </w:p>
          <w:p>
            <w:pPr>
              <w:pStyle w:val="33"/>
              <w:spacing w:line="360" w:lineRule="auto"/>
              <w:rPr>
                <w:rFonts w:hint="default" w:ascii="TRAZV A+ Times" w:hAnsi="TRAZV A+ Times" w:cs="TRAZV A+ Times"/>
                <w:lang w:val="en-US"/>
              </w:rPr>
            </w:pPr>
            <w:r>
              <w:rPr>
                <w:rFonts w:hint="default" w:ascii="TRAZV A+ Times" w:hAnsi="TRAZV A+ Times" w:cs="TRAZV A+ Times"/>
                <w:lang w:val="en-US"/>
              </w:rPr>
              <w:t>19</w:t>
            </w:r>
          </w:p>
          <w:p>
            <w:pPr>
              <w:pStyle w:val="33"/>
              <w:spacing w:line="360" w:lineRule="auto"/>
              <w:rPr>
                <w:rFonts w:hint="default" w:ascii="TRAZV A+ Times" w:hAnsi="TRAZV A+ Times" w:cs="TRAZV A+ Times"/>
                <w:lang w:val="en-US"/>
              </w:rPr>
            </w:pPr>
          </w:p>
          <w:p>
            <w:pPr>
              <w:pStyle w:val="33"/>
              <w:spacing w:line="360" w:lineRule="auto"/>
              <w:rPr>
                <w:rFonts w:hint="default" w:ascii="TRAZV A+ Times" w:hAnsi="TRAZV A+ Times" w:cs="TRAZV A+ Times"/>
                <w:lang w:val="en-US"/>
              </w:rPr>
            </w:pPr>
            <w:r>
              <w:rPr>
                <w:rFonts w:hint="default" w:ascii="TRAZV A+ Times" w:hAnsi="TRAZV A+ Times" w:cs="TRAZV A+ Times"/>
                <w:lang w:val="en-US"/>
              </w:rPr>
              <w:t>20</w:t>
            </w:r>
          </w:p>
          <w:p>
            <w:pPr>
              <w:pStyle w:val="33"/>
              <w:spacing w:line="360" w:lineRule="auto"/>
              <w:rPr>
                <w:rFonts w:hint="default" w:ascii="TRAZV A+ Times" w:hAnsi="TRAZV A+ Times" w:cs="TRAZV A+ Times"/>
                <w:lang w:val="en-US"/>
              </w:rPr>
            </w:pPr>
            <w:r>
              <w:rPr>
                <w:rFonts w:hint="default" w:ascii="TRAZV A+ Times" w:hAnsi="TRAZV A+ Times" w:cs="TRAZV A+ Times"/>
                <w:lang w:val="en-US"/>
              </w:rPr>
              <w:t>20</w:t>
            </w:r>
          </w:p>
          <w:p>
            <w:pPr>
              <w:pStyle w:val="33"/>
              <w:spacing w:line="360" w:lineRule="auto"/>
              <w:rPr>
                <w:rFonts w:hint="default" w:ascii="TRAZV A+ Times" w:hAnsi="TRAZV A+ Times" w:cs="TRAZV A+ Times"/>
                <w:lang w:val="en-US"/>
              </w:rPr>
            </w:pPr>
          </w:p>
          <w:p>
            <w:pPr>
              <w:pStyle w:val="33"/>
              <w:spacing w:line="360" w:lineRule="auto"/>
              <w:rPr>
                <w:rFonts w:hint="default" w:ascii="TRAZV A+ Times" w:hAnsi="TRAZV A+ Times" w:cs="TRAZV A+ Times"/>
                <w:lang w:val="en-US"/>
              </w:rPr>
            </w:pPr>
          </w:p>
          <w:p>
            <w:pPr>
              <w:pStyle w:val="33"/>
              <w:spacing w:line="360" w:lineRule="auto"/>
              <w:rPr>
                <w:rFonts w:hint="default" w:ascii="TRAZV A+ Times" w:hAnsi="TRAZV A+ Times" w:cs="TRAZV A+ Times"/>
                <w:lang w:val="en-US"/>
              </w:rPr>
            </w:pPr>
            <w:r>
              <w:rPr>
                <w:rFonts w:hint="default" w:ascii="TRAZV A+ Times" w:hAnsi="TRAZV A+ Times" w:cs="TRAZV A+ Times"/>
                <w:lang w:val="en-US"/>
              </w:rPr>
              <w:t>21</w:t>
            </w:r>
          </w:p>
          <w:p>
            <w:pPr>
              <w:pStyle w:val="33"/>
              <w:spacing w:line="360" w:lineRule="auto"/>
              <w:rPr>
                <w:rFonts w:hint="default" w:ascii="TRAZV A+ Times" w:hAnsi="TRAZV A+ Times" w:cs="TRAZV A+ Times"/>
                <w:lang w:val="en-US"/>
              </w:rPr>
            </w:pPr>
            <w:r>
              <w:rPr>
                <w:rFonts w:hint="default" w:ascii="TRAZV A+ Times" w:hAnsi="TRAZV A+ Times" w:cs="TRAZV A+ Times"/>
                <w:lang w:val="en-US"/>
              </w:rPr>
              <w:t>21</w:t>
            </w:r>
          </w:p>
          <w:p>
            <w:pPr>
              <w:pStyle w:val="33"/>
              <w:spacing w:line="360" w:lineRule="auto"/>
              <w:rPr>
                <w:rFonts w:hint="default" w:ascii="TRAZV A+ Times" w:hAnsi="TRAZV A+ Times" w:cs="TRAZV A+ Times"/>
                <w:lang w:val="en-US"/>
              </w:rPr>
            </w:pPr>
            <w:r>
              <w:rPr>
                <w:rFonts w:hint="default" w:ascii="TRAZV A+ Times" w:hAnsi="TRAZV A+ Times" w:cs="TRAZV A+ Times"/>
                <w:lang w:val="en-US"/>
              </w:rPr>
              <w:t>21</w:t>
            </w:r>
          </w:p>
          <w:p>
            <w:pPr>
              <w:pStyle w:val="33"/>
              <w:spacing w:line="360" w:lineRule="auto"/>
              <w:rPr>
                <w:rFonts w:hint="default" w:ascii="TRAZV A+ Times" w:hAnsi="TRAZV A+ Times" w:cs="TRAZV A+ Times"/>
                <w:lang w:val="en-US"/>
              </w:rPr>
            </w:pPr>
          </w:p>
          <w:p>
            <w:pPr>
              <w:pStyle w:val="33"/>
              <w:spacing w:line="360" w:lineRule="auto"/>
              <w:rPr>
                <w:rFonts w:hint="default" w:ascii="TRAZV A+ Times" w:hAnsi="TRAZV A+ Times" w:cs="TRAZV A+ Times"/>
                <w:lang w:val="en-US"/>
              </w:rPr>
            </w:pPr>
            <w:r>
              <w:rPr>
                <w:rFonts w:hint="default" w:ascii="TRAZV A+ Times" w:hAnsi="TRAZV A+ Times" w:cs="TRAZV A+ Times"/>
                <w:lang w:val="en-US"/>
              </w:rPr>
              <w:t>22</w:t>
            </w:r>
          </w:p>
        </w:tc>
      </w:tr>
    </w:tbl>
    <w:p>
      <w:pPr>
        <w:numPr>
          <w:ilvl w:val="0"/>
          <w:numId w:val="0"/>
        </w:numPr>
        <w:ind w:leftChars="0"/>
        <w:rPr>
          <w:rFonts w:hint="default"/>
          <w:lang w:val="en-US"/>
        </w:rPr>
      </w:pPr>
    </w:p>
    <w:p>
      <w:pPr>
        <w:numPr>
          <w:ilvl w:val="0"/>
          <w:numId w:val="0"/>
        </w:numPr>
        <w:ind w:leftChars="0"/>
        <w:rPr>
          <w:rFonts w:hint="default"/>
          <w:lang w:val="en-US"/>
        </w:rPr>
      </w:pPr>
    </w:p>
    <w:p>
      <w:pPr>
        <w:numPr>
          <w:ilvl w:val="0"/>
          <w:numId w:val="0"/>
        </w:numPr>
        <w:ind w:leftChars="0"/>
        <w:rPr>
          <w:rFonts w:hint="default"/>
          <w:lang w:val="en-US"/>
        </w:rPr>
      </w:pPr>
    </w:p>
    <w:p>
      <w:pPr>
        <w:numPr>
          <w:ilvl w:val="0"/>
          <w:numId w:val="0"/>
        </w:numPr>
        <w:ind w:leftChars="0"/>
        <w:rPr>
          <w:rFonts w:hint="default"/>
          <w:lang w:val="en-US"/>
        </w:rPr>
      </w:pPr>
    </w:p>
    <w:p>
      <w:pPr>
        <w:numPr>
          <w:ilvl w:val="0"/>
          <w:numId w:val="0"/>
        </w:numPr>
        <w:spacing w:line="360" w:lineRule="auto"/>
        <w:ind w:leftChars="0"/>
        <w:jc w:val="both"/>
        <w:rPr>
          <w:rFonts w:hint="default" w:ascii="Times New Roman Regular" w:hAnsi="Times New Roman Regular" w:cs="Times New Roman Regular"/>
          <w:b/>
          <w:bCs/>
          <w:sz w:val="28"/>
          <w:szCs w:val="28"/>
          <w:lang w:val="en-US"/>
        </w:rPr>
      </w:pPr>
      <w:r>
        <w:rPr>
          <w:rFonts w:hint="default" w:ascii="Times New Roman Regular" w:hAnsi="Times New Roman Regular" w:cs="Times New Roman Regular"/>
          <w:b/>
          <w:bCs/>
          <w:sz w:val="28"/>
          <w:szCs w:val="28"/>
          <w:lang w:val="en-US"/>
        </w:rPr>
        <w:t>Introduction</w:t>
      </w:r>
    </w:p>
    <w:p>
      <w:pPr>
        <w:spacing w:line="360" w:lineRule="auto"/>
        <w:jc w:val="both"/>
        <w:rPr>
          <w:rFonts w:hint="default" w:ascii="Times New Roman Regular" w:hAnsi="Times New Roman Regular" w:cs="Times New Roman Regular"/>
          <w:sz w:val="28"/>
          <w:szCs w:val="28"/>
        </w:rPr>
      </w:pPr>
      <w:r>
        <w:rPr>
          <w:rFonts w:hint="default" w:ascii="Times New Roman Regular" w:hAnsi="Times New Roman Regular" w:cs="Times New Roman Regular"/>
          <w:sz w:val="28"/>
          <w:szCs w:val="28"/>
        </w:rPr>
        <w:t>1.1 Field of Research / Background</w:t>
      </w:r>
    </w:p>
    <w:p>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Hong Kong's healthcare system is characterized by its dual structure, comprising both public and private services. The public healthcare system, predominantly funded through government channels, delivers essential medical services at low or no cost to residents. In contrast, the private sector offers a broader spectrum of services—with the advantages of shorter waiting times and more personalized care—albeit at a significantly higher expense.</w:t>
      </w:r>
    </w:p>
    <w:p>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 recent years, the demand for medical services has surged dramatically due to an aging population and longer life expectancy. Healthcare spending has experienced a staggering increase of 73.1%, rising from HKD 130.75 billion in the 2013/14 fiscal year to HKD 226.31 billion in 2022/23</w:t>
      </w:r>
      <w:r>
        <w:rPr>
          <w:rFonts w:hint="default" w:ascii="Times New Roman Regular" w:hAnsi="Times New Roman Regular" w:cs="Times New Roman Regular"/>
          <w:sz w:val="24"/>
          <w:szCs w:val="24"/>
          <w:lang w:val="en-US"/>
        </w:rPr>
        <w:t xml:space="preserve"> (Consumer Council,2025)</w:t>
      </w:r>
      <w:r>
        <w:rPr>
          <w:rFonts w:hint="default" w:ascii="Times New Roman Regular" w:hAnsi="Times New Roman Regular" w:cs="Times New Roman Regular"/>
          <w:sz w:val="24"/>
          <w:szCs w:val="24"/>
        </w:rPr>
        <w:t>. Despite private healthcare managing approximately 68% of outpatient services, only about 10% of inpatient services fall under its purview, underscoring Hong Kong's heavy reliance on public hospitals for critical care</w:t>
      </w:r>
      <w:r>
        <w:rPr>
          <w:rFonts w:hint="default" w:ascii="Times New Roman Regular" w:hAnsi="Times New Roman Regular" w:cs="Times New Roman Regular"/>
          <w:sz w:val="24"/>
          <w:szCs w:val="24"/>
          <w:lang w:val="en-US"/>
        </w:rPr>
        <w:t xml:space="preserve"> (Consumer Council,2025)</w:t>
      </w:r>
      <w:r>
        <w:rPr>
          <w:rFonts w:hint="default" w:ascii="Times New Roman Regular" w:hAnsi="Times New Roman Regular" w:cs="Times New Roman Regular"/>
          <w:sz w:val="24"/>
          <w:szCs w:val="24"/>
        </w:rPr>
        <w:t>.</w:t>
      </w:r>
    </w:p>
    <w:p>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 response to this imbalance and the mounting pressure on public hospitals, the Hong Kong government has championed initiatives aimed at encouraging the utilization of private healthcare. Voluntary medical insurance plans and other incentives have been promoted to shift patient loads. However, a significant barrier remains: many residents find it challenging to understand and compare healthcare costs. The complexity of pricing structures often leads to unexpected financial burdens, which, in turn, result in patient dissatisfaction. A study conducted by the Consumer Council of Hong Kong has highlighted several critical issues, including the lack of standardized pricing and considerable information gaps between patients and providers. Due to these gaps, patients frequently rely on their physicians for recommendations—a practice that may not always yield clear or unbiased advice. To remedy these challenges, the Consumer Council has proposed several actions, such as enhancing the accessibility of price information and promoting clear medical packages, in order to rebuild trust in the private healthcare market.</w:t>
      </w:r>
    </w:p>
    <w:p>
      <w:pPr>
        <w:spacing w:line="360" w:lineRule="auto"/>
        <w:jc w:val="both"/>
        <w:rPr>
          <w:rFonts w:hint="default" w:ascii="Times New Roman Regular" w:hAnsi="Times New Roman Regular" w:cs="Times New Roman Regular"/>
          <w:sz w:val="24"/>
          <w:szCs w:val="24"/>
        </w:rPr>
      </w:pPr>
    </w:p>
    <w:p>
      <w:pPr>
        <w:spacing w:line="360" w:lineRule="auto"/>
        <w:jc w:val="both"/>
        <w:rPr>
          <w:rFonts w:hint="default" w:ascii="Times New Roman Regular" w:hAnsi="Times New Roman Regular" w:cs="Times New Roman Regular"/>
          <w:sz w:val="28"/>
          <w:szCs w:val="28"/>
        </w:rPr>
      </w:pPr>
      <w:r>
        <w:rPr>
          <w:rFonts w:hint="default" w:ascii="Times New Roman Regular" w:hAnsi="Times New Roman Regular" w:cs="Times New Roman Regular"/>
          <w:sz w:val="28"/>
          <w:szCs w:val="28"/>
        </w:rPr>
        <w:t>1.2 Identification of the Research Problem</w:t>
      </w:r>
    </w:p>
    <w:p>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Despite the abundance of healthcare options available to Hong Kong residents, selecting the most appropriate provider remains fraught with uncertainty. The market is plagued by ambiguous pricing and a scarcity of transparent information, which hinders patients from making well-informed decisions. A poignant example of these issues is the recent closure of Alliance Medical, which not only triggered widespread concern but also led to numerous complaints from patients who had lost substantial pre-paid fees and faced interruptions in their ongoing care</w:t>
      </w:r>
      <w:r>
        <w:rPr>
          <w:rFonts w:hint="default" w:ascii="Times New Roman Regular" w:hAnsi="Times New Roman Regular" w:cs="Times New Roman Regular"/>
          <w:sz w:val="24"/>
          <w:szCs w:val="24"/>
          <w:lang w:val="en-US"/>
        </w:rPr>
        <w:t xml:space="preserve"> (am730,2025)</w:t>
      </w:r>
      <w:r>
        <w:rPr>
          <w:rFonts w:hint="default" w:ascii="Times New Roman Regular" w:hAnsi="Times New Roman Regular" w:cs="Times New Roman Regular"/>
          <w:sz w:val="24"/>
          <w:szCs w:val="24"/>
        </w:rPr>
        <w:t>. This incident underlines a broader crisis of confidence wherein the opaque cost structures and inconsistent communication contribute to substantial financial and emotional strain on patients.</w:t>
      </w:r>
    </w:p>
    <w:p>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Furthermore, the complexity of today’s healthcare options is compounded by aggressive marketing and a rapidly evolving service landscape. Many patients have limited financial literacy, which restricts their ability to fully understand the intricacies of healthcare expenses. Without clear, accessible information, decisions are often made on the basis of incomplete data, potentially leading to choices that are not in the best interest of the patient’s health or financial well-being. Given the critical and personal nature of healthcare services, these barriers to effective decision-making only serve to exacerbate the challenges faced by individuals in a system that should prioritize clarity and trust.</w:t>
      </w:r>
    </w:p>
    <w:p>
      <w:pPr>
        <w:spacing w:line="360" w:lineRule="auto"/>
        <w:jc w:val="both"/>
        <w:rPr>
          <w:rFonts w:hint="default" w:ascii="Times New Roman Regular" w:hAnsi="Times New Roman Regular" w:cs="Times New Roman Regular"/>
          <w:sz w:val="24"/>
          <w:szCs w:val="24"/>
        </w:rPr>
      </w:pPr>
    </w:p>
    <w:p>
      <w:pPr>
        <w:spacing w:line="360" w:lineRule="auto"/>
        <w:jc w:val="both"/>
        <w:rPr>
          <w:rFonts w:hint="default" w:ascii="Times New Roman Regular" w:hAnsi="Times New Roman Regular" w:cs="Times New Roman Regular"/>
          <w:sz w:val="28"/>
          <w:szCs w:val="28"/>
        </w:rPr>
      </w:pPr>
      <w:r>
        <w:rPr>
          <w:rFonts w:hint="default" w:ascii="Times New Roman Regular" w:hAnsi="Times New Roman Regular" w:cs="Times New Roman Regular"/>
          <w:sz w:val="28"/>
          <w:szCs w:val="28"/>
        </w:rPr>
        <w:t xml:space="preserve">1.3 Research Objectives </w:t>
      </w:r>
    </w:p>
    <w:p>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primary objectives of this research are fourfold. First, it aims to analyze how perceived service quality influences the choice of healthcare providers among Hong Kong residents. This involves examining various components of service quality—such as the level of professionalism of staff, the state of medical facilities, and the efficiency of service delivery—and understanding how these factors inform consumer perceptions and decision-making.</w:t>
      </w:r>
    </w:p>
    <w:p>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Second, the research seeks to evaluate the impact of personal recommendations on patients' decisions in selecting healthcare services. By investigating the influence of word-of-mouth referrals, doctor recommendations, and peer reviews, the study will shed light on how social dynamics and trust networks contribute to shaping healthcare choices.</w:t>
      </w:r>
    </w:p>
    <w:p>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Third, the research will investigate how transparency in pricing affects patient trust and satisfaction in private healthcare settings. As consumers face increasingly complex cost structures, the ease of understanding and comparing pricing information may serve as a pivotal determinant in their provider selection, potentially altering their confidence in the healthcare system.</w:t>
      </w:r>
    </w:p>
    <w:p>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Finally, the study will explore the relationships between demographic factors—specifically age, income, and education—and healthcare choices in Hong Kong. This objective will help determine whether certain population segments are more influenced by service quality, pricing transparency, or social recommendations than others. By addressing these objectives, the research aims to offer a comprehensive understanding of the multifaceted factors that influence healthcare decision-making in Hong Kong.</w:t>
      </w:r>
    </w:p>
    <w:p>
      <w:pPr>
        <w:spacing w:line="360" w:lineRule="auto"/>
        <w:jc w:val="both"/>
        <w:rPr>
          <w:rFonts w:hint="default" w:ascii="Times New Roman Regular" w:hAnsi="Times New Roman Regular" w:cs="Times New Roman Regular"/>
          <w:sz w:val="24"/>
          <w:szCs w:val="24"/>
        </w:rPr>
      </w:pPr>
    </w:p>
    <w:p>
      <w:pPr>
        <w:spacing w:line="360" w:lineRule="auto"/>
        <w:jc w:val="both"/>
        <w:rPr>
          <w:rFonts w:hint="default" w:ascii="Times New Roman Regular" w:hAnsi="Times New Roman Regular" w:cs="Times New Roman Regular"/>
          <w:sz w:val="28"/>
          <w:szCs w:val="28"/>
        </w:rPr>
      </w:pPr>
      <w:r>
        <w:rPr>
          <w:rFonts w:hint="default" w:ascii="Times New Roman Regular" w:hAnsi="Times New Roman Regular" w:cs="Times New Roman Regular"/>
          <w:sz w:val="28"/>
          <w:szCs w:val="28"/>
        </w:rPr>
        <w:t xml:space="preserve">1.4 Research Questions </w:t>
      </w:r>
    </w:p>
    <w:p>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To systematically measure the factors that influence healthcare choices among Hong Kong residents, the study will employ a series of statements rated on a 1–7 Likert scale. Respondents will indicate their level of agreement, allowing the research to quantitatively assess each dimension. The core research questions have been translated into the following statements:</w:t>
      </w:r>
    </w:p>
    <w:p>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Perceived Service Quality:</w:t>
      </w:r>
    </w:p>
    <w:p>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Statement: “I believe that the quality of medical services (such as facility standards, staff competence, and overall patient care) significantly influences my choice of healthcare provider.” (Respondents rate from 1 - Strongly Disagree to 7 - Strongly Agree.)</w:t>
      </w:r>
    </w:p>
    <w:p>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Influence of Personal Recommendations:</w:t>
      </w:r>
    </w:p>
    <w:p>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Statement: “Personal recommendations from friends, family, or doctors play a key role in my decision-making when selecting a healthcare provider.” (Respondents rate from 1 - Strongly Disagree to 7 - Strongly Agree.)</w:t>
      </w:r>
    </w:p>
    <w:p>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Pricing Transparency:</w:t>
      </w:r>
    </w:p>
    <w:p>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Statement: “Clear and accessible pricing information increases my trust in private healthcare services and affects my satisfaction with the chosen provider.” (Respondents rate from 1 - Strongly Disagree to 7 - Strongly Agree.)</w:t>
      </w:r>
    </w:p>
    <w:p>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Impact of Demographic Factors:</w:t>
      </w:r>
    </w:p>
    <w:p>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lang w:val="en-US"/>
        </w:rPr>
        <w:t>D</w:t>
      </w:r>
      <w:r>
        <w:rPr>
          <w:rFonts w:hint="default" w:ascii="Times New Roman Regular" w:hAnsi="Times New Roman Regular" w:cs="Times New Roman Regular"/>
          <w:sz w:val="24"/>
          <w:szCs w:val="24"/>
        </w:rPr>
        <w:t>emographic factors such as age, gender, educational attainment, income level, and employment status will be collected through direct survey questions at the beginning of the questionnaire. These variables will not be subject to Likert scale agreement ratings, but instead treated as background data to segment and contextualize responses to the core variables of interest—namely perceived service quality, personal recommendations, and pricing transparency.</w:t>
      </w:r>
      <w:r>
        <w:rPr>
          <w:rFonts w:hint="default" w:ascii="Times New Roman Regular" w:hAnsi="Times New Roman Regular" w:cs="Times New Roman Regular"/>
          <w:sz w:val="24"/>
          <w:szCs w:val="24"/>
          <w:lang w:val="en-US"/>
        </w:rPr>
        <w:t xml:space="preserve"> </w:t>
      </w:r>
      <w:r>
        <w:rPr>
          <w:rFonts w:hint="default" w:ascii="Times New Roman Regular" w:hAnsi="Times New Roman Regular" w:cs="Times New Roman Regular"/>
          <w:sz w:val="24"/>
          <w:szCs w:val="24"/>
        </w:rPr>
        <w:t>This demographic data will serve as moderating variables in the analytical framework—helping to determine if and how background characteristics influence the strength or direction of relationships between the independent and dependent variables.</w:t>
      </w:r>
    </w:p>
    <w:p>
      <w:pPr>
        <w:spacing w:line="360" w:lineRule="auto"/>
        <w:jc w:val="both"/>
        <w:rPr>
          <w:rFonts w:hint="default" w:ascii="Times New Roman Regular" w:hAnsi="Times New Roman Regular" w:cs="Times New Roman Regular"/>
          <w:sz w:val="24"/>
          <w:szCs w:val="24"/>
        </w:rPr>
      </w:pPr>
    </w:p>
    <w:p>
      <w:pPr>
        <w:spacing w:line="360" w:lineRule="auto"/>
        <w:jc w:val="both"/>
        <w:rPr>
          <w:rFonts w:hint="default" w:ascii="Times New Roman Regular" w:hAnsi="Times New Roman Regular" w:cs="Times New Roman Regular"/>
          <w:sz w:val="28"/>
          <w:szCs w:val="28"/>
        </w:rPr>
      </w:pPr>
      <w:r>
        <w:rPr>
          <w:rFonts w:hint="default" w:ascii="Times New Roman Regular" w:hAnsi="Times New Roman Regular" w:cs="Times New Roman Regular"/>
          <w:sz w:val="28"/>
          <w:szCs w:val="28"/>
        </w:rPr>
        <w:t>1.5 Value/Contribution of the Research</w:t>
      </w:r>
    </w:p>
    <w:p>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This research is poised to make significant contributions to both the practical and academic realms of healthcare management in Hong Kong. For healthcare providers and insurers, the findings will offer actionable insights into the key determinants of consumer behavior. By identifying the relative importance of service quality, personal recommendations, and pricing transparency, providers can tailor their services and marketing strategies to better meet patient expectations and reduce service inefficiencies. More transparent and accessible pricing models can foster stronger trust, ensuring that patients make informed decisions that align both with their health and financial interests.</w:t>
      </w:r>
    </w:p>
    <w:p>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From a policy perspective, the study's outcomes could inform government initiatives aimed at balancing the healthcare system. By addressing the key issues of information asymmetry and poor transparency, policymakers can develop targeted interventions to ensure that both public and private sectors operate more efficiently and equitably, ultimately easing the burden on public hospitals. Measures such as mandatory pricing disclosure and enhanced patient education programs could stem from this research, promoting a more transparent healthcare marketplace.</w:t>
      </w:r>
    </w:p>
    <w:p>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Academically, the research contributes to the growing body of literature on healthcare consumer behavior by offering empirical evidence from a unique context—Hong Kong, a region marked by a distinctive dual healthcare system and significant demographic pressures. Filling the gap in existing literature, this study not only enriches the conceptual understanding of healthcare decision-making but also provides a robust framework that can be applied or adapted to similar studies in other regions.</w:t>
      </w:r>
    </w:p>
    <w:p>
      <w:pPr>
        <w:spacing w:line="360" w:lineRule="auto"/>
        <w:jc w:val="both"/>
        <w:rPr>
          <w:rFonts w:hint="default" w:ascii="Times New Roman Regular" w:hAnsi="Times New Roman Regular" w:cs="Times New Roman Regular"/>
          <w:sz w:val="24"/>
          <w:szCs w:val="24"/>
        </w:rPr>
      </w:pPr>
    </w:p>
    <w:p>
      <w:pPr>
        <w:spacing w:line="360" w:lineRule="auto"/>
        <w:jc w:val="both"/>
        <w:rPr>
          <w:rFonts w:hint="default" w:ascii="Times New Roman Regular" w:hAnsi="Times New Roman Regular" w:cs="Times New Roman Regular"/>
          <w:sz w:val="28"/>
          <w:szCs w:val="28"/>
        </w:rPr>
      </w:pPr>
      <w:r>
        <w:rPr>
          <w:rFonts w:hint="default" w:ascii="Times New Roman Regular" w:hAnsi="Times New Roman Regular" w:cs="Times New Roman Regular"/>
          <w:sz w:val="28"/>
          <w:szCs w:val="28"/>
        </w:rPr>
        <w:t>2.1 Discussion of Research Focus Areas</w:t>
      </w:r>
    </w:p>
    <w:p>
      <w:pPr>
        <w:spacing w:line="360" w:lineRule="auto"/>
        <w:jc w:val="both"/>
        <w:rPr>
          <w:rFonts w:hint="default" w:ascii="Times New Roman Regular" w:hAnsi="Times New Roman Regular" w:cs="Times New Roman Regular"/>
          <w:sz w:val="24"/>
          <w:szCs w:val="24"/>
        </w:rPr>
      </w:pPr>
    </w:p>
    <w:p>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lang w:val="en-US"/>
        </w:rPr>
        <w:t xml:space="preserve">2.1.1 </w:t>
      </w:r>
      <w:r>
        <w:rPr>
          <w:rFonts w:hint="default" w:ascii="Times New Roman Regular" w:hAnsi="Times New Roman Regular" w:cs="Times New Roman Regular"/>
          <w:sz w:val="24"/>
          <w:szCs w:val="24"/>
        </w:rPr>
        <w:t>Independent Variables (IVs)</w:t>
      </w:r>
    </w:p>
    <w:p>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Service Quality </w:t>
      </w:r>
      <w:r>
        <w:rPr>
          <w:rFonts w:hint="default" w:ascii="Times New Roman Regular" w:hAnsi="Times New Roman Regular" w:cs="Times New Roman Regular"/>
          <w:sz w:val="24"/>
          <w:szCs w:val="24"/>
          <w:lang w:val="en-US"/>
        </w:rPr>
        <w:t xml:space="preserve">: </w:t>
      </w:r>
      <w:r>
        <w:rPr>
          <w:rFonts w:hint="default" w:ascii="Times New Roman Regular" w:hAnsi="Times New Roman Regular" w:cs="Times New Roman Regular"/>
          <w:sz w:val="24"/>
          <w:szCs w:val="24"/>
        </w:rPr>
        <w:t>This variable includes dimensions such as the professionalism of healthcare staff, cleanliness and state of facilities, effectiveness of treatment, and overall patient experience. It is expected that higher perceived service quality leads to more favorable healthcare decisions.</w:t>
      </w:r>
    </w:p>
    <w:p>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Personal Recommendations </w:t>
      </w:r>
      <w:r>
        <w:rPr>
          <w:rFonts w:hint="default" w:ascii="Times New Roman Regular" w:hAnsi="Times New Roman Regular" w:cs="Times New Roman Regular"/>
          <w:sz w:val="24"/>
          <w:szCs w:val="24"/>
          <w:lang w:val="en-US"/>
        </w:rPr>
        <w:t xml:space="preserve">: </w:t>
      </w:r>
      <w:r>
        <w:rPr>
          <w:rFonts w:hint="default" w:ascii="Times New Roman Regular" w:hAnsi="Times New Roman Regular" w:cs="Times New Roman Regular"/>
          <w:sz w:val="24"/>
          <w:szCs w:val="24"/>
        </w:rPr>
        <w:t>This variable captures the influence of advice or referrals from family, friends, and healthcare professionals. The strength and credibility of these recommendations can play a crucial role in shaping a patient's choice, especially in a market with complex options.</w:t>
      </w:r>
    </w:p>
    <w:p>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Pricing Transparency </w:t>
      </w:r>
      <w:r>
        <w:rPr>
          <w:rFonts w:hint="default" w:ascii="Times New Roman Regular" w:hAnsi="Times New Roman Regular" w:cs="Times New Roman Regular"/>
          <w:sz w:val="24"/>
          <w:szCs w:val="24"/>
          <w:lang w:val="en-US"/>
        </w:rPr>
        <w:t xml:space="preserve">: </w:t>
      </w:r>
      <w:r>
        <w:rPr>
          <w:rFonts w:hint="default" w:ascii="Times New Roman Regular" w:hAnsi="Times New Roman Regular" w:cs="Times New Roman Regular"/>
          <w:sz w:val="24"/>
          <w:szCs w:val="24"/>
        </w:rPr>
        <w:t>This variable reflects the degree to which healthcare providers offer clear, accessible, and detailed pricing information. Transparency in pricing is anticipated to reduce uncertainty and foster trust, thereby impacting the patient’s decision-making process.</w:t>
      </w:r>
    </w:p>
    <w:p>
      <w:pPr>
        <w:spacing w:line="360" w:lineRule="auto"/>
        <w:jc w:val="both"/>
        <w:rPr>
          <w:rFonts w:hint="default" w:ascii="Times New Roman Regular" w:hAnsi="Times New Roman Regular" w:cs="Times New Roman Regular"/>
          <w:sz w:val="24"/>
          <w:szCs w:val="24"/>
        </w:rPr>
      </w:pPr>
    </w:p>
    <w:p>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lang w:val="en-US"/>
        </w:rPr>
        <w:t xml:space="preserve">2.1.2 </w:t>
      </w:r>
      <w:r>
        <w:rPr>
          <w:rFonts w:hint="default" w:ascii="Times New Roman Regular" w:hAnsi="Times New Roman Regular" w:cs="Times New Roman Regular"/>
          <w:sz w:val="24"/>
          <w:szCs w:val="24"/>
        </w:rPr>
        <w:t>Dependent Variables (DVs)</w:t>
      </w:r>
    </w:p>
    <w:p>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Patient Trust</w:t>
      </w:r>
      <w:r>
        <w:rPr>
          <w:rFonts w:hint="default" w:ascii="Times New Roman Regular" w:hAnsi="Times New Roman Regular" w:cs="Times New Roman Regular"/>
          <w:sz w:val="24"/>
          <w:szCs w:val="24"/>
          <w:lang w:val="en-US"/>
        </w:rPr>
        <w:t xml:space="preserve">: </w:t>
      </w:r>
      <w:r>
        <w:rPr>
          <w:rFonts w:hint="default" w:ascii="Times New Roman Regular" w:hAnsi="Times New Roman Regular" w:cs="Times New Roman Regular"/>
          <w:sz w:val="24"/>
          <w:szCs w:val="24"/>
        </w:rPr>
        <w:t xml:space="preserve"> Trust is a fundamental outcome reflecting how confident patients feel about choosing a particular healthcare provider. It is influenced by clear communication, transparency in pricing, and the perceived competence of medical staff.</w:t>
      </w:r>
    </w:p>
    <w:p>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Patient Satisfaction</w:t>
      </w:r>
      <w:r>
        <w:rPr>
          <w:rFonts w:hint="default" w:ascii="Times New Roman Regular" w:hAnsi="Times New Roman Regular" w:cs="Times New Roman Regular"/>
          <w:sz w:val="24"/>
          <w:szCs w:val="24"/>
          <w:lang w:val="en-US"/>
        </w:rPr>
        <w:t>:</w:t>
      </w:r>
      <w:r>
        <w:rPr>
          <w:rFonts w:hint="default" w:ascii="Times New Roman Regular" w:hAnsi="Times New Roman Regular" w:cs="Times New Roman Regular"/>
          <w:sz w:val="24"/>
          <w:szCs w:val="24"/>
        </w:rPr>
        <w:t xml:space="preserve"> This variable measures the overall contentment of patients with their healthcare choices. It encompasses their experience with the quality of service, the effectiveness of communication, and the clarity of pricing information.</w:t>
      </w:r>
    </w:p>
    <w:p>
      <w:pPr>
        <w:spacing w:line="360" w:lineRule="auto"/>
        <w:jc w:val="both"/>
        <w:rPr>
          <w:rFonts w:hint="default" w:ascii="Times New Roman Regular" w:hAnsi="Times New Roman Regular" w:cs="Times New Roman Regular"/>
          <w:sz w:val="24"/>
          <w:szCs w:val="24"/>
        </w:rPr>
      </w:pPr>
    </w:p>
    <w:p>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Healthcare Provider Choice Representing the actual decision-making outcome, this variable indicates which type of provider (public or private) a patient selects based on the interplay of the independent variables. It shows the practical impact of perceptions, recommendations, and pricing information on consumer behavior.</w:t>
      </w:r>
    </w:p>
    <w:p>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How They Interact: The independent variables (perceived service quality, personal recommendations, and pricing transparency) are expected to influence the levels of patient trust and satisfaction, which in turn shape the final healthcare provider choice. For instance, when a healthcare provider is perceived to offer high-quality services, receives strong personal recommendations, and provides transparent pricing, patients are more likely to trust that provider, be satisfied with the decision-making process, and eventually choose that provider over others.</w:t>
      </w:r>
    </w:p>
    <w:p>
      <w:pPr>
        <w:spacing w:line="360" w:lineRule="auto"/>
        <w:jc w:val="both"/>
        <w:rPr>
          <w:rFonts w:hint="default" w:ascii="Times New Roman Regular" w:hAnsi="Times New Roman Regular" w:cs="Times New Roman Regular"/>
          <w:sz w:val="24"/>
          <w:szCs w:val="24"/>
        </w:rPr>
      </w:pPr>
    </w:p>
    <w:p>
      <w:pPr>
        <w:spacing w:line="360" w:lineRule="auto"/>
        <w:jc w:val="both"/>
        <w:rPr>
          <w:rFonts w:hint="default" w:ascii="Times New Roman Regular" w:hAnsi="Times New Roman Regular" w:cs="Times New Roman Regular"/>
          <w:sz w:val="24"/>
          <w:szCs w:val="24"/>
        </w:rPr>
      </w:pPr>
    </w:p>
    <w:p>
      <w:pPr>
        <w:spacing w:line="360" w:lineRule="auto"/>
        <w:jc w:val="both"/>
        <w:rPr>
          <w:rFonts w:hint="default" w:ascii="Times New Roman Regular" w:hAnsi="Times New Roman Regular" w:cs="Times New Roman Regular"/>
          <w:sz w:val="28"/>
          <w:szCs w:val="28"/>
        </w:rPr>
      </w:pPr>
      <w:r>
        <w:rPr>
          <w:rFonts w:hint="default" w:ascii="Times New Roman Regular" w:hAnsi="Times New Roman Regular" w:cs="Times New Roman Regular"/>
          <w:sz w:val="28"/>
          <w:szCs w:val="28"/>
        </w:rPr>
        <w:t xml:space="preserve">3.1 Research Method </w:t>
      </w:r>
    </w:p>
    <w:p>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This research adopts a quantitative approach to systematically examine the factors influencing healthcare choices among Hong Kong residents. Data will be collected through a structured survey, wherein participants respond to a series of statements on a 7-point Likert scale, rating their level of agreement—from "strongly disagree" to "strongly agree"—with statements addressing perceived service quality, personal recommendations, and pricing transparency. The questionnaire will be carefully designed to ensure clarity and validity, incorporating multi-item scales for each key construct. Administering this survey will allow for the collection of robust, measurable data, which will be subsequently analyzed to uncover significant relationships between the independent variables (service quality, recommendations, and pricing transparency) and the dependent variables (patient trust, satisfaction, and provider choice).</w:t>
      </w:r>
    </w:p>
    <w:p>
      <w:pPr>
        <w:spacing w:line="360" w:lineRule="auto"/>
        <w:jc w:val="both"/>
        <w:rPr>
          <w:rFonts w:hint="default" w:ascii="Times New Roman Regular" w:hAnsi="Times New Roman Regular" w:cs="Times New Roman Regular"/>
          <w:sz w:val="24"/>
          <w:szCs w:val="24"/>
        </w:rPr>
      </w:pPr>
    </w:p>
    <w:p>
      <w:pPr>
        <w:spacing w:line="360" w:lineRule="auto"/>
        <w:jc w:val="both"/>
        <w:rPr>
          <w:rFonts w:hint="default" w:ascii="Times New Roman Regular" w:hAnsi="Times New Roman Regular" w:cs="Times New Roman Regular"/>
          <w:sz w:val="28"/>
          <w:szCs w:val="28"/>
        </w:rPr>
      </w:pPr>
      <w:r>
        <w:rPr>
          <w:rFonts w:hint="default" w:ascii="Times New Roman Regular" w:hAnsi="Times New Roman Regular" w:cs="Times New Roman Regular"/>
          <w:sz w:val="28"/>
          <w:szCs w:val="28"/>
        </w:rPr>
        <w:t xml:space="preserve">3.2 Population </w:t>
      </w:r>
    </w:p>
    <w:p>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study targets Hong Kong residents aged 18 and above. This diverse demographic is chosen to capture a wide range of healthcare experiences and decision-making criteria across different age groups, income brackets, and educational levels. By including participants from various socio-demographic backgrounds, the research aims to generate a comprehensive dataset that reflects the heterogeneous nature of the Hong Kong population. Such diversity is critical in ensuring that the findings are both generalizable and reflective of the nuanced ways in which different segments of the population interact with the healthcare system.</w:t>
      </w:r>
    </w:p>
    <w:p>
      <w:pPr>
        <w:spacing w:line="360" w:lineRule="auto"/>
        <w:jc w:val="both"/>
        <w:rPr>
          <w:rFonts w:hint="default" w:ascii="Times New Roman Regular" w:hAnsi="Times New Roman Regular" w:cs="Times New Roman Regular"/>
          <w:sz w:val="24"/>
          <w:szCs w:val="24"/>
        </w:rPr>
      </w:pPr>
    </w:p>
    <w:p>
      <w:pPr>
        <w:spacing w:line="360" w:lineRule="auto"/>
        <w:jc w:val="both"/>
        <w:rPr>
          <w:rFonts w:hint="default" w:ascii="Times New Roman Regular" w:hAnsi="Times New Roman Regular" w:cs="Times New Roman Regular"/>
          <w:sz w:val="28"/>
          <w:szCs w:val="28"/>
        </w:rPr>
      </w:pPr>
      <w:r>
        <w:rPr>
          <w:rFonts w:hint="default" w:ascii="Times New Roman Regular" w:hAnsi="Times New Roman Regular" w:cs="Times New Roman Regular"/>
          <w:sz w:val="28"/>
          <w:szCs w:val="28"/>
        </w:rPr>
        <w:t xml:space="preserve">3.3 Explain Relevant Methods for Data Analysis </w:t>
      </w:r>
    </w:p>
    <w:p>
      <w:pPr>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To analyze the survey data effectively, the study will utilize a range of statistical techniques. Descriptive statistics will first be employed to summarize the data, including the calculation of means, standard deviations, and the generation of visual representations</w:t>
      </w:r>
      <w:r>
        <w:rPr>
          <w:rFonts w:hint="default" w:ascii="Times New Roman Regular" w:hAnsi="Times New Roman Regular" w:cs="Times New Roman Regular"/>
          <w:sz w:val="24"/>
          <w:szCs w:val="24"/>
          <w:lang w:val="en-US"/>
        </w:rPr>
        <w:t xml:space="preserve"> </w:t>
      </w:r>
      <w:r>
        <w:rPr>
          <w:rFonts w:hint="default" w:ascii="Times New Roman Regular" w:hAnsi="Times New Roman Regular" w:cs="Times New Roman Regular"/>
          <w:sz w:val="24"/>
          <w:szCs w:val="24"/>
        </w:rPr>
        <w:t>to illustrate trends and central tendencies in participant responses. To assess the reliability and internal consistency of the survey instruments, Cronbach’s alpha will be calculated for each scale, ensuring that the items reliably measure the intended constructs. Once the reliability is confirmed, Pearson correlation analysis will be conducted to examine the relationships between key variables, such as how service quality, personal recommendations, and pricing transparency correlate with measures of patient trust and satisfaction. This correlation analysis will help to identify significant predictors of healthcare provider choice. In addition, further inferential methods may be applied to explore the strength and direction of these relationships, providing deeper insight into the factors that drive consumer behavior in Hong Kong’s healthcare market.</w:t>
      </w:r>
    </w:p>
    <w:p>
      <w:pPr>
        <w:keepNext w:val="0"/>
        <w:keepLines w:val="0"/>
        <w:widowControl/>
        <w:suppressLineNumbers w:val="0"/>
        <w:jc w:val="left"/>
        <w:rPr>
          <w:rFonts w:hint="default" w:ascii="Times New Roman" w:hAnsi="Times New Roman" w:eastAsia="SimSun" w:cs="Times New Roman"/>
          <w:color w:val="000000"/>
          <w:kern w:val="0"/>
          <w:sz w:val="24"/>
          <w:szCs w:val="24"/>
          <w:lang w:val="en-US" w:eastAsia="zh-CN" w:bidi="ar"/>
        </w:rPr>
      </w:pPr>
    </w:p>
    <w:p>
      <w:pPr>
        <w:keepNext w:val="0"/>
        <w:keepLines w:val="0"/>
        <w:widowControl/>
        <w:suppressLineNumbers w:val="0"/>
        <w:jc w:val="left"/>
        <w:rPr>
          <w:rFonts w:hint="default" w:ascii="Times New Roman" w:hAnsi="Times New Roman" w:eastAsia="SimSun" w:cs="Times New Roman"/>
          <w:color w:val="000000"/>
          <w:kern w:val="0"/>
          <w:sz w:val="24"/>
          <w:szCs w:val="24"/>
          <w:lang w:val="en-US" w:eastAsia="zh-CN" w:bidi="ar"/>
        </w:rPr>
      </w:pPr>
    </w:p>
    <w:p>
      <w:pPr>
        <w:keepNext w:val="0"/>
        <w:keepLines w:val="0"/>
        <w:widowControl/>
        <w:suppressLineNumbers w:val="0"/>
        <w:jc w:val="left"/>
        <w:rPr>
          <w:rFonts w:hint="default" w:ascii="Times New Roman" w:hAnsi="Times New Roman" w:eastAsia="SimSun" w:cs="Times New Roman"/>
          <w:color w:val="000000"/>
          <w:kern w:val="0"/>
          <w:sz w:val="28"/>
          <w:szCs w:val="28"/>
          <w:lang w:val="en-US" w:eastAsia="zh-CN" w:bidi="ar"/>
        </w:rPr>
      </w:pPr>
    </w:p>
    <w:p>
      <w:pPr>
        <w:keepNext w:val="0"/>
        <w:keepLines w:val="0"/>
        <w:widowControl/>
        <w:suppressLineNumbers w:val="0"/>
        <w:jc w:val="left"/>
        <w:rPr>
          <w:rFonts w:hint="default" w:ascii="Times New Roman" w:hAnsi="Times New Roman" w:eastAsia="SimSun" w:cs="Times New Roman"/>
          <w:color w:val="000000"/>
          <w:kern w:val="0"/>
          <w:sz w:val="28"/>
          <w:szCs w:val="28"/>
          <w:lang w:val="en-US" w:eastAsia="zh-CN" w:bidi="ar"/>
        </w:rPr>
      </w:pPr>
      <w:r>
        <w:rPr>
          <w:rFonts w:hint="default" w:ascii="Times New Roman" w:hAnsi="Times New Roman" w:eastAsia="SimSun" w:cs="Times New Roman"/>
          <w:color w:val="000000"/>
          <w:kern w:val="0"/>
          <w:sz w:val="28"/>
          <w:szCs w:val="28"/>
          <w:lang w:val="en-US" w:eastAsia="zh-CN" w:bidi="ar"/>
        </w:rPr>
        <w:t xml:space="preserve">Reference: </w:t>
      </w:r>
    </w:p>
    <w:p>
      <w:pPr>
        <w:keepNext w:val="0"/>
        <w:keepLines w:val="0"/>
        <w:widowControl/>
        <w:suppressLineNumbers w:val="0"/>
        <w:jc w:val="left"/>
        <w:rPr>
          <w:rFonts w:hint="default" w:ascii="Times New Roman" w:hAnsi="Times New Roman" w:eastAsia="SimSun" w:cs="Times New Roman"/>
          <w:color w:val="000000"/>
          <w:kern w:val="0"/>
          <w:sz w:val="24"/>
          <w:szCs w:val="24"/>
          <w:lang w:val="en-US" w:eastAsia="zh-CN" w:bidi="ar"/>
        </w:rPr>
      </w:pPr>
    </w:p>
    <w:p>
      <w:pPr>
        <w:keepNext w:val="0"/>
        <w:keepLines w:val="0"/>
        <w:widowControl/>
        <w:suppressLineNumbers w:val="0"/>
        <w:jc w:val="left"/>
        <w:rPr>
          <w:rFonts w:hint="default" w:ascii="Times New Roman" w:hAnsi="Times New Roman" w:eastAsia="SimSun" w:cs="Times New Roman"/>
          <w:color w:val="000000"/>
          <w:kern w:val="0"/>
          <w:sz w:val="24"/>
          <w:szCs w:val="24"/>
          <w:lang w:val="en-US" w:eastAsia="zh-CN" w:bidi="ar"/>
        </w:rPr>
      </w:pPr>
    </w:p>
    <w:p>
      <w:pPr>
        <w:keepNext w:val="0"/>
        <w:keepLines w:val="0"/>
        <w:widowControl/>
        <w:suppressLineNumbers w:val="0"/>
        <w:jc w:val="left"/>
        <w:rPr>
          <w:rFonts w:hint="default" w:ascii="Times New Roman" w:hAnsi="Times New Roman" w:eastAsia="SimSun" w:cs="Times New Roman"/>
          <w:i/>
          <w:iCs/>
          <w:color w:val="000000"/>
          <w:kern w:val="0"/>
          <w:sz w:val="24"/>
          <w:szCs w:val="24"/>
          <w:lang w:val="en-US" w:eastAsia="zh-CN" w:bidi="ar"/>
        </w:rPr>
      </w:pPr>
      <w:r>
        <w:rPr>
          <w:rFonts w:hint="default" w:ascii="Times New Roman" w:hAnsi="Times New Roman" w:eastAsia="SimSun" w:cs="Times New Roman"/>
          <w:color w:val="000000"/>
          <w:kern w:val="0"/>
          <w:sz w:val="24"/>
          <w:szCs w:val="24"/>
          <w:lang w:val="en-US" w:eastAsia="zh-CN" w:bidi="ar"/>
        </w:rPr>
        <w:t xml:space="preserve">am730(2025) </w:t>
      </w:r>
      <w:r>
        <w:rPr>
          <w:rFonts w:hint="default" w:ascii="Times New Roman" w:hAnsi="Times New Roman" w:eastAsia="SimSun" w:cs="Times New Roman"/>
          <w:i/>
          <w:iCs/>
          <w:color w:val="000000"/>
          <w:kern w:val="0"/>
          <w:sz w:val="24"/>
          <w:szCs w:val="24"/>
          <w:lang w:val="en-US" w:eastAsia="zh-CN" w:bidi="ar"/>
        </w:rPr>
        <w:t>仁滙醫務疑結業│政府跨部門小組跟進　消委會暫接458宗投訴涉款逾260萬元</w:t>
      </w:r>
    </w:p>
    <w:p>
      <w:pPr>
        <w:keepNext w:val="0"/>
        <w:keepLines w:val="0"/>
        <w:widowControl/>
        <w:suppressLineNumbers w:val="0"/>
        <w:jc w:val="left"/>
        <w:rPr>
          <w:rFonts w:hint="default" w:ascii="Times New Roman" w:hAnsi="Times New Roman" w:eastAsia="SimSun" w:cs="Times New Roman"/>
          <w:color w:val="000000"/>
          <w:kern w:val="0"/>
          <w:sz w:val="24"/>
          <w:szCs w:val="24"/>
          <w:lang w:val="en-US" w:eastAsia="zh-CN" w:bidi="ar"/>
        </w:rPr>
      </w:pPr>
      <w:r>
        <w:rPr>
          <w:rFonts w:hint="default" w:ascii="Times New Roman" w:hAnsi="Times New Roman" w:eastAsia="SimSun" w:cs="Times New Roman"/>
          <w:color w:val="000000"/>
          <w:kern w:val="0"/>
          <w:sz w:val="24"/>
          <w:szCs w:val="24"/>
          <w:lang w:val="en-US" w:eastAsia="zh-CN" w:bidi="ar"/>
        </w:rPr>
        <w:t>Available at:</w:t>
      </w:r>
    </w:p>
    <w:p>
      <w:pPr>
        <w:rPr>
          <w:rFonts w:hint="default"/>
          <w:lang w:val="en-US"/>
        </w:rPr>
      </w:pPr>
      <w:r>
        <w:rPr>
          <w:rFonts w:hint="default"/>
          <w:lang w:val="en-US"/>
        </w:rPr>
        <w:fldChar w:fldCharType="begin"/>
      </w:r>
      <w:r>
        <w:rPr>
          <w:rFonts w:hint="default"/>
          <w:lang w:val="en-US"/>
        </w:rPr>
        <w:instrText xml:space="preserve"> HYPERLINK "https://www.am730.com.hk/本地/仁滙醫務疑結業-政府跨部門小組跟進-消委會暫接458宗投訴涉款逾260萬元/557043" </w:instrText>
      </w:r>
      <w:r>
        <w:rPr>
          <w:rFonts w:hint="default"/>
          <w:lang w:val="en-US"/>
        </w:rPr>
        <w:fldChar w:fldCharType="separate"/>
      </w:r>
      <w:r>
        <w:rPr>
          <w:rStyle w:val="8"/>
          <w:rFonts w:hint="default"/>
          <w:lang w:val="en-US"/>
        </w:rPr>
        <w:t>https://www.am730.com.hk/本地/仁滙醫務疑結業-政府跨部門小組跟進-消委會暫接458宗投訴涉款逾260萬元/557043</w:t>
      </w:r>
      <w:r>
        <w:rPr>
          <w:rFonts w:hint="default"/>
          <w:lang w:val="en-US"/>
        </w:rPr>
        <w:fldChar w:fldCharType="end"/>
      </w:r>
    </w:p>
    <w:p>
      <w:pPr>
        <w:keepNext w:val="0"/>
        <w:keepLines w:val="0"/>
        <w:widowControl/>
        <w:suppressLineNumbers w:val="0"/>
        <w:jc w:val="left"/>
        <w:rPr>
          <w:rFonts w:hint="default" w:ascii="Times New Roman" w:hAnsi="Times New Roman" w:eastAsia="SimSun" w:cs="Times New Roman"/>
          <w:color w:val="000000"/>
          <w:kern w:val="0"/>
          <w:sz w:val="24"/>
          <w:szCs w:val="24"/>
          <w:lang w:val="en-US" w:eastAsia="zh-CN" w:bidi="ar"/>
        </w:rPr>
      </w:pPr>
    </w:p>
    <w:p>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(Accessed: 29 May 2025)</w:t>
      </w:r>
    </w:p>
    <w:p>
      <w:pPr>
        <w:spacing w:line="360" w:lineRule="auto"/>
        <w:jc w:val="both"/>
        <w:rPr>
          <w:rFonts w:hint="default" w:ascii="Times New Roman Regular" w:hAnsi="Times New Roman Regular" w:cs="Times New Roman Regular"/>
          <w:sz w:val="24"/>
          <w:szCs w:val="24"/>
        </w:rPr>
      </w:pPr>
    </w:p>
    <w:p>
      <w:pPr>
        <w:spacing w:line="360" w:lineRule="auto"/>
        <w:jc w:val="both"/>
        <w:rPr>
          <w:rFonts w:hint="default" w:ascii="Times New Roman Regular" w:hAnsi="Times New Roman Regular" w:cs="Times New Roman Regular"/>
          <w:i/>
          <w:iCs/>
          <w:sz w:val="24"/>
          <w:szCs w:val="24"/>
        </w:rPr>
      </w:pPr>
      <w:r>
        <w:rPr>
          <w:rFonts w:hint="default" w:ascii="Times New Roman Regular" w:hAnsi="Times New Roman Regular" w:cs="Times New Roman Regular"/>
          <w:i w:val="0"/>
          <w:iCs w:val="0"/>
          <w:sz w:val="24"/>
          <w:szCs w:val="24"/>
        </w:rPr>
        <w:t>消費者委員會</w:t>
      </w:r>
      <w:r>
        <w:rPr>
          <w:rFonts w:hint="default" w:ascii="Times New Roman Regular" w:hAnsi="Times New Roman Regular" w:cs="Times New Roman Regular"/>
          <w:i w:val="0"/>
          <w:iCs w:val="0"/>
          <w:sz w:val="24"/>
          <w:szCs w:val="24"/>
          <w:lang w:val="en-US"/>
        </w:rPr>
        <w:t>(2025)</w:t>
      </w:r>
      <w:r>
        <w:rPr>
          <w:rFonts w:hint="default" w:ascii="Times New Roman Regular" w:hAnsi="Times New Roman Regular" w:cs="Times New Roman Regular"/>
          <w:i/>
          <w:iCs/>
          <w:sz w:val="24"/>
          <w:szCs w:val="24"/>
        </w:rPr>
        <w:t>研究反映私營醫療服務醫患資訊不對稱 價格欠明確 消委會倡5大建議增收費透明度 建信心保價值</w:t>
      </w:r>
    </w:p>
    <w:p>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 xml:space="preserve">Available at: </w:t>
      </w:r>
    </w:p>
    <w:p>
      <w:pPr>
        <w:rPr>
          <w:rFonts w:hint="default"/>
          <w:lang w:val="en-US"/>
        </w:rPr>
      </w:pPr>
      <w:r>
        <w:rPr>
          <w:rFonts w:hint="default"/>
          <w:lang w:val="en-US"/>
        </w:rPr>
        <w:fldChar w:fldCharType="begin"/>
      </w:r>
      <w:r>
        <w:rPr>
          <w:rFonts w:hint="default"/>
          <w:lang w:val="en-US"/>
        </w:rPr>
        <w:instrText xml:space="preserve"> HYPERLINK "https://www.consumer.org.hk/tc/press-release/p-private-healthcare-services-study-report" </w:instrText>
      </w:r>
      <w:r>
        <w:rPr>
          <w:rFonts w:hint="default"/>
          <w:lang w:val="en-US"/>
        </w:rPr>
        <w:fldChar w:fldCharType="separate"/>
      </w:r>
      <w:r>
        <w:rPr>
          <w:rStyle w:val="8"/>
          <w:rFonts w:hint="default"/>
          <w:lang w:val="en-US"/>
        </w:rPr>
        <w:t>https://www.consumer.org.hk/tc/press-release/p-private-healthcare-services-study-report</w:t>
      </w:r>
      <w:r>
        <w:rPr>
          <w:rFonts w:hint="default"/>
          <w:lang w:val="en-US"/>
        </w:rPr>
        <w:fldChar w:fldCharType="end"/>
      </w:r>
    </w:p>
    <w:p>
      <w:pPr>
        <w:spacing w:line="360" w:lineRule="auto"/>
        <w:jc w:val="both"/>
        <w:rPr>
          <w:rFonts w:hint="default" w:ascii="Times New Roman Regular" w:hAnsi="Times New Roman Regular" w:cs="Times New Roman Regular"/>
          <w:sz w:val="24"/>
          <w:szCs w:val="24"/>
        </w:rPr>
      </w:pPr>
    </w:p>
    <w:p>
      <w:pPr>
        <w:keepNext w:val="0"/>
        <w:keepLines w:val="0"/>
        <w:widowControl/>
        <w:suppressLineNumbers w:val="0"/>
        <w:jc w:val="left"/>
      </w:pPr>
      <w:r>
        <w:rPr>
          <w:rFonts w:hint="default" w:ascii="Times New Roman" w:hAnsi="Times New Roman" w:eastAsia="SimSun" w:cs="Times New Roman"/>
          <w:color w:val="000000"/>
          <w:kern w:val="0"/>
          <w:sz w:val="24"/>
          <w:szCs w:val="24"/>
          <w:lang w:val="en-US" w:eastAsia="zh-CN" w:bidi="ar"/>
        </w:rPr>
        <w:t>(Accessed: 29 May 2025)</w:t>
      </w:r>
    </w:p>
    <w:p>
      <w:pPr>
        <w:spacing w:line="360" w:lineRule="auto"/>
        <w:jc w:val="both"/>
        <w:rPr>
          <w:rFonts w:hint="default" w:ascii="Times New Roman Regular" w:hAnsi="Times New Roman Regular" w:cs="Times New Roman Regular"/>
          <w:sz w:val="24"/>
          <w:szCs w:val="24"/>
        </w:rPr>
      </w:pPr>
    </w:p>
    <w:p>
      <w:pPr>
        <w:numPr>
          <w:ilvl w:val="0"/>
          <w:numId w:val="0"/>
        </w:numPr>
        <w:spacing w:line="360" w:lineRule="auto"/>
        <w:ind w:leftChars="0"/>
        <w:jc w:val="both"/>
        <w:rPr>
          <w:rFonts w:hint="default" w:ascii="Times New Roman Regular" w:hAnsi="Times New Roman Regular" w:cs="Times New Roman Regular"/>
          <w:sz w:val="24"/>
          <w:szCs w:val="24"/>
          <w:lang w:val="en-US"/>
        </w:rPr>
      </w:pPr>
    </w:p>
    <w:sectPr>
      <w:headerReference r:id="rId3" w:type="default"/>
      <w:footerReference r:id="rId4" w:type="default"/>
      <w:pgSz w:w="11906" w:h="16838"/>
      <w:pgMar w:top="1418" w:right="707" w:bottom="567" w:left="709"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汉仪书宋二KW"/>
    <w:panose1 w:val="00000000000000000000"/>
    <w:charset w:val="86"/>
    <w:family w:val="auto"/>
    <w:pitch w:val="default"/>
    <w:sig w:usb0="00000000" w:usb1="00000000" w:usb2="00000000" w:usb3="00000000" w:csb0="00000000" w:csb1="00000000"/>
  </w:font>
  <w:font w:name="新細明體">
    <w:altName w:val="宋体-繁"/>
    <w:panose1 w:val="02020500000000000000"/>
    <w:charset w:val="86"/>
    <w:family w:val="roman"/>
    <w:pitch w:val="default"/>
    <w:sig w:usb0="A00002FF" w:usb1="28CFFCFA" w:usb2="00000016" w:usb3="00000000" w:csb0="00100001" w:csb1="00000000"/>
  </w:font>
  <w:font w:name="Arial">
    <w:panose1 w:val="020B0604020202090204"/>
    <w:charset w:val="00"/>
    <w:family w:val="swiss"/>
    <w:pitch w:val="default"/>
    <w:sig w:usb0="E0000AFF" w:usb1="00007843" w:usb2="00000001" w:usb3="00000000" w:csb0="400001BF" w:csb1="DFF70000"/>
  </w:font>
  <w:font w:name="Courier New">
    <w:panose1 w:val="02070409020205090404"/>
    <w:charset w:val="00"/>
    <w:family w:val="modern"/>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細明體">
    <w:altName w:val="苹方-简"/>
    <w:panose1 w:val="02020509000000000000"/>
    <w:charset w:val="00"/>
    <w:family w:val="modern"/>
    <w:pitch w:val="default"/>
    <w:sig w:usb0="A00002FF" w:usb1="28CFFCFA" w:usb2="00000016" w:usb3="00000000" w:csb0="00100001" w:csb1="00000000"/>
  </w:font>
  <w:font w:name="Calibri">
    <w:altName w:val="Helvetica Neue"/>
    <w:panose1 w:val="020F0502020204030204"/>
    <w:charset w:val="00"/>
    <w:family w:val="swiss"/>
    <w:pitch w:val="default"/>
    <w:sig w:usb0="00000000" w:usb1="00000000" w:usb2="00000001" w:usb3="00000000" w:csb0="0000019F" w:csb1="00000000"/>
  </w:font>
  <w:font w:name="新細明體">
    <w:altName w:val="宋体-繁"/>
    <w:panose1 w:val="00000000000000000000"/>
    <w:charset w:val="86"/>
    <w:family w:val="auto"/>
    <w:pitch w:val="default"/>
    <w:sig w:usb0="00000000" w:usb1="00000000" w:usb2="00000000" w:usb3="00000000" w:csb0="00000000" w:csb1="00000000"/>
  </w:font>
  <w:font w:name="Tahoma">
    <w:panose1 w:val="020B0604030504040204"/>
    <w:charset w:val="00"/>
    <w:family w:val="swiss"/>
    <w:pitch w:val="default"/>
    <w:sig w:usb0="E1002AFF" w:usb1="C000605B" w:usb2="00000029" w:usb3="00000000" w:csb0="200101FF" w:csb1="20280000"/>
  </w:font>
  <w:font w:name="Cambria">
    <w:altName w:val="苹方-简"/>
    <w:panose1 w:val="02040503050406030204"/>
    <w:charset w:val="00"/>
    <w:family w:val="roman"/>
    <w:pitch w:val="default"/>
    <w:sig w:usb0="00000000" w:usb1="00000000" w:usb2="00000000" w:usb3="00000000" w:csb0="0000019F" w:csb1="00000000"/>
  </w:font>
  <w:font w:name="BLZXV A+ Times">
    <w:altName w:val="Times New Roman"/>
    <w:panose1 w:val="00000000000000000000"/>
    <w:charset w:val="00"/>
    <w:family w:val="roman"/>
    <w:pitch w:val="default"/>
    <w:sig w:usb0="00000000" w:usb1="00000000" w:usb2="00000000" w:usb3="00000000" w:csb0="00000000" w:csb1="00000000"/>
  </w:font>
  <w:font w:name="Segoe UI Symbol">
    <w:altName w:val="苹方-简"/>
    <w:panose1 w:val="020B0502040204020203"/>
    <w:charset w:val="00"/>
    <w:family w:val="swiss"/>
    <w:pitch w:val="default"/>
    <w:sig w:usb0="00000000" w:usb1="00000000" w:usb2="00040000" w:usb3="00000000" w:csb0="00000001" w:csb1="00000000"/>
  </w:font>
  <w:font w:name="MS Gothic">
    <w:altName w:val="Hiragino Sans"/>
    <w:panose1 w:val="020B0609070205080204"/>
    <w:charset w:val="80"/>
    <w:family w:val="modern"/>
    <w:pitch w:val="default"/>
    <w:sig w:usb0="00000000" w:usb1="00000000" w:usb2="08000012" w:usb3="00000000" w:csb0="0002009F" w:csb1="00000000"/>
  </w:font>
  <w:font w:name="Symbol">
    <w:altName w:val="Kingsoft Sign"/>
    <w:panose1 w:val="05050102010706020507"/>
    <w:charset w:val="02"/>
    <w:family w:val="decorative"/>
    <w:pitch w:val="default"/>
    <w:sig w:usb0="00000000" w:usb1="00000000" w:usb2="00000000" w:usb3="00000000" w:csb0="80000000" w:csb1="00000000"/>
  </w:font>
  <w:font w:name="-webkit-standard">
    <w:altName w:val="苹方-简"/>
    <w:panose1 w:val="020B0604020202020204"/>
    <w:charset w:val="00"/>
    <w:family w:val="auto"/>
    <w:pitch w:val="default"/>
    <w:sig w:usb0="00000000" w:usb1="00000000" w:usb2="00000000" w:usb3="00000000" w:csb0="00000000" w:csb1="00000000"/>
  </w:font>
  <w:font w:name="Brush Script MT">
    <w:panose1 w:val="03060802040406070304"/>
    <w:charset w:val="86"/>
    <w:family w:val="script"/>
    <w:pitch w:val="default"/>
    <w:sig w:usb0="00000000" w:usb1="00000000" w:usb2="00000000" w:usb3="00000000" w:csb0="0025003A" w:csb1="002F0000"/>
  </w:font>
  <w:font w:name="Arial Bold">
    <w:panose1 w:val="020B0604020202090204"/>
    <w:charset w:val="00"/>
    <w:family w:val="auto"/>
    <w:pitch w:val="default"/>
    <w:sig w:usb0="E0000AFF" w:usb1="00007843" w:usb2="00000001" w:usb3="00000000" w:csb0="400001BF" w:csb1="DFF70000"/>
  </w:font>
  <w:font w:name="TRAZV A+ Times">
    <w:altName w:val="Times New Roman"/>
    <w:panose1 w:val="00000000000000000000"/>
    <w:charset w:val="00"/>
    <w:family w:val="roman"/>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Arial Unicode MS">
    <w:panose1 w:val="020B0604020202020204"/>
    <w:charset w:val="86"/>
    <w:family w:val="auto"/>
    <w:pitch w:val="default"/>
    <w:sig w:usb0="FFFFFFFF" w:usb1="E9FFFFFF" w:usb2="0000003F" w:usb3="00000000" w:csb0="603F01FF" w:csb1="FFFF0000"/>
  </w:font>
  <w:font w:name="冬青黑體簡體中文">
    <w:panose1 w:val="020B0300000000000000"/>
    <w:charset w:val="86"/>
    <w:family w:val="auto"/>
    <w:pitch w:val="default"/>
    <w:sig w:usb0="A00002BF" w:usb1="1ACF7CFA" w:usb2="00000016" w:usb3="00000000" w:csb0="00060007" w:csb1="00000000"/>
  </w:font>
  <w:font w:name="Hiragino Sans">
    <w:panose1 w:val="020B0300000000000000"/>
    <w:charset w:val="80"/>
    <w:family w:val="auto"/>
    <w:pitch w:val="default"/>
    <w:sig w:usb0="E00002FF" w:usb1="7AE7FFFF" w:usb2="00000012" w:usb3="00000000" w:csb0="0002000D" w:csb1="00000000"/>
  </w:font>
  <w:font w:name="Kingsoft Sign">
    <w:panose1 w:val="05050102010706020507"/>
    <w:charset w:val="00"/>
    <w:family w:val="auto"/>
    <w:pitch w:val="default"/>
    <w:sig w:usb0="00000000" w:usb1="10000000" w:usb2="00000000" w:usb3="00000000" w:csb0="00000001" w:csb1="00000000"/>
  </w:font>
  <w:font w:name="宋体-简">
    <w:panose1 w:val="02010800040101010101"/>
    <w:charset w:val="86"/>
    <w:family w:val="auto"/>
    <w:pitch w:val="default"/>
    <w:sig w:usb0="00000001" w:usb1="080F0000" w:usb2="00000000" w:usb3="00000000" w:csb0="00040000" w:csb1="00000000"/>
  </w:font>
  <w:font w:name="SimSun">
    <w:altName w:val="汉仪书宋二KW"/>
    <w:panose1 w:val="02010600030101010101"/>
    <w:charset w:val="86"/>
    <w:family w:val="auto"/>
    <w:pitch w:val="default"/>
    <w:sig w:usb0="00000000" w:usb1="00000000" w:usb2="00000010" w:usb3="00000000" w:csb0="00040001" w:csb1="00000000"/>
  </w:font>
  <w:font w:name="宋体-繁">
    <w:panose1 w:val="02010600040101010101"/>
    <w:charset w:val="86"/>
    <w:family w:val="auto"/>
    <w:pitch w:val="default"/>
    <w:sig w:usb0="00000287" w:usb1="080F0000" w:usb2="00000000" w:usb3="00000000" w:csb0="0004009F" w:csb1="DFD70000"/>
  </w:font>
  <w:font w:name="Helvetica Neue">
    <w:panose1 w:val="02000503000000020004"/>
    <w:charset w:val="00"/>
    <w:family w:val="auto"/>
    <w:pitch w:val="default"/>
    <w:sig w:usb0="E50002FF" w:usb1="500079DB" w:usb2="00000010" w:usb3="00000000" w:csb0="00000000" w:csb1="00000000"/>
  </w:font>
  <w:font w:name="Arial Regular">
    <w:panose1 w:val="020B0604020202090204"/>
    <w:charset w:val="00"/>
    <w:family w:val="auto"/>
    <w:pitch w:val="default"/>
    <w:sig w:usb0="E0000AFF" w:usb1="00007843" w:usb2="00000001" w:usb3="00000000" w:csb0="400001BF" w:csb1="DFF70000"/>
  </w:font>
  <w:font w:name="Times New Roman Regular">
    <w:panose1 w:val="02020503050405090304"/>
    <w:charset w:val="00"/>
    <w:family w:val="auto"/>
    <w:pitch w:val="default"/>
    <w:sig w:usb0="E0000AFF" w:usb1="00007843" w:usb2="00000001" w:usb3="00000000" w:csb0="400001BF" w:csb1="DFF70000"/>
  </w:font>
  <w:font w:name="Times New Roman Bold">
    <w:panose1 w:val="02020503050405090304"/>
    <w:charset w:val="00"/>
    <w:family w:val="auto"/>
    <w:pitch w:val="default"/>
    <w:sig w:usb0="E0000AFF" w:usb1="00007843" w:usb2="00000001" w:usb3="00000000" w:csb0="400001BF" w:csb1="DF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rPr>
        <w:rStyle w:val="9"/>
        <w:rFonts w:ascii="Arial" w:hAnsi="Arial" w:cs="Arial"/>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字方塊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1</w:t>
                    </w:r>
                    <w:r>
                      <w:fldChar w:fldCharType="end"/>
                    </w:r>
                  </w:p>
                </w:txbxContent>
              </v:textbox>
            </v:shape>
          </w:pict>
        </mc:Fallback>
      </mc:AlternateContent>
    </w:r>
    <w:r>
      <w:rPr>
        <w:rStyle w:val="9"/>
        <w:rFonts w:ascii="Arial" w:hAnsi="Arial" w:cs="Arial"/>
      </w:rPr>
      <w:ptab w:relativeTo="margin" w:alignment="right" w:leader="none"/>
    </w:r>
  </w:p>
  <w:p>
    <w:pPr>
      <w:pStyle w:val="15"/>
      <w:rPr>
        <w:rStyle w:val="9"/>
        <w:rFonts w:ascii="Arial" w:hAnsi="Arial" w:cs="Arial"/>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right"/>
      <w:rPr>
        <w:rFonts w:ascii="Arial" w:hAnsi="Arial" w:cs="Arial"/>
        <w:b/>
        <w:bCs/>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B4FD97"/>
    <w:multiLevelType w:val="singleLevel"/>
    <w:tmpl w:val="AFB4FD97"/>
    <w:lvl w:ilvl="0" w:tentative="0">
      <w:start w:val="1"/>
      <w:numFmt w:val="decimal"/>
      <w:suff w:val="space"/>
      <w:lvlText w:val="%1)"/>
      <w:lvlJc w:val="left"/>
    </w:lvl>
  </w:abstractNum>
  <w:abstractNum w:abstractNumId="1">
    <w:nsid w:val="F7EDA07C"/>
    <w:multiLevelType w:val="singleLevel"/>
    <w:tmpl w:val="F7EDA07C"/>
    <w:lvl w:ilvl="0" w:tentative="0">
      <w:start w:val="1"/>
      <w:numFmt w:val="lowerLetter"/>
      <w:suff w:val="space"/>
      <w:lvlText w:val="%1)"/>
      <w:lvlJc w:val="left"/>
    </w:lvl>
  </w:abstractNum>
  <w:abstractNum w:abstractNumId="2">
    <w:nsid w:val="FDFEBBBC"/>
    <w:multiLevelType w:val="multilevel"/>
    <w:tmpl w:val="FDFEBBBC"/>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3">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00"/>
  <w:displayHorizontalDrawingGridEvery w:val="1"/>
  <w:displayVerticalDrawingGridEvery w:val="1"/>
  <w:noPunctuationKerning w:val="1"/>
  <w:characterSpacingControl w:val="doNotCompress"/>
  <w:doNotValidateAgainstSchema/>
  <w:doNotDemarcateInvalidXml/>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B66D1"/>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3E79"/>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B7FD8"/>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0A3B"/>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93D19"/>
    <w:rsid w:val="00BA1A32"/>
    <w:rsid w:val="00BA346E"/>
    <w:rsid w:val="00BB1B85"/>
    <w:rsid w:val="00BB26B7"/>
    <w:rsid w:val="00BB3142"/>
    <w:rsid w:val="00BC301B"/>
    <w:rsid w:val="00BD4150"/>
    <w:rsid w:val="00BD76BC"/>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38CC"/>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377D49C1"/>
    <w:rsid w:val="37F63B12"/>
    <w:rsid w:val="3BFB8C70"/>
    <w:rsid w:val="3F06C5B6"/>
    <w:rsid w:val="3FDF8C68"/>
    <w:rsid w:val="57FB1247"/>
    <w:rsid w:val="5B15F621"/>
    <w:rsid w:val="656976A7"/>
    <w:rsid w:val="6FE7EC7D"/>
    <w:rsid w:val="76FE73BC"/>
    <w:rsid w:val="77F74E91"/>
    <w:rsid w:val="7BDF3817"/>
    <w:rsid w:val="7DDFEA92"/>
    <w:rsid w:val="7E538B7A"/>
    <w:rsid w:val="7F07F1E3"/>
    <w:rsid w:val="7FF73BC2"/>
    <w:rsid w:val="7FFB855E"/>
    <w:rsid w:val="95DBF394"/>
    <w:rsid w:val="B1D72BB9"/>
    <w:rsid w:val="B55D6C66"/>
    <w:rsid w:val="B5DFB388"/>
    <w:rsid w:val="B62EE30A"/>
    <w:rsid w:val="CFBDAD42"/>
    <w:rsid w:val="D6CC0863"/>
    <w:rsid w:val="DBEC6FC7"/>
    <w:rsid w:val="DFC79C94"/>
    <w:rsid w:val="DFDF2FCE"/>
    <w:rsid w:val="E3F99652"/>
    <w:rsid w:val="E6EFBEB7"/>
    <w:rsid w:val="E7D31196"/>
    <w:rsid w:val="EEFF1283"/>
    <w:rsid w:val="EFF64A7F"/>
    <w:rsid w:val="FA9F891B"/>
    <w:rsid w:val="FBBD0B1E"/>
    <w:rsid w:val="FBD5910C"/>
    <w:rsid w:val="FBFFF638"/>
    <w:rsid w:val="FE4DF7EC"/>
    <w:rsid w:val="FF3B7BC1"/>
    <w:rsid w:val="FF5CAD8B"/>
    <w:rsid w:val="FFAF4B32"/>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99" w:semiHidden="0"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US" w:bidi="ar-SA"/>
    </w:rPr>
  </w:style>
  <w:style w:type="paragraph" w:styleId="2">
    <w:name w:val="heading 1"/>
    <w:basedOn w:val="1"/>
    <w:next w:val="1"/>
    <w:link w:val="20"/>
    <w:qFormat/>
    <w:uiPriority w:val="99"/>
    <w:pPr>
      <w:keepNext/>
      <w:tabs>
        <w:tab w:val="left" w:pos="5103"/>
      </w:tabs>
      <w:jc w:val="center"/>
      <w:outlineLvl w:val="0"/>
    </w:pPr>
    <w:rPr>
      <w:b/>
      <w:bCs/>
      <w:sz w:val="22"/>
      <w:szCs w:val="22"/>
    </w:rPr>
  </w:style>
  <w:style w:type="paragraph" w:styleId="3">
    <w:name w:val="heading 3"/>
    <w:next w:val="1"/>
    <w:semiHidden/>
    <w:unhideWhenUsed/>
    <w:qFormat/>
    <w:uiPriority w:val="9"/>
    <w:pPr>
      <w:spacing w:beforeAutospacing="1" w:afterAutospacing="1"/>
      <w:outlineLvl w:val="2"/>
    </w:pPr>
    <w:rPr>
      <w:rFonts w:hint="eastAsia" w:ascii="SimSun" w:hAnsi="SimSun" w:eastAsia="SimSun" w:cs="Times New Roman"/>
      <w:b/>
      <w:bCs/>
      <w:sz w:val="27"/>
      <w:szCs w:val="27"/>
      <w:lang w:val="en-US" w:eastAsia="zh-CN" w:bidi="ar-SA"/>
    </w:rPr>
  </w:style>
  <w:style w:type="paragraph" w:styleId="4">
    <w:name w:val="heading 4"/>
    <w:basedOn w:val="1"/>
    <w:next w:val="1"/>
    <w:link w:val="21"/>
    <w:qFormat/>
    <w:uiPriority w:val="99"/>
    <w:pPr>
      <w:keepNext/>
      <w:spacing w:before="240" w:after="60"/>
      <w:outlineLvl w:val="3"/>
    </w:pPr>
    <w:rPr>
      <w:b/>
      <w:bCs/>
      <w:sz w:val="28"/>
      <w:szCs w:val="28"/>
    </w:rPr>
  </w:style>
  <w:style w:type="character" w:default="1" w:styleId="5">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character" w:styleId="7">
    <w:name w:val="annotation reference"/>
    <w:semiHidden/>
    <w:unhideWhenUsed/>
    <w:uiPriority w:val="99"/>
    <w:rPr>
      <w:sz w:val="16"/>
      <w:szCs w:val="16"/>
    </w:rPr>
  </w:style>
  <w:style w:type="character" w:styleId="8">
    <w:name w:val="Hyperlink"/>
    <w:uiPriority w:val="0"/>
    <w:rPr>
      <w:color w:val="0000FF"/>
      <w:u w:val="single"/>
    </w:rPr>
  </w:style>
  <w:style w:type="character" w:styleId="9">
    <w:name w:val="page number"/>
    <w:basedOn w:val="5"/>
    <w:uiPriority w:val="99"/>
  </w:style>
  <w:style w:type="character" w:styleId="10">
    <w:name w:val="Strong"/>
    <w:qFormat/>
    <w:uiPriority w:val="22"/>
    <w:rPr>
      <w:b/>
      <w:bCs/>
    </w:rPr>
  </w:style>
  <w:style w:type="character" w:styleId="11">
    <w:name w:val="FollowedHyperlink"/>
    <w:semiHidden/>
    <w:uiPriority w:val="99"/>
    <w:rPr>
      <w:color w:val="800080"/>
      <w:u w:val="single"/>
    </w:rPr>
  </w:style>
  <w:style w:type="paragraph" w:styleId="12">
    <w:name w:val="header"/>
    <w:basedOn w:val="1"/>
    <w:link w:val="25"/>
    <w:semiHidden/>
    <w:uiPriority w:val="99"/>
    <w:pPr>
      <w:tabs>
        <w:tab w:val="center" w:pos="4513"/>
        <w:tab w:val="right" w:pos="9026"/>
      </w:tabs>
    </w:pPr>
  </w:style>
  <w:style w:type="paragraph" w:styleId="13">
    <w:name w:val="Body Text 2"/>
    <w:basedOn w:val="1"/>
    <w:link w:val="22"/>
    <w:uiPriority w:val="99"/>
    <w:pPr>
      <w:ind w:left="720" w:hanging="720"/>
    </w:pPr>
    <w:rPr>
      <w:b/>
      <w:bCs/>
      <w:sz w:val="22"/>
      <w:szCs w:val="22"/>
    </w:rPr>
  </w:style>
  <w:style w:type="paragraph" w:styleId="14">
    <w:name w:val="annotation text"/>
    <w:basedOn w:val="1"/>
    <w:link w:val="29"/>
    <w:semiHidden/>
    <w:unhideWhenUsed/>
    <w:uiPriority w:val="99"/>
  </w:style>
  <w:style w:type="paragraph" w:styleId="15">
    <w:name w:val="footer"/>
    <w:basedOn w:val="1"/>
    <w:link w:val="26"/>
    <w:uiPriority w:val="99"/>
    <w:pPr>
      <w:tabs>
        <w:tab w:val="center" w:pos="4513"/>
        <w:tab w:val="right" w:pos="9026"/>
      </w:tabs>
    </w:pPr>
  </w:style>
  <w:style w:type="paragraph" w:styleId="16">
    <w:name w:val="annotation subject"/>
    <w:basedOn w:val="14"/>
    <w:next w:val="14"/>
    <w:link w:val="30"/>
    <w:semiHidden/>
    <w:unhideWhenUsed/>
    <w:uiPriority w:val="99"/>
    <w:rPr>
      <w:b/>
      <w:bCs/>
    </w:rPr>
  </w:style>
  <w:style w:type="paragraph" w:styleId="17">
    <w:name w:val="Normal (Web)"/>
    <w:basedOn w:val="1"/>
    <w:uiPriority w:val="99"/>
    <w:pPr>
      <w:spacing w:before="100" w:beforeAutospacing="1" w:after="100" w:afterAutospacing="1"/>
    </w:pPr>
    <w:rPr>
      <w:sz w:val="24"/>
      <w:szCs w:val="24"/>
      <w:lang w:eastAsia="en-GB"/>
    </w:rPr>
  </w:style>
  <w:style w:type="paragraph" w:styleId="18">
    <w:name w:val="Balloon Text"/>
    <w:basedOn w:val="1"/>
    <w:link w:val="24"/>
    <w:semiHidden/>
    <w:uiPriority w:val="99"/>
    <w:rPr>
      <w:rFonts w:ascii="Tahoma" w:hAnsi="Tahoma" w:cs="Tahoma"/>
      <w:sz w:val="16"/>
      <w:szCs w:val="16"/>
    </w:rPr>
  </w:style>
  <w:style w:type="table" w:styleId="19">
    <w:name w:val="Table Grid"/>
    <w:basedOn w:val="6"/>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0">
    <w:name w:val="標題 1 字元"/>
    <w:link w:val="2"/>
    <w:uiPriority w:val="99"/>
    <w:rPr>
      <w:rFonts w:ascii="Cambria" w:hAnsi="Cambria" w:cs="Cambria"/>
      <w:b/>
      <w:bCs/>
      <w:kern w:val="32"/>
      <w:sz w:val="32"/>
      <w:szCs w:val="32"/>
      <w:lang w:eastAsia="en-US"/>
    </w:rPr>
  </w:style>
  <w:style w:type="character" w:customStyle="1" w:styleId="21">
    <w:name w:val="標題 4 字元"/>
    <w:link w:val="4"/>
    <w:semiHidden/>
    <w:uiPriority w:val="99"/>
    <w:rPr>
      <w:rFonts w:ascii="Calibri" w:hAnsi="Calibri" w:cs="Calibri"/>
      <w:b/>
      <w:bCs/>
      <w:sz w:val="28"/>
      <w:szCs w:val="28"/>
      <w:lang w:eastAsia="en-US"/>
    </w:rPr>
  </w:style>
  <w:style w:type="character" w:customStyle="1" w:styleId="22">
    <w:name w:val="本文 2 字元"/>
    <w:link w:val="13"/>
    <w:semiHidden/>
    <w:uiPriority w:val="99"/>
    <w:rPr>
      <w:sz w:val="20"/>
      <w:szCs w:val="20"/>
      <w:lang w:eastAsia="en-US"/>
    </w:rPr>
  </w:style>
  <w:style w:type="paragraph" w:customStyle="1" w:styleId="23">
    <w:name w:val="deannah1"/>
    <w:basedOn w:val="1"/>
    <w:uiPriority w:val="99"/>
    <w:pPr>
      <w:keepNext/>
      <w:spacing w:after="240"/>
    </w:pPr>
    <w:rPr>
      <w:b/>
      <w:bCs/>
      <w:sz w:val="24"/>
      <w:szCs w:val="24"/>
    </w:rPr>
  </w:style>
  <w:style w:type="character" w:customStyle="1" w:styleId="24">
    <w:name w:val="註解方塊文字 字元"/>
    <w:link w:val="18"/>
    <w:semiHidden/>
    <w:uiPriority w:val="99"/>
    <w:rPr>
      <w:sz w:val="2"/>
      <w:szCs w:val="2"/>
      <w:lang w:eastAsia="en-US"/>
    </w:rPr>
  </w:style>
  <w:style w:type="character" w:customStyle="1" w:styleId="25">
    <w:name w:val="頁首 字元"/>
    <w:link w:val="12"/>
    <w:semiHidden/>
    <w:uiPriority w:val="99"/>
    <w:rPr>
      <w:lang w:eastAsia="en-US"/>
    </w:rPr>
  </w:style>
  <w:style w:type="character" w:customStyle="1" w:styleId="26">
    <w:name w:val="頁尾 字元"/>
    <w:link w:val="15"/>
    <w:uiPriority w:val="99"/>
    <w:rPr>
      <w:lang w:eastAsia="en-US"/>
    </w:rPr>
  </w:style>
  <w:style w:type="character" w:customStyle="1" w:styleId="27">
    <w:name w:val="Hyperlink1"/>
    <w:uiPriority w:val="99"/>
    <w:rPr>
      <w:color w:val="535353"/>
      <w:u w:val="single"/>
    </w:rPr>
  </w:style>
  <w:style w:type="paragraph" w:customStyle="1" w:styleId="28">
    <w:name w:val="Normal (Web)1"/>
    <w:basedOn w:val="1"/>
    <w:uiPriority w:val="99"/>
    <w:pPr>
      <w:spacing w:before="100" w:beforeAutospacing="1" w:after="300"/>
    </w:pPr>
    <w:rPr>
      <w:sz w:val="24"/>
      <w:szCs w:val="24"/>
      <w:lang w:eastAsia="en-GB"/>
    </w:rPr>
  </w:style>
  <w:style w:type="character" w:customStyle="1" w:styleId="29">
    <w:name w:val="註解文字 字元"/>
    <w:link w:val="14"/>
    <w:semiHidden/>
    <w:uiPriority w:val="99"/>
    <w:rPr>
      <w:lang w:eastAsia="en-US"/>
    </w:rPr>
  </w:style>
  <w:style w:type="character" w:customStyle="1" w:styleId="30">
    <w:name w:val="註解主旨 字元"/>
    <w:link w:val="16"/>
    <w:semiHidden/>
    <w:uiPriority w:val="99"/>
    <w:rPr>
      <w:b/>
      <w:bCs/>
      <w:lang w:eastAsia="en-US"/>
    </w:rPr>
  </w:style>
  <w:style w:type="paragraph" w:styleId="31">
    <w:name w:val="List Paragraph"/>
    <w:basedOn w:val="1"/>
    <w:qFormat/>
    <w:uiPriority w:val="34"/>
    <w:pPr>
      <w:ind w:left="720"/>
      <w:contextualSpacing/>
    </w:pPr>
    <w:rPr>
      <w:rFonts w:ascii="Calibri" w:hAnsi="Calibri" w:eastAsia="Calibri"/>
      <w:sz w:val="22"/>
      <w:szCs w:val="22"/>
    </w:rPr>
  </w:style>
  <w:style w:type="character" w:customStyle="1" w:styleId="32">
    <w:name w:val="Unresolved Mention1"/>
    <w:basedOn w:val="5"/>
    <w:semiHidden/>
    <w:unhideWhenUsed/>
    <w:uiPriority w:val="99"/>
    <w:rPr>
      <w:color w:val="605E5C"/>
      <w:shd w:val="clear" w:color="auto" w:fill="E1DFDD"/>
    </w:rPr>
  </w:style>
  <w:style w:type="paragraph" w:customStyle="1" w:styleId="33">
    <w:name w:val="Default"/>
    <w:uiPriority w:val="0"/>
    <w:pPr>
      <w:widowControl w:val="0"/>
      <w:autoSpaceDE w:val="0"/>
      <w:autoSpaceDN w:val="0"/>
      <w:adjustRightInd w:val="0"/>
      <w:spacing w:after="0" w:line="240" w:lineRule="auto"/>
    </w:pPr>
    <w:rPr>
      <w:rFonts w:ascii="BLZXV A+ Times" w:hAnsi="BLZXV A+ Times" w:eastAsia="新細明體" w:cs="BLZXV A+ Times"/>
      <w:color w:val="000000"/>
      <w:kern w:val="0"/>
      <w:sz w:val="24"/>
      <w:szCs w:val="24"/>
      <w:lang w:val="en-US" w:eastAsia="zh-TW" w:bidi="ar-SA"/>
      <w14:ligatures w14: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UoW Trinity Saint David</Company>
  <Pages>22</Pages>
  <Words>5043</Words>
  <Characters>28746</Characters>
  <Lines>239</Lines>
  <Paragraphs>67</Paragraphs>
  <TotalTime>0</TotalTime>
  <ScaleCrop>false</ScaleCrop>
  <LinksUpToDate>false</LinksUpToDate>
  <CharactersWithSpaces>33722</CharactersWithSpaces>
  <Application>WPS Office_6.7.1.8828_F1E327BC-269C-435d-A152-05C5408002CA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2021-07-02T02:47:00Z</dcterms:created>
  <dc:creator>Kevin Brice</dc:creator>
  <cp:lastModifiedBy>WPS_1713497042</cp:lastModifiedBy>
  <cp:lastPrinted>2016-10-26T04:21:00Z</cp:lastPrinted>
  <dcterms:modified xsi:type="dcterms:W3CDTF">2025-06-25T01:31:03Z</dcterms:modified>
  <dc:title>PG2-E1</dc:title>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KSOProductBuildVer">
    <vt:lpwstr>1028-6.7.1.8828</vt:lpwstr>
  </property>
  <property fmtid="{D5CDD505-2E9C-101B-9397-08002B2CF9AE}" pid="5" name="ICV">
    <vt:lpwstr>9DFDE5D355A80178E94E5A68D5039F7C_43</vt:lpwstr>
  </property>
</Properties>
</file>