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77F24" w14:textId="154F20BD" w:rsidR="00884436" w:rsidRDefault="007F62A2" w:rsidP="141BE979">
      <w:pPr>
        <w:jc w:val="center"/>
        <w:rPr>
          <w:rFonts w:ascii="Times New Roman" w:eastAsia="Times New Roman" w:hAnsi="Times New Roman" w:cs="Times New Roman"/>
          <w:b/>
          <w:bCs/>
          <w:color w:val="000000" w:themeColor="text1"/>
          <w:sz w:val="36"/>
          <w:szCs w:val="36"/>
          <w:u w:val="single"/>
        </w:rPr>
      </w:pPr>
      <w:r>
        <w:rPr>
          <w:rFonts w:ascii="Times New Roman" w:eastAsia="Times New Roman" w:hAnsi="Times New Roman" w:cs="Times New Roman"/>
          <w:b/>
          <w:bCs/>
          <w:color w:val="000000" w:themeColor="text1"/>
          <w:sz w:val="36"/>
          <w:szCs w:val="36"/>
          <w:u w:val="single"/>
        </w:rPr>
        <w:t xml:space="preserve">Criminal </w:t>
      </w:r>
      <w:r w:rsidR="00884436">
        <w:rPr>
          <w:rFonts w:ascii="Times New Roman" w:eastAsia="Times New Roman" w:hAnsi="Times New Roman" w:cs="Times New Roman"/>
          <w:b/>
          <w:bCs/>
          <w:color w:val="000000" w:themeColor="text1"/>
          <w:sz w:val="36"/>
          <w:szCs w:val="36"/>
          <w:u w:val="single"/>
        </w:rPr>
        <w:t>Law</w:t>
      </w:r>
    </w:p>
    <w:p w14:paraId="218D256D" w14:textId="13A08268" w:rsidR="005A76EE" w:rsidRDefault="420927C5" w:rsidP="141BE979">
      <w:pPr>
        <w:jc w:val="center"/>
        <w:rPr>
          <w:rFonts w:ascii="Times New Roman" w:eastAsia="Times New Roman" w:hAnsi="Times New Roman" w:cs="Times New Roman"/>
          <w:color w:val="000000" w:themeColor="text1"/>
          <w:sz w:val="36"/>
          <w:szCs w:val="36"/>
        </w:rPr>
      </w:pPr>
      <w:r w:rsidRPr="141BE979">
        <w:rPr>
          <w:rFonts w:ascii="Times New Roman" w:eastAsia="Times New Roman" w:hAnsi="Times New Roman" w:cs="Times New Roman"/>
          <w:b/>
          <w:bCs/>
          <w:color w:val="000000" w:themeColor="text1"/>
          <w:sz w:val="36"/>
          <w:szCs w:val="36"/>
          <w:u w:val="single"/>
        </w:rPr>
        <w:t>Law and Legal Practice</w:t>
      </w:r>
    </w:p>
    <w:p w14:paraId="75AE8CB2" w14:textId="3FC41537" w:rsidR="005A76EE" w:rsidRDefault="087A4EB4" w:rsidP="1D64A439">
      <w:pPr>
        <w:jc w:val="center"/>
        <w:rPr>
          <w:rFonts w:ascii="Times New Roman" w:eastAsia="Times New Roman" w:hAnsi="Times New Roman" w:cs="Times New Roman"/>
          <w:b/>
          <w:bCs/>
          <w:color w:val="000000" w:themeColor="text1"/>
          <w:sz w:val="32"/>
          <w:szCs w:val="32"/>
          <w:u w:val="single"/>
        </w:rPr>
      </w:pPr>
      <w:r w:rsidRPr="1D64A439">
        <w:rPr>
          <w:rFonts w:ascii="Times New Roman" w:eastAsia="Times New Roman" w:hAnsi="Times New Roman" w:cs="Times New Roman"/>
          <w:b/>
          <w:bCs/>
          <w:color w:val="000000" w:themeColor="text1"/>
          <w:sz w:val="32"/>
          <w:szCs w:val="32"/>
          <w:u w:val="single"/>
        </w:rPr>
        <w:t>Hermela Tecleab</w:t>
      </w:r>
    </w:p>
    <w:p w14:paraId="2C078E63" w14:textId="2A302AE4" w:rsidR="005A76EE" w:rsidRDefault="005A76EE" w:rsidP="141BE979"/>
    <w:p w14:paraId="0EDBBE7A" w14:textId="0A582965" w:rsidR="7B101CC1" w:rsidRPr="00CD29B2" w:rsidRDefault="7B101CC1"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Paula </w:t>
      </w:r>
      <w:r w:rsidR="05751235" w:rsidRPr="00CD29B2">
        <w:rPr>
          <w:rFonts w:eastAsia="Times New Roman" w:cstheme="minorHAnsi"/>
          <w:color w:val="000000" w:themeColor="text1"/>
          <w:sz w:val="24"/>
          <w:szCs w:val="24"/>
        </w:rPr>
        <w:t xml:space="preserve">will be </w:t>
      </w:r>
      <w:r w:rsidR="4D019827" w:rsidRPr="00CD29B2">
        <w:rPr>
          <w:rFonts w:eastAsia="Times New Roman" w:cstheme="minorHAnsi"/>
          <w:color w:val="000000" w:themeColor="text1"/>
          <w:sz w:val="24"/>
          <w:szCs w:val="24"/>
        </w:rPr>
        <w:t>criminally</w:t>
      </w:r>
      <w:r w:rsidR="05751235" w:rsidRPr="00CD29B2">
        <w:rPr>
          <w:rFonts w:eastAsia="Times New Roman" w:cstheme="minorHAnsi"/>
          <w:color w:val="000000" w:themeColor="text1"/>
          <w:sz w:val="24"/>
          <w:szCs w:val="24"/>
        </w:rPr>
        <w:t xml:space="preserve"> liable for theft, </w:t>
      </w:r>
      <w:r w:rsidR="3DB36102" w:rsidRPr="00CD29B2">
        <w:rPr>
          <w:rFonts w:eastAsia="Times New Roman" w:cstheme="minorHAnsi"/>
          <w:color w:val="000000" w:themeColor="text1"/>
          <w:sz w:val="24"/>
          <w:szCs w:val="24"/>
        </w:rPr>
        <w:t xml:space="preserve">S1 Theft Act 1968 defines theft as: the dishonest appropriation of property belonging to another with the intention to permanently deprive </w:t>
      </w:r>
      <w:r w:rsidR="1C8BCAD6" w:rsidRPr="00CD29B2">
        <w:rPr>
          <w:rFonts w:eastAsia="Times New Roman" w:cstheme="minorHAnsi"/>
          <w:color w:val="000000" w:themeColor="text1"/>
          <w:sz w:val="24"/>
          <w:szCs w:val="24"/>
        </w:rPr>
        <w:t>the</w:t>
      </w:r>
      <w:r w:rsidR="3DB36102" w:rsidRPr="00CD29B2">
        <w:rPr>
          <w:rFonts w:eastAsia="Times New Roman" w:cstheme="minorHAnsi"/>
          <w:color w:val="000000" w:themeColor="text1"/>
          <w:sz w:val="24"/>
          <w:szCs w:val="24"/>
        </w:rPr>
        <w:t xml:space="preserve"> first stage of the actus reus for theft is that there must be an appropriation. Under s3 Theft Act 1968 “any assumption…of the rights of the owner” counts as appropriation. This includes touching, taking, destroying, consuming or lending somebody else’s property. There can be an appropriation even if the victim consents to the defendant’s action. Cases:</w:t>
      </w:r>
    </w:p>
    <w:p w14:paraId="65EEF614" w14:textId="5EC86F49" w:rsidR="3DB36102" w:rsidRPr="00CD29B2" w:rsidRDefault="3DB36102"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In Morris, switching the tags on goods in a supermarket in order to pay a lower price was an appropriation.</w:t>
      </w:r>
    </w:p>
    <w:p w14:paraId="35516D7B" w14:textId="57FFA7C5" w:rsidR="3DB36102" w:rsidRPr="00CD29B2" w:rsidRDefault="3DB36102"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In R v Gomez, D persuaded his manager to accept 2 cheques in payment of goods even though he knew the cheques were worthless. The court held that consent obtained by deception is not true consent.</w:t>
      </w:r>
    </w:p>
    <w:p w14:paraId="6E49C8F4" w14:textId="6B44874B" w:rsidR="3DB36102" w:rsidRPr="00CD29B2" w:rsidRDefault="3DB36102"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 In R v Lawrence a foreign student told a taxi driver to take the ‘correct fare’ for a journey from his </w:t>
      </w:r>
      <w:r w:rsidR="0F56DE20" w:rsidRPr="00CD29B2">
        <w:rPr>
          <w:rFonts w:eastAsia="Times New Roman" w:cstheme="minorHAnsi"/>
          <w:color w:val="000000" w:themeColor="text1"/>
          <w:sz w:val="24"/>
          <w:szCs w:val="24"/>
        </w:rPr>
        <w:t>wallet,</w:t>
      </w:r>
      <w:r w:rsidRPr="00CD29B2">
        <w:rPr>
          <w:rFonts w:eastAsia="Times New Roman" w:cstheme="minorHAnsi"/>
          <w:color w:val="000000" w:themeColor="text1"/>
          <w:sz w:val="24"/>
          <w:szCs w:val="24"/>
        </w:rPr>
        <w:t xml:space="preserve"> but he took too much. Although the driver had consent, he still appropriated the money as he treated the money as his own. Application: Here there was an appropriation because D physically touched/took/used/spent/ sold V’s property. Only V had the right to </w:t>
      </w:r>
      <w:r w:rsidRPr="00CD29B2">
        <w:rPr>
          <w:rFonts w:eastAsia="Times New Roman" w:cstheme="minorHAnsi"/>
          <w:color w:val="000000" w:themeColor="text1"/>
          <w:sz w:val="24"/>
          <w:szCs w:val="24"/>
        </w:rPr>
        <w:lastRenderedPageBreak/>
        <w:t>touch/take/use/ spend/sell this property so there was an assumption of some of these rights. The second stage of the actus reus for theft is that the item appropriated must amount to property. Property includes “money and all other property, real or personal things in action and other intangible property” (S4 Theft Act 1968). Cases: Confidential information is not classed as property (Oxford v Moss), corpses aren’t property unless they have acquired different attributes by application of skill (Kelly) and wild plants/fruit/ mushrooms are not property unless the picker goes on to sell the foraged materials commercially. Application: Here [x] has been taken. This constitutes personal property under the statutory definition. The final stage of the actus reus for theft is that the property appropriated must belong to another. Under s5 Theft Act 1968, property belongs to any person with “possession or control or any proprietary interest in it.” Cases:</w:t>
      </w:r>
    </w:p>
    <w:p w14:paraId="473C93DD" w14:textId="741D42AF" w:rsidR="3DB36102" w:rsidRPr="00CD29B2" w:rsidRDefault="3DB36102" w:rsidP="141BE979">
      <w:pPr>
        <w:spacing w:line="240" w:lineRule="exact"/>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The definition of “belonging” is so wide a person can steal their own property, as in Turner 2 when an</w:t>
      </w:r>
      <w:r w:rsidR="72128729"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owner took his car from a garage to avoid paying for repairs.</w:t>
      </w:r>
      <w:r w:rsidR="6C691423" w:rsidRPr="00CD29B2">
        <w:rPr>
          <w:rFonts w:eastAsia="Times New Roman" w:cstheme="minorHAnsi"/>
          <w:color w:val="000000" w:themeColor="text1"/>
          <w:sz w:val="24"/>
          <w:szCs w:val="24"/>
        </w:rPr>
        <w:t xml:space="preserve"> Part of the </w:t>
      </w:r>
      <w:proofErr w:type="spellStart"/>
      <w:r w:rsidR="6C691423" w:rsidRPr="00CD29B2">
        <w:rPr>
          <w:rFonts w:eastAsia="Times New Roman" w:cstheme="minorHAnsi"/>
          <w:color w:val="000000" w:themeColor="text1"/>
          <w:sz w:val="24"/>
          <w:szCs w:val="24"/>
        </w:rPr>
        <w:t>mens</w:t>
      </w:r>
      <w:proofErr w:type="spellEnd"/>
      <w:r w:rsidR="6C691423" w:rsidRPr="00CD29B2">
        <w:rPr>
          <w:rFonts w:eastAsia="Times New Roman" w:cstheme="minorHAnsi"/>
          <w:color w:val="000000" w:themeColor="text1"/>
          <w:sz w:val="24"/>
          <w:szCs w:val="24"/>
        </w:rPr>
        <w:t xml:space="preserve"> rea for theft is that the defendant must be acting dishonestly. Under s2 Theft Act 1968 D will not be dishonest if:   </w:t>
      </w:r>
    </w:p>
    <w:p w14:paraId="632191EA" w14:textId="64F86AAB" w:rsidR="6C691423" w:rsidRPr="00CD29B2" w:rsidRDefault="6C691423" w:rsidP="141BE979">
      <w:pPr>
        <w:spacing w:line="240" w:lineRule="exact"/>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 </w:t>
      </w:r>
    </w:p>
    <w:p w14:paraId="6C777FCA" w14:textId="54777162" w:rsidR="6C691423" w:rsidRPr="00CD29B2" w:rsidRDefault="6C691423" w:rsidP="141BE979">
      <w:pPr>
        <w:pStyle w:val="ListParagraph"/>
        <w:numPr>
          <w:ilvl w:val="0"/>
          <w:numId w:val="2"/>
        </w:numPr>
        <w:spacing w:line="240" w:lineRule="exact"/>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They believed they had a right to deprive the other of the property (</w:t>
      </w:r>
      <w:proofErr w:type="gramStart"/>
      <w:r w:rsidRPr="00CD29B2">
        <w:rPr>
          <w:rFonts w:eastAsia="Times New Roman" w:cstheme="minorHAnsi"/>
          <w:color w:val="000000" w:themeColor="text1"/>
          <w:sz w:val="24"/>
          <w:szCs w:val="24"/>
        </w:rPr>
        <w:t>e.g.</w:t>
      </w:r>
      <w:proofErr w:type="gramEnd"/>
      <w:r w:rsidRPr="00CD29B2">
        <w:rPr>
          <w:rFonts w:eastAsia="Times New Roman" w:cstheme="minorHAnsi"/>
          <w:color w:val="000000" w:themeColor="text1"/>
          <w:sz w:val="24"/>
          <w:szCs w:val="24"/>
        </w:rPr>
        <w:t xml:space="preserve"> R v Robinson); </w:t>
      </w:r>
    </w:p>
    <w:p w14:paraId="4408C946" w14:textId="2C14F300" w:rsidR="6C691423" w:rsidRPr="00CD29B2" w:rsidRDefault="6C691423" w:rsidP="141BE979">
      <w:pPr>
        <w:pStyle w:val="ListParagraph"/>
        <w:numPr>
          <w:ilvl w:val="0"/>
          <w:numId w:val="2"/>
        </w:numPr>
        <w:spacing w:line="240" w:lineRule="exact"/>
        <w:jc w:val="both"/>
        <w:rPr>
          <w:rFonts w:cstheme="minorHAnsi"/>
          <w:color w:val="000000" w:themeColor="text1"/>
          <w:sz w:val="24"/>
          <w:szCs w:val="24"/>
        </w:rPr>
      </w:pPr>
      <w:r w:rsidRPr="00CD29B2">
        <w:rPr>
          <w:rFonts w:eastAsia="Times New Roman" w:cstheme="minorHAnsi"/>
          <w:color w:val="000000" w:themeColor="text1"/>
          <w:sz w:val="24"/>
          <w:szCs w:val="24"/>
        </w:rPr>
        <w:t xml:space="preserve">They believed the other would have consented if they knew of the </w:t>
      </w:r>
      <w:r w:rsidR="15361F12" w:rsidRPr="00CD29B2">
        <w:rPr>
          <w:rFonts w:eastAsia="Times New Roman" w:cstheme="minorHAnsi"/>
          <w:color w:val="000000" w:themeColor="text1"/>
          <w:sz w:val="24"/>
          <w:szCs w:val="24"/>
        </w:rPr>
        <w:t>circumstances,</w:t>
      </w:r>
      <w:r w:rsidRPr="00CD29B2">
        <w:rPr>
          <w:rFonts w:eastAsia="Times New Roman" w:cstheme="minorHAnsi"/>
          <w:color w:val="000000" w:themeColor="text1"/>
          <w:sz w:val="24"/>
          <w:szCs w:val="24"/>
        </w:rPr>
        <w:t xml:space="preserve"> OR </w:t>
      </w:r>
    </w:p>
    <w:p w14:paraId="4D15C2EC" w14:textId="7FEC89B9" w:rsidR="6C691423" w:rsidRPr="00CD29B2" w:rsidRDefault="6C691423" w:rsidP="141BE979">
      <w:pPr>
        <w:pStyle w:val="ListParagraph"/>
        <w:numPr>
          <w:ilvl w:val="0"/>
          <w:numId w:val="2"/>
        </w:numPr>
        <w:spacing w:line="240" w:lineRule="exact"/>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 The person to whom the property belongs cannot be traced by taking reasonable steps.   </w:t>
      </w:r>
    </w:p>
    <w:p w14:paraId="7A081482" w14:textId="48C1CBEB" w:rsidR="6C691423" w:rsidRPr="00CD29B2" w:rsidRDefault="6C691423" w:rsidP="141BE979">
      <w:pPr>
        <w:pStyle w:val="ListParagraph"/>
        <w:numPr>
          <w:ilvl w:val="0"/>
          <w:numId w:val="2"/>
        </w:numPr>
        <w:spacing w:line="240" w:lineRule="exact"/>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It is the subjective belief of the defendant that matters, even if it is not reasonable (R v Small)</w:t>
      </w:r>
      <w:r w:rsidR="39CA32FD" w:rsidRPr="00CD29B2">
        <w:rPr>
          <w:rFonts w:eastAsia="Times New Roman" w:cstheme="minorHAnsi"/>
          <w:b/>
          <w:bCs/>
          <w:color w:val="000000" w:themeColor="text1"/>
          <w:sz w:val="24"/>
          <w:szCs w:val="24"/>
          <w:vertAlign w:val="superscript"/>
        </w:rPr>
        <w:t xml:space="preserve"> </w:t>
      </w:r>
    </w:p>
    <w:p w14:paraId="779E4F46" w14:textId="5FAACCC8" w:rsidR="141BE979" w:rsidRPr="00CD29B2" w:rsidRDefault="141BE979" w:rsidP="141BE979">
      <w:pPr>
        <w:rPr>
          <w:rFonts w:eastAsia="Times New Roman" w:cstheme="minorHAnsi"/>
          <w:color w:val="000000" w:themeColor="text1"/>
          <w:sz w:val="24"/>
          <w:szCs w:val="24"/>
        </w:rPr>
      </w:pPr>
    </w:p>
    <w:p w14:paraId="5CD691E0" w14:textId="2FCAE0FD" w:rsidR="141BE979" w:rsidRPr="00CD29B2" w:rsidRDefault="141BE979" w:rsidP="141BE979">
      <w:pPr>
        <w:rPr>
          <w:rFonts w:eastAsia="Times New Roman" w:cstheme="minorHAnsi"/>
          <w:color w:val="000000" w:themeColor="text1"/>
          <w:sz w:val="24"/>
          <w:szCs w:val="24"/>
        </w:rPr>
      </w:pPr>
    </w:p>
    <w:p w14:paraId="148BB591" w14:textId="4B5CC10F" w:rsidR="7B101CC1" w:rsidRPr="00CD29B2" w:rsidRDefault="7B101CC1" w:rsidP="141BE979">
      <w:pPr>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Harriet </w:t>
      </w:r>
      <w:r w:rsidR="0831DFA5" w:rsidRPr="00CD29B2">
        <w:rPr>
          <w:rFonts w:eastAsia="Times New Roman" w:cstheme="minorHAnsi"/>
          <w:color w:val="000000" w:themeColor="text1"/>
          <w:sz w:val="24"/>
          <w:szCs w:val="24"/>
        </w:rPr>
        <w:t xml:space="preserve">would be criminally liable for criminal damage and s20 GBH </w:t>
      </w:r>
      <w:r w:rsidR="589262FB" w:rsidRPr="00CD29B2">
        <w:rPr>
          <w:rFonts w:eastAsia="Times New Roman" w:cstheme="minorHAnsi"/>
          <w:color w:val="000000" w:themeColor="text1"/>
          <w:sz w:val="24"/>
          <w:szCs w:val="24"/>
        </w:rPr>
        <w:t>Under s1(1) Criminal Damage Act 1971, a</w:t>
      </w:r>
      <w:r w:rsidR="6E3357B0" w:rsidRPr="00CD29B2">
        <w:rPr>
          <w:rFonts w:eastAsia="Times New Roman" w:cstheme="minorHAnsi"/>
          <w:color w:val="000000" w:themeColor="text1"/>
          <w:sz w:val="24"/>
          <w:szCs w:val="24"/>
        </w:rPr>
        <w:t xml:space="preserve"> </w:t>
      </w:r>
      <w:r w:rsidR="589262FB" w:rsidRPr="00CD29B2">
        <w:rPr>
          <w:rFonts w:eastAsia="Times New Roman" w:cstheme="minorHAnsi"/>
          <w:color w:val="000000" w:themeColor="text1"/>
          <w:sz w:val="24"/>
          <w:szCs w:val="24"/>
        </w:rPr>
        <w:t>person is guilty of criminal damage if</w:t>
      </w:r>
      <w:r w:rsidR="461120F5" w:rsidRPr="00CD29B2">
        <w:rPr>
          <w:rFonts w:eastAsia="Times New Roman" w:cstheme="minorHAnsi"/>
          <w:color w:val="000000" w:themeColor="text1"/>
          <w:sz w:val="24"/>
          <w:szCs w:val="24"/>
        </w:rPr>
        <w:t xml:space="preserve"> </w:t>
      </w:r>
      <w:r w:rsidR="589262FB" w:rsidRPr="00CD29B2">
        <w:rPr>
          <w:rFonts w:eastAsia="Times New Roman" w:cstheme="minorHAnsi"/>
          <w:color w:val="000000" w:themeColor="text1"/>
          <w:sz w:val="24"/>
          <w:szCs w:val="24"/>
        </w:rPr>
        <w:t>they intentionally or recklessly destroy</w:t>
      </w:r>
      <w:r w:rsidR="32BAA124" w:rsidRPr="00CD29B2">
        <w:rPr>
          <w:rFonts w:eastAsia="Times New Roman" w:cstheme="minorHAnsi"/>
          <w:color w:val="000000" w:themeColor="text1"/>
          <w:sz w:val="24"/>
          <w:szCs w:val="24"/>
        </w:rPr>
        <w:t xml:space="preserve"> </w:t>
      </w:r>
      <w:r w:rsidR="589262FB" w:rsidRPr="00CD29B2">
        <w:rPr>
          <w:rFonts w:eastAsia="Times New Roman" w:cstheme="minorHAnsi"/>
          <w:color w:val="000000" w:themeColor="text1"/>
          <w:sz w:val="24"/>
          <w:szCs w:val="24"/>
        </w:rPr>
        <w:t>or damage property belonging to another</w:t>
      </w:r>
      <w:r w:rsidR="75B09D9E" w:rsidRPr="00CD29B2">
        <w:rPr>
          <w:rFonts w:eastAsia="Times New Roman" w:cstheme="minorHAnsi"/>
          <w:color w:val="000000" w:themeColor="text1"/>
          <w:sz w:val="24"/>
          <w:szCs w:val="24"/>
        </w:rPr>
        <w:t xml:space="preserve"> </w:t>
      </w:r>
      <w:r w:rsidR="589262FB" w:rsidRPr="00CD29B2">
        <w:rPr>
          <w:rFonts w:eastAsia="Times New Roman" w:cstheme="minorHAnsi"/>
          <w:color w:val="000000" w:themeColor="text1"/>
          <w:sz w:val="24"/>
          <w:szCs w:val="24"/>
        </w:rPr>
        <w:t>without lawful excuse</w:t>
      </w:r>
      <w:r w:rsidR="038AE53E" w:rsidRPr="00CD29B2">
        <w:rPr>
          <w:rFonts w:eastAsia="Times New Roman" w:cstheme="minorHAnsi"/>
          <w:color w:val="000000" w:themeColor="text1"/>
          <w:sz w:val="24"/>
          <w:szCs w:val="24"/>
        </w:rPr>
        <w:t xml:space="preserve"> </w:t>
      </w:r>
      <w:r w:rsidR="589262FB" w:rsidRPr="00CD29B2">
        <w:rPr>
          <w:rFonts w:eastAsia="Times New Roman" w:cstheme="minorHAnsi"/>
          <w:color w:val="000000" w:themeColor="text1"/>
          <w:sz w:val="24"/>
          <w:szCs w:val="24"/>
        </w:rPr>
        <w:t xml:space="preserve">There are 4 parts to </w:t>
      </w:r>
      <w:r w:rsidR="589262FB" w:rsidRPr="00CD29B2">
        <w:rPr>
          <w:rFonts w:eastAsia="Times New Roman" w:cstheme="minorHAnsi"/>
          <w:color w:val="000000" w:themeColor="text1"/>
          <w:sz w:val="24"/>
          <w:szCs w:val="24"/>
        </w:rPr>
        <w:lastRenderedPageBreak/>
        <w:t>the actus reus:</w:t>
      </w:r>
      <w:r w:rsidRPr="00CD29B2">
        <w:rPr>
          <w:rFonts w:cstheme="minorHAnsi"/>
        </w:rPr>
        <w:br/>
      </w:r>
    </w:p>
    <w:p w14:paraId="3366EB97" w14:textId="5BD1AB48" w:rsidR="589262FB" w:rsidRPr="00CD29B2" w:rsidRDefault="589262FB" w:rsidP="141BE979">
      <w:pPr>
        <w:pStyle w:val="ListParagraph"/>
        <w:numPr>
          <w:ilvl w:val="0"/>
          <w:numId w:val="1"/>
        </w:numPr>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D must damage or destroy an </w:t>
      </w:r>
      <w:r w:rsidR="26B90235" w:rsidRPr="00CD29B2">
        <w:rPr>
          <w:rFonts w:eastAsia="Times New Roman" w:cstheme="minorHAnsi"/>
          <w:color w:val="000000" w:themeColor="text1"/>
          <w:sz w:val="24"/>
          <w:szCs w:val="24"/>
        </w:rPr>
        <w:t>item.</w:t>
      </w:r>
      <w:r w:rsidRPr="00CD29B2">
        <w:rPr>
          <w:rFonts w:cstheme="minorHAnsi"/>
        </w:rPr>
        <w:br/>
      </w:r>
    </w:p>
    <w:p w14:paraId="293F5E78" w14:textId="5CDBD0A9" w:rsidR="589262FB" w:rsidRPr="00CD29B2" w:rsidRDefault="589262FB" w:rsidP="141BE979">
      <w:pPr>
        <w:pStyle w:val="ListParagraph"/>
        <w:numPr>
          <w:ilvl w:val="0"/>
          <w:numId w:val="1"/>
        </w:numPr>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The item must be classed as </w:t>
      </w:r>
      <w:r w:rsidR="22542EAA" w:rsidRPr="00CD29B2">
        <w:rPr>
          <w:rFonts w:eastAsia="Times New Roman" w:cstheme="minorHAnsi"/>
          <w:color w:val="000000" w:themeColor="text1"/>
          <w:sz w:val="24"/>
          <w:szCs w:val="24"/>
        </w:rPr>
        <w:t>property.</w:t>
      </w:r>
      <w:r w:rsidRPr="00CD29B2">
        <w:rPr>
          <w:rFonts w:cstheme="minorHAnsi"/>
        </w:rPr>
        <w:br/>
      </w:r>
    </w:p>
    <w:p w14:paraId="6656ECD0" w14:textId="18929704" w:rsidR="589262FB" w:rsidRPr="00CD29B2" w:rsidRDefault="589262FB" w:rsidP="141BE979">
      <w:pPr>
        <w:pStyle w:val="ListParagraph"/>
        <w:numPr>
          <w:ilvl w:val="0"/>
          <w:numId w:val="1"/>
        </w:numPr>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The property must belong to </w:t>
      </w:r>
      <w:r w:rsidR="2B18AB22" w:rsidRPr="00CD29B2">
        <w:rPr>
          <w:rFonts w:eastAsia="Times New Roman" w:cstheme="minorHAnsi"/>
          <w:color w:val="000000" w:themeColor="text1"/>
          <w:sz w:val="24"/>
          <w:szCs w:val="24"/>
        </w:rPr>
        <w:t>another.</w:t>
      </w:r>
      <w:r w:rsidRPr="00CD29B2">
        <w:rPr>
          <w:rFonts w:cstheme="minorHAnsi"/>
        </w:rPr>
        <w:br/>
      </w:r>
    </w:p>
    <w:p w14:paraId="61335EEC" w14:textId="77777777" w:rsidR="00DF6393" w:rsidRDefault="589262FB" w:rsidP="00DF6393">
      <w:pPr>
        <w:pStyle w:val="ListParagraph"/>
        <w:numPr>
          <w:ilvl w:val="0"/>
          <w:numId w:val="1"/>
        </w:numPr>
        <w:rPr>
          <w:rFonts w:eastAsia="Times New Roman" w:cstheme="minorHAnsi"/>
          <w:color w:val="000000" w:themeColor="text1"/>
          <w:sz w:val="24"/>
          <w:szCs w:val="24"/>
        </w:rPr>
      </w:pPr>
      <w:r w:rsidRPr="00CD29B2">
        <w:rPr>
          <w:rFonts w:eastAsia="Times New Roman" w:cstheme="minorHAnsi"/>
          <w:color w:val="000000" w:themeColor="text1"/>
          <w:sz w:val="24"/>
          <w:szCs w:val="24"/>
        </w:rPr>
        <w:t>D must have no lawful excuse.</w:t>
      </w:r>
      <w:r w:rsidRPr="00CD29B2">
        <w:rPr>
          <w:rFonts w:cstheme="minorHAnsi"/>
        </w:rPr>
        <w:br/>
      </w:r>
    </w:p>
    <w:p w14:paraId="41D5598A" w14:textId="73280421" w:rsidR="00DF6393" w:rsidRPr="00DF6393" w:rsidRDefault="00DF6393" w:rsidP="00DF6393">
      <w:pPr>
        <w:pStyle w:val="ListParagraph"/>
        <w:rPr>
          <w:rFonts w:eastAsia="Times New Roman" w:cstheme="minorHAnsi"/>
          <w:color w:val="000000" w:themeColor="text1"/>
          <w:sz w:val="24"/>
          <w:szCs w:val="24"/>
        </w:rPr>
      </w:pPr>
      <w:r w:rsidRPr="00DF6393">
        <w:rPr>
          <w:rFonts w:eastAsia="Times New Roman" w:cstheme="minorHAnsi"/>
          <w:color w:val="000000" w:themeColor="text1"/>
          <w:sz w:val="24"/>
          <w:szCs w:val="24"/>
        </w:rPr>
        <w:t xml:space="preserve">The </w:t>
      </w:r>
      <w:proofErr w:type="spellStart"/>
      <w:r w:rsidRPr="00DF6393">
        <w:rPr>
          <w:rFonts w:eastAsia="Times New Roman" w:cstheme="minorHAnsi"/>
          <w:color w:val="000000" w:themeColor="text1"/>
          <w:sz w:val="24"/>
          <w:szCs w:val="24"/>
        </w:rPr>
        <w:t>Mens</w:t>
      </w:r>
      <w:proofErr w:type="spellEnd"/>
      <w:r w:rsidRPr="00DF6393">
        <w:rPr>
          <w:rFonts w:eastAsia="Times New Roman" w:cstheme="minorHAnsi"/>
          <w:color w:val="000000" w:themeColor="text1"/>
          <w:sz w:val="24"/>
          <w:szCs w:val="24"/>
        </w:rPr>
        <w:t xml:space="preserve"> Rea is intention or recklessness to destroy or damage property </w:t>
      </w:r>
    </w:p>
    <w:p w14:paraId="2990749D" w14:textId="24D7E6BE" w:rsidR="00CD29B2" w:rsidRDefault="589262FB"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Damage is not defined in the</w:t>
      </w:r>
      <w:r w:rsidR="01D396E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Act. It is for the jury/magistrate</w:t>
      </w:r>
      <w:r w:rsidR="77C61CB9"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to decide if there is damage.</w:t>
      </w:r>
      <w:r w:rsidR="25B23C84"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This</w:t>
      </w:r>
      <w:r w:rsidR="423F0274"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is a question of fact based</w:t>
      </w:r>
      <w:r w:rsidR="5E1CD4A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on common sense.</w:t>
      </w:r>
      <w:r w:rsidR="42AA51B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Damage includes physical harm,</w:t>
      </w:r>
      <w:r w:rsidR="2F8247A9"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reducing an</w:t>
      </w:r>
      <w:r w:rsidR="3C4D662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item's value, or</w:t>
      </w:r>
      <w:r w:rsidR="3D64159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impairing its usefulness.</w:t>
      </w:r>
      <w:r w:rsidR="5551B92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The damage does not need to be</w:t>
      </w:r>
      <w:r w:rsidR="3D8225A5"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permanent</w:t>
      </w:r>
      <w:r w:rsidR="313D09BA" w:rsidRPr="00CD29B2">
        <w:rPr>
          <w:rFonts w:eastAsia="Times New Roman" w:cstheme="minorHAnsi"/>
          <w:color w:val="000000" w:themeColor="text1"/>
          <w:sz w:val="24"/>
          <w:szCs w:val="24"/>
        </w:rPr>
        <w:t xml:space="preserve"> and </w:t>
      </w:r>
      <w:r w:rsidRPr="00CD29B2">
        <w:rPr>
          <w:rFonts w:eastAsia="Times New Roman" w:cstheme="minorHAnsi"/>
          <w:color w:val="000000" w:themeColor="text1"/>
          <w:sz w:val="24"/>
          <w:szCs w:val="24"/>
        </w:rPr>
        <w:t>If cost is incurred in rectifying</w:t>
      </w:r>
      <w:r w:rsidR="40CE02BF"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damage, there is more likely to</w:t>
      </w:r>
      <w:r w:rsidR="594F4551"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be damage.</w:t>
      </w:r>
      <w:r w:rsidR="2CCA03C8"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Under s10(1) Criminal</w:t>
      </w:r>
      <w:r w:rsidR="09658313"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Damage </w:t>
      </w:r>
      <w:r w:rsidRPr="00CD29B2">
        <w:rPr>
          <w:rFonts w:cstheme="minorHAnsi"/>
        </w:rPr>
        <w:br/>
      </w:r>
      <w:r w:rsidR="00DF6393">
        <w:rPr>
          <w:rFonts w:eastAsia="Times New Roman" w:cstheme="minorHAnsi"/>
          <w:color w:val="000000" w:themeColor="text1"/>
          <w:sz w:val="24"/>
          <w:szCs w:val="24"/>
        </w:rPr>
        <w:t xml:space="preserve">Act 1971 property only included tangible property (real </w:t>
      </w:r>
      <w:r w:rsidRPr="00CD29B2">
        <w:rPr>
          <w:rFonts w:eastAsia="Times New Roman" w:cstheme="minorHAnsi"/>
          <w:color w:val="000000" w:themeColor="text1"/>
          <w:sz w:val="24"/>
          <w:szCs w:val="24"/>
        </w:rPr>
        <w:t>estate, personal and</w:t>
      </w:r>
      <w:r w:rsidR="25D4A093"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money).</w:t>
      </w:r>
      <w:r w:rsidR="33309A2C" w:rsidRPr="00CD29B2">
        <w:rPr>
          <w:rFonts w:eastAsia="Times New Roman" w:cstheme="minorHAnsi"/>
          <w:color w:val="000000" w:themeColor="text1"/>
          <w:sz w:val="24"/>
          <w:szCs w:val="24"/>
        </w:rPr>
        <w:t xml:space="preserve"> Property </w:t>
      </w:r>
      <w:r w:rsidR="2DBCFE94" w:rsidRPr="00CD29B2">
        <w:rPr>
          <w:rFonts w:eastAsia="Times New Roman" w:cstheme="minorHAnsi"/>
          <w:color w:val="000000" w:themeColor="text1"/>
          <w:sz w:val="24"/>
          <w:szCs w:val="24"/>
        </w:rPr>
        <w:t>excludes Wild</w:t>
      </w:r>
      <w:r w:rsidRPr="00CD29B2">
        <w:rPr>
          <w:rFonts w:eastAsia="Times New Roman" w:cstheme="minorHAnsi"/>
          <w:color w:val="000000" w:themeColor="text1"/>
          <w:sz w:val="24"/>
          <w:szCs w:val="24"/>
        </w:rPr>
        <w:t xml:space="preserve"> mushrooms, fruit,</w:t>
      </w:r>
      <w:r w:rsidR="39973090"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flowers</w:t>
      </w:r>
      <w:r w:rsidR="56528CD0" w:rsidRPr="00CD29B2">
        <w:rPr>
          <w:rFonts w:eastAsia="Times New Roman" w:cstheme="minorHAnsi"/>
          <w:color w:val="000000" w:themeColor="text1"/>
          <w:sz w:val="24"/>
          <w:szCs w:val="24"/>
        </w:rPr>
        <w:t xml:space="preserve"> and</w:t>
      </w:r>
      <w:r w:rsidRPr="00CD29B2">
        <w:rPr>
          <w:rFonts w:eastAsia="Times New Roman" w:cstheme="minorHAnsi"/>
          <w:color w:val="000000" w:themeColor="text1"/>
          <w:sz w:val="24"/>
          <w:szCs w:val="24"/>
        </w:rPr>
        <w:t xml:space="preserve"> plants</w:t>
      </w:r>
      <w:r w:rsidR="18D27242" w:rsidRPr="00CD29B2">
        <w:rPr>
          <w:rFonts w:eastAsia="Times New Roman" w:cstheme="minorHAnsi"/>
          <w:color w:val="000000" w:themeColor="text1"/>
          <w:sz w:val="24"/>
          <w:szCs w:val="24"/>
        </w:rPr>
        <w:t xml:space="preserve">. </w:t>
      </w:r>
      <w:r w:rsidR="365CC8D1" w:rsidRPr="00CD29B2">
        <w:rPr>
          <w:rFonts w:eastAsia="Times New Roman" w:cstheme="minorHAnsi"/>
          <w:color w:val="000000" w:themeColor="text1"/>
          <w:sz w:val="24"/>
          <w:szCs w:val="24"/>
        </w:rPr>
        <w:t>A</w:t>
      </w:r>
      <w:r w:rsidRPr="00CD29B2">
        <w:rPr>
          <w:rFonts w:eastAsia="Times New Roman" w:cstheme="minorHAnsi"/>
          <w:color w:val="000000" w:themeColor="text1"/>
          <w:sz w:val="24"/>
          <w:szCs w:val="24"/>
        </w:rPr>
        <w:t>nimals are</w:t>
      </w:r>
      <w:r w:rsidR="2CBA0E0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only included if they are</w:t>
      </w:r>
      <w:r w:rsidR="0D3056E8"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kept in captivity.</w:t>
      </w:r>
      <w:r w:rsidR="69069EA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Under s10(2) Criminal</w:t>
      </w:r>
      <w:r w:rsidR="1D8A2DFA"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Damage Act 1971,</w:t>
      </w:r>
      <w:r w:rsidR="33F1ED78"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property "belongs" to any</w:t>
      </w:r>
      <w:r w:rsidR="0489B5D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person having: custody</w:t>
      </w:r>
      <w:r w:rsidR="443053B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or control of it, a</w:t>
      </w:r>
      <w:r w:rsidR="3D89409E"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proprietary right or</w:t>
      </w:r>
      <w:r w:rsidR="61DD6C7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interest in it, or</w:t>
      </w:r>
      <w:r w:rsidR="7B684466"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a charge</w:t>
      </w:r>
      <w:r w:rsidR="21F83610"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on in".</w:t>
      </w:r>
      <w:r w:rsidR="011F175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Belonging to</w:t>
      </w:r>
      <w:r w:rsidR="48493167"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Another Under s5 Criminal Damage Act 1971, D</w:t>
      </w:r>
      <w:r w:rsidR="6A6D944E"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will have a lawful excuse for criminal</w:t>
      </w:r>
      <w:r w:rsidR="04EF44C3"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damage if:</w:t>
      </w:r>
      <w:r w:rsidR="585E916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They believe they have, or would</w:t>
      </w:r>
      <w:r w:rsidR="345CBD66"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have, the</w:t>
      </w:r>
      <w:r w:rsidR="2247678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consent of the person to</w:t>
      </w:r>
      <w:r w:rsidR="775C5020"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whom the property belongs</w:t>
      </w:r>
      <w:r w:rsidR="7501AE02" w:rsidRPr="00CD29B2">
        <w:rPr>
          <w:rFonts w:eastAsia="Times New Roman" w:cstheme="minorHAnsi"/>
          <w:color w:val="000000" w:themeColor="text1"/>
          <w:sz w:val="24"/>
          <w:szCs w:val="24"/>
        </w:rPr>
        <w:t xml:space="preserve">. </w:t>
      </w:r>
      <w:r w:rsidR="7501AE02" w:rsidRPr="00CD29B2">
        <w:rPr>
          <w:rFonts w:eastAsia="Times New Roman" w:cstheme="minorHAnsi"/>
          <w:color w:val="000000" w:themeColor="text1"/>
          <w:sz w:val="24"/>
          <w:szCs w:val="24"/>
        </w:rPr>
        <w:lastRenderedPageBreak/>
        <w:t>D is a</w:t>
      </w:r>
      <w:r w:rsidRPr="00CD29B2">
        <w:rPr>
          <w:rFonts w:eastAsia="Times New Roman" w:cstheme="minorHAnsi"/>
          <w:color w:val="000000" w:themeColor="text1"/>
          <w:sz w:val="24"/>
          <w:szCs w:val="24"/>
        </w:rPr>
        <w:t>cting</w:t>
      </w:r>
      <w:r w:rsidR="6E0C609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unlawfully</w:t>
      </w:r>
      <w:r w:rsidR="19083D93" w:rsidRPr="00CD29B2">
        <w:rPr>
          <w:rFonts w:eastAsia="Times New Roman" w:cstheme="minorHAnsi"/>
          <w:color w:val="000000" w:themeColor="text1"/>
          <w:sz w:val="24"/>
          <w:szCs w:val="24"/>
        </w:rPr>
        <w:t xml:space="preserve"> if they</w:t>
      </w:r>
      <w:r w:rsidRPr="00CD29B2">
        <w:rPr>
          <w:rFonts w:eastAsia="Times New Roman" w:cstheme="minorHAnsi"/>
          <w:color w:val="000000" w:themeColor="text1"/>
          <w:sz w:val="24"/>
          <w:szCs w:val="24"/>
        </w:rPr>
        <w:t xml:space="preserve"> believe that there is an</w:t>
      </w:r>
      <w:r w:rsid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immediate necessity to protect their</w:t>
      </w:r>
      <w:r w:rsidR="5BB31FB4"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own property.</w:t>
      </w:r>
      <w:r w:rsidR="0F640E31"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Section 5(3) makes it clear that the belief</w:t>
      </w:r>
      <w:r w:rsidR="633ECB26"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is </w:t>
      </w:r>
      <w:r w:rsidRPr="00CD29B2">
        <w:rPr>
          <w:rFonts w:cstheme="minorHAnsi"/>
        </w:rPr>
        <w:br/>
      </w:r>
      <w:r w:rsidR="00CD29B2">
        <w:rPr>
          <w:rFonts w:eastAsia="Times New Roman" w:cstheme="minorHAnsi"/>
          <w:color w:val="000000" w:themeColor="text1"/>
          <w:sz w:val="24"/>
          <w:szCs w:val="24"/>
        </w:rPr>
        <w:t xml:space="preserve">subjective and must be honestly held </w:t>
      </w:r>
    </w:p>
    <w:p w14:paraId="0757843D" w14:textId="732D3D2A" w:rsidR="589262FB" w:rsidRPr="00CD29B2" w:rsidRDefault="589262FB" w:rsidP="141BE979">
      <w:pPr>
        <w:jc w:val="both"/>
        <w:rPr>
          <w:rFonts w:eastAsia="Times New Roman" w:cstheme="minorHAnsi"/>
          <w:color w:val="000000" w:themeColor="text1"/>
          <w:sz w:val="24"/>
          <w:szCs w:val="24"/>
        </w:rPr>
      </w:pPr>
      <w:proofErr w:type="spellStart"/>
      <w:r w:rsidRPr="00CD29B2">
        <w:rPr>
          <w:rFonts w:eastAsia="Times New Roman" w:cstheme="minorHAnsi"/>
          <w:color w:val="000000" w:themeColor="text1"/>
          <w:sz w:val="24"/>
          <w:szCs w:val="24"/>
        </w:rPr>
        <w:t>Mens</w:t>
      </w:r>
      <w:proofErr w:type="spellEnd"/>
      <w:r w:rsidRPr="00CD29B2">
        <w:rPr>
          <w:rFonts w:eastAsia="Times New Roman" w:cstheme="minorHAnsi"/>
          <w:color w:val="000000" w:themeColor="text1"/>
          <w:sz w:val="24"/>
          <w:szCs w:val="24"/>
        </w:rPr>
        <w:t xml:space="preserve"> Rea</w:t>
      </w:r>
      <w:r w:rsidR="3F3E8EB4"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The </w:t>
      </w:r>
      <w:proofErr w:type="spellStart"/>
      <w:r w:rsidRPr="00CD29B2">
        <w:rPr>
          <w:rFonts w:eastAsia="Times New Roman" w:cstheme="minorHAnsi"/>
          <w:color w:val="000000" w:themeColor="text1"/>
          <w:sz w:val="24"/>
          <w:szCs w:val="24"/>
        </w:rPr>
        <w:t>mens</w:t>
      </w:r>
      <w:proofErr w:type="spellEnd"/>
      <w:r w:rsidRPr="00CD29B2">
        <w:rPr>
          <w:rFonts w:eastAsia="Times New Roman" w:cstheme="minorHAnsi"/>
          <w:color w:val="000000" w:themeColor="text1"/>
          <w:sz w:val="24"/>
          <w:szCs w:val="24"/>
        </w:rPr>
        <w:t xml:space="preserve"> rea is intention or</w:t>
      </w:r>
      <w:r w:rsidR="44CA1CD0"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recklessness to damage or destroy</w:t>
      </w:r>
      <w:r w:rsidR="22CC1AC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property belonging to another.</w:t>
      </w:r>
      <w:r w:rsidR="08386AF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Recklessness is subjective. The test</w:t>
      </w:r>
      <w:r w:rsidR="79E2D506"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is whether D was aware that there</w:t>
      </w:r>
      <w:r w:rsidR="463EE4F5"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was an</w:t>
      </w:r>
      <w:r w:rsidR="59EF7B0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unreasonable risk and</w:t>
      </w:r>
      <w:r w:rsidR="761C530D"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decided to take the risk anyway.</w:t>
      </w:r>
      <w:r w:rsidR="0E29C862" w:rsidRPr="00CD29B2">
        <w:rPr>
          <w:rFonts w:eastAsia="Times New Roman" w:cstheme="minorHAnsi"/>
          <w:color w:val="000000" w:themeColor="text1"/>
          <w:sz w:val="24"/>
          <w:szCs w:val="24"/>
        </w:rPr>
        <w:t xml:space="preserve"> </w:t>
      </w:r>
    </w:p>
    <w:p w14:paraId="7856A941" w14:textId="542719FE" w:rsidR="66417CC3" w:rsidRPr="00CD29B2" w:rsidRDefault="66417CC3" w:rsidP="141BE97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GBH occurs where a defendant inflicts (causes) serious injuries to a victim. S20 of the Offences Against the Person Act 1861 defines the S20 GBH offence as follows: “Whosoever shall unlawfully and maliciously wound or inflict any grievous bodily harm upon any other person</w:t>
      </w:r>
      <w:r w:rsidR="00CD29B2" w:rsidRPr="00CD29B2">
        <w:rPr>
          <w:rFonts w:eastAsia="Times New Roman" w:cstheme="minorHAnsi"/>
          <w:color w:val="000000" w:themeColor="text1"/>
          <w:sz w:val="24"/>
          <w:szCs w:val="24"/>
        </w:rPr>
        <w:t>.... shall</w:t>
      </w:r>
      <w:r w:rsidRPr="00CD29B2">
        <w:rPr>
          <w:rFonts w:eastAsia="Times New Roman" w:cstheme="minorHAnsi"/>
          <w:color w:val="000000" w:themeColor="text1"/>
          <w:sz w:val="24"/>
          <w:szCs w:val="24"/>
        </w:rPr>
        <w:t xml:space="preserve"> be guilty of an offence</w:t>
      </w:r>
      <w:bookmarkStart w:id="0" w:name="_Int_FmSujG5g"/>
      <w:proofErr w:type="gramStart"/>
      <w:r w:rsidRPr="00CD29B2">
        <w:rPr>
          <w:rFonts w:eastAsia="Times New Roman" w:cstheme="minorHAnsi"/>
          <w:color w:val="000000" w:themeColor="text1"/>
          <w:sz w:val="24"/>
          <w:szCs w:val="24"/>
        </w:rPr>
        <w:t>...”It</w:t>
      </w:r>
      <w:bookmarkEnd w:id="0"/>
      <w:proofErr w:type="gramEnd"/>
      <w:r w:rsidRPr="00CD29B2">
        <w:rPr>
          <w:rFonts w:eastAsia="Times New Roman" w:cstheme="minorHAnsi"/>
          <w:color w:val="000000" w:themeColor="text1"/>
          <w:sz w:val="24"/>
          <w:szCs w:val="24"/>
        </w:rPr>
        <w:t xml:space="preserve"> is an either-way </w:t>
      </w:r>
      <w:r w:rsidR="4D94A8BE" w:rsidRPr="00CD29B2">
        <w:rPr>
          <w:rFonts w:eastAsia="Times New Roman" w:cstheme="minorHAnsi"/>
          <w:color w:val="000000" w:themeColor="text1"/>
          <w:sz w:val="24"/>
          <w:szCs w:val="24"/>
        </w:rPr>
        <w:t>offence and</w:t>
      </w:r>
      <w:r w:rsidRPr="00CD29B2">
        <w:rPr>
          <w:rFonts w:eastAsia="Times New Roman" w:cstheme="minorHAnsi"/>
          <w:color w:val="000000" w:themeColor="text1"/>
          <w:sz w:val="24"/>
          <w:szCs w:val="24"/>
        </w:rPr>
        <w:t xml:space="preserve"> carries a maximum sentence of 5 years imprisonment. 1.Actus reus for s20 GBH The actus </w:t>
      </w:r>
      <w:r w:rsidR="414EE128" w:rsidRPr="00CD29B2">
        <w:rPr>
          <w:rFonts w:eastAsia="Times New Roman" w:cstheme="minorHAnsi"/>
          <w:color w:val="000000" w:themeColor="text1"/>
          <w:sz w:val="24"/>
          <w:szCs w:val="24"/>
        </w:rPr>
        <w:t>Reus for</w:t>
      </w:r>
      <w:r w:rsidRPr="00CD29B2">
        <w:rPr>
          <w:rFonts w:eastAsia="Times New Roman" w:cstheme="minorHAnsi"/>
          <w:color w:val="000000" w:themeColor="text1"/>
          <w:sz w:val="24"/>
          <w:szCs w:val="24"/>
        </w:rPr>
        <w:t xml:space="preserve"> s20 GBH is that the defendant must: </w:t>
      </w:r>
      <w:r w:rsidR="0AC8F305" w:rsidRPr="00CD29B2">
        <w:rPr>
          <w:rFonts w:eastAsia="Times New Roman" w:cstheme="minorHAnsi"/>
          <w:color w:val="000000" w:themeColor="text1"/>
          <w:sz w:val="24"/>
          <w:szCs w:val="24"/>
        </w:rPr>
        <w:t>u</w:t>
      </w:r>
      <w:r w:rsidRPr="00CD29B2">
        <w:rPr>
          <w:rFonts w:eastAsia="Times New Roman" w:cstheme="minorHAnsi"/>
          <w:color w:val="000000" w:themeColor="text1"/>
          <w:sz w:val="24"/>
          <w:szCs w:val="24"/>
        </w:rPr>
        <w:t>nlawfully</w:t>
      </w:r>
      <w:r w:rsidR="6DFDA2AB" w:rsidRPr="00CD29B2">
        <w:rPr>
          <w:rFonts w:eastAsia="Times New Roman" w:cstheme="minorHAnsi"/>
          <w:color w:val="000000" w:themeColor="text1"/>
          <w:sz w:val="24"/>
          <w:szCs w:val="24"/>
        </w:rPr>
        <w:t xml:space="preserve">, </w:t>
      </w:r>
      <w:r w:rsidR="5EF8EDDA" w:rsidRPr="00CD29B2">
        <w:rPr>
          <w:rFonts w:eastAsia="Times New Roman" w:cstheme="minorHAnsi"/>
          <w:color w:val="000000" w:themeColor="text1"/>
          <w:sz w:val="24"/>
          <w:szCs w:val="24"/>
        </w:rPr>
        <w:t>w</w:t>
      </w:r>
      <w:r w:rsidRPr="00CD29B2">
        <w:rPr>
          <w:rFonts w:eastAsia="Times New Roman" w:cstheme="minorHAnsi"/>
          <w:color w:val="000000" w:themeColor="text1"/>
          <w:sz w:val="24"/>
          <w:szCs w:val="24"/>
        </w:rPr>
        <w:t>ound</w:t>
      </w:r>
      <w:r w:rsidR="219F5497"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or inflict GBH</w:t>
      </w:r>
      <w:r w:rsidR="344999E3"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on the </w:t>
      </w:r>
      <w:r w:rsidR="36BBFE07" w:rsidRPr="00CD29B2">
        <w:rPr>
          <w:rFonts w:eastAsia="Times New Roman" w:cstheme="minorHAnsi"/>
          <w:color w:val="000000" w:themeColor="text1"/>
          <w:sz w:val="24"/>
          <w:szCs w:val="24"/>
        </w:rPr>
        <w:t>victim. The</w:t>
      </w:r>
      <w:r w:rsidRPr="00CD29B2">
        <w:rPr>
          <w:rFonts w:eastAsia="Times New Roman" w:cstheme="minorHAnsi"/>
          <w:color w:val="000000" w:themeColor="text1"/>
          <w:sz w:val="24"/>
          <w:szCs w:val="24"/>
        </w:rPr>
        <w:t xml:space="preserve"> first point to note </w:t>
      </w:r>
      <w:r w:rsidR="3CDA93EC" w:rsidRPr="00CD29B2">
        <w:rPr>
          <w:rFonts w:eastAsia="Times New Roman" w:cstheme="minorHAnsi"/>
          <w:color w:val="000000" w:themeColor="text1"/>
          <w:sz w:val="24"/>
          <w:szCs w:val="24"/>
        </w:rPr>
        <w:t>is that</w:t>
      </w:r>
      <w:r w:rsidRPr="00CD29B2">
        <w:rPr>
          <w:rFonts w:eastAsia="Times New Roman" w:cstheme="minorHAnsi"/>
          <w:color w:val="000000" w:themeColor="text1"/>
          <w:sz w:val="24"/>
          <w:szCs w:val="24"/>
        </w:rPr>
        <w:t xml:space="preserve"> the defendant must inflict (or </w:t>
      </w:r>
      <w:r w:rsidR="18828896" w:rsidRPr="00CD29B2">
        <w:rPr>
          <w:rFonts w:eastAsia="Times New Roman" w:cstheme="minorHAnsi"/>
          <w:color w:val="000000" w:themeColor="text1"/>
          <w:sz w:val="24"/>
          <w:szCs w:val="24"/>
        </w:rPr>
        <w:t>cause) the</w:t>
      </w:r>
      <w:r w:rsidRPr="00CD29B2">
        <w:rPr>
          <w:rFonts w:eastAsia="Times New Roman" w:cstheme="minorHAnsi"/>
          <w:color w:val="000000" w:themeColor="text1"/>
          <w:sz w:val="24"/>
          <w:szCs w:val="24"/>
        </w:rPr>
        <w:t xml:space="preserve"> </w:t>
      </w:r>
      <w:r w:rsidR="1BEA3AD4" w:rsidRPr="00CD29B2">
        <w:rPr>
          <w:rFonts w:eastAsia="Times New Roman" w:cstheme="minorHAnsi"/>
          <w:color w:val="000000" w:themeColor="text1"/>
          <w:sz w:val="24"/>
          <w:szCs w:val="24"/>
        </w:rPr>
        <w:t>injury (</w:t>
      </w:r>
      <w:r w:rsidRPr="00CD29B2">
        <w:rPr>
          <w:rFonts w:eastAsia="Times New Roman" w:cstheme="minorHAnsi"/>
          <w:color w:val="000000" w:themeColor="text1"/>
          <w:sz w:val="24"/>
          <w:szCs w:val="24"/>
        </w:rPr>
        <w:t>as described in R v Lewis and R v Burstow). The second point to note is that there must be either a wound or GBH</w:t>
      </w:r>
      <w:r w:rsidR="5A19DD01" w:rsidRPr="00CD29B2">
        <w:rPr>
          <w:rFonts w:eastAsia="Times New Roman" w:cstheme="minorHAnsi"/>
          <w:color w:val="000000" w:themeColor="text1"/>
          <w:sz w:val="24"/>
          <w:szCs w:val="24"/>
        </w:rPr>
        <w:t>.</w:t>
      </w:r>
      <w:r w:rsidR="4B91DE43"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Wounding</w:t>
      </w:r>
      <w:r w:rsidR="65877027"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just means there must be a break in the surface of the skin. This was clear from the case of JCC v Eisenhower. In this case, the victim was hit by an </w:t>
      </w:r>
      <w:r w:rsidR="1B38BE33" w:rsidRPr="00CD29B2">
        <w:rPr>
          <w:rFonts w:eastAsia="Times New Roman" w:cstheme="minorHAnsi"/>
          <w:color w:val="000000" w:themeColor="text1"/>
          <w:sz w:val="24"/>
          <w:szCs w:val="24"/>
        </w:rPr>
        <w:t>air gun</w:t>
      </w:r>
      <w:r w:rsidRPr="00CD29B2">
        <w:rPr>
          <w:rFonts w:eastAsia="Times New Roman" w:cstheme="minorHAnsi"/>
          <w:color w:val="000000" w:themeColor="text1"/>
          <w:sz w:val="24"/>
          <w:szCs w:val="24"/>
        </w:rPr>
        <w:t xml:space="preserve"> pellet in the eye and suffered bruising and</w:t>
      </w:r>
      <w:r w:rsidR="48CA710B"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internal</w:t>
      </w:r>
      <w:r w:rsidR="19DB14B4"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bleeding</w:t>
      </w:r>
      <w:r w:rsidR="604439C8"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(not external bleeding). There was accordingly no “wound” as there was no break in skin. •Alternatively, GBH can also occur if the defendant causes other “grievous” injuries</w:t>
      </w:r>
      <w:r w:rsidR="7816010A"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to the victim. Grievous just means “serious”</w:t>
      </w:r>
      <w:r w:rsidR="11DEB6F6"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injuries (R v </w:t>
      </w:r>
      <w:proofErr w:type="spellStart"/>
      <w:r w:rsidRPr="00CD29B2">
        <w:rPr>
          <w:rFonts w:eastAsia="Times New Roman" w:cstheme="minorHAnsi"/>
          <w:color w:val="000000" w:themeColor="text1"/>
          <w:sz w:val="24"/>
          <w:szCs w:val="24"/>
        </w:rPr>
        <w:t>Mowatt</w:t>
      </w:r>
      <w:proofErr w:type="spellEnd"/>
      <w:r w:rsidRPr="00CD29B2">
        <w:rPr>
          <w:rFonts w:eastAsia="Times New Roman" w:cstheme="minorHAnsi"/>
          <w:color w:val="000000" w:themeColor="text1"/>
          <w:sz w:val="24"/>
          <w:szCs w:val="24"/>
        </w:rPr>
        <w:t xml:space="preserve">; Saunders). In the past, examples of GBH have included injuries such as: </w:t>
      </w:r>
      <w:r w:rsidR="221E0825" w:rsidRPr="00CD29B2">
        <w:rPr>
          <w:rFonts w:eastAsia="Times New Roman" w:cstheme="minorHAnsi"/>
          <w:color w:val="000000" w:themeColor="text1"/>
          <w:sz w:val="24"/>
          <w:szCs w:val="24"/>
        </w:rPr>
        <w:t>permanent</w:t>
      </w:r>
      <w:r w:rsidRPr="00CD29B2">
        <w:rPr>
          <w:rFonts w:eastAsia="Times New Roman" w:cstheme="minorHAnsi"/>
          <w:color w:val="000000" w:themeColor="text1"/>
          <w:sz w:val="24"/>
          <w:szCs w:val="24"/>
        </w:rPr>
        <w:t xml:space="preserve"> </w:t>
      </w:r>
      <w:r w:rsidR="7F82CF9F" w:rsidRPr="00CD29B2">
        <w:rPr>
          <w:rFonts w:eastAsia="Times New Roman" w:cstheme="minorHAnsi"/>
          <w:color w:val="000000" w:themeColor="text1"/>
          <w:sz w:val="24"/>
          <w:szCs w:val="24"/>
        </w:rPr>
        <w:t>disfigurement (</w:t>
      </w:r>
      <w:r w:rsidRPr="00CD29B2">
        <w:rPr>
          <w:rFonts w:eastAsia="Times New Roman" w:cstheme="minorHAnsi"/>
          <w:color w:val="000000" w:themeColor="text1"/>
          <w:sz w:val="24"/>
          <w:szCs w:val="24"/>
        </w:rPr>
        <w:t>such as in the Katie Pipe</w:t>
      </w:r>
      <w:r w:rsidR="6E43C418" w:rsidRPr="00CD29B2">
        <w:rPr>
          <w:rFonts w:eastAsia="Times New Roman" w:cstheme="minorHAnsi"/>
          <w:color w:val="000000" w:themeColor="text1"/>
          <w:sz w:val="24"/>
          <w:szCs w:val="24"/>
        </w:rPr>
        <w:t xml:space="preserve"> </w:t>
      </w:r>
      <w:proofErr w:type="spellStart"/>
      <w:r w:rsidRPr="00CD29B2">
        <w:rPr>
          <w:rFonts w:eastAsia="Times New Roman" w:cstheme="minorHAnsi"/>
          <w:color w:val="000000" w:themeColor="text1"/>
          <w:sz w:val="24"/>
          <w:szCs w:val="24"/>
        </w:rPr>
        <w:t>racid</w:t>
      </w:r>
      <w:proofErr w:type="spellEnd"/>
      <w:r w:rsidRPr="00CD29B2">
        <w:rPr>
          <w:rFonts w:eastAsia="Times New Roman" w:cstheme="minorHAnsi"/>
          <w:color w:val="000000" w:themeColor="text1"/>
          <w:sz w:val="24"/>
          <w:szCs w:val="24"/>
        </w:rPr>
        <w:t xml:space="preserve"> attack case</w:t>
      </w:r>
      <w:r w:rsidR="41E055DB" w:rsidRPr="00CD29B2">
        <w:rPr>
          <w:rFonts w:eastAsia="Times New Roman" w:cstheme="minorHAnsi"/>
          <w:color w:val="000000" w:themeColor="text1"/>
          <w:sz w:val="24"/>
          <w:szCs w:val="24"/>
        </w:rPr>
        <w:t>); transmission</w:t>
      </w:r>
      <w:r w:rsidRPr="00CD29B2">
        <w:rPr>
          <w:rFonts w:eastAsia="Times New Roman" w:cstheme="minorHAnsi"/>
          <w:color w:val="000000" w:themeColor="text1"/>
          <w:sz w:val="24"/>
          <w:szCs w:val="24"/>
        </w:rPr>
        <w:t xml:space="preserve"> of diseases (such as in R v </w:t>
      </w:r>
      <w:proofErr w:type="spellStart"/>
      <w:r w:rsidRPr="00CD29B2">
        <w:rPr>
          <w:rFonts w:eastAsia="Times New Roman" w:cstheme="minorHAnsi"/>
          <w:color w:val="000000" w:themeColor="text1"/>
          <w:sz w:val="24"/>
          <w:szCs w:val="24"/>
        </w:rPr>
        <w:t>Dicawhere</w:t>
      </w:r>
      <w:proofErr w:type="spellEnd"/>
      <w:r w:rsidRPr="00CD29B2">
        <w:rPr>
          <w:rFonts w:eastAsia="Times New Roman" w:cstheme="minorHAnsi"/>
          <w:color w:val="000000" w:themeColor="text1"/>
          <w:sz w:val="24"/>
          <w:szCs w:val="24"/>
        </w:rPr>
        <w:t xml:space="preserve"> the defendant recklessly transmitted HIV); </w:t>
      </w:r>
      <w:r w:rsidR="0066653F" w:rsidRPr="00CD29B2">
        <w:rPr>
          <w:rFonts w:eastAsia="Times New Roman" w:cstheme="minorHAnsi"/>
          <w:color w:val="000000" w:themeColor="text1"/>
          <w:sz w:val="24"/>
          <w:szCs w:val="24"/>
        </w:rPr>
        <w:t>causing</w:t>
      </w:r>
      <w:r w:rsidRPr="00CD29B2">
        <w:rPr>
          <w:rFonts w:eastAsia="Times New Roman" w:cstheme="minorHAnsi"/>
          <w:color w:val="000000" w:themeColor="text1"/>
          <w:sz w:val="24"/>
          <w:szCs w:val="24"/>
        </w:rPr>
        <w:t xml:space="preserve"> broken bones; </w:t>
      </w:r>
      <w:r w:rsidR="6197DA4D" w:rsidRPr="00CD29B2">
        <w:rPr>
          <w:rFonts w:eastAsia="Times New Roman" w:cstheme="minorHAnsi"/>
          <w:color w:val="000000" w:themeColor="text1"/>
          <w:sz w:val="24"/>
          <w:szCs w:val="24"/>
        </w:rPr>
        <w:t>permanent</w:t>
      </w:r>
      <w:r w:rsidRPr="00CD29B2">
        <w:rPr>
          <w:rFonts w:eastAsia="Times New Roman" w:cstheme="minorHAnsi"/>
          <w:color w:val="000000" w:themeColor="text1"/>
          <w:sz w:val="24"/>
          <w:szCs w:val="24"/>
        </w:rPr>
        <w:t xml:space="preserve"> disability such as deafness or blindness; or </w:t>
      </w:r>
      <w:r w:rsidR="1D221B65" w:rsidRPr="00CD29B2">
        <w:rPr>
          <w:rFonts w:eastAsia="Times New Roman" w:cstheme="minorHAnsi"/>
          <w:color w:val="000000" w:themeColor="text1"/>
          <w:sz w:val="24"/>
          <w:szCs w:val="24"/>
        </w:rPr>
        <w:t>serious</w:t>
      </w:r>
      <w:r w:rsidRPr="00CD29B2">
        <w:rPr>
          <w:rFonts w:eastAsia="Times New Roman" w:cstheme="minorHAnsi"/>
          <w:color w:val="000000" w:themeColor="text1"/>
          <w:sz w:val="24"/>
          <w:szCs w:val="24"/>
        </w:rPr>
        <w:t xml:space="preserve"> mental </w:t>
      </w:r>
      <w:r w:rsidR="07D4BB4B" w:rsidRPr="00CD29B2">
        <w:rPr>
          <w:rFonts w:eastAsia="Times New Roman" w:cstheme="minorHAnsi"/>
          <w:color w:val="000000" w:themeColor="text1"/>
          <w:sz w:val="24"/>
          <w:szCs w:val="24"/>
        </w:rPr>
        <w:t>injury (</w:t>
      </w:r>
      <w:r w:rsidRPr="00CD29B2">
        <w:rPr>
          <w:rFonts w:eastAsia="Times New Roman" w:cstheme="minorHAnsi"/>
          <w:color w:val="000000" w:themeColor="text1"/>
          <w:sz w:val="24"/>
          <w:szCs w:val="24"/>
        </w:rPr>
        <w:t xml:space="preserve">such as in R </w:t>
      </w:r>
      <w:r w:rsidRPr="00CD29B2">
        <w:rPr>
          <w:rFonts w:eastAsia="Times New Roman" w:cstheme="minorHAnsi"/>
          <w:color w:val="000000" w:themeColor="text1"/>
          <w:sz w:val="24"/>
          <w:szCs w:val="24"/>
        </w:rPr>
        <w:lastRenderedPageBreak/>
        <w:t>v Burstow).When determining whether GBH has been committed, there are 2 important points to consider: •What counts as GBH may vary depending on age:</w:t>
      </w:r>
      <w:r w:rsidR="19FF24D5"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In R v </w:t>
      </w:r>
      <w:proofErr w:type="spellStart"/>
      <w:r w:rsidRPr="00CD29B2">
        <w:rPr>
          <w:rFonts w:eastAsia="Times New Roman" w:cstheme="minorHAnsi"/>
          <w:color w:val="000000" w:themeColor="text1"/>
          <w:sz w:val="24"/>
          <w:szCs w:val="24"/>
        </w:rPr>
        <w:t>Bollom</w:t>
      </w:r>
      <w:proofErr w:type="spellEnd"/>
      <w:r w:rsidRPr="00CD29B2">
        <w:rPr>
          <w:rFonts w:eastAsia="Times New Roman" w:cstheme="minorHAnsi"/>
          <w:color w:val="000000" w:themeColor="text1"/>
          <w:sz w:val="24"/>
          <w:szCs w:val="24"/>
        </w:rPr>
        <w:t xml:space="preserve">, the defendant inflicted injuries (bruises and abrasions) on his girlfriend’s </w:t>
      </w:r>
      <w:r w:rsidR="7788C7A8" w:rsidRPr="00CD29B2">
        <w:rPr>
          <w:rFonts w:eastAsia="Times New Roman" w:cstheme="minorHAnsi"/>
          <w:color w:val="000000" w:themeColor="text1"/>
          <w:sz w:val="24"/>
          <w:szCs w:val="24"/>
        </w:rPr>
        <w:t>17-month-old</w:t>
      </w:r>
      <w:r w:rsidRPr="00CD29B2">
        <w:rPr>
          <w:rFonts w:eastAsia="Times New Roman" w:cstheme="minorHAnsi"/>
          <w:color w:val="000000" w:themeColor="text1"/>
          <w:sz w:val="24"/>
          <w:szCs w:val="24"/>
        </w:rPr>
        <w:t xml:space="preserve"> daughter. GBH is defined as “really serious harm”. The court held bruising might not be considered serious harm on a healthy adult, but it could potentially be much more serious on a vulnerable baby or elderly person. •A group of ABH injuries can count as GBH when considered all together</w:t>
      </w:r>
      <w:r w:rsidR="61A05AA2"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In Brown and </w:t>
      </w:r>
      <w:r w:rsidR="32D9179D" w:rsidRPr="00CD29B2">
        <w:rPr>
          <w:rFonts w:eastAsia="Times New Roman" w:cstheme="minorHAnsi"/>
          <w:color w:val="000000" w:themeColor="text1"/>
          <w:sz w:val="24"/>
          <w:szCs w:val="24"/>
        </w:rPr>
        <w:t>Stratton, the</w:t>
      </w:r>
      <w:r w:rsidRPr="00CD29B2">
        <w:rPr>
          <w:rFonts w:eastAsia="Times New Roman" w:cstheme="minorHAnsi"/>
          <w:color w:val="000000" w:themeColor="text1"/>
          <w:sz w:val="24"/>
          <w:szCs w:val="24"/>
        </w:rPr>
        <w:t xml:space="preserve"> defendants attacked their transgender relative. The victim sustained bruising, loss of teeth, a broken nose and concussion. GBH is about really “serious”</w:t>
      </w:r>
      <w:r w:rsidR="2A1C5E17"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injury. Taken individually, each of the victim’s injuries would be more likely to constitute ABH rather than GBH. However, the court stated that the victim’s injuries should be viewed overall as a whole. Taken altogether, the victim’s injuries (a collection of ABH injuries) accordingly could amount to GBH.</w:t>
      </w:r>
      <w:r w:rsidR="1D24A9A1"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The final point to note is that the defendant must be acting ‘unlawfully’</w:t>
      </w:r>
      <w:r w:rsidR="1155F08C" w:rsidRPr="00CD29B2">
        <w:rPr>
          <w:rFonts w:eastAsia="Times New Roman" w:cstheme="minorHAnsi"/>
          <w:color w:val="000000" w:themeColor="text1"/>
          <w:sz w:val="24"/>
          <w:szCs w:val="24"/>
        </w:rPr>
        <w:t xml:space="preserve">. </w:t>
      </w:r>
      <w:r w:rsidRPr="00CD29B2">
        <w:rPr>
          <w:rFonts w:eastAsia="Times New Roman" w:cstheme="minorHAnsi"/>
          <w:color w:val="000000" w:themeColor="text1"/>
          <w:sz w:val="24"/>
          <w:szCs w:val="24"/>
        </w:rPr>
        <w:t xml:space="preserve">In this regard, it should be noted that consent is not a valid </w:t>
      </w:r>
      <w:r w:rsidR="5B761CCD" w:rsidRPr="00CD29B2">
        <w:rPr>
          <w:rFonts w:eastAsia="Times New Roman" w:cstheme="minorHAnsi"/>
          <w:color w:val="000000" w:themeColor="text1"/>
          <w:sz w:val="24"/>
          <w:szCs w:val="24"/>
        </w:rPr>
        <w:t>defense</w:t>
      </w:r>
      <w:r w:rsidRPr="00CD29B2">
        <w:rPr>
          <w:rFonts w:eastAsia="Times New Roman" w:cstheme="minorHAnsi"/>
          <w:color w:val="000000" w:themeColor="text1"/>
          <w:sz w:val="24"/>
          <w:szCs w:val="24"/>
        </w:rPr>
        <w:t xml:space="preserve"> for GBH. For example, in R v Brown, it was held that consent was not a </w:t>
      </w:r>
      <w:r w:rsidR="5423A98C" w:rsidRPr="00CD29B2">
        <w:rPr>
          <w:rFonts w:eastAsia="Times New Roman" w:cstheme="minorHAnsi"/>
          <w:color w:val="000000" w:themeColor="text1"/>
          <w:sz w:val="24"/>
          <w:szCs w:val="24"/>
        </w:rPr>
        <w:t>defense</w:t>
      </w:r>
      <w:r w:rsidRPr="00CD29B2">
        <w:rPr>
          <w:rFonts w:eastAsia="Times New Roman" w:cstheme="minorHAnsi"/>
          <w:color w:val="000000" w:themeColor="text1"/>
          <w:sz w:val="24"/>
          <w:szCs w:val="24"/>
        </w:rPr>
        <w:t xml:space="preserve"> to sadomasochistic practices by some homosexual men. The position here is therefore different to that which applies to ABH.</w:t>
      </w:r>
    </w:p>
    <w:p w14:paraId="22AE0836" w14:textId="409ED4EC" w:rsidR="4C9FF257" w:rsidRPr="00CD29B2" w:rsidRDefault="4C9FF257" w:rsidP="1D64A439">
      <w:pPr>
        <w:jc w:val="both"/>
        <w:rPr>
          <w:rFonts w:eastAsia="Times New Roman" w:cstheme="minorHAnsi"/>
          <w:color w:val="000000" w:themeColor="text1"/>
          <w:sz w:val="24"/>
          <w:szCs w:val="24"/>
        </w:rPr>
      </w:pPr>
      <w:r w:rsidRPr="00CD29B2">
        <w:rPr>
          <w:rFonts w:eastAsia="Times New Roman" w:cstheme="minorHAnsi"/>
          <w:color w:val="000000" w:themeColor="text1"/>
          <w:sz w:val="24"/>
          <w:szCs w:val="24"/>
        </w:rPr>
        <w:t xml:space="preserve">Despite the extent and severity of her crimes, there might be a silver lining for </w:t>
      </w:r>
      <w:r w:rsidR="22D598EF" w:rsidRPr="00CD29B2">
        <w:rPr>
          <w:rFonts w:eastAsia="Times New Roman" w:cstheme="minorHAnsi"/>
          <w:color w:val="000000" w:themeColor="text1"/>
          <w:sz w:val="24"/>
          <w:szCs w:val="24"/>
        </w:rPr>
        <w:t>Harriet</w:t>
      </w:r>
      <w:r w:rsidRPr="00CD29B2">
        <w:rPr>
          <w:rFonts w:eastAsia="Times New Roman" w:cstheme="minorHAnsi"/>
          <w:color w:val="000000" w:themeColor="text1"/>
          <w:sz w:val="24"/>
          <w:szCs w:val="24"/>
        </w:rPr>
        <w:t xml:space="preserve">. </w:t>
      </w:r>
      <w:r w:rsidR="2DD02190" w:rsidRPr="00CD29B2">
        <w:rPr>
          <w:rFonts w:eastAsia="Times New Roman" w:cstheme="minorHAnsi"/>
          <w:color w:val="000000" w:themeColor="text1"/>
          <w:sz w:val="24"/>
          <w:szCs w:val="24"/>
        </w:rPr>
        <w:t>Defense</w:t>
      </w:r>
      <w:r w:rsidR="1461A38A" w:rsidRPr="00CD29B2">
        <w:rPr>
          <w:rFonts w:eastAsia="Times New Roman" w:cstheme="minorHAnsi"/>
          <w:color w:val="000000" w:themeColor="text1"/>
          <w:sz w:val="24"/>
          <w:szCs w:val="24"/>
        </w:rPr>
        <w:t xml:space="preserve">s </w:t>
      </w:r>
      <w:r w:rsidR="2DD02190" w:rsidRPr="00CD29B2">
        <w:rPr>
          <w:rFonts w:eastAsia="Times New Roman" w:cstheme="minorHAnsi"/>
          <w:color w:val="000000" w:themeColor="text1"/>
          <w:sz w:val="24"/>
          <w:szCs w:val="24"/>
        </w:rPr>
        <w:t xml:space="preserve">are </w:t>
      </w:r>
      <w:r w:rsidR="0F5DFCA2" w:rsidRPr="00CD29B2">
        <w:rPr>
          <w:rFonts w:eastAsia="Times New Roman" w:cstheme="minorHAnsi"/>
          <w:color w:val="000000" w:themeColor="text1"/>
          <w:sz w:val="24"/>
          <w:szCs w:val="24"/>
        </w:rPr>
        <w:t>rarely</w:t>
      </w:r>
      <w:r w:rsidR="2DD02190" w:rsidRPr="00CD29B2">
        <w:rPr>
          <w:rFonts w:eastAsia="Times New Roman" w:cstheme="minorHAnsi"/>
          <w:color w:val="000000" w:themeColor="text1"/>
          <w:sz w:val="24"/>
          <w:szCs w:val="24"/>
        </w:rPr>
        <w:t xml:space="preserve"> gi</w:t>
      </w:r>
      <w:r w:rsidR="502C159F" w:rsidRPr="00CD29B2">
        <w:rPr>
          <w:rFonts w:eastAsia="Times New Roman" w:cstheme="minorHAnsi"/>
          <w:color w:val="000000" w:themeColor="text1"/>
          <w:sz w:val="24"/>
          <w:szCs w:val="24"/>
        </w:rPr>
        <w:t>v</w:t>
      </w:r>
      <w:r w:rsidR="2DD02190" w:rsidRPr="00CD29B2">
        <w:rPr>
          <w:rFonts w:eastAsia="Times New Roman" w:cstheme="minorHAnsi"/>
          <w:color w:val="000000" w:themeColor="text1"/>
          <w:sz w:val="24"/>
          <w:szCs w:val="24"/>
        </w:rPr>
        <w:t>en out</w:t>
      </w:r>
      <w:r w:rsidR="732FE400" w:rsidRPr="00CD29B2">
        <w:rPr>
          <w:rFonts w:eastAsia="Times New Roman" w:cstheme="minorHAnsi"/>
          <w:color w:val="000000" w:themeColor="text1"/>
          <w:sz w:val="24"/>
          <w:szCs w:val="24"/>
        </w:rPr>
        <w:t xml:space="preserve"> to cases that </w:t>
      </w:r>
      <w:r w:rsidR="4BBF5DD4" w:rsidRPr="00CD29B2">
        <w:rPr>
          <w:rFonts w:eastAsia="Times New Roman" w:cstheme="minorHAnsi"/>
          <w:color w:val="000000" w:themeColor="text1"/>
          <w:sz w:val="24"/>
          <w:szCs w:val="24"/>
        </w:rPr>
        <w:t>aren't</w:t>
      </w:r>
      <w:r w:rsidR="732FE400" w:rsidRPr="00CD29B2">
        <w:rPr>
          <w:rFonts w:eastAsia="Times New Roman" w:cstheme="minorHAnsi"/>
          <w:color w:val="000000" w:themeColor="text1"/>
          <w:sz w:val="24"/>
          <w:szCs w:val="24"/>
        </w:rPr>
        <w:t xml:space="preserve"> murder or </w:t>
      </w:r>
      <w:r w:rsidR="1D703671" w:rsidRPr="00CD29B2">
        <w:rPr>
          <w:rFonts w:eastAsia="Times New Roman" w:cstheme="minorHAnsi"/>
          <w:color w:val="000000" w:themeColor="text1"/>
          <w:sz w:val="24"/>
          <w:szCs w:val="24"/>
        </w:rPr>
        <w:t>manslaughter,</w:t>
      </w:r>
      <w:r w:rsidR="2DD02190" w:rsidRPr="00CD29B2">
        <w:rPr>
          <w:rFonts w:eastAsia="Times New Roman" w:cstheme="minorHAnsi"/>
          <w:color w:val="000000" w:themeColor="text1"/>
          <w:sz w:val="24"/>
          <w:szCs w:val="24"/>
        </w:rPr>
        <w:t xml:space="preserve"> but she could use </w:t>
      </w:r>
      <w:r w:rsidR="3516A4AD" w:rsidRPr="00CD29B2">
        <w:rPr>
          <w:rFonts w:eastAsia="Times New Roman" w:cstheme="minorHAnsi"/>
          <w:color w:val="000000" w:themeColor="text1"/>
          <w:sz w:val="24"/>
          <w:szCs w:val="24"/>
        </w:rPr>
        <w:t>intoxication</w:t>
      </w:r>
      <w:r w:rsidR="2DD02190" w:rsidRPr="00CD29B2">
        <w:rPr>
          <w:rFonts w:eastAsia="Times New Roman" w:cstheme="minorHAnsi"/>
          <w:color w:val="000000" w:themeColor="text1"/>
          <w:sz w:val="24"/>
          <w:szCs w:val="24"/>
        </w:rPr>
        <w:t xml:space="preserve"> as a </w:t>
      </w:r>
      <w:r w:rsidR="6E9CF5FA" w:rsidRPr="00CD29B2">
        <w:rPr>
          <w:rFonts w:eastAsia="Times New Roman" w:cstheme="minorHAnsi"/>
          <w:color w:val="000000" w:themeColor="text1"/>
          <w:sz w:val="24"/>
          <w:szCs w:val="24"/>
        </w:rPr>
        <w:t>defense</w:t>
      </w:r>
      <w:r w:rsidR="517EBB57" w:rsidRPr="00CD29B2">
        <w:rPr>
          <w:rFonts w:eastAsia="Times New Roman" w:cstheme="minorHAnsi"/>
          <w:color w:val="000000" w:themeColor="text1"/>
          <w:sz w:val="24"/>
          <w:szCs w:val="24"/>
        </w:rPr>
        <w:t xml:space="preserve">, as it truly wasn’t her fault that she was in the state she was </w:t>
      </w:r>
      <w:r w:rsidR="0FED3EE1" w:rsidRPr="00CD29B2">
        <w:rPr>
          <w:rFonts w:eastAsia="Times New Roman" w:cstheme="minorHAnsi"/>
          <w:color w:val="000000" w:themeColor="text1"/>
          <w:sz w:val="24"/>
          <w:szCs w:val="24"/>
        </w:rPr>
        <w:t>in,</w:t>
      </w:r>
      <w:r w:rsidR="517EBB57" w:rsidRPr="00CD29B2">
        <w:rPr>
          <w:rFonts w:eastAsia="Times New Roman" w:cstheme="minorHAnsi"/>
          <w:color w:val="000000" w:themeColor="text1"/>
          <w:sz w:val="24"/>
          <w:szCs w:val="24"/>
        </w:rPr>
        <w:t xml:space="preserve"> and she </w:t>
      </w:r>
      <w:r w:rsidR="71FFC7EF" w:rsidRPr="00CD29B2">
        <w:rPr>
          <w:rFonts w:eastAsia="Times New Roman" w:cstheme="minorHAnsi"/>
          <w:color w:val="000000" w:themeColor="text1"/>
          <w:sz w:val="24"/>
          <w:szCs w:val="24"/>
        </w:rPr>
        <w:t xml:space="preserve">was in true fear. For a thorough investigation I would suggest a reasonable </w:t>
      </w:r>
      <w:r w:rsidR="0AFA696E" w:rsidRPr="00CD29B2">
        <w:rPr>
          <w:rFonts w:eastAsia="Times New Roman" w:cstheme="minorHAnsi"/>
          <w:color w:val="000000" w:themeColor="text1"/>
          <w:sz w:val="24"/>
          <w:szCs w:val="24"/>
        </w:rPr>
        <w:t>person's</w:t>
      </w:r>
      <w:r w:rsidR="71FFC7EF" w:rsidRPr="00CD29B2">
        <w:rPr>
          <w:rFonts w:eastAsia="Times New Roman" w:cstheme="minorHAnsi"/>
          <w:color w:val="000000" w:themeColor="text1"/>
          <w:sz w:val="24"/>
          <w:szCs w:val="24"/>
        </w:rPr>
        <w:t xml:space="preserve"> test (would someone exactly like her</w:t>
      </w:r>
      <w:r w:rsidR="6430B3BD" w:rsidRPr="00CD29B2">
        <w:rPr>
          <w:rFonts w:eastAsia="Times New Roman" w:cstheme="minorHAnsi"/>
          <w:color w:val="000000" w:themeColor="text1"/>
          <w:sz w:val="24"/>
          <w:szCs w:val="24"/>
        </w:rPr>
        <w:t xml:space="preserve"> have acted in the same or similar way?)</w:t>
      </w:r>
    </w:p>
    <w:p w14:paraId="17856C8D" w14:textId="09B4A154" w:rsidR="1D64A439" w:rsidRDefault="1D64A439" w:rsidP="1D64A439">
      <w:pPr>
        <w:jc w:val="both"/>
        <w:rPr>
          <w:rFonts w:ascii="Times New Roman" w:eastAsia="Times New Roman" w:hAnsi="Times New Roman" w:cs="Times New Roman"/>
          <w:color w:val="000000" w:themeColor="text1"/>
          <w:sz w:val="24"/>
          <w:szCs w:val="24"/>
        </w:rPr>
      </w:pPr>
    </w:p>
    <w:p w14:paraId="63C5ADC1" w14:textId="38D37C17" w:rsidR="00884436" w:rsidRPr="00537D27" w:rsidRDefault="71CDA608" w:rsidP="1D64A439">
      <w:pPr>
        <w:jc w:val="both"/>
        <w:rPr>
          <w:rFonts w:ascii="Times New Roman" w:eastAsia="Times New Roman" w:hAnsi="Times New Roman" w:cs="Times New Roman"/>
          <w:b/>
          <w:bCs/>
          <w:color w:val="000000" w:themeColor="text1"/>
          <w:sz w:val="32"/>
          <w:szCs w:val="32"/>
          <w:u w:val="single"/>
        </w:rPr>
      </w:pPr>
      <w:r w:rsidRPr="197440C6">
        <w:rPr>
          <w:rFonts w:ascii="Times New Roman" w:eastAsia="Times New Roman" w:hAnsi="Times New Roman" w:cs="Times New Roman"/>
          <w:b/>
          <w:bCs/>
          <w:color w:val="000000" w:themeColor="text1"/>
          <w:sz w:val="32"/>
          <w:szCs w:val="32"/>
          <w:u w:val="single"/>
        </w:rPr>
        <w:lastRenderedPageBreak/>
        <w:t>References</w:t>
      </w:r>
    </w:p>
    <w:p w14:paraId="07D45972" w14:textId="3FFD2C1B" w:rsidR="00884436" w:rsidRPr="00537D27" w:rsidRDefault="00C97A97" w:rsidP="1D64A439">
      <w:pPr>
        <w:jc w:val="both"/>
        <w:rPr>
          <w:rFonts w:ascii="Times New Roman" w:eastAsia="Times New Roman" w:hAnsi="Times New Roman" w:cs="Times New Roman"/>
          <w:b/>
          <w:bCs/>
          <w:color w:val="000000" w:themeColor="text1"/>
          <w:sz w:val="24"/>
          <w:szCs w:val="24"/>
          <w:u w:val="single"/>
        </w:rPr>
      </w:pPr>
      <w:sdt>
        <w:sdtPr>
          <w:rPr>
            <w:rFonts w:ascii="Times New Roman" w:eastAsia="Times New Roman" w:hAnsi="Times New Roman" w:cs="Times New Roman"/>
            <w:b/>
            <w:bCs/>
            <w:color w:val="000000" w:themeColor="text1"/>
            <w:sz w:val="24"/>
            <w:szCs w:val="24"/>
            <w:u w:val="single"/>
          </w:rPr>
          <w:id w:val="343979177"/>
          <w:citation/>
        </w:sdtPr>
        <w:sdtEndPr/>
        <w:sdtContent>
          <w:r w:rsidR="00884436" w:rsidRPr="00537D27">
            <w:rPr>
              <w:rFonts w:ascii="Times New Roman" w:eastAsia="Times New Roman" w:hAnsi="Times New Roman" w:cs="Times New Roman"/>
              <w:b/>
              <w:bCs/>
              <w:color w:val="000000" w:themeColor="text1"/>
              <w:sz w:val="24"/>
              <w:szCs w:val="24"/>
              <w:u w:val="single"/>
            </w:rPr>
            <w:fldChar w:fldCharType="begin"/>
          </w:r>
          <w:r w:rsidR="00884436" w:rsidRPr="00537D27">
            <w:rPr>
              <w:rFonts w:ascii="Times New Roman" w:eastAsia="Times New Roman" w:hAnsi="Times New Roman" w:cs="Times New Roman"/>
              <w:b/>
              <w:bCs/>
              <w:color w:val="000000" w:themeColor="text1"/>
              <w:sz w:val="24"/>
              <w:szCs w:val="24"/>
              <w:u w:val="single"/>
              <w:lang w:val="en-GB"/>
            </w:rPr>
            <w:instrText xml:space="preserve"> CITATION Leg1 \l 2057 </w:instrText>
          </w:r>
          <w:r w:rsidR="00884436" w:rsidRPr="00537D27">
            <w:rPr>
              <w:rFonts w:ascii="Times New Roman" w:eastAsia="Times New Roman" w:hAnsi="Times New Roman" w:cs="Times New Roman"/>
              <w:b/>
              <w:bCs/>
              <w:color w:val="000000" w:themeColor="text1"/>
              <w:sz w:val="24"/>
              <w:szCs w:val="24"/>
              <w:u w:val="single"/>
            </w:rPr>
            <w:fldChar w:fldCharType="separate"/>
          </w:r>
          <w:r w:rsidR="00884436" w:rsidRPr="00537D27">
            <w:rPr>
              <w:rFonts w:ascii="Times New Roman" w:eastAsia="Times New Roman" w:hAnsi="Times New Roman" w:cs="Times New Roman"/>
              <w:noProof/>
              <w:color w:val="000000" w:themeColor="text1"/>
              <w:sz w:val="24"/>
              <w:szCs w:val="24"/>
              <w:lang w:val="en-GB"/>
            </w:rPr>
            <w:t>(Legislation.gov.uk, n.d.)</w:t>
          </w:r>
          <w:r w:rsidR="00884436" w:rsidRPr="00537D27">
            <w:rPr>
              <w:rFonts w:ascii="Times New Roman" w:eastAsia="Times New Roman" w:hAnsi="Times New Roman" w:cs="Times New Roman"/>
              <w:b/>
              <w:bCs/>
              <w:color w:val="000000" w:themeColor="text1"/>
              <w:sz w:val="24"/>
              <w:szCs w:val="24"/>
              <w:u w:val="single"/>
            </w:rPr>
            <w:fldChar w:fldCharType="end"/>
          </w:r>
        </w:sdtContent>
      </w:sdt>
    </w:p>
    <w:p w14:paraId="36462DEA" w14:textId="127CAC44" w:rsidR="00884436" w:rsidRPr="00537D27" w:rsidRDefault="00C97A97" w:rsidP="1D64A439">
      <w:pPr>
        <w:jc w:val="both"/>
        <w:rPr>
          <w:color w:val="000000" w:themeColor="text1"/>
          <w:sz w:val="24"/>
          <w:szCs w:val="24"/>
        </w:rPr>
      </w:pPr>
      <w:sdt>
        <w:sdtPr>
          <w:rPr>
            <w:color w:val="000000" w:themeColor="text1"/>
            <w:sz w:val="24"/>
            <w:szCs w:val="24"/>
          </w:rPr>
          <w:id w:val="2147384480"/>
          <w:citation/>
        </w:sdtPr>
        <w:sdtEndPr/>
        <w:sdtContent>
          <w:r w:rsidR="00884436" w:rsidRPr="00537D27">
            <w:rPr>
              <w:color w:val="000000" w:themeColor="text1"/>
              <w:sz w:val="24"/>
              <w:szCs w:val="24"/>
            </w:rPr>
            <w:fldChar w:fldCharType="begin"/>
          </w:r>
          <w:r w:rsidR="00884436" w:rsidRPr="00537D27">
            <w:rPr>
              <w:rStyle w:val="Hyperlink"/>
              <w:rFonts w:ascii="Times New Roman" w:eastAsia="Times New Roman" w:hAnsi="Times New Roman" w:cs="Times New Roman"/>
              <w:b/>
              <w:bCs/>
              <w:color w:val="000000" w:themeColor="text1"/>
              <w:sz w:val="24"/>
              <w:szCs w:val="24"/>
              <w:lang w:val="en-GB"/>
            </w:rPr>
            <w:instrText xml:space="preserve"> CITATION Nob \l 2057 </w:instrText>
          </w:r>
          <w:r w:rsidR="00884436" w:rsidRPr="00537D27">
            <w:rPr>
              <w:color w:val="000000" w:themeColor="text1"/>
              <w:sz w:val="24"/>
              <w:szCs w:val="24"/>
            </w:rPr>
            <w:fldChar w:fldCharType="separate"/>
          </w:r>
          <w:r w:rsidR="00884436" w:rsidRPr="00537D27">
            <w:rPr>
              <w:rFonts w:ascii="Times New Roman" w:eastAsia="Times New Roman" w:hAnsi="Times New Roman" w:cs="Times New Roman"/>
              <w:noProof/>
              <w:color w:val="000000" w:themeColor="text1"/>
              <w:sz w:val="24"/>
              <w:szCs w:val="24"/>
              <w:lang w:val="en-GB"/>
            </w:rPr>
            <w:t>(Noblesolicitors.co.uk, n.d.)</w:t>
          </w:r>
          <w:r w:rsidR="00884436" w:rsidRPr="00537D27">
            <w:rPr>
              <w:color w:val="000000" w:themeColor="text1"/>
              <w:sz w:val="24"/>
              <w:szCs w:val="24"/>
            </w:rPr>
            <w:fldChar w:fldCharType="end"/>
          </w:r>
        </w:sdtContent>
      </w:sdt>
    </w:p>
    <w:p w14:paraId="00F6DF8E" w14:textId="0A28E974" w:rsidR="00884436" w:rsidRPr="00537D27" w:rsidRDefault="00C97A97" w:rsidP="1D64A439">
      <w:pPr>
        <w:jc w:val="both"/>
        <w:rPr>
          <w:rFonts w:ascii="Times New Roman" w:eastAsia="Times New Roman" w:hAnsi="Times New Roman" w:cs="Times New Roman"/>
          <w:b/>
          <w:bCs/>
          <w:color w:val="000000" w:themeColor="text1"/>
          <w:sz w:val="24"/>
          <w:szCs w:val="24"/>
          <w:u w:val="single"/>
        </w:rPr>
      </w:pPr>
      <w:sdt>
        <w:sdtPr>
          <w:rPr>
            <w:rFonts w:ascii="Times New Roman" w:eastAsia="Times New Roman" w:hAnsi="Times New Roman" w:cs="Times New Roman"/>
            <w:b/>
            <w:bCs/>
            <w:color w:val="000000" w:themeColor="text1"/>
            <w:sz w:val="24"/>
            <w:szCs w:val="24"/>
            <w:u w:val="single"/>
          </w:rPr>
          <w:id w:val="-1334062542"/>
          <w:citation/>
        </w:sdtPr>
        <w:sdtEndPr/>
        <w:sdtContent>
          <w:r w:rsidR="00FA555E" w:rsidRPr="00537D27">
            <w:rPr>
              <w:rFonts w:ascii="Times New Roman" w:eastAsia="Times New Roman" w:hAnsi="Times New Roman" w:cs="Times New Roman"/>
              <w:b/>
              <w:bCs/>
              <w:color w:val="000000" w:themeColor="text1"/>
              <w:sz w:val="24"/>
              <w:szCs w:val="24"/>
              <w:u w:val="single"/>
            </w:rPr>
            <w:fldChar w:fldCharType="begin"/>
          </w:r>
          <w:r w:rsidR="00FA555E" w:rsidRPr="00537D27">
            <w:rPr>
              <w:rFonts w:ascii="Times New Roman" w:eastAsia="Times New Roman" w:hAnsi="Times New Roman" w:cs="Times New Roman"/>
              <w:b/>
              <w:bCs/>
              <w:color w:val="000000" w:themeColor="text1"/>
              <w:sz w:val="24"/>
              <w:szCs w:val="24"/>
              <w:u w:val="single"/>
              <w:lang w:val="en-GB"/>
            </w:rPr>
            <w:instrText xml:space="preserve"> CITATION Sea \l 2057 </w:instrText>
          </w:r>
          <w:r w:rsidR="00FA555E" w:rsidRPr="00537D27">
            <w:rPr>
              <w:rFonts w:ascii="Times New Roman" w:eastAsia="Times New Roman" w:hAnsi="Times New Roman" w:cs="Times New Roman"/>
              <w:b/>
              <w:bCs/>
              <w:color w:val="000000" w:themeColor="text1"/>
              <w:sz w:val="24"/>
              <w:szCs w:val="24"/>
              <w:u w:val="single"/>
            </w:rPr>
            <w:fldChar w:fldCharType="separate"/>
          </w:r>
          <w:r w:rsidR="00FA555E" w:rsidRPr="00537D27">
            <w:rPr>
              <w:rFonts w:ascii="Times New Roman" w:eastAsia="Times New Roman" w:hAnsi="Times New Roman" w:cs="Times New Roman"/>
              <w:noProof/>
              <w:color w:val="000000" w:themeColor="text1"/>
              <w:sz w:val="24"/>
              <w:szCs w:val="24"/>
              <w:lang w:val="en-GB"/>
            </w:rPr>
            <w:t>(Seatons Solicitors, n.d.)</w:t>
          </w:r>
          <w:r w:rsidR="00FA555E" w:rsidRPr="00537D27">
            <w:rPr>
              <w:rFonts w:ascii="Times New Roman" w:eastAsia="Times New Roman" w:hAnsi="Times New Roman" w:cs="Times New Roman"/>
              <w:b/>
              <w:bCs/>
              <w:color w:val="000000" w:themeColor="text1"/>
              <w:sz w:val="24"/>
              <w:szCs w:val="24"/>
              <w:u w:val="single"/>
            </w:rPr>
            <w:fldChar w:fldCharType="end"/>
          </w:r>
        </w:sdtContent>
      </w:sdt>
    </w:p>
    <w:p w14:paraId="3B8B88F5" w14:textId="6175C989" w:rsidR="00FA555E" w:rsidRPr="00537D27" w:rsidRDefault="00C97A97" w:rsidP="1D64A439">
      <w:pPr>
        <w:jc w:val="both"/>
        <w:rPr>
          <w:color w:val="000000" w:themeColor="text1"/>
          <w:sz w:val="24"/>
          <w:szCs w:val="24"/>
        </w:rPr>
      </w:pPr>
      <w:sdt>
        <w:sdtPr>
          <w:rPr>
            <w:color w:val="000000" w:themeColor="text1"/>
            <w:sz w:val="24"/>
            <w:szCs w:val="24"/>
          </w:rPr>
          <w:id w:val="419376612"/>
          <w:citation/>
        </w:sdtPr>
        <w:sdtEndPr/>
        <w:sdtContent>
          <w:r w:rsidR="00FA555E" w:rsidRPr="00537D27">
            <w:rPr>
              <w:color w:val="000000" w:themeColor="text1"/>
              <w:sz w:val="24"/>
              <w:szCs w:val="24"/>
            </w:rPr>
            <w:fldChar w:fldCharType="begin"/>
          </w:r>
          <w:r w:rsidR="00FA555E" w:rsidRPr="00537D27">
            <w:rPr>
              <w:rStyle w:val="Hyperlink"/>
              <w:rFonts w:ascii="Times New Roman" w:eastAsia="Times New Roman" w:hAnsi="Times New Roman" w:cs="Times New Roman"/>
              <w:b/>
              <w:bCs/>
              <w:color w:val="000000" w:themeColor="text1"/>
              <w:sz w:val="24"/>
              <w:szCs w:val="24"/>
              <w:lang w:val="en-GB"/>
            </w:rPr>
            <w:instrText xml:space="preserve"> CITATION Leg2 \l 2057 </w:instrText>
          </w:r>
          <w:r w:rsidR="00FA555E" w:rsidRPr="00537D27">
            <w:rPr>
              <w:color w:val="000000" w:themeColor="text1"/>
              <w:sz w:val="24"/>
              <w:szCs w:val="24"/>
            </w:rPr>
            <w:fldChar w:fldCharType="separate"/>
          </w:r>
          <w:r w:rsidR="00FA555E" w:rsidRPr="00537D27">
            <w:rPr>
              <w:rFonts w:ascii="Times New Roman" w:eastAsia="Times New Roman" w:hAnsi="Times New Roman" w:cs="Times New Roman"/>
              <w:noProof/>
              <w:color w:val="000000" w:themeColor="text1"/>
              <w:sz w:val="24"/>
              <w:szCs w:val="24"/>
              <w:lang w:val="en-GB"/>
            </w:rPr>
            <w:t>(Legislation.gov.uk, n.d.)</w:t>
          </w:r>
          <w:r w:rsidR="00FA555E" w:rsidRPr="00537D27">
            <w:rPr>
              <w:color w:val="000000" w:themeColor="text1"/>
              <w:sz w:val="24"/>
              <w:szCs w:val="24"/>
            </w:rPr>
            <w:fldChar w:fldCharType="end"/>
          </w:r>
        </w:sdtContent>
      </w:sdt>
    </w:p>
    <w:p w14:paraId="25E3AE80" w14:textId="07F2520A" w:rsidR="00FA555E" w:rsidRPr="00537D27" w:rsidRDefault="00C97A97" w:rsidP="1D64A439">
      <w:pPr>
        <w:jc w:val="both"/>
        <w:rPr>
          <w:color w:val="000000" w:themeColor="text1"/>
          <w:sz w:val="24"/>
          <w:szCs w:val="24"/>
        </w:rPr>
      </w:pPr>
      <w:sdt>
        <w:sdtPr>
          <w:rPr>
            <w:color w:val="000000" w:themeColor="text1"/>
            <w:sz w:val="24"/>
            <w:szCs w:val="24"/>
          </w:rPr>
          <w:id w:val="-1397430174"/>
          <w:citation/>
        </w:sdtPr>
        <w:sdtEndPr/>
        <w:sdtContent>
          <w:r w:rsidR="00D452C1" w:rsidRPr="00537D27">
            <w:rPr>
              <w:color w:val="000000" w:themeColor="text1"/>
              <w:sz w:val="24"/>
              <w:szCs w:val="24"/>
            </w:rPr>
            <w:fldChar w:fldCharType="begin"/>
          </w:r>
          <w:r w:rsidR="00D452C1" w:rsidRPr="00537D27">
            <w:rPr>
              <w:rStyle w:val="Hyperlink"/>
              <w:rFonts w:ascii="Times New Roman" w:eastAsia="Times New Roman" w:hAnsi="Times New Roman" w:cs="Times New Roman"/>
              <w:b/>
              <w:bCs/>
              <w:color w:val="000000" w:themeColor="text1"/>
              <w:sz w:val="24"/>
              <w:szCs w:val="24"/>
              <w:lang w:val="en-GB"/>
            </w:rPr>
            <w:instrText xml:space="preserve"> CITATION Spa \l 2057 </w:instrText>
          </w:r>
          <w:r w:rsidR="00D452C1" w:rsidRPr="00537D27">
            <w:rPr>
              <w:color w:val="000000" w:themeColor="text1"/>
              <w:sz w:val="24"/>
              <w:szCs w:val="24"/>
            </w:rPr>
            <w:fldChar w:fldCharType="separate"/>
          </w:r>
          <w:r w:rsidR="00D452C1" w:rsidRPr="00537D27">
            <w:rPr>
              <w:rFonts w:ascii="Times New Roman" w:eastAsia="Times New Roman" w:hAnsi="Times New Roman" w:cs="Times New Roman"/>
              <w:noProof/>
              <w:color w:val="000000" w:themeColor="text1"/>
              <w:sz w:val="24"/>
              <w:szCs w:val="24"/>
              <w:lang w:val="en-GB"/>
            </w:rPr>
            <w:t>(Spartans Law, n.d.)</w:t>
          </w:r>
          <w:r w:rsidR="00D452C1" w:rsidRPr="00537D27">
            <w:rPr>
              <w:color w:val="000000" w:themeColor="text1"/>
              <w:sz w:val="24"/>
              <w:szCs w:val="24"/>
            </w:rPr>
            <w:fldChar w:fldCharType="end"/>
          </w:r>
        </w:sdtContent>
      </w:sdt>
    </w:p>
    <w:p w14:paraId="10B378F2" w14:textId="51A2F329" w:rsidR="00D452C1" w:rsidRPr="00537D27" w:rsidRDefault="00C97A97" w:rsidP="1D64A439">
      <w:pPr>
        <w:jc w:val="both"/>
        <w:rPr>
          <w:rStyle w:val="Hyperlink"/>
          <w:color w:val="000000" w:themeColor="text1"/>
          <w:sz w:val="24"/>
          <w:szCs w:val="24"/>
          <w:u w:val="none"/>
        </w:rPr>
      </w:pPr>
      <w:sdt>
        <w:sdtPr>
          <w:rPr>
            <w:color w:val="000000" w:themeColor="text1"/>
            <w:sz w:val="24"/>
            <w:szCs w:val="24"/>
            <w:u w:val="single"/>
          </w:rPr>
          <w:id w:val="-838160988"/>
          <w:citation/>
        </w:sdtPr>
        <w:sdtEndPr/>
        <w:sdtContent>
          <w:r w:rsidR="00D452C1" w:rsidRPr="00537D27">
            <w:rPr>
              <w:color w:val="000000" w:themeColor="text1"/>
              <w:sz w:val="24"/>
              <w:szCs w:val="24"/>
            </w:rPr>
            <w:fldChar w:fldCharType="begin"/>
          </w:r>
          <w:r w:rsidR="00D452C1" w:rsidRPr="00537D27">
            <w:rPr>
              <w:color w:val="000000" w:themeColor="text1"/>
              <w:sz w:val="24"/>
              <w:szCs w:val="24"/>
              <w:lang w:val="en-GB"/>
            </w:rPr>
            <w:instrText xml:space="preserve"> CITATION Oll \l 2057 </w:instrText>
          </w:r>
          <w:r w:rsidR="00D452C1" w:rsidRPr="00537D27">
            <w:rPr>
              <w:color w:val="000000" w:themeColor="text1"/>
              <w:sz w:val="24"/>
              <w:szCs w:val="24"/>
            </w:rPr>
            <w:fldChar w:fldCharType="separate"/>
          </w:r>
          <w:r w:rsidR="00D452C1" w:rsidRPr="00537D27">
            <w:rPr>
              <w:noProof/>
              <w:color w:val="000000" w:themeColor="text1"/>
              <w:sz w:val="24"/>
              <w:szCs w:val="24"/>
              <w:lang w:val="en-GB"/>
            </w:rPr>
            <w:t>(Olliers Solicitors, n.d.)</w:t>
          </w:r>
          <w:r w:rsidR="00D452C1" w:rsidRPr="00537D27">
            <w:rPr>
              <w:color w:val="000000" w:themeColor="text1"/>
              <w:sz w:val="24"/>
              <w:szCs w:val="24"/>
            </w:rPr>
            <w:fldChar w:fldCharType="end"/>
          </w:r>
        </w:sdtContent>
      </w:sdt>
    </w:p>
    <w:p w14:paraId="6689500E" w14:textId="34088109" w:rsidR="00D452C1" w:rsidRPr="00537D27" w:rsidRDefault="00C97A97" w:rsidP="1D64A439">
      <w:pPr>
        <w:jc w:val="both"/>
        <w:rPr>
          <w:color w:val="000000" w:themeColor="text1"/>
          <w:sz w:val="24"/>
          <w:szCs w:val="24"/>
        </w:rPr>
      </w:pPr>
      <w:sdt>
        <w:sdtPr>
          <w:rPr>
            <w:color w:val="000000" w:themeColor="text1"/>
            <w:sz w:val="24"/>
            <w:szCs w:val="24"/>
          </w:rPr>
          <w:id w:val="-1719432088"/>
          <w:citation/>
        </w:sdtPr>
        <w:sdtEndPr/>
        <w:sdtContent>
          <w:r w:rsidR="00EB60B0" w:rsidRPr="00537D27">
            <w:rPr>
              <w:color w:val="000000" w:themeColor="text1"/>
              <w:sz w:val="24"/>
              <w:szCs w:val="24"/>
            </w:rPr>
            <w:fldChar w:fldCharType="begin"/>
          </w:r>
          <w:r w:rsidR="00EB60B0" w:rsidRPr="00537D27">
            <w:rPr>
              <w:rStyle w:val="Hyperlink"/>
              <w:rFonts w:ascii="Times New Roman" w:eastAsia="Times New Roman" w:hAnsi="Times New Roman" w:cs="Times New Roman"/>
              <w:b/>
              <w:bCs/>
              <w:color w:val="000000" w:themeColor="text1"/>
              <w:sz w:val="24"/>
              <w:szCs w:val="24"/>
              <w:lang w:val="en-GB"/>
            </w:rPr>
            <w:instrText xml:space="preserve"> CITATION Sen \l 2057 </w:instrText>
          </w:r>
          <w:r w:rsidR="00EB60B0" w:rsidRPr="00537D27">
            <w:rPr>
              <w:color w:val="000000" w:themeColor="text1"/>
              <w:sz w:val="24"/>
              <w:szCs w:val="24"/>
            </w:rPr>
            <w:fldChar w:fldCharType="separate"/>
          </w:r>
          <w:r w:rsidR="00EB60B0" w:rsidRPr="00537D27">
            <w:rPr>
              <w:rFonts w:ascii="Times New Roman" w:eastAsia="Times New Roman" w:hAnsi="Times New Roman" w:cs="Times New Roman"/>
              <w:noProof/>
              <w:color w:val="000000" w:themeColor="text1"/>
              <w:sz w:val="24"/>
              <w:szCs w:val="24"/>
              <w:lang w:val="en-GB"/>
            </w:rPr>
            <w:t>(Sentencingcouncil.org.uk, n.d.)</w:t>
          </w:r>
          <w:r w:rsidR="00EB60B0" w:rsidRPr="00537D27">
            <w:rPr>
              <w:color w:val="000000" w:themeColor="text1"/>
              <w:sz w:val="24"/>
              <w:szCs w:val="24"/>
            </w:rPr>
            <w:fldChar w:fldCharType="end"/>
          </w:r>
        </w:sdtContent>
      </w:sdt>
    </w:p>
    <w:p w14:paraId="7AF61275" w14:textId="5E27F13D" w:rsidR="00EB60B0" w:rsidRPr="00537D27" w:rsidRDefault="00C97A97" w:rsidP="1D64A439">
      <w:pPr>
        <w:jc w:val="both"/>
        <w:rPr>
          <w:color w:val="000000" w:themeColor="text1"/>
          <w:sz w:val="24"/>
          <w:szCs w:val="24"/>
        </w:rPr>
      </w:pPr>
      <w:sdt>
        <w:sdtPr>
          <w:rPr>
            <w:color w:val="000000" w:themeColor="text1"/>
            <w:sz w:val="24"/>
            <w:szCs w:val="24"/>
          </w:rPr>
          <w:id w:val="65075380"/>
          <w:citation/>
        </w:sdtPr>
        <w:sdtEndPr/>
        <w:sdtContent>
          <w:r w:rsidR="00EB60B0" w:rsidRPr="00537D27">
            <w:rPr>
              <w:color w:val="000000" w:themeColor="text1"/>
              <w:sz w:val="24"/>
              <w:szCs w:val="24"/>
            </w:rPr>
            <w:fldChar w:fldCharType="begin"/>
          </w:r>
          <w:r w:rsidR="00EB60B0" w:rsidRPr="00537D27">
            <w:rPr>
              <w:rStyle w:val="Hyperlink"/>
              <w:rFonts w:ascii="Times New Roman" w:eastAsia="Times New Roman" w:hAnsi="Times New Roman" w:cs="Times New Roman"/>
              <w:b/>
              <w:bCs/>
              <w:color w:val="000000" w:themeColor="text1"/>
              <w:sz w:val="24"/>
              <w:szCs w:val="24"/>
              <w:lang w:val="en-GB"/>
            </w:rPr>
            <w:instrText xml:space="preserve"> CITATION Cps \l 2057 </w:instrText>
          </w:r>
          <w:r w:rsidR="00EB60B0" w:rsidRPr="00537D27">
            <w:rPr>
              <w:color w:val="000000" w:themeColor="text1"/>
              <w:sz w:val="24"/>
              <w:szCs w:val="24"/>
            </w:rPr>
            <w:fldChar w:fldCharType="separate"/>
          </w:r>
          <w:r w:rsidR="00EB60B0" w:rsidRPr="00537D27">
            <w:rPr>
              <w:rFonts w:ascii="Times New Roman" w:eastAsia="Times New Roman" w:hAnsi="Times New Roman" w:cs="Times New Roman"/>
              <w:noProof/>
              <w:color w:val="000000" w:themeColor="text1"/>
              <w:sz w:val="24"/>
              <w:szCs w:val="24"/>
              <w:lang w:val="en-GB"/>
            </w:rPr>
            <w:t>(Cps.gov.uk, n.d.)</w:t>
          </w:r>
          <w:r w:rsidR="00EB60B0" w:rsidRPr="00537D27">
            <w:rPr>
              <w:color w:val="000000" w:themeColor="text1"/>
              <w:sz w:val="24"/>
              <w:szCs w:val="24"/>
            </w:rPr>
            <w:fldChar w:fldCharType="end"/>
          </w:r>
        </w:sdtContent>
      </w:sdt>
    </w:p>
    <w:p w14:paraId="0E0C70B4" w14:textId="1599DCCE" w:rsidR="00EB60B0" w:rsidRPr="00537D27" w:rsidRDefault="00C97A97" w:rsidP="1D64A439">
      <w:pPr>
        <w:jc w:val="both"/>
        <w:rPr>
          <w:color w:val="000000" w:themeColor="text1"/>
          <w:sz w:val="24"/>
          <w:szCs w:val="24"/>
        </w:rPr>
      </w:pPr>
      <w:sdt>
        <w:sdtPr>
          <w:rPr>
            <w:color w:val="000000" w:themeColor="text1"/>
            <w:sz w:val="24"/>
            <w:szCs w:val="24"/>
          </w:rPr>
          <w:id w:val="2116787320"/>
          <w:citation/>
        </w:sdtPr>
        <w:sdtEndPr/>
        <w:sdtContent>
          <w:r w:rsidR="00EB60B0" w:rsidRPr="00537D27">
            <w:rPr>
              <w:color w:val="000000" w:themeColor="text1"/>
              <w:sz w:val="24"/>
              <w:szCs w:val="24"/>
            </w:rPr>
            <w:fldChar w:fldCharType="begin"/>
          </w:r>
          <w:r w:rsidR="00EB60B0" w:rsidRPr="00537D27">
            <w:rPr>
              <w:rStyle w:val="Hyperlink"/>
              <w:rFonts w:ascii="Times New Roman" w:eastAsia="Times New Roman" w:hAnsi="Times New Roman" w:cs="Times New Roman"/>
              <w:b/>
              <w:bCs/>
              <w:color w:val="000000" w:themeColor="text1"/>
              <w:sz w:val="24"/>
              <w:szCs w:val="24"/>
              <w:lang w:val="en-GB"/>
            </w:rPr>
            <w:instrText xml:space="preserve"> CITATION Ela \l 2057 </w:instrText>
          </w:r>
          <w:r w:rsidR="00EB60B0" w:rsidRPr="00537D27">
            <w:rPr>
              <w:color w:val="000000" w:themeColor="text1"/>
              <w:sz w:val="24"/>
              <w:szCs w:val="24"/>
            </w:rPr>
            <w:fldChar w:fldCharType="separate"/>
          </w:r>
          <w:r w:rsidR="00EB60B0" w:rsidRPr="00537D27">
            <w:rPr>
              <w:rFonts w:ascii="Times New Roman" w:eastAsia="Times New Roman" w:hAnsi="Times New Roman" w:cs="Times New Roman"/>
              <w:noProof/>
              <w:color w:val="000000" w:themeColor="text1"/>
              <w:sz w:val="24"/>
              <w:szCs w:val="24"/>
              <w:lang w:val="en-GB"/>
            </w:rPr>
            <w:t>(E-lawresources.co.uk, n.d.)</w:t>
          </w:r>
          <w:r w:rsidR="00EB60B0" w:rsidRPr="00537D27">
            <w:rPr>
              <w:color w:val="000000" w:themeColor="text1"/>
              <w:sz w:val="24"/>
              <w:szCs w:val="24"/>
            </w:rPr>
            <w:fldChar w:fldCharType="end"/>
          </w:r>
        </w:sdtContent>
      </w:sdt>
    </w:p>
    <w:p w14:paraId="2E9F53F3" w14:textId="77777777" w:rsidR="00537D27" w:rsidRPr="00537D27" w:rsidRDefault="00C97A97" w:rsidP="1D64A439">
      <w:pPr>
        <w:jc w:val="both"/>
        <w:rPr>
          <w:color w:val="000000" w:themeColor="text1"/>
          <w:sz w:val="24"/>
          <w:szCs w:val="24"/>
        </w:rPr>
      </w:pPr>
      <w:sdt>
        <w:sdtPr>
          <w:rPr>
            <w:color w:val="000000" w:themeColor="text1"/>
            <w:sz w:val="24"/>
            <w:szCs w:val="24"/>
          </w:rPr>
          <w:id w:val="-1445541807"/>
          <w:citation/>
        </w:sdtPr>
        <w:sdtEndPr/>
        <w:sdtContent>
          <w:r w:rsidR="00EB60B0" w:rsidRPr="00537D27">
            <w:rPr>
              <w:color w:val="000000" w:themeColor="text1"/>
              <w:sz w:val="24"/>
              <w:szCs w:val="24"/>
            </w:rPr>
            <w:fldChar w:fldCharType="begin"/>
          </w:r>
          <w:r w:rsidR="00EB60B0" w:rsidRPr="00537D27">
            <w:rPr>
              <w:color w:val="000000" w:themeColor="text1"/>
              <w:sz w:val="24"/>
              <w:szCs w:val="24"/>
              <w:lang w:val="en-GB"/>
            </w:rPr>
            <w:instrText xml:space="preserve"> CITATION And \l 2057 </w:instrText>
          </w:r>
          <w:r w:rsidR="00EB60B0" w:rsidRPr="00537D27">
            <w:rPr>
              <w:color w:val="000000" w:themeColor="text1"/>
              <w:sz w:val="24"/>
              <w:szCs w:val="24"/>
            </w:rPr>
            <w:fldChar w:fldCharType="separate"/>
          </w:r>
          <w:r w:rsidR="00EB60B0" w:rsidRPr="00537D27">
            <w:rPr>
              <w:noProof/>
              <w:color w:val="000000" w:themeColor="text1"/>
              <w:sz w:val="24"/>
              <w:szCs w:val="24"/>
              <w:lang w:val="en-GB"/>
            </w:rPr>
            <w:t>(Shieber, n.d.)</w:t>
          </w:r>
          <w:r w:rsidR="00EB60B0" w:rsidRPr="00537D27">
            <w:rPr>
              <w:color w:val="000000" w:themeColor="text1"/>
              <w:sz w:val="24"/>
              <w:szCs w:val="24"/>
            </w:rPr>
            <w:fldChar w:fldCharType="end"/>
          </w:r>
        </w:sdtContent>
      </w:sdt>
    </w:p>
    <w:p w14:paraId="26E92377" w14:textId="0AF882A0" w:rsidR="1D64A439" w:rsidRPr="00537D27" w:rsidRDefault="00C97A97" w:rsidP="00537D27">
      <w:pPr>
        <w:jc w:val="both"/>
        <w:rPr>
          <w:rFonts w:ascii="Times New Roman" w:eastAsia="Times New Roman" w:hAnsi="Times New Roman" w:cs="Times New Roman"/>
          <w:b/>
          <w:bCs/>
          <w:color w:val="000000" w:themeColor="text1"/>
          <w:sz w:val="24"/>
          <w:szCs w:val="24"/>
        </w:rPr>
      </w:pPr>
      <w:sdt>
        <w:sdtPr>
          <w:rPr>
            <w:rFonts w:ascii="Times New Roman" w:eastAsia="Times New Roman" w:hAnsi="Times New Roman" w:cs="Times New Roman"/>
            <w:b/>
            <w:bCs/>
            <w:color w:val="000000" w:themeColor="text1"/>
            <w:sz w:val="24"/>
            <w:szCs w:val="24"/>
          </w:rPr>
          <w:id w:val="1850371685"/>
          <w:citation/>
        </w:sdtPr>
        <w:sdtEndPr/>
        <w:sdtContent>
          <w:r w:rsidR="00537D27" w:rsidRPr="00537D27">
            <w:rPr>
              <w:rFonts w:ascii="Times New Roman" w:eastAsia="Times New Roman" w:hAnsi="Times New Roman" w:cs="Times New Roman"/>
              <w:b/>
              <w:bCs/>
              <w:color w:val="000000" w:themeColor="text1"/>
              <w:sz w:val="24"/>
              <w:szCs w:val="24"/>
            </w:rPr>
            <w:fldChar w:fldCharType="begin"/>
          </w:r>
          <w:r w:rsidR="00537D27" w:rsidRPr="00537D27">
            <w:rPr>
              <w:color w:val="000000" w:themeColor="text1"/>
              <w:lang w:val="en-GB"/>
            </w:rPr>
            <w:instrText xml:space="preserve"> CITATION Hea15 \l 2057 </w:instrText>
          </w:r>
          <w:r w:rsidR="00537D27" w:rsidRPr="00537D27">
            <w:rPr>
              <w:rFonts w:ascii="Times New Roman" w:eastAsia="Times New Roman" w:hAnsi="Times New Roman" w:cs="Times New Roman"/>
              <w:b/>
              <w:bCs/>
              <w:color w:val="000000" w:themeColor="text1"/>
              <w:sz w:val="24"/>
              <w:szCs w:val="24"/>
            </w:rPr>
            <w:fldChar w:fldCharType="separate"/>
          </w:r>
          <w:r w:rsidR="00537D27" w:rsidRPr="00537D27">
            <w:rPr>
              <w:noProof/>
              <w:color w:val="000000" w:themeColor="text1"/>
              <w:lang w:val="en-GB"/>
            </w:rPr>
            <w:t>(Healys LLP, January 30 2015)</w:t>
          </w:r>
          <w:r w:rsidR="00537D27" w:rsidRPr="00537D27">
            <w:rPr>
              <w:rFonts w:ascii="Times New Roman" w:eastAsia="Times New Roman" w:hAnsi="Times New Roman" w:cs="Times New Roman"/>
              <w:b/>
              <w:bCs/>
              <w:color w:val="000000" w:themeColor="text1"/>
              <w:sz w:val="24"/>
              <w:szCs w:val="24"/>
            </w:rPr>
            <w:fldChar w:fldCharType="end"/>
          </w:r>
        </w:sdtContent>
      </w:sdt>
    </w:p>
    <w:sectPr w:rsidR="1D64A439" w:rsidRPr="00537D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us64VXoIF1bVoE" int2:id="IfeVPbkl">
      <int2:state int2:value="Rejected" int2:type="LegacyProofing"/>
    </int2:textHash>
    <int2:textHash int2:hashCode="ypnpCXlvsG9C54" int2:id="Bcok7E8I">
      <int2:state int2:value="Rejected" int2:type="LegacyProofing"/>
    </int2:textHash>
    <int2:bookmark int2:bookmarkName="_Int_E2HzScBX" int2:invalidationBookmarkName="" int2:hashCode="0Xk9/jj/bTQ5+G" int2:id="0szCMEJa">
      <int2:state int2:value="Rejected" int2:type="LegacyProofing"/>
    </int2:bookmark>
    <int2:bookmark int2:bookmarkName="_Int_FmSujG5g" int2:invalidationBookmarkName="" int2:hashCode="YQjUeDO7mQkc/L" int2:id="KrMdCEsX">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33C3D"/>
    <w:multiLevelType w:val="hybridMultilevel"/>
    <w:tmpl w:val="3CC0E27C"/>
    <w:lvl w:ilvl="0" w:tplc="3DCE73AA">
      <w:start w:val="1"/>
      <w:numFmt w:val="bullet"/>
      <w:lvlText w:val=""/>
      <w:lvlJc w:val="left"/>
      <w:pPr>
        <w:ind w:left="720" w:hanging="360"/>
      </w:pPr>
      <w:rPr>
        <w:rFonts w:ascii="Symbol" w:hAnsi="Symbol" w:hint="default"/>
      </w:rPr>
    </w:lvl>
    <w:lvl w:ilvl="1" w:tplc="E4F04B74">
      <w:start w:val="1"/>
      <w:numFmt w:val="bullet"/>
      <w:lvlText w:val="o"/>
      <w:lvlJc w:val="left"/>
      <w:pPr>
        <w:ind w:left="1440" w:hanging="360"/>
      </w:pPr>
      <w:rPr>
        <w:rFonts w:ascii="Courier New" w:hAnsi="Courier New" w:hint="default"/>
      </w:rPr>
    </w:lvl>
    <w:lvl w:ilvl="2" w:tplc="1444DA1E">
      <w:start w:val="1"/>
      <w:numFmt w:val="bullet"/>
      <w:lvlText w:val=""/>
      <w:lvlJc w:val="left"/>
      <w:pPr>
        <w:ind w:left="2160" w:hanging="360"/>
      </w:pPr>
      <w:rPr>
        <w:rFonts w:ascii="Wingdings" w:hAnsi="Wingdings" w:hint="default"/>
      </w:rPr>
    </w:lvl>
    <w:lvl w:ilvl="3" w:tplc="5DD6458A">
      <w:start w:val="1"/>
      <w:numFmt w:val="bullet"/>
      <w:lvlText w:val=""/>
      <w:lvlJc w:val="left"/>
      <w:pPr>
        <w:ind w:left="2880" w:hanging="360"/>
      </w:pPr>
      <w:rPr>
        <w:rFonts w:ascii="Symbol" w:hAnsi="Symbol" w:hint="default"/>
      </w:rPr>
    </w:lvl>
    <w:lvl w:ilvl="4" w:tplc="339AED8A">
      <w:start w:val="1"/>
      <w:numFmt w:val="bullet"/>
      <w:lvlText w:val="o"/>
      <w:lvlJc w:val="left"/>
      <w:pPr>
        <w:ind w:left="3600" w:hanging="360"/>
      </w:pPr>
      <w:rPr>
        <w:rFonts w:ascii="Courier New" w:hAnsi="Courier New" w:hint="default"/>
      </w:rPr>
    </w:lvl>
    <w:lvl w:ilvl="5" w:tplc="48207462">
      <w:start w:val="1"/>
      <w:numFmt w:val="bullet"/>
      <w:lvlText w:val=""/>
      <w:lvlJc w:val="left"/>
      <w:pPr>
        <w:ind w:left="4320" w:hanging="360"/>
      </w:pPr>
      <w:rPr>
        <w:rFonts w:ascii="Wingdings" w:hAnsi="Wingdings" w:hint="default"/>
      </w:rPr>
    </w:lvl>
    <w:lvl w:ilvl="6" w:tplc="50123F1C">
      <w:start w:val="1"/>
      <w:numFmt w:val="bullet"/>
      <w:lvlText w:val=""/>
      <w:lvlJc w:val="left"/>
      <w:pPr>
        <w:ind w:left="5040" w:hanging="360"/>
      </w:pPr>
      <w:rPr>
        <w:rFonts w:ascii="Symbol" w:hAnsi="Symbol" w:hint="default"/>
      </w:rPr>
    </w:lvl>
    <w:lvl w:ilvl="7" w:tplc="A0A20D54">
      <w:start w:val="1"/>
      <w:numFmt w:val="bullet"/>
      <w:lvlText w:val="o"/>
      <w:lvlJc w:val="left"/>
      <w:pPr>
        <w:ind w:left="5760" w:hanging="360"/>
      </w:pPr>
      <w:rPr>
        <w:rFonts w:ascii="Courier New" w:hAnsi="Courier New" w:hint="default"/>
      </w:rPr>
    </w:lvl>
    <w:lvl w:ilvl="8" w:tplc="BE00B8FA">
      <w:start w:val="1"/>
      <w:numFmt w:val="bullet"/>
      <w:lvlText w:val=""/>
      <w:lvlJc w:val="left"/>
      <w:pPr>
        <w:ind w:left="6480" w:hanging="360"/>
      </w:pPr>
      <w:rPr>
        <w:rFonts w:ascii="Wingdings" w:hAnsi="Wingdings" w:hint="default"/>
      </w:rPr>
    </w:lvl>
  </w:abstractNum>
  <w:abstractNum w:abstractNumId="1" w15:restartNumberingAfterBreak="0">
    <w:nsid w:val="65C46375"/>
    <w:multiLevelType w:val="hybridMultilevel"/>
    <w:tmpl w:val="7B305CCA"/>
    <w:lvl w:ilvl="0" w:tplc="32A0A8AC">
      <w:start w:val="1"/>
      <w:numFmt w:val="bullet"/>
      <w:lvlText w:val=""/>
      <w:lvlJc w:val="left"/>
      <w:pPr>
        <w:ind w:left="720" w:hanging="360"/>
      </w:pPr>
      <w:rPr>
        <w:rFonts w:ascii="Symbol" w:hAnsi="Symbol" w:hint="default"/>
      </w:rPr>
    </w:lvl>
    <w:lvl w:ilvl="1" w:tplc="58FC3E00">
      <w:start w:val="1"/>
      <w:numFmt w:val="bullet"/>
      <w:lvlText w:val="o"/>
      <w:lvlJc w:val="left"/>
      <w:pPr>
        <w:ind w:left="1440" w:hanging="360"/>
      </w:pPr>
      <w:rPr>
        <w:rFonts w:ascii="Courier New" w:hAnsi="Courier New" w:hint="default"/>
      </w:rPr>
    </w:lvl>
    <w:lvl w:ilvl="2" w:tplc="E99463F8">
      <w:start w:val="1"/>
      <w:numFmt w:val="bullet"/>
      <w:lvlText w:val=""/>
      <w:lvlJc w:val="left"/>
      <w:pPr>
        <w:ind w:left="2160" w:hanging="360"/>
      </w:pPr>
      <w:rPr>
        <w:rFonts w:ascii="Wingdings" w:hAnsi="Wingdings" w:hint="default"/>
      </w:rPr>
    </w:lvl>
    <w:lvl w:ilvl="3" w:tplc="9DC03A22">
      <w:start w:val="1"/>
      <w:numFmt w:val="bullet"/>
      <w:lvlText w:val=""/>
      <w:lvlJc w:val="left"/>
      <w:pPr>
        <w:ind w:left="2880" w:hanging="360"/>
      </w:pPr>
      <w:rPr>
        <w:rFonts w:ascii="Symbol" w:hAnsi="Symbol" w:hint="default"/>
      </w:rPr>
    </w:lvl>
    <w:lvl w:ilvl="4" w:tplc="A95E15B6">
      <w:start w:val="1"/>
      <w:numFmt w:val="bullet"/>
      <w:lvlText w:val="o"/>
      <w:lvlJc w:val="left"/>
      <w:pPr>
        <w:ind w:left="3600" w:hanging="360"/>
      </w:pPr>
      <w:rPr>
        <w:rFonts w:ascii="Courier New" w:hAnsi="Courier New" w:hint="default"/>
      </w:rPr>
    </w:lvl>
    <w:lvl w:ilvl="5" w:tplc="3B08110A">
      <w:start w:val="1"/>
      <w:numFmt w:val="bullet"/>
      <w:lvlText w:val=""/>
      <w:lvlJc w:val="left"/>
      <w:pPr>
        <w:ind w:left="4320" w:hanging="360"/>
      </w:pPr>
      <w:rPr>
        <w:rFonts w:ascii="Wingdings" w:hAnsi="Wingdings" w:hint="default"/>
      </w:rPr>
    </w:lvl>
    <w:lvl w:ilvl="6" w:tplc="03DC566C">
      <w:start w:val="1"/>
      <w:numFmt w:val="bullet"/>
      <w:lvlText w:val=""/>
      <w:lvlJc w:val="left"/>
      <w:pPr>
        <w:ind w:left="5040" w:hanging="360"/>
      </w:pPr>
      <w:rPr>
        <w:rFonts w:ascii="Symbol" w:hAnsi="Symbol" w:hint="default"/>
      </w:rPr>
    </w:lvl>
    <w:lvl w:ilvl="7" w:tplc="03540CCE">
      <w:start w:val="1"/>
      <w:numFmt w:val="bullet"/>
      <w:lvlText w:val="o"/>
      <w:lvlJc w:val="left"/>
      <w:pPr>
        <w:ind w:left="5760" w:hanging="360"/>
      </w:pPr>
      <w:rPr>
        <w:rFonts w:ascii="Courier New" w:hAnsi="Courier New" w:hint="default"/>
      </w:rPr>
    </w:lvl>
    <w:lvl w:ilvl="8" w:tplc="952050DE">
      <w:start w:val="1"/>
      <w:numFmt w:val="bullet"/>
      <w:lvlText w:val=""/>
      <w:lvlJc w:val="left"/>
      <w:pPr>
        <w:ind w:left="6480" w:hanging="360"/>
      </w:pPr>
      <w:rPr>
        <w:rFonts w:ascii="Wingdings" w:hAnsi="Wingdings" w:hint="default"/>
      </w:rPr>
    </w:lvl>
  </w:abstractNum>
  <w:abstractNum w:abstractNumId="2" w15:restartNumberingAfterBreak="0">
    <w:nsid w:val="79C71B90"/>
    <w:multiLevelType w:val="hybridMultilevel"/>
    <w:tmpl w:val="48A44064"/>
    <w:lvl w:ilvl="0" w:tplc="8CF2B506">
      <w:start w:val="1"/>
      <w:numFmt w:val="bullet"/>
      <w:lvlText w:val=""/>
      <w:lvlJc w:val="left"/>
      <w:pPr>
        <w:ind w:left="720" w:hanging="360"/>
      </w:pPr>
      <w:rPr>
        <w:rFonts w:ascii="Symbol" w:hAnsi="Symbol" w:hint="default"/>
      </w:rPr>
    </w:lvl>
    <w:lvl w:ilvl="1" w:tplc="3924A3FA">
      <w:start w:val="1"/>
      <w:numFmt w:val="bullet"/>
      <w:lvlText w:val="o"/>
      <w:lvlJc w:val="left"/>
      <w:pPr>
        <w:ind w:left="1440" w:hanging="360"/>
      </w:pPr>
      <w:rPr>
        <w:rFonts w:ascii="Courier New" w:hAnsi="Courier New" w:hint="default"/>
      </w:rPr>
    </w:lvl>
    <w:lvl w:ilvl="2" w:tplc="2EB4347E">
      <w:start w:val="1"/>
      <w:numFmt w:val="bullet"/>
      <w:lvlText w:val=""/>
      <w:lvlJc w:val="left"/>
      <w:pPr>
        <w:ind w:left="2160" w:hanging="360"/>
      </w:pPr>
      <w:rPr>
        <w:rFonts w:ascii="Wingdings" w:hAnsi="Wingdings" w:hint="default"/>
      </w:rPr>
    </w:lvl>
    <w:lvl w:ilvl="3" w:tplc="3DBCC44A">
      <w:start w:val="1"/>
      <w:numFmt w:val="bullet"/>
      <w:lvlText w:val=""/>
      <w:lvlJc w:val="left"/>
      <w:pPr>
        <w:ind w:left="2880" w:hanging="360"/>
      </w:pPr>
      <w:rPr>
        <w:rFonts w:ascii="Symbol" w:hAnsi="Symbol" w:hint="default"/>
      </w:rPr>
    </w:lvl>
    <w:lvl w:ilvl="4" w:tplc="DC7642AA">
      <w:start w:val="1"/>
      <w:numFmt w:val="bullet"/>
      <w:lvlText w:val="o"/>
      <w:lvlJc w:val="left"/>
      <w:pPr>
        <w:ind w:left="3600" w:hanging="360"/>
      </w:pPr>
      <w:rPr>
        <w:rFonts w:ascii="Courier New" w:hAnsi="Courier New" w:hint="default"/>
      </w:rPr>
    </w:lvl>
    <w:lvl w:ilvl="5" w:tplc="003EB150">
      <w:start w:val="1"/>
      <w:numFmt w:val="bullet"/>
      <w:lvlText w:val=""/>
      <w:lvlJc w:val="left"/>
      <w:pPr>
        <w:ind w:left="4320" w:hanging="360"/>
      </w:pPr>
      <w:rPr>
        <w:rFonts w:ascii="Wingdings" w:hAnsi="Wingdings" w:hint="default"/>
      </w:rPr>
    </w:lvl>
    <w:lvl w:ilvl="6" w:tplc="019C143C">
      <w:start w:val="1"/>
      <w:numFmt w:val="bullet"/>
      <w:lvlText w:val=""/>
      <w:lvlJc w:val="left"/>
      <w:pPr>
        <w:ind w:left="5040" w:hanging="360"/>
      </w:pPr>
      <w:rPr>
        <w:rFonts w:ascii="Symbol" w:hAnsi="Symbol" w:hint="default"/>
      </w:rPr>
    </w:lvl>
    <w:lvl w:ilvl="7" w:tplc="852086DE">
      <w:start w:val="1"/>
      <w:numFmt w:val="bullet"/>
      <w:lvlText w:val="o"/>
      <w:lvlJc w:val="left"/>
      <w:pPr>
        <w:ind w:left="5760" w:hanging="360"/>
      </w:pPr>
      <w:rPr>
        <w:rFonts w:ascii="Courier New" w:hAnsi="Courier New" w:hint="default"/>
      </w:rPr>
    </w:lvl>
    <w:lvl w:ilvl="8" w:tplc="92369B9C">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0E667"/>
    <w:rsid w:val="00117308"/>
    <w:rsid w:val="0013857F"/>
    <w:rsid w:val="004D1BD1"/>
    <w:rsid w:val="00537D27"/>
    <w:rsid w:val="005A76EE"/>
    <w:rsid w:val="0066653F"/>
    <w:rsid w:val="007F62A2"/>
    <w:rsid w:val="00884436"/>
    <w:rsid w:val="00A34F5C"/>
    <w:rsid w:val="00C97A97"/>
    <w:rsid w:val="00CD29B2"/>
    <w:rsid w:val="00D452C1"/>
    <w:rsid w:val="00DF6393"/>
    <w:rsid w:val="00EB60B0"/>
    <w:rsid w:val="00FA555E"/>
    <w:rsid w:val="010EF65D"/>
    <w:rsid w:val="011F175C"/>
    <w:rsid w:val="01D396EB"/>
    <w:rsid w:val="0363DE64"/>
    <w:rsid w:val="038AE53E"/>
    <w:rsid w:val="0489B5DD"/>
    <w:rsid w:val="04EF44C3"/>
    <w:rsid w:val="0533CF84"/>
    <w:rsid w:val="053B8104"/>
    <w:rsid w:val="05751235"/>
    <w:rsid w:val="069B7F26"/>
    <w:rsid w:val="07D4BB4B"/>
    <w:rsid w:val="0831DFA5"/>
    <w:rsid w:val="0837474D"/>
    <w:rsid w:val="08386AFD"/>
    <w:rsid w:val="087A4EB4"/>
    <w:rsid w:val="09658313"/>
    <w:rsid w:val="0A0740A7"/>
    <w:rsid w:val="0AC8F305"/>
    <w:rsid w:val="0AFA696E"/>
    <w:rsid w:val="0D3056E8"/>
    <w:rsid w:val="0E29C862"/>
    <w:rsid w:val="0EE29F50"/>
    <w:rsid w:val="0F56DE20"/>
    <w:rsid w:val="0F5DFCA2"/>
    <w:rsid w:val="0F640E31"/>
    <w:rsid w:val="0FED3EE1"/>
    <w:rsid w:val="10654754"/>
    <w:rsid w:val="10E448B7"/>
    <w:rsid w:val="1155F08C"/>
    <w:rsid w:val="11DEB6F6"/>
    <w:rsid w:val="141BE979"/>
    <w:rsid w:val="1461A38A"/>
    <w:rsid w:val="15361F12"/>
    <w:rsid w:val="18705939"/>
    <w:rsid w:val="1873AA21"/>
    <w:rsid w:val="18828896"/>
    <w:rsid w:val="18D27242"/>
    <w:rsid w:val="19083D93"/>
    <w:rsid w:val="197440C6"/>
    <w:rsid w:val="19DB14B4"/>
    <w:rsid w:val="19F13138"/>
    <w:rsid w:val="19FF24D5"/>
    <w:rsid w:val="1B38BE33"/>
    <w:rsid w:val="1BC8D3D8"/>
    <w:rsid w:val="1BEA3AD4"/>
    <w:rsid w:val="1C8BCAD6"/>
    <w:rsid w:val="1D221B65"/>
    <w:rsid w:val="1D24A9A1"/>
    <w:rsid w:val="1D5CF2B9"/>
    <w:rsid w:val="1D64A439"/>
    <w:rsid w:val="1D703671"/>
    <w:rsid w:val="1D8A2DFA"/>
    <w:rsid w:val="219F5497"/>
    <w:rsid w:val="21F83610"/>
    <w:rsid w:val="221E0825"/>
    <w:rsid w:val="2247678D"/>
    <w:rsid w:val="22542EAA"/>
    <w:rsid w:val="22CC1ACB"/>
    <w:rsid w:val="22D598EF"/>
    <w:rsid w:val="2370D778"/>
    <w:rsid w:val="25B23C84"/>
    <w:rsid w:val="25D4A093"/>
    <w:rsid w:val="26B90235"/>
    <w:rsid w:val="2A1C5E17"/>
    <w:rsid w:val="2AB2D19F"/>
    <w:rsid w:val="2B00E667"/>
    <w:rsid w:val="2B18AB22"/>
    <w:rsid w:val="2B7BE95D"/>
    <w:rsid w:val="2CBA0E0C"/>
    <w:rsid w:val="2CCA03C8"/>
    <w:rsid w:val="2DBCFE94"/>
    <w:rsid w:val="2DD02190"/>
    <w:rsid w:val="2E4DB119"/>
    <w:rsid w:val="2F8247A9"/>
    <w:rsid w:val="2FB560BB"/>
    <w:rsid w:val="2FD0591D"/>
    <w:rsid w:val="30363223"/>
    <w:rsid w:val="309EB10A"/>
    <w:rsid w:val="313D09BA"/>
    <w:rsid w:val="318551DB"/>
    <w:rsid w:val="323CFE4F"/>
    <w:rsid w:val="32BAA124"/>
    <w:rsid w:val="32D9179D"/>
    <w:rsid w:val="33309A2C"/>
    <w:rsid w:val="33D8CEB0"/>
    <w:rsid w:val="33F1ED78"/>
    <w:rsid w:val="344999E3"/>
    <w:rsid w:val="345CBD66"/>
    <w:rsid w:val="3516A4AD"/>
    <w:rsid w:val="3624A23F"/>
    <w:rsid w:val="363F9AA1"/>
    <w:rsid w:val="365CC8D1"/>
    <w:rsid w:val="36BBFE07"/>
    <w:rsid w:val="37106F72"/>
    <w:rsid w:val="3880E8BA"/>
    <w:rsid w:val="39973090"/>
    <w:rsid w:val="39CA32FD"/>
    <w:rsid w:val="3B1AF94A"/>
    <w:rsid w:val="3BCAB838"/>
    <w:rsid w:val="3C4D662D"/>
    <w:rsid w:val="3CDA93EC"/>
    <w:rsid w:val="3D64159B"/>
    <w:rsid w:val="3D8225A5"/>
    <w:rsid w:val="3D89409E"/>
    <w:rsid w:val="3DB36102"/>
    <w:rsid w:val="3F3E8EB4"/>
    <w:rsid w:val="3FEF8DDA"/>
    <w:rsid w:val="40CE02BF"/>
    <w:rsid w:val="414018E0"/>
    <w:rsid w:val="414EE128"/>
    <w:rsid w:val="41E055DB"/>
    <w:rsid w:val="420927C5"/>
    <w:rsid w:val="423F0274"/>
    <w:rsid w:val="42AA51BB"/>
    <w:rsid w:val="443053BC"/>
    <w:rsid w:val="44B96225"/>
    <w:rsid w:val="44CA1CD0"/>
    <w:rsid w:val="461120F5"/>
    <w:rsid w:val="463EE4F5"/>
    <w:rsid w:val="479B8CB2"/>
    <w:rsid w:val="47E053F5"/>
    <w:rsid w:val="48493167"/>
    <w:rsid w:val="48A7BA3C"/>
    <w:rsid w:val="48CA710B"/>
    <w:rsid w:val="48E551BF"/>
    <w:rsid w:val="492218C4"/>
    <w:rsid w:val="4B91DE43"/>
    <w:rsid w:val="4BBF5DD4"/>
    <w:rsid w:val="4C9FF257"/>
    <w:rsid w:val="4D019827"/>
    <w:rsid w:val="4D94A8BE"/>
    <w:rsid w:val="4DB8C2E2"/>
    <w:rsid w:val="502C159F"/>
    <w:rsid w:val="517EBB57"/>
    <w:rsid w:val="537FF6F8"/>
    <w:rsid w:val="5423A98C"/>
    <w:rsid w:val="54B65D92"/>
    <w:rsid w:val="54D2A735"/>
    <w:rsid w:val="5551B92D"/>
    <w:rsid w:val="55C3D4C7"/>
    <w:rsid w:val="56528CD0"/>
    <w:rsid w:val="5842C710"/>
    <w:rsid w:val="585E916D"/>
    <w:rsid w:val="587FCCBF"/>
    <w:rsid w:val="589262FB"/>
    <w:rsid w:val="594F4551"/>
    <w:rsid w:val="5999F9A0"/>
    <w:rsid w:val="59EF7B0B"/>
    <w:rsid w:val="5A19DD01"/>
    <w:rsid w:val="5A3BF4B8"/>
    <w:rsid w:val="5B761CCD"/>
    <w:rsid w:val="5BB31FB4"/>
    <w:rsid w:val="5BD7C519"/>
    <w:rsid w:val="5DA19104"/>
    <w:rsid w:val="5E1CD4AC"/>
    <w:rsid w:val="5EF8EDDA"/>
    <w:rsid w:val="5F5D3D0B"/>
    <w:rsid w:val="5F613C3F"/>
    <w:rsid w:val="5FBF553C"/>
    <w:rsid w:val="604439C8"/>
    <w:rsid w:val="6197DA4D"/>
    <w:rsid w:val="61A05AA2"/>
    <w:rsid w:val="61DD6C7B"/>
    <w:rsid w:val="62911CF8"/>
    <w:rsid w:val="632F5B8C"/>
    <w:rsid w:val="633ECB26"/>
    <w:rsid w:val="6430B3BD"/>
    <w:rsid w:val="643E986A"/>
    <w:rsid w:val="65877027"/>
    <w:rsid w:val="65AF955D"/>
    <w:rsid w:val="66417CC3"/>
    <w:rsid w:val="674B65BE"/>
    <w:rsid w:val="680C0FA4"/>
    <w:rsid w:val="69069EAD"/>
    <w:rsid w:val="6A6D944E"/>
    <w:rsid w:val="6C691423"/>
    <w:rsid w:val="6DFDA2AB"/>
    <w:rsid w:val="6E0C609C"/>
    <w:rsid w:val="6E3357B0"/>
    <w:rsid w:val="6E43C418"/>
    <w:rsid w:val="6E9CF5FA"/>
    <w:rsid w:val="71CDA608"/>
    <w:rsid w:val="71DBDF22"/>
    <w:rsid w:val="71E60AF7"/>
    <w:rsid w:val="71FFC7EF"/>
    <w:rsid w:val="72128729"/>
    <w:rsid w:val="729605EB"/>
    <w:rsid w:val="72A740C2"/>
    <w:rsid w:val="732FE400"/>
    <w:rsid w:val="74431123"/>
    <w:rsid w:val="7501AE02"/>
    <w:rsid w:val="75B09D9E"/>
    <w:rsid w:val="761C530D"/>
    <w:rsid w:val="775C5020"/>
    <w:rsid w:val="7788C7A8"/>
    <w:rsid w:val="77C61CB9"/>
    <w:rsid w:val="7816010A"/>
    <w:rsid w:val="791F6F36"/>
    <w:rsid w:val="79E2D506"/>
    <w:rsid w:val="7B101CC1"/>
    <w:rsid w:val="7B684466"/>
    <w:rsid w:val="7B9E984E"/>
    <w:rsid w:val="7F5933EA"/>
    <w:rsid w:val="7F6C0F88"/>
    <w:rsid w:val="7F82CF9F"/>
    <w:rsid w:val="7F9562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E667"/>
  <w15:chartTrackingRefBased/>
  <w15:docId w15:val="{4153D517-74DC-4280-8C12-F88502483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53615">
      <w:bodyDiv w:val="1"/>
      <w:marLeft w:val="0"/>
      <w:marRight w:val="0"/>
      <w:marTop w:val="0"/>
      <w:marBottom w:val="0"/>
      <w:divBdr>
        <w:top w:val="none" w:sz="0" w:space="0" w:color="auto"/>
        <w:left w:val="none" w:sz="0" w:space="0" w:color="auto"/>
        <w:bottom w:val="none" w:sz="0" w:space="0" w:color="auto"/>
        <w:right w:val="none" w:sz="0" w:space="0" w:color="auto"/>
      </w:divBdr>
    </w:div>
    <w:div w:id="210115090">
      <w:bodyDiv w:val="1"/>
      <w:marLeft w:val="0"/>
      <w:marRight w:val="0"/>
      <w:marTop w:val="0"/>
      <w:marBottom w:val="0"/>
      <w:divBdr>
        <w:top w:val="none" w:sz="0" w:space="0" w:color="auto"/>
        <w:left w:val="none" w:sz="0" w:space="0" w:color="auto"/>
        <w:bottom w:val="none" w:sz="0" w:space="0" w:color="auto"/>
        <w:right w:val="none" w:sz="0" w:space="0" w:color="auto"/>
      </w:divBdr>
    </w:div>
    <w:div w:id="467626557">
      <w:bodyDiv w:val="1"/>
      <w:marLeft w:val="0"/>
      <w:marRight w:val="0"/>
      <w:marTop w:val="0"/>
      <w:marBottom w:val="0"/>
      <w:divBdr>
        <w:top w:val="none" w:sz="0" w:space="0" w:color="auto"/>
        <w:left w:val="none" w:sz="0" w:space="0" w:color="auto"/>
        <w:bottom w:val="none" w:sz="0" w:space="0" w:color="auto"/>
        <w:right w:val="none" w:sz="0" w:space="0" w:color="auto"/>
      </w:divBdr>
    </w:div>
    <w:div w:id="1016929546">
      <w:bodyDiv w:val="1"/>
      <w:marLeft w:val="0"/>
      <w:marRight w:val="0"/>
      <w:marTop w:val="0"/>
      <w:marBottom w:val="0"/>
      <w:divBdr>
        <w:top w:val="none" w:sz="0" w:space="0" w:color="auto"/>
        <w:left w:val="none" w:sz="0" w:space="0" w:color="auto"/>
        <w:bottom w:val="none" w:sz="0" w:space="0" w:color="auto"/>
        <w:right w:val="none" w:sz="0" w:space="0" w:color="auto"/>
      </w:divBdr>
    </w:div>
    <w:div w:id="1084180524">
      <w:bodyDiv w:val="1"/>
      <w:marLeft w:val="0"/>
      <w:marRight w:val="0"/>
      <w:marTop w:val="0"/>
      <w:marBottom w:val="0"/>
      <w:divBdr>
        <w:top w:val="none" w:sz="0" w:space="0" w:color="auto"/>
        <w:left w:val="none" w:sz="0" w:space="0" w:color="auto"/>
        <w:bottom w:val="none" w:sz="0" w:space="0" w:color="auto"/>
        <w:right w:val="none" w:sz="0" w:space="0" w:color="auto"/>
      </w:divBdr>
    </w:div>
    <w:div w:id="1306616628">
      <w:bodyDiv w:val="1"/>
      <w:marLeft w:val="0"/>
      <w:marRight w:val="0"/>
      <w:marTop w:val="0"/>
      <w:marBottom w:val="0"/>
      <w:divBdr>
        <w:top w:val="none" w:sz="0" w:space="0" w:color="auto"/>
        <w:left w:val="none" w:sz="0" w:space="0" w:color="auto"/>
        <w:bottom w:val="none" w:sz="0" w:space="0" w:color="auto"/>
        <w:right w:val="none" w:sz="0" w:space="0" w:color="auto"/>
      </w:divBdr>
    </w:div>
    <w:div w:id="1375274512">
      <w:bodyDiv w:val="1"/>
      <w:marLeft w:val="0"/>
      <w:marRight w:val="0"/>
      <w:marTop w:val="0"/>
      <w:marBottom w:val="0"/>
      <w:divBdr>
        <w:top w:val="none" w:sz="0" w:space="0" w:color="auto"/>
        <w:left w:val="none" w:sz="0" w:space="0" w:color="auto"/>
        <w:bottom w:val="none" w:sz="0" w:space="0" w:color="auto"/>
        <w:right w:val="none" w:sz="0" w:space="0" w:color="auto"/>
      </w:divBdr>
    </w:div>
    <w:div w:id="1813019467">
      <w:bodyDiv w:val="1"/>
      <w:marLeft w:val="0"/>
      <w:marRight w:val="0"/>
      <w:marTop w:val="0"/>
      <w:marBottom w:val="0"/>
      <w:divBdr>
        <w:top w:val="none" w:sz="0" w:space="0" w:color="auto"/>
        <w:left w:val="none" w:sz="0" w:space="0" w:color="auto"/>
        <w:bottom w:val="none" w:sz="0" w:space="0" w:color="auto"/>
        <w:right w:val="none" w:sz="0" w:space="0" w:color="auto"/>
      </w:divBdr>
    </w:div>
    <w:div w:id="1815177188">
      <w:bodyDiv w:val="1"/>
      <w:marLeft w:val="0"/>
      <w:marRight w:val="0"/>
      <w:marTop w:val="0"/>
      <w:marBottom w:val="0"/>
      <w:divBdr>
        <w:top w:val="none" w:sz="0" w:space="0" w:color="auto"/>
        <w:left w:val="none" w:sz="0" w:space="0" w:color="auto"/>
        <w:bottom w:val="none" w:sz="0" w:space="0" w:color="auto"/>
        <w:right w:val="none" w:sz="0" w:space="0" w:color="auto"/>
      </w:divBdr>
    </w:div>
    <w:div w:id="1883129361">
      <w:bodyDiv w:val="1"/>
      <w:marLeft w:val="0"/>
      <w:marRight w:val="0"/>
      <w:marTop w:val="0"/>
      <w:marBottom w:val="0"/>
      <w:divBdr>
        <w:top w:val="none" w:sz="0" w:space="0" w:color="auto"/>
        <w:left w:val="none" w:sz="0" w:space="0" w:color="auto"/>
        <w:bottom w:val="none" w:sz="0" w:space="0" w:color="auto"/>
        <w:right w:val="none" w:sz="0" w:space="0" w:color="auto"/>
      </w:divBdr>
    </w:div>
    <w:div w:id="2072658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Leg1</b:Tag>
    <b:SourceType>JournalArticle</b:SourceType>
    <b:Guid>{81A773E4-0C67-4F27-99C2-AAA34E547F64}</b:Guid>
    <b:Author>
      <b:Author>
        <b:Corporate>Legislation.gov.uk</b:Corporate>
      </b:Author>
    </b:Author>
    <b:Title>Theft Act 1968</b:Title>
    <b:Issue>https://www.legislation.gov.uk/ukpga/1968/60#:~:text=(1)A%20person%20is%20guilty,steal%E2%80%9D%20shall%20be%20construed%20accordingly.</b:Issue>
    <b:RefOrder>1</b:RefOrder>
  </b:Source>
  <b:Source>
    <b:Tag>Nob</b:Tag>
    <b:SourceType>JournalArticle</b:SourceType>
    <b:Guid>{AA1992D1-9D01-4EB8-BD09-C9684DDE2D10}</b:Guid>
    <b:Author>
      <b:Author>
        <b:Corporate>Noblesolicitors.co.uk</b:Corporate>
      </b:Author>
    </b:Author>
    <b:Title>What is The Theft Act 1968? - Noble Solicitors</b:Title>
    <b:Issue>https://www.noblesolicitors.co.uk/about/indepth-theft.html</b:Issue>
    <b:RefOrder>2</b:RefOrder>
  </b:Source>
  <b:Source>
    <b:Tag>Sea</b:Tag>
    <b:SourceType>JournalArticle</b:SourceType>
    <b:Guid>{EF5F4B9A-2524-4FB7-8958-5136EE6324D4}</b:Guid>
    <b:Author>
      <b:Author>
        <b:Corporate>Seatons Solicitors</b:Corporate>
      </b:Author>
    </b:Author>
    <b:Title>Criminal Damage Offences</b:Title>
    <b:Issue>https://seatons.co.uk/legal-services/criminal-law/criminal-damage-offences/</b:Issue>
    <b:RefOrder>3</b:RefOrder>
  </b:Source>
  <b:Source>
    <b:Tag>Leg2</b:Tag>
    <b:SourceType>JournalArticle</b:SourceType>
    <b:Guid>{B8244E0E-3597-406E-A5CF-979841536F69}</b:Guid>
    <b:Author>
      <b:Author>
        <b:Corporate>Legislation.gov.uk</b:Corporate>
      </b:Author>
    </b:Author>
    <b:Title>Criminal Damage Act 1971</b:Title>
    <b:Issue>https://www.legislation.gov.uk/ukpga/1971/48/section/1</b:Issue>
    <b:RefOrder>4</b:RefOrder>
  </b:Source>
  <b:Source>
    <b:Tag>Spa</b:Tag>
    <b:SourceType>JournalArticle</b:SourceType>
    <b:Guid>{E0ABE995-C046-449B-B73E-7FE9D1E82FCA}</b:Guid>
    <b:Author>
      <b:Author>
        <b:Corporate>Spartans Law</b:Corporate>
      </b:Author>
    </b:Author>
    <b:Title>S20 GBH - Spartans Law</b:Title>
    <b:Issue>https://spartanslaw.co.uk/s20-wounding/</b:Issue>
    <b:RefOrder>5</b:RefOrder>
  </b:Source>
  <b:Source>
    <b:Tag>Oll</b:Tag>
    <b:SourceType>JournalArticle</b:SourceType>
    <b:Guid>{2AD11DFB-AD9E-4F09-811F-9C246DB71F1C}</b:Guid>
    <b:Author>
      <b:Author>
        <b:Corporate>Olliers Solicitors</b:Corporate>
      </b:Author>
    </b:Author>
    <b:Title>Assault &amp; Grievous Bodily Harm</b:Title>
    <b:Issue>https://www.olliers.com/criminal-law/assault-grievous-bodily-harm/</b:Issue>
    <b:RefOrder>6</b:RefOrder>
  </b:Source>
  <b:Source>
    <b:Tag>Sen</b:Tag>
    <b:SourceType>JournalArticle</b:SourceType>
    <b:Guid>{9448561E-393B-40E7-8793-5B358B388499}</b:Guid>
    <b:Author>
      <b:Author>
        <b:Corporate>Sentencingcouncil.org.uk</b:Corporate>
      </b:Author>
    </b:Author>
    <b:Title>Inflicting grievous bodily harm/ Unlawful wounding/ Racially or religiously aggravated GBH/ Unlawful wounding – Sentencing</b:Title>
    <b:Issue>https://www.sentencingcouncil.org.uk/offences/magistrates-court/item/inflicting-grievous-bodily-harm-unlawful-wounding-racially-or-religiously-aggravated-gbh-unlawful-wounding/</b:Issue>
    <b:RefOrder>7</b:RefOrder>
  </b:Source>
  <b:Source>
    <b:Tag>Cps</b:Tag>
    <b:SourceType>JournalArticle</b:SourceType>
    <b:Guid>{6C85E75A-180B-464F-8EA4-71F9618F2E6D}</b:Guid>
    <b:Author>
      <b:Author>
        <b:Corporate>Cps.gov.uk</b:Corporate>
      </b:Author>
    </b:Author>
    <b:Title>Intoxication </b:Title>
    <b:Issue>https://www.cps.gov.uk/legal-guidance/intoxication</b:Issue>
    <b:RefOrder>8</b:RefOrder>
  </b:Source>
  <b:Source>
    <b:Tag>Ela</b:Tag>
    <b:SourceType>JournalArticle</b:SourceType>
    <b:Guid>{57EB2043-3C2D-4D7F-9876-3553CDD28007}</b:Guid>
    <b:Author>
      <b:Author>
        <b:Corporate>E-lawresources.co.uk</b:Corporate>
      </b:Author>
    </b:Author>
    <b:Title>Intoxication and criminal liability</b:Title>
    <b:Issue>http://www.e-lawresources.co.uk/Intoxication.php</b:Issue>
    <b:RefOrder>9</b:RefOrder>
  </b:Source>
  <b:Source>
    <b:Tag>And</b:Tag>
    <b:SourceType>JournalArticle</b:SourceType>
    <b:Guid>{8B6B7B3B-85E3-4D34-8F21-713F20E3337C}</b:Guid>
    <b:Author>
      <b:Author>
        <b:NameList>
          <b:Person>
            <b:Last>Shieber</b:Last>
            <b:First>Andrea</b:First>
          </b:Person>
        </b:NameList>
      </b:Author>
    </b:Author>
    <b:Title>The intoxication ‘defence’ in criminal law – Criminal Justice Notes</b:Title>
    <b:JournalName>Blogs.kent.ac.uk</b:JournalName>
    <b:Issue>https://blogs.kent.ac.uk/criminaljusticenotes/2020/01/31/the-intoxication-defence-in-criminal-law/</b:Issue>
    <b:RefOrder>10</b:RefOrder>
  </b:Source>
  <b:Source>
    <b:Tag>Hea15</b:Tag>
    <b:SourceType>JournalArticle</b:SourceType>
    <b:Guid>{5DB6A3E0-9000-4B6F-B4B3-BA1565DD00A4}</b:Guid>
    <b:Author>
      <b:Author>
        <b:Corporate>Healys LLP</b:Corporate>
      </b:Author>
    </b:Author>
    <b:Title>Professional negligence and the reasonable man</b:Title>
    <b:Year>January 30 2015</b:Year>
    <b:Issue>https://healys.com/2015/01/30/professional-negligence-and-the-reasonable-person-test/#:~:text=This%20is%20a%20common%20law,seek%20the%20opinion%20of%20experts.</b:Issue>
    <b:RefOrder>11</b:RefOrder>
  </b:Source>
</b:Sources>
</file>

<file path=customXml/itemProps1.xml><?xml version="1.0" encoding="utf-8"?>
<ds:datastoreItem xmlns:ds="http://schemas.openxmlformats.org/officeDocument/2006/customXml" ds:itemID="{074FBA29-5B1E-4719-ABEF-B12FB7AF7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1307</Words>
  <Characters>7452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Johnson</dc:creator>
  <cp:keywords/>
  <dc:description/>
  <cp:lastModifiedBy>Maddy Smith</cp:lastModifiedBy>
  <cp:revision>2</cp:revision>
  <dcterms:created xsi:type="dcterms:W3CDTF">2022-01-07T03:19:00Z</dcterms:created>
  <dcterms:modified xsi:type="dcterms:W3CDTF">2022-01-07T03:19:00Z</dcterms:modified>
</cp:coreProperties>
</file>