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E5AB04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A735B">
              <w:rPr>
                <w:rFonts w:ascii="Times New Roman" w:hAnsi="Times New Roman" w:cs="Times New Roman"/>
                <w:b/>
                <w:color w:val="auto"/>
                <w:sz w:val="48"/>
              </w:rPr>
              <w:t xml:space="preserve">Abigail Dyer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F74CA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A735B">
              <w:rPr>
                <w:rFonts w:ascii="Times New Roman" w:hAnsi="Times New Roman" w:cs="Times New Roman"/>
                <w:b/>
                <w:color w:val="auto"/>
                <w:sz w:val="48"/>
              </w:rPr>
              <w:t xml:space="preserve"> abigail_dyer@yahoo.co.uk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5E70357" w14:textId="77777777" w:rsidR="00E1024B" w:rsidRPr="005D3F07" w:rsidRDefault="00E1024B" w:rsidP="00E1024B">
            <w:pPr>
              <w:overflowPunct/>
              <w:autoSpaceDE/>
              <w:autoSpaceDN/>
              <w:adjustRightInd/>
              <w:ind w:right="-957"/>
              <w:textAlignment w:val="auto"/>
              <w:rPr>
                <w:rFonts w:ascii="Times New Roman" w:hAnsi="Times New Roman" w:cs="Times New Roman"/>
                <w:b/>
                <w:color w:val="auto"/>
                <w:sz w:val="48"/>
              </w:rPr>
            </w:pPr>
            <w:r w:rsidRPr="00387300">
              <w:rPr>
                <w:rFonts w:ascii="Times New Roman" w:hAnsi="Times New Roman" w:cs="Times New Roman"/>
                <w:b/>
                <w:color w:val="auto"/>
                <w:sz w:val="44"/>
                <w:szCs w:val="44"/>
              </w:rPr>
              <w:t>Learner’s University Registration Number</w:t>
            </w:r>
            <w:r w:rsidRPr="005D3F07">
              <w:rPr>
                <w:rFonts w:ascii="Times New Roman" w:hAnsi="Times New Roman" w:cs="Times New Roman"/>
                <w:b/>
                <w:color w:val="auto"/>
                <w:sz w:val="48"/>
              </w:rPr>
              <w:t>:</w:t>
            </w:r>
            <w:r>
              <w:rPr>
                <w:rFonts w:ascii="Times New Roman" w:hAnsi="Times New Roman" w:cs="Times New Roman"/>
                <w:b/>
                <w:color w:val="auto"/>
                <w:sz w:val="48"/>
              </w:rPr>
              <w:t xml:space="preserve"> </w:t>
            </w:r>
            <w:r>
              <w:rPr>
                <w:rFonts w:ascii="Times New Roman" w:hAnsi="Times New Roman" w:cs="Times New Roman"/>
                <w:b/>
                <w:color w:val="auto"/>
                <w:sz w:val="40"/>
                <w:szCs w:val="40"/>
              </w:rPr>
              <w:t>0301841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46F7EA53" w:rsidR="00D3203C" w:rsidRDefault="00E83F91" w:rsidP="00DA735B">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2091B20" w14:textId="77777777" w:rsidR="00DA735B" w:rsidRDefault="00DA735B" w:rsidP="00DA735B">
            <w:pPr>
              <w:rPr>
                <w:sz w:val="24"/>
                <w:szCs w:val="24"/>
              </w:rPr>
            </w:pPr>
            <w:r w:rsidRPr="00B57F0F">
              <w:rPr>
                <w:sz w:val="24"/>
                <w:szCs w:val="24"/>
              </w:rPr>
              <w:t>I shal</w:t>
            </w:r>
            <w:r>
              <w:rPr>
                <w:sz w:val="24"/>
                <w:szCs w:val="24"/>
              </w:rPr>
              <w:t xml:space="preserve">l be critically reflecting on a case that involved adult safeguarding legislation and procedures, specifically linking to financial abuse. I will also be making reference to the Housing (Wales) Act 2014, due the nature of the case. I shall be using Gibbs’ reflective model (University of Edinburgh, 2020), using the six stages of reflection. </w:t>
            </w:r>
          </w:p>
          <w:p w14:paraId="52625CF0" w14:textId="77777777" w:rsidR="00DA735B" w:rsidRDefault="00DA735B" w:rsidP="00DA735B">
            <w:pPr>
              <w:rPr>
                <w:sz w:val="24"/>
                <w:szCs w:val="24"/>
              </w:rPr>
            </w:pPr>
          </w:p>
          <w:p w14:paraId="22943383" w14:textId="77777777" w:rsidR="00DA735B" w:rsidRPr="001B7EEB" w:rsidRDefault="00DA735B" w:rsidP="00DA735B">
            <w:pPr>
              <w:rPr>
                <w:color w:val="FF0000"/>
                <w:sz w:val="24"/>
                <w:szCs w:val="24"/>
              </w:rPr>
            </w:pPr>
            <w:r>
              <w:rPr>
                <w:sz w:val="24"/>
                <w:szCs w:val="24"/>
              </w:rPr>
              <w:t xml:space="preserve">Working as a Social Worker in Wales, it is essential to work within Welsh legislation, policies and procedures, understanding our duties, powers and responsibilities. I must also ensure that I work within the Code of Professional Practice (COPP) (Social Care Wales, 2017) and in accordance with the Code of Ethics (BASW, 2021). </w:t>
            </w:r>
          </w:p>
          <w:p w14:paraId="2A88F7A4" w14:textId="77777777" w:rsidR="00DA735B" w:rsidRDefault="00DA735B" w:rsidP="00DA735B">
            <w:pPr>
              <w:rPr>
                <w:sz w:val="24"/>
                <w:szCs w:val="24"/>
              </w:rPr>
            </w:pPr>
          </w:p>
          <w:p w14:paraId="63911A41" w14:textId="77777777" w:rsidR="00DA735B" w:rsidRDefault="00DA735B" w:rsidP="00DA735B">
            <w:pPr>
              <w:rPr>
                <w:color w:val="000000" w:themeColor="text1"/>
                <w:sz w:val="24"/>
                <w:szCs w:val="24"/>
              </w:rPr>
            </w:pPr>
            <w:r w:rsidRPr="00BE2AA0">
              <w:rPr>
                <w:color w:val="000000" w:themeColor="text1"/>
                <w:sz w:val="24"/>
                <w:szCs w:val="24"/>
              </w:rPr>
              <w:t>Wales is a devolved nation</w:t>
            </w:r>
            <w:r>
              <w:rPr>
                <w:color w:val="000000" w:themeColor="text1"/>
                <w:sz w:val="24"/>
                <w:szCs w:val="24"/>
              </w:rPr>
              <w:t xml:space="preserve">; two </w:t>
            </w:r>
            <w:r w:rsidRPr="00BE2AA0">
              <w:rPr>
                <w:color w:val="000000" w:themeColor="text1"/>
                <w:sz w:val="24"/>
                <w:szCs w:val="24"/>
              </w:rPr>
              <w:t>areas</w:t>
            </w:r>
            <w:r>
              <w:rPr>
                <w:color w:val="000000" w:themeColor="text1"/>
                <w:sz w:val="24"/>
                <w:szCs w:val="24"/>
              </w:rPr>
              <w:t xml:space="preserve"> the Welsh government have</w:t>
            </w:r>
            <w:r w:rsidRPr="00BE2AA0">
              <w:rPr>
                <w:color w:val="000000" w:themeColor="text1"/>
                <w:sz w:val="24"/>
                <w:szCs w:val="24"/>
              </w:rPr>
              <w:t xml:space="preserve"> legislative power for self-governance are health and social care and housing</w:t>
            </w:r>
            <w:r>
              <w:rPr>
                <w:color w:val="000000" w:themeColor="text1"/>
                <w:sz w:val="24"/>
                <w:szCs w:val="24"/>
              </w:rPr>
              <w:t xml:space="preserve">. Two key Acts that have been passed since the devolution in Wales are the Social Services and Well-Being (Wales) Act 2014 (SSWBWA 2014) and the Housing (Wales) Act 2014 (HWA 2014). Whereas, England is governed by the Care Act 2014 and the Housing Act 2004. </w:t>
            </w:r>
          </w:p>
          <w:p w14:paraId="50A91AFC" w14:textId="77777777" w:rsidR="00DA735B" w:rsidRDefault="00DA735B" w:rsidP="00DA735B">
            <w:pPr>
              <w:rPr>
                <w:color w:val="000000" w:themeColor="text1"/>
                <w:sz w:val="24"/>
                <w:szCs w:val="24"/>
              </w:rPr>
            </w:pPr>
          </w:p>
          <w:p w14:paraId="027D1A8E" w14:textId="77777777" w:rsidR="00DA735B" w:rsidRDefault="00DA735B" w:rsidP="00DA735B">
            <w:pPr>
              <w:rPr>
                <w:color w:val="000000" w:themeColor="text1"/>
                <w:sz w:val="24"/>
                <w:szCs w:val="24"/>
              </w:rPr>
            </w:pPr>
            <w:r>
              <w:rPr>
                <w:color w:val="000000" w:themeColor="text1"/>
                <w:sz w:val="24"/>
                <w:szCs w:val="24"/>
              </w:rPr>
              <w:t>The H(W)A 2014 has a greater emphasis on responding to homelessness, in comparison to the HA 2014. The H(W)A 2014 clearly sets out duties, identifying preventative measures, promoting early intervention to prevent crises, working with individuals and promoting a partnership approach.</w:t>
            </w:r>
          </w:p>
          <w:p w14:paraId="1470675F" w14:textId="77777777" w:rsidR="00DA735B" w:rsidRDefault="00DA735B" w:rsidP="00DA735B">
            <w:pPr>
              <w:rPr>
                <w:color w:val="000000" w:themeColor="text1"/>
                <w:sz w:val="24"/>
                <w:szCs w:val="24"/>
              </w:rPr>
            </w:pPr>
          </w:p>
          <w:p w14:paraId="373A5A51" w14:textId="77777777" w:rsidR="00DA735B" w:rsidRDefault="00DA735B" w:rsidP="00DA735B">
            <w:pPr>
              <w:rPr>
                <w:color w:val="000000" w:themeColor="text1"/>
                <w:sz w:val="24"/>
                <w:szCs w:val="24"/>
              </w:rPr>
            </w:pPr>
            <w:r>
              <w:rPr>
                <w:color w:val="000000" w:themeColor="text1"/>
                <w:sz w:val="24"/>
                <w:szCs w:val="24"/>
              </w:rPr>
              <w:t xml:space="preserve">The SSWB(W)A 2014 takes a holistic approach in considering adults and children using a person-centred approach, focussing on ‘people in need of care and support’. Whereas, the CA 2014 focuses on ‘adults in need’. The SSWB(W)A 2014 places </w:t>
            </w:r>
            <w:r w:rsidRPr="00665635">
              <w:rPr>
                <w:color w:val="000000" w:themeColor="text1"/>
                <w:sz w:val="24"/>
                <w:szCs w:val="24"/>
              </w:rPr>
              <w:t xml:space="preserve">a “greater emphasis on </w:t>
            </w:r>
            <w:r w:rsidRPr="00665635">
              <w:rPr>
                <w:color w:val="000000" w:themeColor="text1"/>
                <w:sz w:val="24"/>
                <w:szCs w:val="24"/>
              </w:rPr>
              <w:lastRenderedPageBreak/>
              <w:t>safeguarding as demonstrated by the adult protection and support order tools</w:t>
            </w:r>
            <w:r>
              <w:rPr>
                <w:color w:val="000000" w:themeColor="text1"/>
                <w:sz w:val="24"/>
                <w:szCs w:val="24"/>
              </w:rPr>
              <w:t>”</w:t>
            </w:r>
            <w:r w:rsidRPr="006A1F41">
              <w:rPr>
                <w:color w:val="000000" w:themeColor="text1"/>
                <w:sz w:val="24"/>
                <w:szCs w:val="24"/>
              </w:rPr>
              <w:t xml:space="preserve"> </w:t>
            </w:r>
            <w:r w:rsidRPr="00665635">
              <w:rPr>
                <w:color w:val="000000" w:themeColor="text1"/>
                <w:sz w:val="24"/>
                <w:szCs w:val="24"/>
              </w:rPr>
              <w:t>(Manger health, 2016)</w:t>
            </w:r>
            <w:r>
              <w:rPr>
                <w:color w:val="000000" w:themeColor="text1"/>
                <w:sz w:val="24"/>
                <w:szCs w:val="24"/>
              </w:rPr>
              <w:t>,</w:t>
            </w:r>
            <w:r w:rsidRPr="00665635">
              <w:rPr>
                <w:color w:val="000000" w:themeColor="text1"/>
                <w:sz w:val="24"/>
                <w:szCs w:val="24"/>
              </w:rPr>
              <w:t xml:space="preserve"> put</w:t>
            </w:r>
            <w:r>
              <w:rPr>
                <w:color w:val="000000" w:themeColor="text1"/>
                <w:sz w:val="24"/>
                <w:szCs w:val="24"/>
              </w:rPr>
              <w:t>ting</w:t>
            </w:r>
            <w:r w:rsidRPr="00665635">
              <w:rPr>
                <w:color w:val="000000" w:themeColor="text1"/>
                <w:sz w:val="24"/>
                <w:szCs w:val="24"/>
              </w:rPr>
              <w:t xml:space="preserve"> in plac</w:t>
            </w:r>
            <w:r>
              <w:rPr>
                <w:color w:val="000000" w:themeColor="text1"/>
                <w:sz w:val="24"/>
                <w:szCs w:val="24"/>
              </w:rPr>
              <w:t xml:space="preserve">e a national safeguarding board, which has </w:t>
            </w:r>
            <w:r w:rsidRPr="00665635">
              <w:rPr>
                <w:color w:val="000000" w:themeColor="text1"/>
                <w:sz w:val="24"/>
                <w:szCs w:val="24"/>
              </w:rPr>
              <w:t xml:space="preserve">a </w:t>
            </w:r>
            <w:r>
              <w:rPr>
                <w:color w:val="000000" w:themeColor="text1"/>
                <w:sz w:val="24"/>
                <w:szCs w:val="24"/>
              </w:rPr>
              <w:t>role in supporting regional safeguarding boards</w:t>
            </w:r>
            <w:r w:rsidRPr="00665635">
              <w:rPr>
                <w:color w:val="000000" w:themeColor="text1"/>
                <w:sz w:val="24"/>
                <w:szCs w:val="24"/>
              </w:rPr>
              <w:t>.</w:t>
            </w:r>
            <w:r>
              <w:rPr>
                <w:color w:val="000000" w:themeColor="text1"/>
                <w:sz w:val="24"/>
                <w:szCs w:val="24"/>
              </w:rPr>
              <w:t xml:space="preserve"> The SSWB(W)A 2014 promotes</w:t>
            </w:r>
            <w:r w:rsidRPr="00645CD6">
              <w:rPr>
                <w:color w:val="000000" w:themeColor="text1"/>
                <w:sz w:val="24"/>
                <w:szCs w:val="24"/>
              </w:rPr>
              <w:t xml:space="preserve"> </w:t>
            </w:r>
            <w:r>
              <w:rPr>
                <w:color w:val="000000" w:themeColor="text1"/>
                <w:sz w:val="24"/>
                <w:szCs w:val="24"/>
              </w:rPr>
              <w:t xml:space="preserve">achieving wellbeing, working in co-production with the individual, empowering them to have a voice and control over their own lives; with an emphasis on preventative support; receiving the right support at the right time. </w:t>
            </w:r>
          </w:p>
          <w:p w14:paraId="54A7A5BF" w14:textId="77777777" w:rsidR="00DA735B" w:rsidRDefault="00DA735B" w:rsidP="00DA735B">
            <w:pPr>
              <w:rPr>
                <w:color w:val="000000" w:themeColor="text1"/>
                <w:sz w:val="24"/>
                <w:szCs w:val="24"/>
              </w:rPr>
            </w:pPr>
          </w:p>
          <w:p w14:paraId="3E8E85CD" w14:textId="77777777" w:rsidR="00DA735B" w:rsidRDefault="00DA735B" w:rsidP="00DA735B">
            <w:pPr>
              <w:rPr>
                <w:color w:val="000000" w:themeColor="text1"/>
                <w:sz w:val="24"/>
                <w:szCs w:val="24"/>
              </w:rPr>
            </w:pPr>
            <w:r>
              <w:rPr>
                <w:color w:val="000000" w:themeColor="text1"/>
                <w:sz w:val="24"/>
                <w:szCs w:val="24"/>
              </w:rPr>
              <w:t xml:space="preserve">Safeguarding is everybody’s responsibility; the SSWB(W)A 2014 defines an adult at risk in Part 7 s126 (1); as someone ‘experiencing abuse or neglect; has needs for care and support and as a result of those is unable to protect themselves against abuse or neglect or the risk of it’. </w:t>
            </w:r>
          </w:p>
          <w:p w14:paraId="7CAFD526" w14:textId="77777777" w:rsidR="00DA735B" w:rsidRDefault="00DA735B" w:rsidP="00DA735B">
            <w:pPr>
              <w:rPr>
                <w:color w:val="000000" w:themeColor="text1"/>
                <w:sz w:val="24"/>
                <w:szCs w:val="24"/>
              </w:rPr>
            </w:pPr>
          </w:p>
          <w:p w14:paraId="0090FE2E" w14:textId="77777777" w:rsidR="00DA735B" w:rsidRDefault="00DA735B" w:rsidP="00DA735B">
            <w:pPr>
              <w:rPr>
                <w:color w:val="000000" w:themeColor="text1"/>
                <w:sz w:val="24"/>
                <w:szCs w:val="24"/>
                <w:lang w:val="en"/>
              </w:rPr>
            </w:pPr>
            <w:r>
              <w:rPr>
                <w:color w:val="000000" w:themeColor="text1"/>
                <w:sz w:val="24"/>
                <w:szCs w:val="24"/>
              </w:rPr>
              <w:t xml:space="preserve">The national Wales Safeguarding Procedures 2019 (WSP) supports professionals working in Wales to apply the SSWB(W)A 2014 legislation and statutory guidance, ‘Working Together to Safeguard People’ (Welsh Government, 2022). </w:t>
            </w:r>
            <w:r w:rsidRPr="003E27E2">
              <w:rPr>
                <w:color w:val="000000" w:themeColor="text1"/>
                <w:sz w:val="24"/>
                <w:szCs w:val="24"/>
                <w:lang w:val="en"/>
              </w:rPr>
              <w:t>The procedures are designed to standardise practice across all of Wales and between agencies.</w:t>
            </w:r>
            <w:r>
              <w:rPr>
                <w:color w:val="000000" w:themeColor="text1"/>
                <w:sz w:val="24"/>
                <w:szCs w:val="24"/>
                <w:lang w:val="en"/>
              </w:rPr>
              <w:t xml:space="preserve"> The procedures offer clear guidance in how to effectively follow safeguarding practices; dividing the procedures into sections </w:t>
            </w:r>
            <w:r w:rsidRPr="00C377EB">
              <w:rPr>
                <w:color w:val="000000" w:themeColor="text1"/>
                <w:sz w:val="24"/>
                <w:szCs w:val="24"/>
                <w:lang w:val="en"/>
              </w:rPr>
              <w:t xml:space="preserve">relating to </w:t>
            </w:r>
            <w:r>
              <w:rPr>
                <w:color w:val="000000" w:themeColor="text1"/>
                <w:sz w:val="24"/>
                <w:szCs w:val="24"/>
                <w:lang w:val="en"/>
              </w:rPr>
              <w:t>‘</w:t>
            </w:r>
            <w:hyperlink r:id="rId11" w:history="1">
              <w:r w:rsidRPr="00C377EB">
                <w:rPr>
                  <w:bCs/>
                  <w:color w:val="000000" w:themeColor="text1"/>
                  <w:sz w:val="24"/>
                  <w:szCs w:val="24"/>
                  <w:lang w:val="en"/>
                </w:rPr>
                <w:t>safeguarding children</w:t>
              </w:r>
            </w:hyperlink>
            <w:r>
              <w:rPr>
                <w:color w:val="000000" w:themeColor="text1"/>
                <w:sz w:val="24"/>
                <w:szCs w:val="24"/>
                <w:lang w:val="en"/>
              </w:rPr>
              <w:t>’ and ‘</w:t>
            </w:r>
            <w:hyperlink r:id="rId12" w:history="1">
              <w:r w:rsidRPr="00C377EB">
                <w:rPr>
                  <w:bCs/>
                  <w:color w:val="000000" w:themeColor="text1"/>
                  <w:sz w:val="24"/>
                  <w:szCs w:val="24"/>
                  <w:lang w:val="en"/>
                </w:rPr>
                <w:t>adults at risk of abuse and neglect</w:t>
              </w:r>
            </w:hyperlink>
            <w:r>
              <w:rPr>
                <w:color w:val="000000" w:themeColor="text1"/>
                <w:sz w:val="24"/>
                <w:szCs w:val="24"/>
                <w:lang w:val="en"/>
              </w:rPr>
              <w:t>’</w:t>
            </w:r>
            <w:r w:rsidRPr="00C377EB">
              <w:rPr>
                <w:color w:val="000000" w:themeColor="text1"/>
                <w:sz w:val="24"/>
                <w:szCs w:val="24"/>
                <w:lang w:val="en"/>
              </w:rPr>
              <w:t>.</w:t>
            </w:r>
          </w:p>
          <w:p w14:paraId="5573E96D" w14:textId="77777777" w:rsidR="00DA735B" w:rsidRDefault="00DA735B" w:rsidP="00DA735B">
            <w:pPr>
              <w:rPr>
                <w:color w:val="000000" w:themeColor="text1"/>
                <w:sz w:val="24"/>
                <w:szCs w:val="24"/>
                <w:lang w:val="en"/>
              </w:rPr>
            </w:pPr>
          </w:p>
          <w:p w14:paraId="5ACED5B6" w14:textId="77777777" w:rsidR="00DA735B" w:rsidRDefault="00DA735B" w:rsidP="00DA735B">
            <w:pPr>
              <w:rPr>
                <w:color w:val="000000" w:themeColor="text1"/>
                <w:sz w:val="24"/>
                <w:szCs w:val="24"/>
                <w:lang w:val="en"/>
              </w:rPr>
            </w:pPr>
            <w:r>
              <w:rPr>
                <w:color w:val="000000" w:themeColor="text1"/>
                <w:sz w:val="24"/>
                <w:szCs w:val="24"/>
                <w:lang w:val="en"/>
              </w:rPr>
              <w:t xml:space="preserve">The WTSP highlights the main areas of abuse which are </w:t>
            </w:r>
            <w:r w:rsidRPr="000632E8">
              <w:rPr>
                <w:color w:val="000000" w:themeColor="text1"/>
                <w:sz w:val="24"/>
                <w:szCs w:val="24"/>
                <w:lang w:val="en"/>
              </w:rPr>
              <w:t>physical, sexual, psychological, emotional or financial</w:t>
            </w:r>
            <w:r>
              <w:rPr>
                <w:color w:val="000000" w:themeColor="text1"/>
                <w:sz w:val="24"/>
                <w:szCs w:val="24"/>
                <w:lang w:val="en"/>
              </w:rPr>
              <w:t xml:space="preserve">. For the purposes of the case I am reflecting on, I shall be focusing on financial abuse. The WTSP provides signs and indicators of possible financial abuse, for example; </w:t>
            </w:r>
            <w:r w:rsidRPr="00FE5ECC">
              <w:rPr>
                <w:color w:val="000000" w:themeColor="text1"/>
                <w:sz w:val="24"/>
                <w:szCs w:val="24"/>
                <w:lang w:val="en"/>
              </w:rPr>
              <w:t>preventing a person from accessing their own money, benefits or assets; misuse of benefits or direct payments in a family home</w:t>
            </w:r>
            <w:r>
              <w:rPr>
                <w:color w:val="000000" w:themeColor="text1"/>
                <w:sz w:val="24"/>
                <w:szCs w:val="24"/>
                <w:lang w:val="en"/>
              </w:rPr>
              <w:t xml:space="preserve">. The WTSP goes further in specifically identifying possible indicators that financial abuse is happening and the threshold for when it is proportionate to report concerns. For example; </w:t>
            </w:r>
            <w:r w:rsidRPr="00FE5ECC">
              <w:rPr>
                <w:color w:val="000000" w:themeColor="text1"/>
                <w:sz w:val="24"/>
                <w:szCs w:val="24"/>
                <w:lang w:val="en"/>
              </w:rPr>
              <w:t>unexplained withdrawal of funds from accounts; rent arrears and eviction notices</w:t>
            </w:r>
            <w:r>
              <w:rPr>
                <w:color w:val="000000" w:themeColor="text1"/>
                <w:sz w:val="24"/>
                <w:szCs w:val="24"/>
                <w:lang w:val="en"/>
              </w:rPr>
              <w:t xml:space="preserve"> (Safeguarding Wales, 2022). </w:t>
            </w:r>
          </w:p>
          <w:p w14:paraId="4BE987A0" w14:textId="77777777" w:rsidR="00DA735B" w:rsidRDefault="00DA735B" w:rsidP="00DA735B">
            <w:pPr>
              <w:rPr>
                <w:color w:val="000000" w:themeColor="text1"/>
                <w:sz w:val="24"/>
                <w:szCs w:val="24"/>
                <w:lang w:val="en"/>
              </w:rPr>
            </w:pPr>
          </w:p>
          <w:p w14:paraId="5904DD2A" w14:textId="77777777" w:rsidR="00DA735B" w:rsidRPr="00461799" w:rsidRDefault="00DA735B" w:rsidP="00DA735B">
            <w:pPr>
              <w:pStyle w:val="Default"/>
              <w:rPr>
                <w:color w:val="000000" w:themeColor="text1"/>
              </w:rPr>
            </w:pPr>
            <w:r w:rsidRPr="00461799">
              <w:rPr>
                <w:color w:val="000000" w:themeColor="text1"/>
                <w:lang w:val="en"/>
              </w:rPr>
              <w:t xml:space="preserve">S132 SSWB(W)A 2014 states that a National Independent Safeguarding Board should provide support and guidance to regional safeguarding boards to ensure that they work effectively when addressing issues of abuse. </w:t>
            </w:r>
            <w:r w:rsidRPr="00461799">
              <w:t>S134 of</w:t>
            </w:r>
            <w:r>
              <w:t xml:space="preserve"> the SSWBWA 2014 requires that R</w:t>
            </w:r>
            <w:r w:rsidRPr="00461799">
              <w:t xml:space="preserve">egional Safeguarding Adult Boards are in place. This is a “multi-agency, statutory partnership whose main objective is to ensure that local safeguarding arrangements and partners act to help and protect adults at risk of abuse and neglect across the region” (xxx.wales, 2018). The </w:t>
            </w:r>
            <w:r w:rsidRPr="00461799">
              <w:rPr>
                <w:color w:val="000000" w:themeColor="text1"/>
              </w:rPr>
              <w:t>Safeguarding Boards (Functions and Procedures) (Wales) Regulations 2015 formally set out the functions of the Safeguarding Boards.</w:t>
            </w:r>
          </w:p>
          <w:p w14:paraId="2AA57E82" w14:textId="77777777" w:rsidR="00DA735B" w:rsidRDefault="00DA735B" w:rsidP="00DA735B">
            <w:pPr>
              <w:pStyle w:val="Default"/>
              <w:rPr>
                <w:sz w:val="23"/>
                <w:szCs w:val="23"/>
              </w:rPr>
            </w:pPr>
          </w:p>
          <w:p w14:paraId="29F30A6F" w14:textId="77777777" w:rsidR="00DA735B" w:rsidRPr="00D3750E" w:rsidRDefault="00DA735B" w:rsidP="00DA735B">
            <w:pPr>
              <w:rPr>
                <w:color w:val="000000" w:themeColor="text1"/>
                <w:sz w:val="24"/>
                <w:szCs w:val="24"/>
                <w:lang w:val="en"/>
              </w:rPr>
            </w:pPr>
            <w:r>
              <w:rPr>
                <w:color w:val="000000" w:themeColor="text1"/>
                <w:sz w:val="24"/>
                <w:szCs w:val="24"/>
                <w:lang w:val="en"/>
              </w:rPr>
              <w:t>The XXX Regional Safeguarding Adult Board sets out clear threshold guidance in relation to the specific areas of abuse. The guidance sets out when a preventative measure can be used and when it meets the threshold to make a safeguarding referral to the local authority, if there is a likelihood of significant harm. This ranges from money not being managed safely, as an isolated incident to “m</w:t>
            </w:r>
            <w:r w:rsidRPr="00D3750E">
              <w:rPr>
                <w:sz w:val="24"/>
                <w:szCs w:val="24"/>
              </w:rPr>
              <w:t>isuse / misappropriation of property, possessions or benefits by a person in a position of trust or control to theft and fraud</w:t>
            </w:r>
            <w:r>
              <w:rPr>
                <w:sz w:val="24"/>
                <w:szCs w:val="24"/>
              </w:rPr>
              <w:t>” (xxx.wales, 2018 p.22).</w:t>
            </w:r>
            <w:r w:rsidRPr="00D3750E">
              <w:rPr>
                <w:sz w:val="24"/>
                <w:szCs w:val="24"/>
              </w:rPr>
              <w:t xml:space="preserve"> </w:t>
            </w:r>
          </w:p>
          <w:p w14:paraId="6BE4098E" w14:textId="77777777" w:rsidR="00DA735B" w:rsidRDefault="00DA735B" w:rsidP="00DA735B">
            <w:pPr>
              <w:rPr>
                <w:color w:val="000000" w:themeColor="text1"/>
                <w:sz w:val="24"/>
                <w:szCs w:val="24"/>
                <w:lang w:val="en"/>
              </w:rPr>
            </w:pPr>
          </w:p>
          <w:p w14:paraId="264F867F" w14:textId="77777777" w:rsidR="00DA735B" w:rsidRDefault="00DA735B" w:rsidP="00DA735B">
            <w:pPr>
              <w:rPr>
                <w:color w:val="000000" w:themeColor="text1"/>
                <w:sz w:val="24"/>
                <w:szCs w:val="24"/>
                <w:lang w:val="en"/>
              </w:rPr>
            </w:pPr>
            <w:r>
              <w:rPr>
                <w:color w:val="000000" w:themeColor="text1"/>
                <w:sz w:val="24"/>
                <w:szCs w:val="24"/>
                <w:lang w:val="en"/>
              </w:rPr>
              <w:lastRenderedPageBreak/>
              <w:t>Whilst working in accordance with the SSWB(W)A 2014, it is essential to give due regard to other key legislation, nationally and internationally throughout each section. The Mental Capacity Act 2005 is relevant to individuals over 16 living in Wales and England. I must be mindful to ensure that the essence of the Act and the 5 principles are embedded within my practice whilst working with adults. For example, Principle 1 is the assumption of capacity. It is assumed that every adult has capacity to make their own decisions, unless it is proven otherwise.</w:t>
            </w:r>
          </w:p>
          <w:p w14:paraId="53E77DFE" w14:textId="77777777" w:rsidR="00DA735B" w:rsidRDefault="00DA735B" w:rsidP="00DA735B">
            <w:pPr>
              <w:rPr>
                <w:color w:val="000000" w:themeColor="text1"/>
                <w:sz w:val="24"/>
                <w:szCs w:val="24"/>
                <w:lang w:val="en"/>
              </w:rPr>
            </w:pPr>
          </w:p>
          <w:p w14:paraId="72D95A87" w14:textId="77777777" w:rsidR="00DA735B" w:rsidRPr="00CC3984" w:rsidRDefault="00DA735B" w:rsidP="00DA735B">
            <w:pPr>
              <w:rPr>
                <w:color w:val="000000" w:themeColor="text1"/>
                <w:sz w:val="24"/>
                <w:szCs w:val="24"/>
                <w:lang w:val="en"/>
              </w:rPr>
            </w:pPr>
            <w:r>
              <w:rPr>
                <w:color w:val="000000" w:themeColor="text1"/>
                <w:sz w:val="24"/>
                <w:szCs w:val="24"/>
                <w:lang w:val="en"/>
              </w:rPr>
              <w:t xml:space="preserve">I must take into account that everyone in Wales is entitled to the rights set out in the European Court of Human Rights in EU law. </w:t>
            </w:r>
            <w:r w:rsidRPr="00CC3984">
              <w:rPr>
                <w:color w:val="000000" w:themeColor="text1"/>
                <w:sz w:val="24"/>
                <w:szCs w:val="24"/>
                <w:lang w:val="en"/>
              </w:rPr>
              <w:t>This is highlighted in Part 2</w:t>
            </w:r>
            <w:r>
              <w:rPr>
                <w:color w:val="000000" w:themeColor="text1"/>
                <w:sz w:val="24"/>
                <w:szCs w:val="24"/>
                <w:lang w:val="en"/>
              </w:rPr>
              <w:t xml:space="preserve"> of the overarching duties in the</w:t>
            </w:r>
            <w:r w:rsidRPr="00CC3984">
              <w:rPr>
                <w:color w:val="000000" w:themeColor="text1"/>
                <w:sz w:val="24"/>
                <w:szCs w:val="24"/>
                <w:lang w:val="en"/>
              </w:rPr>
              <w:t xml:space="preserve"> SSWB</w:t>
            </w:r>
            <w:r>
              <w:rPr>
                <w:color w:val="000000" w:themeColor="text1"/>
                <w:sz w:val="24"/>
                <w:szCs w:val="24"/>
                <w:lang w:val="en"/>
              </w:rPr>
              <w:t>(</w:t>
            </w:r>
            <w:r w:rsidRPr="00CC3984">
              <w:rPr>
                <w:color w:val="000000" w:themeColor="text1"/>
                <w:sz w:val="24"/>
                <w:szCs w:val="24"/>
                <w:lang w:val="en"/>
              </w:rPr>
              <w:t>W</w:t>
            </w:r>
            <w:r>
              <w:rPr>
                <w:color w:val="000000" w:themeColor="text1"/>
                <w:sz w:val="24"/>
                <w:szCs w:val="24"/>
                <w:lang w:val="en"/>
              </w:rPr>
              <w:t>)</w:t>
            </w:r>
            <w:r w:rsidRPr="00CC3984">
              <w:rPr>
                <w:color w:val="000000" w:themeColor="text1"/>
                <w:sz w:val="24"/>
                <w:szCs w:val="24"/>
                <w:lang w:val="en"/>
              </w:rPr>
              <w:t xml:space="preserve">A 2014 </w:t>
            </w:r>
            <w:r w:rsidRPr="00CC3984">
              <w:rPr>
                <w:color w:val="000000" w:themeColor="text1"/>
                <w:sz w:val="24"/>
                <w:szCs w:val="24"/>
              </w:rPr>
              <w:t>requiring</w:t>
            </w:r>
            <w:r>
              <w:rPr>
                <w:color w:val="000000" w:themeColor="text1"/>
                <w:sz w:val="24"/>
                <w:szCs w:val="24"/>
              </w:rPr>
              <w:t xml:space="preserve"> professionals</w:t>
            </w:r>
            <w:r w:rsidRPr="00CC3984">
              <w:rPr>
                <w:color w:val="000000" w:themeColor="text1"/>
                <w:sz w:val="24"/>
                <w:szCs w:val="24"/>
              </w:rPr>
              <w:t xml:space="preserve"> to have due regard to the UN Principles for Older Persons</w:t>
            </w:r>
            <w:r>
              <w:rPr>
                <w:color w:val="000000" w:themeColor="text1"/>
                <w:sz w:val="24"/>
                <w:szCs w:val="24"/>
              </w:rPr>
              <w:t xml:space="preserve"> (Welsh Parliament, 2021)</w:t>
            </w:r>
            <w:r w:rsidRPr="00CC3984">
              <w:rPr>
                <w:color w:val="000000" w:themeColor="text1"/>
                <w:sz w:val="24"/>
                <w:szCs w:val="24"/>
              </w:rPr>
              <w:t>.</w:t>
            </w:r>
            <w:r>
              <w:rPr>
                <w:color w:val="000000" w:themeColor="text1"/>
                <w:sz w:val="24"/>
                <w:szCs w:val="24"/>
              </w:rPr>
              <w:t xml:space="preserve"> </w:t>
            </w:r>
            <w:r w:rsidRPr="00CC3984">
              <w:rPr>
                <w:color w:val="000000" w:themeColor="text1"/>
                <w:sz w:val="24"/>
                <w:szCs w:val="24"/>
                <w:lang w:val="en"/>
              </w:rPr>
              <w:t xml:space="preserve">For example, </w:t>
            </w:r>
            <w:r>
              <w:rPr>
                <w:color w:val="000000" w:themeColor="text1"/>
                <w:sz w:val="24"/>
                <w:szCs w:val="24"/>
                <w:lang w:val="en"/>
              </w:rPr>
              <w:t xml:space="preserve">Article 2; the right to life (an absolute right) and article 8; right to respect for private and family life. This is a qualified right, meaning that this right can be enjoyed balanced against the interests of the wider community, i.e. public safety or health (Council of Europe, 2022). The Equality Act 2010 is applicable to everyone in the UK, ensuring that nobody should be discriminated against, under the nine protected characteristics set out in the Act. This is echoed in the BASW Code of Ethics, social workers should challenge oppression and discrimination, supporting and empowering individuals from all backgrounds. </w:t>
            </w:r>
          </w:p>
          <w:p w14:paraId="1772E468" w14:textId="77777777" w:rsidR="00DA735B" w:rsidRDefault="00DA735B" w:rsidP="00DA735B">
            <w:pPr>
              <w:rPr>
                <w:color w:val="000000" w:themeColor="text1"/>
                <w:sz w:val="24"/>
                <w:szCs w:val="24"/>
              </w:rPr>
            </w:pPr>
          </w:p>
          <w:p w14:paraId="2DB12AE5" w14:textId="77777777" w:rsidR="00DA735B" w:rsidRPr="00913B24" w:rsidRDefault="00DA735B" w:rsidP="00DA735B">
            <w:pPr>
              <w:pStyle w:val="NormalWeb"/>
              <w:rPr>
                <w:rFonts w:ascii="Arial" w:hAnsi="Arial" w:cs="Arial"/>
                <w:color w:val="000000" w:themeColor="text1"/>
                <w:lang w:val="en"/>
              </w:rPr>
            </w:pPr>
            <w:r w:rsidRPr="00913B24">
              <w:rPr>
                <w:rFonts w:ascii="Arial" w:hAnsi="Arial" w:cs="Arial"/>
                <w:color w:val="000000" w:themeColor="text1"/>
              </w:rPr>
              <w:t xml:space="preserve">Living and working in Wales, it is important to adhere to the </w:t>
            </w:r>
            <w:r w:rsidRPr="001072FA">
              <w:rPr>
                <w:rFonts w:ascii="Arial" w:hAnsi="Arial" w:cs="Arial"/>
                <w:color w:val="000000" w:themeColor="text1"/>
                <w:lang w:val="en"/>
              </w:rPr>
              <w:t>Welsh Language (Wales) Meas</w:t>
            </w:r>
            <w:r w:rsidRPr="00913B24">
              <w:rPr>
                <w:rFonts w:ascii="Arial" w:hAnsi="Arial" w:cs="Arial"/>
                <w:color w:val="000000" w:themeColor="text1"/>
                <w:lang w:val="en"/>
              </w:rPr>
              <w:t>ure 2011, which gave official status to</w:t>
            </w:r>
            <w:r w:rsidRPr="001072FA">
              <w:rPr>
                <w:rFonts w:ascii="Arial" w:hAnsi="Arial" w:cs="Arial"/>
                <w:color w:val="000000" w:themeColor="text1"/>
                <w:lang w:val="en"/>
              </w:rPr>
              <w:t xml:space="preserve"> the language,</w:t>
            </w:r>
            <w:r w:rsidRPr="00913B24">
              <w:rPr>
                <w:rFonts w:ascii="Arial" w:hAnsi="Arial" w:cs="Arial"/>
                <w:color w:val="000000" w:themeColor="text1"/>
                <w:lang w:val="en"/>
              </w:rPr>
              <w:t xml:space="preserve"> ensuring that anyone who prefers to speak in Welsh should not </w:t>
            </w:r>
            <w:r>
              <w:rPr>
                <w:rFonts w:ascii="Arial" w:hAnsi="Arial" w:cs="Arial"/>
                <w:color w:val="000000" w:themeColor="text1"/>
                <w:lang w:val="en"/>
              </w:rPr>
              <w:t>have to ask, the onus should be on the</w:t>
            </w:r>
            <w:r w:rsidRPr="00913B24">
              <w:rPr>
                <w:rFonts w:ascii="Arial" w:hAnsi="Arial" w:cs="Arial"/>
                <w:color w:val="000000" w:themeColor="text1"/>
                <w:lang w:val="en"/>
              </w:rPr>
              <w:t xml:space="preserve"> professional to offer that service, otherwise known as the ‘active offer’. 'More than just words' is the strategic framework for Welsh language services in health and social care in Wales. This framework has strengthened the Welsh language, ensuring that all documentation in Wales is bilingual. “</w:t>
            </w:r>
            <w:r w:rsidRPr="001072FA">
              <w:rPr>
                <w:rFonts w:ascii="Arial" w:hAnsi="Arial" w:cs="Arial"/>
                <w:color w:val="000000" w:themeColor="text1"/>
                <w:lang w:val="en"/>
              </w:rPr>
              <w:t>The strategy also identifies the need to develop the Welsh language skills of professionals in order to satisfy the needs of Welsh-speaking service users and carers</w:t>
            </w:r>
            <w:r>
              <w:rPr>
                <w:rFonts w:ascii="Arial" w:hAnsi="Arial" w:cs="Arial"/>
                <w:color w:val="000000" w:themeColor="text1"/>
                <w:lang w:val="en"/>
              </w:rPr>
              <w:t>”</w:t>
            </w:r>
            <w:r w:rsidRPr="00913B24">
              <w:rPr>
                <w:rFonts w:ascii="Arial" w:hAnsi="Arial" w:cs="Arial"/>
                <w:color w:val="000000" w:themeColor="text1"/>
                <w:lang w:val="en"/>
              </w:rPr>
              <w:t xml:space="preserve"> (openlearn, 2022)</w:t>
            </w:r>
            <w:r w:rsidRPr="001072FA">
              <w:rPr>
                <w:rFonts w:ascii="Arial" w:hAnsi="Arial" w:cs="Arial"/>
                <w:color w:val="000000" w:themeColor="text1"/>
                <w:lang w:val="en"/>
              </w:rPr>
              <w:t>.</w:t>
            </w:r>
            <w:r w:rsidRPr="00913B24">
              <w:rPr>
                <w:rFonts w:ascii="Arial" w:hAnsi="Arial" w:cs="Arial"/>
                <w:color w:val="000000" w:themeColor="text1"/>
                <w:lang w:val="en"/>
              </w:rPr>
              <w:t xml:space="preserve"> </w:t>
            </w:r>
          </w:p>
          <w:p w14:paraId="00C7671E" w14:textId="77777777" w:rsidR="00DA735B" w:rsidRDefault="00DA735B" w:rsidP="00DA735B">
            <w:pPr>
              <w:rPr>
                <w:sz w:val="24"/>
                <w:szCs w:val="24"/>
              </w:rPr>
            </w:pPr>
          </w:p>
          <w:p w14:paraId="7CCB87CB" w14:textId="77777777" w:rsidR="00DA735B" w:rsidRDefault="00DA735B" w:rsidP="00DA735B">
            <w:pPr>
              <w:rPr>
                <w:sz w:val="24"/>
                <w:szCs w:val="24"/>
              </w:rPr>
            </w:pPr>
            <w:r>
              <w:rPr>
                <w:sz w:val="24"/>
                <w:szCs w:val="24"/>
              </w:rPr>
              <w:t xml:space="preserve">I have gained a better understanding of safeguarding, I am able to apply this to more complex cases. I have used Gibbs’ reflective cycle to guide me in critically reflecting on the case I have chosen to discuss. This will support me to get a better understanding of how I practice to support me in my development and what I can learn to further improve my practice. </w:t>
            </w:r>
          </w:p>
          <w:p w14:paraId="272562CC" w14:textId="77777777" w:rsidR="00DA735B" w:rsidRDefault="00DA735B" w:rsidP="00DA735B">
            <w:pPr>
              <w:rPr>
                <w:sz w:val="24"/>
                <w:szCs w:val="24"/>
              </w:rPr>
            </w:pPr>
          </w:p>
          <w:p w14:paraId="604BE846" w14:textId="77777777" w:rsidR="00DA735B" w:rsidRDefault="00DA735B" w:rsidP="00DA735B">
            <w:pPr>
              <w:rPr>
                <w:sz w:val="24"/>
                <w:szCs w:val="24"/>
              </w:rPr>
            </w:pPr>
            <w:r>
              <w:rPr>
                <w:sz w:val="24"/>
                <w:szCs w:val="24"/>
              </w:rPr>
              <w:t>Gibbs refers to the ‘description’ as part of the six stages; the case involved an elderly mother</w:t>
            </w:r>
            <w:r w:rsidRPr="00FF0CAB">
              <w:rPr>
                <w:sz w:val="24"/>
                <w:szCs w:val="24"/>
              </w:rPr>
              <w:t xml:space="preserve"> </w:t>
            </w:r>
            <w:r>
              <w:rPr>
                <w:sz w:val="24"/>
                <w:szCs w:val="24"/>
              </w:rPr>
              <w:t>and her adult daughter who is diagnosed with learning disabilities. For confidentiality purposes, I shall refer to the mother as person 2 and the daughter as person 3. 2 and 3 live together in a Local Authority Sheltered Warden property. The warden had raised concerns that the family regularly had no gas and electric at the property. The family were referred to the housing team I work in, supporting families within their tenancies to address housing related issues that could potentially lead to homelessness. 2 was allocated to me because it was solely her name on the tenancy.</w:t>
            </w:r>
          </w:p>
          <w:p w14:paraId="5B1AC029" w14:textId="77777777" w:rsidR="00DA735B" w:rsidRDefault="00DA735B" w:rsidP="00DA735B">
            <w:pPr>
              <w:rPr>
                <w:sz w:val="24"/>
                <w:szCs w:val="24"/>
              </w:rPr>
            </w:pPr>
          </w:p>
          <w:p w14:paraId="2C4AD2F7" w14:textId="77777777" w:rsidR="00DA735B" w:rsidRPr="003D49BA" w:rsidRDefault="00DA735B" w:rsidP="00DA735B">
            <w:pPr>
              <w:rPr>
                <w:color w:val="0B0C0C"/>
                <w:sz w:val="24"/>
                <w:szCs w:val="24"/>
                <w:lang w:val="en"/>
              </w:rPr>
            </w:pPr>
            <w:r>
              <w:rPr>
                <w:sz w:val="24"/>
                <w:szCs w:val="24"/>
              </w:rPr>
              <w:t xml:space="preserve">I met 2 and 3 at their property to conduct an initial risk assessment and support plan. I work in a non-statutory team within the local authority. The team itself is not bound by the duty to </w:t>
            </w:r>
            <w:r>
              <w:rPr>
                <w:sz w:val="24"/>
                <w:szCs w:val="24"/>
              </w:rPr>
              <w:lastRenderedPageBreak/>
              <w:t>assess the needs of adults for care and support as stated in Part 3 s19 of the SSWB(W)A 2014, but being a social worker, working within the LA I have a duty to ensure that assessments of need are robust and proportionate; providing 2 gave consent. The information I gathered from my initial enquiries, was that preventative support was required, which is a fundamental principle of the SSWB(W)A 2014 (Social Care Wales, 2022). This is also in accordance with the vision of the H(W)A 2014, supporting 2 to manage and sustain her tenancy preventing homelessness. I learnt that 2 was appointee for 3; both of their income went into 2’s bank account</w:t>
            </w:r>
            <w:r w:rsidRPr="00E24266">
              <w:rPr>
                <w:color w:val="0B0C0C"/>
                <w:sz w:val="24"/>
                <w:szCs w:val="24"/>
                <w:lang w:val="en"/>
              </w:rPr>
              <w:t>.</w:t>
            </w:r>
            <w:r>
              <w:rPr>
                <w:color w:val="0B0C0C"/>
                <w:sz w:val="24"/>
                <w:szCs w:val="24"/>
                <w:lang w:val="en"/>
              </w:rPr>
              <w:t xml:space="preserve"> </w:t>
            </w:r>
            <w:r w:rsidRPr="00E24266">
              <w:rPr>
                <w:color w:val="0B0C0C"/>
                <w:sz w:val="24"/>
                <w:szCs w:val="24"/>
                <w:lang w:val="en"/>
              </w:rPr>
              <w:t xml:space="preserve">2 was responsible for making </w:t>
            </w:r>
            <w:r>
              <w:rPr>
                <w:color w:val="0B0C0C"/>
                <w:sz w:val="24"/>
                <w:szCs w:val="24"/>
                <w:lang w:val="en"/>
              </w:rPr>
              <w:t>and maintaining</w:t>
            </w:r>
            <w:r w:rsidRPr="00E24266">
              <w:rPr>
                <w:color w:val="0B0C0C"/>
                <w:sz w:val="24"/>
                <w:szCs w:val="24"/>
                <w:lang w:val="en"/>
              </w:rPr>
              <w:t xml:space="preserve"> benefit claims on behalf of 3 because 3 was “mentall</w:t>
            </w:r>
            <w:r>
              <w:rPr>
                <w:color w:val="0B0C0C"/>
                <w:sz w:val="24"/>
                <w:szCs w:val="24"/>
                <w:lang w:val="en"/>
              </w:rPr>
              <w:t>y</w:t>
            </w:r>
            <w:r w:rsidRPr="00E24266">
              <w:rPr>
                <w:color w:val="0B0C0C"/>
                <w:sz w:val="24"/>
                <w:szCs w:val="24"/>
                <w:lang w:val="en"/>
              </w:rPr>
              <w:t xml:space="preserve"> incapable” </w:t>
            </w:r>
            <w:r>
              <w:rPr>
                <w:color w:val="0B0C0C"/>
                <w:sz w:val="24"/>
                <w:szCs w:val="24"/>
                <w:lang w:val="en"/>
              </w:rPr>
              <w:t xml:space="preserve">(gov.uk, 2022) </w:t>
            </w:r>
            <w:r w:rsidRPr="00E24266">
              <w:rPr>
                <w:color w:val="0B0C0C"/>
                <w:sz w:val="24"/>
                <w:szCs w:val="24"/>
                <w:lang w:val="en"/>
              </w:rPr>
              <w:t>in managing her benefits</w:t>
            </w:r>
            <w:r w:rsidRPr="003D49BA">
              <w:rPr>
                <w:color w:val="0B0C0C"/>
                <w:sz w:val="24"/>
                <w:szCs w:val="24"/>
                <w:lang w:val="en"/>
              </w:rPr>
              <w:t>. This highlighted that 2 had been a carer for 3 all of her adult life. 2 was elderly and had spoken about the District Nurses visiting the property because of physical health issues. This prompted me to discuss assessing her needs as a carer, a duty under s24 of the SSWB</w:t>
            </w:r>
            <w:r>
              <w:rPr>
                <w:color w:val="0B0C0C"/>
                <w:sz w:val="24"/>
                <w:szCs w:val="24"/>
                <w:lang w:val="en"/>
              </w:rPr>
              <w:t>(W)A 2014. 2 declined this offer.</w:t>
            </w:r>
            <w:r w:rsidRPr="003D49BA">
              <w:rPr>
                <w:color w:val="0B0C0C"/>
                <w:sz w:val="24"/>
                <w:szCs w:val="24"/>
                <w:lang w:val="en"/>
              </w:rPr>
              <w:t xml:space="preserve"> I respected this decision under s25</w:t>
            </w:r>
            <w:r>
              <w:rPr>
                <w:color w:val="0B0C0C"/>
                <w:sz w:val="24"/>
                <w:szCs w:val="24"/>
                <w:lang w:val="en"/>
              </w:rPr>
              <w:t xml:space="preserve"> SSWB(W)A 2014</w:t>
            </w:r>
            <w:r w:rsidRPr="003D49BA">
              <w:rPr>
                <w:color w:val="0B0C0C"/>
                <w:sz w:val="24"/>
                <w:szCs w:val="24"/>
                <w:lang w:val="en"/>
              </w:rPr>
              <w:t xml:space="preserve"> because 2 clearly had capacity to make that choice. </w:t>
            </w:r>
          </w:p>
          <w:p w14:paraId="4D8C210D" w14:textId="77777777" w:rsidR="00DA735B" w:rsidRDefault="00DA735B" w:rsidP="00DA735B">
            <w:pPr>
              <w:rPr>
                <w:rFonts w:ascii="GDS Transport" w:hAnsi="GDS Transport"/>
                <w:color w:val="0B0C0C"/>
                <w:sz w:val="21"/>
                <w:szCs w:val="21"/>
                <w:lang w:val="en"/>
              </w:rPr>
            </w:pPr>
          </w:p>
          <w:p w14:paraId="13DCC8F7" w14:textId="77777777" w:rsidR="00DA735B" w:rsidRDefault="00DA735B" w:rsidP="00DA735B">
            <w:pPr>
              <w:rPr>
                <w:sz w:val="24"/>
                <w:szCs w:val="24"/>
              </w:rPr>
            </w:pPr>
            <w:r>
              <w:rPr>
                <w:sz w:val="24"/>
                <w:szCs w:val="24"/>
              </w:rPr>
              <w:t>2’s son had control of her bank card, the son gave 2 and 3 a certain amount of money each week. This did not correlate with the total income they had coming into the household, leaving 2 and 3 short of money each week. This raised concerns for me. I made further enquiries; 2 had given consent to the son to hold the bank card but disclosed that he ‘borrows’ money. She was protective of her son stating that it was her son, her money and she could do what she wanted. However, I was mindful that she had control of 3’s finances as 3’s appointee, therefore, she had been entrusted by the Department for Work and Pensions to ensure that 2 was managing 3’s benefits responsibly.</w:t>
            </w:r>
          </w:p>
          <w:p w14:paraId="18166C06" w14:textId="77777777" w:rsidR="00DA735B" w:rsidRDefault="00DA735B" w:rsidP="00DA735B">
            <w:pPr>
              <w:rPr>
                <w:sz w:val="24"/>
                <w:szCs w:val="24"/>
              </w:rPr>
            </w:pPr>
          </w:p>
          <w:p w14:paraId="2F3ACFD0" w14:textId="77777777" w:rsidR="00DA735B" w:rsidRDefault="00DA735B" w:rsidP="00DA735B">
            <w:pPr>
              <w:rPr>
                <w:sz w:val="24"/>
                <w:szCs w:val="24"/>
              </w:rPr>
            </w:pPr>
            <w:r>
              <w:rPr>
                <w:sz w:val="24"/>
                <w:szCs w:val="24"/>
              </w:rPr>
              <w:t xml:space="preserve">Thinking about Gibbs’ stages, I reflected on my feelings. I instinctively thought that the son was financially abusing his vulnerable mother and sister. I felt angry about the son and frustrated with 2’s naivety. I questioned, was 2 able to protect her daughter. Thinking about BASW Code of Ethics (2022), I knew that I needed to remain professional; working collaboratively with the family and also engage with the son, who I considered to be a risk factor in 2 and 3’s lives.  I felt confident that I could use my social work skills to support 2 and 3 to try to empower them to regain confidence in managing their own finances.  </w:t>
            </w:r>
          </w:p>
          <w:p w14:paraId="7E4329C9" w14:textId="77777777" w:rsidR="00DA735B" w:rsidRDefault="00DA735B" w:rsidP="00DA735B">
            <w:pPr>
              <w:rPr>
                <w:sz w:val="24"/>
                <w:szCs w:val="24"/>
              </w:rPr>
            </w:pPr>
          </w:p>
          <w:p w14:paraId="71A7124E" w14:textId="77777777" w:rsidR="00DA735B" w:rsidRDefault="00DA735B" w:rsidP="00DA735B">
            <w:pPr>
              <w:rPr>
                <w:sz w:val="24"/>
                <w:szCs w:val="24"/>
              </w:rPr>
            </w:pPr>
            <w:r>
              <w:rPr>
                <w:sz w:val="24"/>
                <w:szCs w:val="24"/>
              </w:rPr>
              <w:t xml:space="preserve">I did not want to openly accuse the son of financially abusing 2 and 3, which was difficult to do on a personal level. I reflected on the COPP, that I should “respect the rights of individuals while seeking to ensure that their behaviour does not harm themselves or other people”. 2 was not keen on people ‘interfering’ in her life. This made me consider Article 8 of the </w:t>
            </w:r>
            <w:r w:rsidRPr="00E27776">
              <w:rPr>
                <w:color w:val="000000" w:themeColor="text1"/>
                <w:sz w:val="24"/>
                <w:szCs w:val="24"/>
              </w:rPr>
              <w:t>ECHR</w:t>
            </w:r>
            <w:r>
              <w:rPr>
                <w:sz w:val="24"/>
                <w:szCs w:val="24"/>
              </w:rPr>
              <w:t xml:space="preserve">, the ‘Right to respect for private and family life’. This posed a dilemma for me; should I assert my authority within this family that appeared happy with their lifestyle. I considered the BASW Code of Ethics and COPP; I could support this family proportionately, respecting the rights of the family but also using my professional curiosity and judgement to try to make sense of their situation. </w:t>
            </w:r>
          </w:p>
          <w:p w14:paraId="31763824" w14:textId="77777777" w:rsidR="00DA735B" w:rsidRDefault="00DA735B" w:rsidP="00DA735B">
            <w:pPr>
              <w:rPr>
                <w:sz w:val="24"/>
                <w:szCs w:val="24"/>
              </w:rPr>
            </w:pPr>
          </w:p>
          <w:p w14:paraId="1F549605" w14:textId="77777777" w:rsidR="00DA735B" w:rsidRDefault="00DA735B" w:rsidP="00DA735B">
            <w:pPr>
              <w:rPr>
                <w:sz w:val="24"/>
                <w:szCs w:val="24"/>
              </w:rPr>
            </w:pPr>
            <w:r>
              <w:rPr>
                <w:sz w:val="24"/>
                <w:szCs w:val="24"/>
              </w:rPr>
              <w:t xml:space="preserve">I reflected on the theory of empowerment (Maclean, 2015). Being the social worker in this working relationship, there was immediately an imbalance of power between myself and 2. “With power comes responsibility” (Maclean, 2015 p.28). The aim of my involvement was to support 2 to regain power and control in her life. I could do this by empowering 2 to take control of her finances again, providing preventative support to ensure 2 could sustain her </w:t>
            </w:r>
            <w:r>
              <w:rPr>
                <w:sz w:val="24"/>
                <w:szCs w:val="24"/>
              </w:rPr>
              <w:lastRenderedPageBreak/>
              <w:t xml:space="preserve">tenancy. I needed to think about how the family interacted, making sure I used a person-centred approach, ensuring that 2 and 3 felt in control, fully participating with my involvement in their lives, “The social worker-client relationship is a crucial factor on the effectiveness of social work interventions” (Teater, 2020 p.7). Rogers (1961), cited in Trevithick (2012), state that the individual is the expert in their own life and that they have the potential for personal growth. My involvement had to be sensitively carried out because I learnt quickly that 2 was strong-willed, independent and protective of both of her adult children, one of which I suspected was financially abusing her and 3. </w:t>
            </w:r>
          </w:p>
          <w:p w14:paraId="0B0C0899" w14:textId="77777777" w:rsidR="00DA735B" w:rsidRDefault="00DA735B" w:rsidP="00DA735B">
            <w:pPr>
              <w:rPr>
                <w:sz w:val="24"/>
                <w:szCs w:val="24"/>
              </w:rPr>
            </w:pPr>
          </w:p>
          <w:p w14:paraId="67B293B2" w14:textId="77777777" w:rsidR="00DA735B" w:rsidRDefault="00DA735B" w:rsidP="00DA735B">
            <w:pPr>
              <w:rPr>
                <w:sz w:val="24"/>
                <w:szCs w:val="24"/>
              </w:rPr>
            </w:pPr>
            <w:r>
              <w:rPr>
                <w:sz w:val="24"/>
                <w:szCs w:val="24"/>
              </w:rPr>
              <w:t xml:space="preserve">To be able to work sensitively with 2, I considered social constructivism theory. “Individuals have their own reality and their own way of viewing the world” (Teater, 2020 p.76). I was able to build a rapport, working collaboratively with the family; learning about how they functioned, what their values and beliefs were, acknowledging the family as the experts in their lives. I ensured that I remained open and transparent, sharing my concerns around their finances. 3 was compliant to 2 but appeared content and enjoyed living in the family home. 2 and 3 were evidently co-dependent on each other. I was conscious that attachment theory (Teater, 2020) was relevant when working with 2 and 3. 2 had cared for 3 all of her life because she has learning disabilities which affect 3 in her day-to-day life. They had a strong, secure attachment with each other. 2 is ‘loving, responsive and sensitive to the child’s thoughts, feelings and needs’ (Teater, 2020 p.10). Although 3 has learning disabilities, she was able to form a good, trusting relationship with me. This gave me some satisfaction that 3 was genuinely happy living with her mum at home and was nurtured. I personally did not particularly like how they lived but they appeared to live comfortably and happily together. Social Constructivism supported me in understanding their lives and how they preferred to live. It is important to recognise that everybody has the right to live differently, as long as it does not harm anybody. </w:t>
            </w:r>
          </w:p>
          <w:p w14:paraId="48D903C2" w14:textId="77777777" w:rsidR="00DA735B" w:rsidRDefault="00DA735B" w:rsidP="00DA735B">
            <w:pPr>
              <w:rPr>
                <w:sz w:val="24"/>
                <w:szCs w:val="24"/>
              </w:rPr>
            </w:pPr>
          </w:p>
          <w:p w14:paraId="4871F920" w14:textId="77777777" w:rsidR="00DA735B" w:rsidRDefault="00DA735B" w:rsidP="00DA735B">
            <w:pPr>
              <w:rPr>
                <w:sz w:val="24"/>
                <w:szCs w:val="24"/>
              </w:rPr>
            </w:pPr>
            <w:r>
              <w:rPr>
                <w:sz w:val="24"/>
                <w:szCs w:val="24"/>
              </w:rPr>
              <w:t xml:space="preserve">To enhance my working relationship with 2 and 3, I was able to use a strengths-based approach (Hutchinson, 2013) identifying their strengths, living co-dependently. This approach made 2 feel good, she felt valued and listened to. Using Turnell’s (2014) Signs of Safety model I was able to work with 2 and 3, using their language and communication skills to support them in identifying what was ‘working well’, ‘what are we worried about’ and ‘what needs to change’. This model worked particularly well because 3 was able to get fully involved in the process by drawing pictures, communicating in a way that suited her needs. Everyone involved felt included which is central to the SSWB(W)A 2014, using a person-centred approach. We were able to identify their strengths as a family. This model also effectively highlighted that finances were a concern which 2 had not fully recognised until that point. </w:t>
            </w:r>
          </w:p>
          <w:p w14:paraId="576F1DAF" w14:textId="77777777" w:rsidR="00DA735B" w:rsidRDefault="00DA735B" w:rsidP="00DA735B">
            <w:pPr>
              <w:rPr>
                <w:sz w:val="24"/>
                <w:szCs w:val="24"/>
              </w:rPr>
            </w:pPr>
          </w:p>
          <w:p w14:paraId="5CD2B357" w14:textId="77777777" w:rsidR="00DA735B" w:rsidRDefault="00DA735B" w:rsidP="00DA735B">
            <w:pPr>
              <w:rPr>
                <w:color w:val="000000" w:themeColor="text1"/>
                <w:sz w:val="24"/>
                <w:szCs w:val="24"/>
                <w:lang w:val="en"/>
              </w:rPr>
            </w:pPr>
            <w:r>
              <w:rPr>
                <w:sz w:val="24"/>
                <w:szCs w:val="24"/>
              </w:rPr>
              <w:t xml:space="preserve">In time, 2 allowed me to view a recent bank statement. I witnessed that direct debits were not being paid and that large sums of money were being withdrawn, leaving 2 and 3 with no money to pay rent or bills. I was right to go with my initial instinct that something was not right with their finances. I was concerned that if this continued, 2 and 3 could be evicted from their home. This could potentially be viewed as ‘intentionally homeless’, meaning that the LA would have no duty to support them under </w:t>
            </w:r>
            <w:r w:rsidRPr="007B4464">
              <w:rPr>
                <w:color w:val="000000" w:themeColor="text1"/>
                <w:sz w:val="24"/>
                <w:szCs w:val="24"/>
              </w:rPr>
              <w:t>s</w:t>
            </w:r>
            <w:r>
              <w:rPr>
                <w:color w:val="000000" w:themeColor="text1"/>
                <w:sz w:val="24"/>
                <w:szCs w:val="24"/>
              </w:rPr>
              <w:t>77 (2) (HWA 2014) because it would be deemed initially as a</w:t>
            </w:r>
            <w:r w:rsidRPr="007B4464">
              <w:rPr>
                <w:color w:val="000000" w:themeColor="text1"/>
                <w:sz w:val="24"/>
                <w:szCs w:val="24"/>
                <w:lang w:val="en"/>
              </w:rPr>
              <w:t xml:space="preserve"> </w:t>
            </w:r>
            <w:r>
              <w:rPr>
                <w:color w:val="000000" w:themeColor="text1"/>
                <w:sz w:val="24"/>
                <w:szCs w:val="24"/>
                <w:lang w:val="en"/>
              </w:rPr>
              <w:t>‘</w:t>
            </w:r>
            <w:r w:rsidRPr="007B4464">
              <w:rPr>
                <w:color w:val="000000" w:themeColor="text1"/>
                <w:sz w:val="24"/>
                <w:szCs w:val="24"/>
                <w:lang w:val="en"/>
              </w:rPr>
              <w:t>deliberate act</w:t>
            </w:r>
            <w:r>
              <w:rPr>
                <w:color w:val="000000" w:themeColor="text1"/>
                <w:sz w:val="24"/>
                <w:szCs w:val="24"/>
                <w:lang w:val="en"/>
              </w:rPr>
              <w:t>’</w:t>
            </w:r>
            <w:r w:rsidRPr="007B4464">
              <w:rPr>
                <w:color w:val="000000" w:themeColor="text1"/>
                <w:sz w:val="24"/>
                <w:szCs w:val="24"/>
                <w:lang w:val="en"/>
              </w:rPr>
              <w:t xml:space="preserve"> </w:t>
            </w:r>
            <w:r>
              <w:rPr>
                <w:color w:val="000000" w:themeColor="text1"/>
                <w:sz w:val="24"/>
                <w:szCs w:val="24"/>
                <w:lang w:val="en"/>
              </w:rPr>
              <w:t xml:space="preserve">because they had not paid their rent. However, if there </w:t>
            </w:r>
            <w:r>
              <w:rPr>
                <w:color w:val="000000" w:themeColor="text1"/>
                <w:sz w:val="24"/>
                <w:szCs w:val="24"/>
                <w:lang w:val="en"/>
              </w:rPr>
              <w:lastRenderedPageBreak/>
              <w:t xml:space="preserve">was evidence to suggest that 2 and 3 had been financially exploited, I would be able to advocate on behalf of the family to the housing team that it was unintentional. This unintentionality could be identified in the XXX Regional Safeguarding Board threshold guidance because money had been spent unknowingly by “a person in a position of trust”.  </w:t>
            </w:r>
          </w:p>
          <w:tbl>
            <w:tblPr>
              <w:tblW w:w="0" w:type="auto"/>
              <w:tblBorders>
                <w:top w:val="nil"/>
                <w:left w:val="nil"/>
                <w:bottom w:val="nil"/>
                <w:right w:val="nil"/>
              </w:tblBorders>
              <w:tblLook w:val="0000" w:firstRow="0" w:lastRow="0" w:firstColumn="0" w:lastColumn="0" w:noHBand="0" w:noVBand="0"/>
            </w:tblPr>
            <w:tblGrid>
              <w:gridCol w:w="9815"/>
            </w:tblGrid>
            <w:tr w:rsidR="00DA735B" w:rsidRPr="005B370C" w14:paraId="49EC30A5" w14:textId="77777777" w:rsidTr="000E060F">
              <w:trPr>
                <w:trHeight w:val="362"/>
              </w:trPr>
              <w:tc>
                <w:tcPr>
                  <w:tcW w:w="15542" w:type="dxa"/>
                </w:tcPr>
                <w:p w14:paraId="1A36F89C" w14:textId="77777777" w:rsidR="00DA735B" w:rsidRPr="005B370C" w:rsidRDefault="00DA735B" w:rsidP="00DA735B">
                  <w:pPr>
                    <w:overflowPunct/>
                    <w:textAlignment w:val="auto"/>
                    <w:rPr>
                      <w:rFonts w:eastAsiaTheme="minorHAnsi"/>
                      <w:lang w:eastAsia="en-US"/>
                    </w:rPr>
                  </w:pPr>
                </w:p>
              </w:tc>
            </w:tr>
          </w:tbl>
          <w:p w14:paraId="0512F7B9" w14:textId="77777777" w:rsidR="00DA735B" w:rsidRDefault="00DA735B" w:rsidP="00DA735B">
            <w:pPr>
              <w:rPr>
                <w:color w:val="000000" w:themeColor="text1"/>
                <w:sz w:val="24"/>
                <w:szCs w:val="24"/>
                <w:lang w:val="en"/>
              </w:rPr>
            </w:pPr>
          </w:p>
          <w:p w14:paraId="43B61626" w14:textId="77777777" w:rsidR="00DA735B" w:rsidRDefault="00DA735B" w:rsidP="00DA735B">
            <w:pPr>
              <w:rPr>
                <w:color w:val="000000" w:themeColor="text1"/>
                <w:sz w:val="24"/>
                <w:szCs w:val="24"/>
                <w:lang w:val="en"/>
              </w:rPr>
            </w:pPr>
            <w:r>
              <w:rPr>
                <w:color w:val="000000" w:themeColor="text1"/>
                <w:sz w:val="24"/>
                <w:szCs w:val="24"/>
                <w:lang w:val="en"/>
              </w:rPr>
              <w:t>Having read the bank statement and knowing the son kept the bank card on him at all times and witnessing how 2 and 3 were living with little money each week</w:t>
            </w:r>
            <w:r w:rsidRPr="0040388D">
              <w:rPr>
                <w:color w:val="000000" w:themeColor="text1"/>
                <w:sz w:val="24"/>
                <w:szCs w:val="24"/>
                <w:lang w:val="en"/>
              </w:rPr>
              <w:t xml:space="preserve">, </w:t>
            </w:r>
            <w:r>
              <w:rPr>
                <w:color w:val="000000" w:themeColor="text1"/>
                <w:sz w:val="24"/>
                <w:szCs w:val="24"/>
                <w:lang w:val="en"/>
              </w:rPr>
              <w:t>I had ‘reasonable cause’ to suspect</w:t>
            </w:r>
            <w:r w:rsidRPr="0040388D">
              <w:rPr>
                <w:color w:val="000000" w:themeColor="text1"/>
                <w:sz w:val="24"/>
                <w:szCs w:val="24"/>
                <w:lang w:val="en"/>
              </w:rPr>
              <w:t xml:space="preserve"> that the son was financially abusing them.</w:t>
            </w:r>
            <w:r>
              <w:rPr>
                <w:color w:val="000000" w:themeColor="text1"/>
                <w:sz w:val="24"/>
                <w:szCs w:val="24"/>
                <w:lang w:val="en"/>
              </w:rPr>
              <w:t xml:space="preserve"> With this information,</w:t>
            </w:r>
            <w:r w:rsidRPr="0040388D">
              <w:rPr>
                <w:color w:val="000000" w:themeColor="text1"/>
                <w:sz w:val="24"/>
                <w:szCs w:val="24"/>
                <w:lang w:val="en"/>
              </w:rPr>
              <w:t xml:space="preserve"> I had</w:t>
            </w:r>
            <w:r>
              <w:rPr>
                <w:color w:val="000000" w:themeColor="text1"/>
                <w:sz w:val="24"/>
                <w:szCs w:val="24"/>
                <w:lang w:val="en"/>
              </w:rPr>
              <w:t xml:space="preserve"> a duty to make further enquiries under s126 (2) SSWB(W)A 2014. I was able to check the XXX Regional Safeguarding Board threshold guidance on financial abuse. </w:t>
            </w:r>
            <w:r>
              <w:rPr>
                <w:sz w:val="24"/>
                <w:szCs w:val="24"/>
              </w:rPr>
              <w:t xml:space="preserve">I found this useful because I was able to clearly identify what types of financial abuse meet safeguarding threshold. </w:t>
            </w:r>
            <w:r>
              <w:rPr>
                <w:color w:val="000000" w:themeColor="text1"/>
                <w:sz w:val="24"/>
                <w:szCs w:val="24"/>
                <w:lang w:val="en"/>
              </w:rPr>
              <w:t xml:space="preserve">This determined that I should submit a Multi-Agency Referral Form to the local authority adult safeguarding team.  </w:t>
            </w:r>
          </w:p>
          <w:p w14:paraId="3B7C9482" w14:textId="77777777" w:rsidR="00DA735B" w:rsidRDefault="00DA735B" w:rsidP="00DA735B">
            <w:pPr>
              <w:rPr>
                <w:color w:val="000000" w:themeColor="text1"/>
                <w:sz w:val="24"/>
                <w:szCs w:val="24"/>
                <w:lang w:val="en"/>
              </w:rPr>
            </w:pPr>
          </w:p>
          <w:p w14:paraId="355A1DDD" w14:textId="77777777" w:rsidR="00DA735B" w:rsidRDefault="00DA735B" w:rsidP="00DA735B">
            <w:pPr>
              <w:rPr>
                <w:color w:val="000000" w:themeColor="text1"/>
                <w:sz w:val="24"/>
                <w:szCs w:val="24"/>
                <w:lang w:val="en"/>
              </w:rPr>
            </w:pPr>
            <w:r>
              <w:rPr>
                <w:color w:val="000000" w:themeColor="text1"/>
                <w:sz w:val="24"/>
                <w:szCs w:val="24"/>
                <w:lang w:val="en"/>
              </w:rPr>
              <w:t>I was nervous about raising my concerns with 2, explaining that I thought her son might be financially abusing them. I had built a good relationship with her. I knew that this would probably negatively impact on our working relationship because she was fiercely loyal to her children. Working in a non-statutory team, 2 could have told me to leave and refuse support. Although, I could still have shared my concerns with the safeguarding team without her consent because I had concerns that could have had implications on their tenancy due to rent arrears. 2 was not responsibly looking after 3’s money. I was pleased that when I initially raised my concerns with 2 she listened and agreed to consent to a MARF being submitted raising concerns about her son.</w:t>
            </w:r>
          </w:p>
          <w:p w14:paraId="5D386A92" w14:textId="77777777" w:rsidR="00DA735B" w:rsidRDefault="00DA735B" w:rsidP="00DA735B">
            <w:pPr>
              <w:rPr>
                <w:color w:val="000000" w:themeColor="text1"/>
                <w:sz w:val="24"/>
                <w:szCs w:val="24"/>
                <w:lang w:val="en"/>
              </w:rPr>
            </w:pPr>
          </w:p>
          <w:p w14:paraId="585D4139" w14:textId="77777777" w:rsidR="00DA735B" w:rsidRDefault="00DA735B" w:rsidP="00DA735B">
            <w:pPr>
              <w:rPr>
                <w:color w:val="000000" w:themeColor="text1"/>
                <w:sz w:val="24"/>
                <w:szCs w:val="24"/>
                <w:lang w:val="en"/>
              </w:rPr>
            </w:pPr>
            <w:r>
              <w:rPr>
                <w:color w:val="000000" w:themeColor="text1"/>
                <w:sz w:val="24"/>
                <w:szCs w:val="24"/>
                <w:lang w:val="en"/>
              </w:rPr>
              <w:t xml:space="preserve">2 had capacity, therefore, I was advised by the safeguarding team to phone the police as it was a criminal matter. 2 shared no concerns to the police about her son or her finances. I was frustrated because it was evident that the son was financially exploiting the family. This raised further concerns for me; 2 allowed the son to continue using the bank card, leaving 2 and 3 short of money. Therefore, 2 was not safeguarding 3 as her appointee. I felt angry and disappointed about 2’s ignorance and disregard for her daughter’s safety and wellbeing with regards to financial security and their home being at risk. 2 had capacity and is able to make her own decisions, whereas, 3 was vulnerable and relied on 2 to make decisions in her best interests around her finances. I revisited the XXX Regional Safeguarding Board threshold guidance. It was evident that 2 was not safeguarding 3. </w:t>
            </w:r>
          </w:p>
          <w:p w14:paraId="0C9C0DEA" w14:textId="77777777" w:rsidR="00DA735B" w:rsidRDefault="00DA735B" w:rsidP="00DA735B">
            <w:pPr>
              <w:rPr>
                <w:color w:val="000000" w:themeColor="text1"/>
                <w:sz w:val="24"/>
                <w:szCs w:val="24"/>
                <w:lang w:val="en"/>
              </w:rPr>
            </w:pPr>
          </w:p>
          <w:p w14:paraId="59CE7431" w14:textId="77777777" w:rsidR="00DA735B" w:rsidRDefault="00DA735B" w:rsidP="00DA735B">
            <w:pPr>
              <w:rPr>
                <w:color w:val="000000" w:themeColor="text1"/>
                <w:sz w:val="24"/>
                <w:szCs w:val="24"/>
                <w:lang w:val="en"/>
              </w:rPr>
            </w:pPr>
            <w:r>
              <w:rPr>
                <w:color w:val="000000" w:themeColor="text1"/>
                <w:sz w:val="24"/>
                <w:szCs w:val="24"/>
                <w:lang w:val="en"/>
              </w:rPr>
              <w:t xml:space="preserve">I was worried for 3, I felt helpless and frustrated that 2 was not acknowledging that her son was financially abusing her and 3. I felt in a difficult position because 2 was allocated to me. The </w:t>
            </w:r>
            <w:r w:rsidRPr="00EF4E81">
              <w:rPr>
                <w:color w:val="000000" w:themeColor="text1"/>
                <w:sz w:val="24"/>
                <w:szCs w:val="24"/>
              </w:rPr>
              <w:t>Working Together to Safeguard People: Volume 6</w:t>
            </w:r>
            <w:r>
              <w:rPr>
                <w:color w:val="000000" w:themeColor="text1"/>
                <w:sz w:val="24"/>
                <w:szCs w:val="24"/>
              </w:rPr>
              <w:t xml:space="preserve"> (p.18)</w:t>
            </w:r>
            <w:r w:rsidRPr="00EF4E81">
              <w:rPr>
                <w:color w:val="000000" w:themeColor="text1"/>
                <w:sz w:val="24"/>
                <w:szCs w:val="24"/>
                <w:lang w:val="en"/>
              </w:rPr>
              <w:t xml:space="preserve"> </w:t>
            </w:r>
            <w:r>
              <w:rPr>
                <w:color w:val="000000" w:themeColor="text1"/>
                <w:sz w:val="24"/>
                <w:szCs w:val="24"/>
                <w:lang w:val="en"/>
              </w:rPr>
              <w:t>supported me in the ‘</w:t>
            </w:r>
            <w:r>
              <w:rPr>
                <w:bCs/>
                <w:sz w:val="24"/>
                <w:szCs w:val="24"/>
              </w:rPr>
              <w:t>process for handling the case of an adult suspected to be at risk’.</w:t>
            </w:r>
            <w:r>
              <w:rPr>
                <w:color w:val="000000" w:themeColor="text1"/>
                <w:sz w:val="24"/>
                <w:szCs w:val="24"/>
                <w:lang w:val="en"/>
              </w:rPr>
              <w:t xml:space="preserve"> This had become a complex case and I looked for support raising my concerns with my senior and the safeguarding team. I followed the WTSP guidance and submitted a MARF. I ensured that I contacted 2 to continue to be open and transparent with her. I did not make 2 aware of my personal values, remaining professional at all times, acting with integrity, respecting her rights and views.    </w:t>
            </w:r>
          </w:p>
          <w:p w14:paraId="604C5FC1" w14:textId="77777777" w:rsidR="00DA735B" w:rsidRDefault="00DA735B" w:rsidP="00DA735B">
            <w:pPr>
              <w:rPr>
                <w:color w:val="000000" w:themeColor="text1"/>
                <w:sz w:val="24"/>
                <w:szCs w:val="24"/>
                <w:lang w:val="en"/>
              </w:rPr>
            </w:pPr>
          </w:p>
          <w:p w14:paraId="6D0254CA" w14:textId="77777777" w:rsidR="00DA735B" w:rsidRDefault="00DA735B" w:rsidP="00DA735B">
            <w:pPr>
              <w:rPr>
                <w:color w:val="000000" w:themeColor="text1"/>
                <w:sz w:val="24"/>
                <w:szCs w:val="24"/>
                <w:lang w:val="en"/>
              </w:rPr>
            </w:pPr>
            <w:r>
              <w:rPr>
                <w:color w:val="000000" w:themeColor="text1"/>
                <w:sz w:val="24"/>
                <w:szCs w:val="24"/>
                <w:lang w:val="en"/>
              </w:rPr>
              <w:lastRenderedPageBreak/>
              <w:t>Following the MARF, I held a Multi-Disciplinary Team meeting. I was nervous about this because I had never arranged a meeting regarding a safeguarding issue before. My senior and safeguarding team were supportive. I was able to liaise with the safeguarding social worker and look at the key issues to address.</w:t>
            </w:r>
          </w:p>
          <w:p w14:paraId="0D7BB5E2" w14:textId="77777777" w:rsidR="00DA735B" w:rsidRDefault="00DA735B" w:rsidP="00DA735B">
            <w:pPr>
              <w:rPr>
                <w:color w:val="000000" w:themeColor="text1"/>
                <w:sz w:val="24"/>
                <w:szCs w:val="24"/>
                <w:lang w:val="en"/>
              </w:rPr>
            </w:pPr>
          </w:p>
          <w:p w14:paraId="5DFD532D" w14:textId="77777777" w:rsidR="00DA735B" w:rsidRDefault="00DA735B" w:rsidP="00DA735B">
            <w:pPr>
              <w:rPr>
                <w:color w:val="000000" w:themeColor="text1"/>
                <w:sz w:val="24"/>
                <w:szCs w:val="24"/>
                <w:lang w:val="en"/>
              </w:rPr>
            </w:pPr>
            <w:r>
              <w:rPr>
                <w:color w:val="000000" w:themeColor="text1"/>
                <w:sz w:val="24"/>
                <w:szCs w:val="24"/>
                <w:lang w:val="en"/>
              </w:rPr>
              <w:t>The MDT involved me, my senior, safeguarding social worker, police and 3’s day centre manager. I also felt it was important to include an experienced Practioner specialising in learning disabilities. I have limited knowledge of learning disabilities and felt that it was essential to consider 3’s needs. The learning disabilities practitioner spoke about the co-dependency that 2 and 3 had with each other and that it could be detrimental for 3 to open up her own bank account because they function together so intrinsically. This initially confused me but when I thought about 2 and 3’s relationship, it gave me a better understanding of how they functioned as a family and how intertwined their lives were reflecting back to social constructivism theory.</w:t>
            </w:r>
          </w:p>
          <w:p w14:paraId="5A6CC867" w14:textId="77777777" w:rsidR="00DA735B" w:rsidRDefault="00DA735B" w:rsidP="00DA735B">
            <w:pPr>
              <w:rPr>
                <w:color w:val="000000" w:themeColor="text1"/>
                <w:sz w:val="24"/>
                <w:szCs w:val="24"/>
                <w:lang w:val="en"/>
              </w:rPr>
            </w:pPr>
          </w:p>
          <w:p w14:paraId="1A50F634" w14:textId="77777777" w:rsidR="00DA735B" w:rsidRPr="009811E4" w:rsidRDefault="00DA735B" w:rsidP="00DA735B">
            <w:pPr>
              <w:rPr>
                <w:color w:val="000000" w:themeColor="text1"/>
                <w:sz w:val="24"/>
                <w:szCs w:val="24"/>
                <w:lang w:val="en"/>
              </w:rPr>
            </w:pPr>
            <w:r>
              <w:rPr>
                <w:color w:val="000000" w:themeColor="text1"/>
                <w:sz w:val="24"/>
                <w:szCs w:val="24"/>
                <w:lang w:val="en"/>
              </w:rPr>
              <w:t>It was imperative to me to</w:t>
            </w:r>
            <w:r w:rsidRPr="009811E4">
              <w:rPr>
                <w:color w:val="000000" w:themeColor="text1"/>
                <w:sz w:val="24"/>
                <w:szCs w:val="24"/>
                <w:lang w:val="en"/>
              </w:rPr>
              <w:t xml:space="preserve"> understand 3’s understa</w:t>
            </w:r>
            <w:r>
              <w:rPr>
                <w:color w:val="000000" w:themeColor="text1"/>
                <w:sz w:val="24"/>
                <w:szCs w:val="24"/>
                <w:lang w:val="en"/>
              </w:rPr>
              <w:t>nding of her finances. The XXX Regional Safeguarding B</w:t>
            </w:r>
            <w:r w:rsidRPr="009811E4">
              <w:rPr>
                <w:color w:val="000000" w:themeColor="text1"/>
                <w:sz w:val="24"/>
                <w:szCs w:val="24"/>
                <w:lang w:val="en"/>
              </w:rPr>
              <w:t>oard states, ‘</w:t>
            </w:r>
            <w:r w:rsidRPr="009811E4">
              <w:rPr>
                <w:color w:val="000000" w:themeColor="text1"/>
                <w:sz w:val="24"/>
                <w:szCs w:val="24"/>
              </w:rPr>
              <w:t xml:space="preserve">Where a safeguarding enquiry identifies capacity issues, an assessment of capacity must be undertaken by an appropriate and competent person’. </w:t>
            </w:r>
            <w:r w:rsidRPr="009811E4">
              <w:rPr>
                <w:color w:val="000000" w:themeColor="text1"/>
                <w:sz w:val="24"/>
                <w:szCs w:val="24"/>
                <w:lang w:val="en"/>
              </w:rPr>
              <w:t xml:space="preserve">It was agreed during the MDT that I should complete a Mental Capacity Act </w:t>
            </w:r>
            <w:r>
              <w:rPr>
                <w:color w:val="000000" w:themeColor="text1"/>
                <w:sz w:val="24"/>
                <w:szCs w:val="24"/>
                <w:lang w:val="en"/>
              </w:rPr>
              <w:t xml:space="preserve">2005 </w:t>
            </w:r>
            <w:r w:rsidRPr="009811E4">
              <w:rPr>
                <w:color w:val="000000" w:themeColor="text1"/>
                <w:sz w:val="24"/>
                <w:szCs w:val="24"/>
                <w:lang w:val="en"/>
              </w:rPr>
              <w:t>Assessment</w:t>
            </w:r>
            <w:r>
              <w:rPr>
                <w:color w:val="000000" w:themeColor="text1"/>
                <w:sz w:val="24"/>
                <w:szCs w:val="24"/>
                <w:lang w:val="en"/>
              </w:rPr>
              <w:t xml:space="preserve"> with 3</w:t>
            </w:r>
            <w:r w:rsidRPr="009811E4">
              <w:rPr>
                <w:color w:val="000000" w:themeColor="text1"/>
                <w:sz w:val="24"/>
                <w:szCs w:val="24"/>
                <w:lang w:val="en"/>
              </w:rPr>
              <w:t xml:space="preserve">. </w:t>
            </w:r>
          </w:p>
          <w:p w14:paraId="2F01FA1D" w14:textId="77777777" w:rsidR="00DA735B" w:rsidRDefault="00DA735B" w:rsidP="00DA735B">
            <w:pPr>
              <w:rPr>
                <w:color w:val="000000" w:themeColor="text1"/>
                <w:sz w:val="24"/>
                <w:szCs w:val="24"/>
                <w:lang w:val="en"/>
              </w:rPr>
            </w:pPr>
          </w:p>
          <w:p w14:paraId="79E5007A" w14:textId="77777777" w:rsidR="00DA735B" w:rsidRDefault="00DA735B" w:rsidP="00DA735B">
            <w:pPr>
              <w:rPr>
                <w:color w:val="000000" w:themeColor="text1"/>
                <w:sz w:val="24"/>
                <w:szCs w:val="24"/>
                <w:lang w:val="en"/>
              </w:rPr>
            </w:pPr>
            <w:r>
              <w:rPr>
                <w:color w:val="000000" w:themeColor="text1"/>
                <w:sz w:val="24"/>
                <w:szCs w:val="24"/>
                <w:lang w:val="en"/>
              </w:rPr>
              <w:t xml:space="preserve">The first principle of the MCA 2005 is that everyone should be presumed to have capacity. It was imperative that I did not pass judgement on this knowledge of 3’s learning disability and that it was proportionate to complete a MCA Assessment with 3. The MCA states that assessing capacity must be decision specific. Assessing capacity is not all encompassing over an individual’s life. It is important to note that when a MCA is completed, it is not necessarily a decision for the individual’s lifetime. Capacity can fluctuate, therefore, assessment outcomes can be temporary or permanent, depending on the factors of the individual. The specific area I was assessing 3 for was around her ability to understand finances. The outcome of the assessment would potentially determine how much input social services may or may not continue to have with the family. </w:t>
            </w:r>
          </w:p>
          <w:p w14:paraId="61502F45" w14:textId="77777777" w:rsidR="00DA735B" w:rsidRDefault="00DA735B" w:rsidP="00DA735B">
            <w:pPr>
              <w:rPr>
                <w:color w:val="000000" w:themeColor="text1"/>
                <w:sz w:val="24"/>
                <w:szCs w:val="24"/>
                <w:lang w:val="en"/>
              </w:rPr>
            </w:pPr>
          </w:p>
          <w:p w14:paraId="5C325A15" w14:textId="77777777" w:rsidR="00DA735B" w:rsidRDefault="00DA735B" w:rsidP="00DA735B">
            <w:pPr>
              <w:rPr>
                <w:color w:val="000000" w:themeColor="text1"/>
                <w:sz w:val="24"/>
                <w:szCs w:val="24"/>
                <w:lang w:val="en"/>
              </w:rPr>
            </w:pPr>
            <w:r>
              <w:rPr>
                <w:color w:val="000000" w:themeColor="text1"/>
                <w:sz w:val="24"/>
                <w:szCs w:val="24"/>
                <w:lang w:val="en"/>
              </w:rPr>
              <w:t xml:space="preserve">The National Independent Safeguarding Board Wales, Practioner Guide (Welsh Government, 2016 p.6) supported me in conducting the MCA and what I needed to consider when completing the assessment. I felt a great sense of responsibility because if the assessment outcome was that 3 did not have capacity, her liberty to manage her finances would be taken away by me. This made me nervous, I had never completed a MCA for finances before. I asked my senior for advice in how to conduct a meaningful, robust assessment. I also asked her to attend the assessment to observe and support me. </w:t>
            </w:r>
          </w:p>
          <w:p w14:paraId="12B6C6AD" w14:textId="77777777" w:rsidR="00DA735B" w:rsidRDefault="00DA735B" w:rsidP="00DA735B">
            <w:pPr>
              <w:rPr>
                <w:color w:val="000000" w:themeColor="text1"/>
                <w:sz w:val="24"/>
                <w:szCs w:val="24"/>
                <w:lang w:val="en"/>
              </w:rPr>
            </w:pPr>
          </w:p>
          <w:p w14:paraId="08F095AC" w14:textId="77777777" w:rsidR="00DA735B" w:rsidRDefault="00DA735B" w:rsidP="00DA735B">
            <w:pPr>
              <w:rPr>
                <w:color w:val="000000" w:themeColor="text1"/>
                <w:sz w:val="24"/>
                <w:szCs w:val="24"/>
                <w:lang w:val="en"/>
              </w:rPr>
            </w:pPr>
            <w:r>
              <w:rPr>
                <w:color w:val="000000" w:themeColor="text1"/>
                <w:sz w:val="24"/>
                <w:szCs w:val="24"/>
                <w:lang w:val="en"/>
              </w:rPr>
              <w:t xml:space="preserve">A MCA assessment is completed in 2 stages. Stage 1; the diagnostic test; 2 was 3’s appointee for her benefits, 3 was diagnosed with life-long learning disabilities, defined as a ‘disturbance of the mind or brain’. This concluded that I would move to stage 2; the functional test; I would determine whether or not 3 could make her own decisions consisting of four elements; the ability to understand; to retain the information; to weigh up the information and the ability to communicate her decision. The MCA 2005 states that </w:t>
            </w:r>
            <w:r>
              <w:rPr>
                <w:color w:val="000000" w:themeColor="text1"/>
                <w:sz w:val="24"/>
                <w:szCs w:val="24"/>
                <w:lang w:val="en"/>
              </w:rPr>
              <w:lastRenderedPageBreak/>
              <w:t xml:space="preserve">individuals should be given every opportunity to be supported through this process. For example, I ensured that 3 was in a space where she felt comfortable; I ensured that her key worker was present to support 3 during the assessment. I brought coins, notes, pen and paper to physically show 3 what I was talking about to help her understand, supporting her to retain information. I made sure that I spoke in a language that she understood, otherwise it would be unfair and not in line with the MCA 2005, SSWB(W)A 2014 or the COPP. </w:t>
            </w:r>
          </w:p>
          <w:p w14:paraId="10AA8B27" w14:textId="77777777" w:rsidR="00DA735B" w:rsidRDefault="00DA735B" w:rsidP="00DA735B">
            <w:pPr>
              <w:rPr>
                <w:color w:val="000000" w:themeColor="text1"/>
                <w:sz w:val="24"/>
                <w:szCs w:val="24"/>
                <w:lang w:val="en"/>
              </w:rPr>
            </w:pPr>
          </w:p>
          <w:p w14:paraId="79A91C53" w14:textId="77777777" w:rsidR="00DA735B" w:rsidRDefault="00DA735B" w:rsidP="00DA735B">
            <w:pPr>
              <w:rPr>
                <w:color w:val="000000" w:themeColor="text1"/>
                <w:sz w:val="24"/>
                <w:szCs w:val="24"/>
                <w:lang w:val="en"/>
              </w:rPr>
            </w:pPr>
            <w:r>
              <w:rPr>
                <w:color w:val="000000" w:themeColor="text1"/>
                <w:sz w:val="24"/>
                <w:szCs w:val="24"/>
                <w:lang w:val="en"/>
              </w:rPr>
              <w:t xml:space="preserve">The outcome was that 3 did not have capacity for finances. It was imperative that I fed this back to the safeguarding social worker because 3’s finances were being misused by her mother and brother. She was a vulnerable adult at risk, as stated in s126 of the SSWB(W)A 2014. Under the XXX Regional Safeguarding Board, 3 met the threshold of ‘likelihood of significant harm’ and that I should follow the safeguarding process. Given the outcome of the MCA assessment, I advised that 3 would need to be allocated her own social worker due to a conflict of interest in that I was allocated to 2. 3 was allocated to a social worker specialising in learning disabilities. Due to my intense involvement with the family I was able to complete a robust assessment and analysis that I was able to share with 3’s social worker. This enabled her to have a good insight into the case. We worked collaboratively addressing the safeguarding issues ensuring that 3’s finances were protected and used appropriately by way of the LA applying to the court of protection for deputyship (gov.uk, 2022), where the LA would legally be allowed to make financial decisions on 3’s behalf.  </w:t>
            </w:r>
          </w:p>
          <w:p w14:paraId="67B08F17" w14:textId="77777777" w:rsidR="00DA735B" w:rsidRDefault="00DA735B" w:rsidP="00DA735B">
            <w:pPr>
              <w:rPr>
                <w:color w:val="000000" w:themeColor="text1"/>
                <w:sz w:val="24"/>
                <w:szCs w:val="24"/>
                <w:lang w:val="en"/>
              </w:rPr>
            </w:pPr>
          </w:p>
          <w:p w14:paraId="7B6E57C5" w14:textId="77777777" w:rsidR="00DA735B" w:rsidRDefault="00DA735B" w:rsidP="00DA735B">
            <w:pPr>
              <w:rPr>
                <w:color w:val="000000" w:themeColor="text1"/>
                <w:sz w:val="24"/>
                <w:szCs w:val="24"/>
                <w:lang w:val="en"/>
              </w:rPr>
            </w:pPr>
            <w:r>
              <w:rPr>
                <w:color w:val="000000" w:themeColor="text1"/>
                <w:sz w:val="24"/>
                <w:szCs w:val="24"/>
                <w:lang w:val="en"/>
              </w:rPr>
              <w:t xml:space="preserve">However, if 3 had been deemed to have capacity and she consented to 2 and her brother having control over her money, the safeguarding process would have ceased. If 3 did not consent, it would have become a criminal matter for the police to investigate. </w:t>
            </w:r>
          </w:p>
          <w:p w14:paraId="532A086B" w14:textId="77777777" w:rsidR="00DA735B" w:rsidRDefault="00DA735B" w:rsidP="00DA735B">
            <w:pPr>
              <w:rPr>
                <w:color w:val="000000" w:themeColor="text1"/>
                <w:sz w:val="24"/>
                <w:szCs w:val="24"/>
                <w:lang w:val="en"/>
              </w:rPr>
            </w:pPr>
          </w:p>
          <w:p w14:paraId="0E91C16C" w14:textId="77777777" w:rsidR="00DA735B" w:rsidRDefault="00DA735B" w:rsidP="00DA735B">
            <w:pPr>
              <w:rPr>
                <w:color w:val="000000" w:themeColor="text1"/>
                <w:sz w:val="24"/>
                <w:szCs w:val="24"/>
                <w:lang w:val="en"/>
              </w:rPr>
            </w:pPr>
            <w:r>
              <w:rPr>
                <w:color w:val="000000" w:themeColor="text1"/>
                <w:sz w:val="24"/>
                <w:szCs w:val="24"/>
                <w:lang w:val="en"/>
              </w:rPr>
              <w:t xml:space="preserve">When considering Gibbs’ reflective model, this case stretched me in terms of understanding the law and practically applying it. What appeared to be a simple case of addressing utility arrears became complex with different facets to consider, whilst learning how to deal with the delicacy of working with a close-knit family. Each individual had their own needs and vulnerabilities that I needed to consider. The case highlighted how important it is to think about theory in practice, when thinking about how individuals function and how they interact within relationships and in the wider community. </w:t>
            </w:r>
          </w:p>
          <w:p w14:paraId="08B609D4" w14:textId="77777777" w:rsidR="00DA735B" w:rsidRDefault="00DA735B" w:rsidP="00DA735B">
            <w:pPr>
              <w:rPr>
                <w:color w:val="000000" w:themeColor="text1"/>
                <w:sz w:val="24"/>
                <w:szCs w:val="24"/>
                <w:lang w:val="en"/>
              </w:rPr>
            </w:pPr>
          </w:p>
          <w:p w14:paraId="4AA3C954" w14:textId="77777777" w:rsidR="00DA735B" w:rsidRDefault="00DA735B" w:rsidP="00DA735B">
            <w:pPr>
              <w:rPr>
                <w:iCs/>
                <w:sz w:val="24"/>
                <w:szCs w:val="24"/>
              </w:rPr>
            </w:pPr>
            <w:r>
              <w:rPr>
                <w:color w:val="000000" w:themeColor="text1"/>
                <w:sz w:val="24"/>
                <w:szCs w:val="24"/>
                <w:lang w:val="en"/>
              </w:rPr>
              <w:t xml:space="preserve">This case stretched my personal and professional values; I needed to ensure that I treated all family members with respect and take a non-judgmental stance to be able to continue working with everyone effectively. What I would have done differently was offer advocacy. It is key part of the SSWB(W)A 2014, giving a voice to individuals under s181 </w:t>
            </w:r>
            <w:r w:rsidRPr="007A011D">
              <w:rPr>
                <w:b/>
                <w:bCs/>
                <w:iCs/>
                <w:sz w:val="24"/>
                <w:szCs w:val="24"/>
              </w:rPr>
              <w:t>“</w:t>
            </w:r>
            <w:r w:rsidRPr="007A011D">
              <w:rPr>
                <w:bCs/>
                <w:iCs/>
                <w:sz w:val="24"/>
                <w:szCs w:val="24"/>
              </w:rPr>
              <w:t>Advocacy</w:t>
            </w:r>
            <w:r w:rsidRPr="007A011D">
              <w:rPr>
                <w:b/>
                <w:bCs/>
                <w:iCs/>
                <w:sz w:val="24"/>
                <w:szCs w:val="24"/>
              </w:rPr>
              <w:t xml:space="preserve"> </w:t>
            </w:r>
            <w:r w:rsidRPr="007A011D">
              <w:rPr>
                <w:iCs/>
                <w:sz w:val="24"/>
                <w:szCs w:val="24"/>
              </w:rPr>
              <w:t>supports and enables people who have difficulty representing their interests, to exercise their rights, express their views, explore and make informed choices</w:t>
            </w:r>
            <w:r>
              <w:rPr>
                <w:iCs/>
                <w:sz w:val="24"/>
                <w:szCs w:val="24"/>
              </w:rPr>
              <w:t xml:space="preserve"> (Welsh Government, 2019 p.9)</w:t>
            </w:r>
            <w:r w:rsidRPr="007A011D">
              <w:rPr>
                <w:iCs/>
                <w:sz w:val="24"/>
                <w:szCs w:val="24"/>
              </w:rPr>
              <w:t>.</w:t>
            </w:r>
            <w:r>
              <w:rPr>
                <w:iCs/>
                <w:sz w:val="24"/>
                <w:szCs w:val="24"/>
              </w:rPr>
              <w:t xml:space="preserve"> Since this case I have ensured that I have offered advocacy services, where appropriate. It is essential that individuals are empowered and that their views and wishes are heard, taking a person-centred approach. </w:t>
            </w:r>
          </w:p>
          <w:p w14:paraId="086F8804" w14:textId="77777777" w:rsidR="00DA735B" w:rsidRPr="007A011D" w:rsidRDefault="00DA735B" w:rsidP="00DA735B">
            <w:pPr>
              <w:rPr>
                <w:color w:val="000000" w:themeColor="text1"/>
                <w:sz w:val="24"/>
                <w:szCs w:val="24"/>
                <w:lang w:val="en"/>
              </w:rPr>
            </w:pPr>
          </w:p>
          <w:p w14:paraId="39C1B587" w14:textId="77777777" w:rsidR="00DA735B" w:rsidRDefault="00DA735B" w:rsidP="00DA735B">
            <w:pPr>
              <w:rPr>
                <w:color w:val="000000" w:themeColor="text1"/>
                <w:sz w:val="24"/>
                <w:szCs w:val="24"/>
                <w:lang w:val="en"/>
              </w:rPr>
            </w:pPr>
            <w:r>
              <w:rPr>
                <w:color w:val="000000" w:themeColor="text1"/>
                <w:sz w:val="24"/>
                <w:szCs w:val="24"/>
                <w:lang w:val="en"/>
              </w:rPr>
              <w:t xml:space="preserve">This case has supported me in my development and confidence, particularly when arranging and chairing the MDT. It highlighted the importance of taking a multi-agency approach. Each person and family are unique, being able to liaise and work collaboratively with other </w:t>
            </w:r>
            <w:r>
              <w:rPr>
                <w:color w:val="000000" w:themeColor="text1"/>
                <w:sz w:val="24"/>
                <w:szCs w:val="24"/>
                <w:lang w:val="en"/>
              </w:rPr>
              <w:lastRenderedPageBreak/>
              <w:t xml:space="preserve">agencies gave me a better overview of the family, which supported me in understanding and working with the family. This informed me in completing my analysis and assessment to support my professional judgement in a complex situation. </w:t>
            </w:r>
          </w:p>
          <w:p w14:paraId="575DDF19" w14:textId="77777777" w:rsidR="00DA735B" w:rsidRDefault="00DA735B" w:rsidP="00DA735B">
            <w:pPr>
              <w:rPr>
                <w:color w:val="000000" w:themeColor="text1"/>
                <w:sz w:val="24"/>
                <w:szCs w:val="24"/>
                <w:lang w:val="en"/>
              </w:rPr>
            </w:pPr>
            <w:r>
              <w:rPr>
                <w:color w:val="000000" w:themeColor="text1"/>
                <w:sz w:val="24"/>
                <w:szCs w:val="24"/>
                <w:lang w:val="en"/>
              </w:rPr>
              <w:t xml:space="preserve"> </w:t>
            </w:r>
          </w:p>
          <w:p w14:paraId="0E7BBCC9" w14:textId="0C2EBEC1" w:rsidR="00D3203C" w:rsidRPr="00DA735B" w:rsidRDefault="00DA735B" w:rsidP="00DA735B">
            <w:pPr>
              <w:jc w:val="right"/>
              <w:rPr>
                <w:color w:val="000000" w:themeColor="text1"/>
                <w:sz w:val="22"/>
                <w:szCs w:val="22"/>
                <w:lang w:val="en"/>
              </w:rPr>
            </w:pPr>
            <w:r>
              <w:rPr>
                <w:color w:val="000000" w:themeColor="text1"/>
                <w:sz w:val="22"/>
                <w:szCs w:val="22"/>
                <w:lang w:val="en"/>
              </w:rPr>
              <w:t>Word Count: 4387</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EE574D" w14:textId="77777777" w:rsidR="00415DAB" w:rsidRDefault="00415DAB">
      <w:r>
        <w:separator/>
      </w:r>
    </w:p>
  </w:endnote>
  <w:endnote w:type="continuationSeparator" w:id="0">
    <w:p w14:paraId="6D37BB5C" w14:textId="77777777" w:rsidR="00415DAB" w:rsidRDefault="00415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DS Transport">
    <w:altName w:val="Times New Roman"/>
    <w:charset w:val="00"/>
    <w:family w:val="auto"/>
    <w:pitch w:val="default"/>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88595FC" w:rsidR="00A5656A" w:rsidRDefault="00A5656A">
    <w:pPr>
      <w:pStyle w:val="Footer"/>
      <w:jc w:val="right"/>
    </w:pPr>
    <w:r>
      <w:fldChar w:fldCharType="begin"/>
    </w:r>
    <w:r>
      <w:instrText xml:space="preserve"> PAGE   \* MERGEFORMAT </w:instrText>
    </w:r>
    <w:r>
      <w:fldChar w:fldCharType="separate"/>
    </w:r>
    <w:r w:rsidR="00E1024B">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83C0D5" w14:textId="77777777" w:rsidR="00415DAB" w:rsidRDefault="00415DAB">
      <w:r>
        <w:separator/>
      </w:r>
    </w:p>
  </w:footnote>
  <w:footnote w:type="continuationSeparator" w:id="0">
    <w:p w14:paraId="28FC7033" w14:textId="77777777" w:rsidR="00415DAB" w:rsidRDefault="00415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DAB"/>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735B"/>
    <w:rsid w:val="00DB2767"/>
    <w:rsid w:val="00DC1B10"/>
    <w:rsid w:val="00DC2924"/>
    <w:rsid w:val="00DC4729"/>
    <w:rsid w:val="00DD31C5"/>
    <w:rsid w:val="00DD5020"/>
    <w:rsid w:val="00DD63BE"/>
    <w:rsid w:val="00DE4296"/>
    <w:rsid w:val="00DF2469"/>
    <w:rsid w:val="00DF7899"/>
    <w:rsid w:val="00E0524C"/>
    <w:rsid w:val="00E1024B"/>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DA735B"/>
    <w:pPr>
      <w:autoSpaceDE w:val="0"/>
      <w:autoSpaceDN w:val="0"/>
      <w:adjustRightInd w:val="0"/>
    </w:pPr>
    <w:rPr>
      <w:rFonts w:ascii="Arial" w:eastAsiaTheme="minorHAnsi" w:hAnsi="Arial" w:cs="Arial"/>
      <w:color w:val="000000"/>
      <w:sz w:val="24"/>
      <w:szCs w:val="24"/>
      <w:lang w:eastAsia="en-US"/>
    </w:rPr>
  </w:style>
  <w:style w:type="paragraph" w:styleId="NormalWeb">
    <w:name w:val="Normal (Web)"/>
    <w:basedOn w:val="Normal"/>
    <w:uiPriority w:val="99"/>
    <w:unhideWhenUsed/>
    <w:rsid w:val="00DA735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afeguarding.wales/en/adu-i/adu-i"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feguarding.wales/en/chi-i/chi-i"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CFEA443-DE31-4148-8002-4D3F5B6D1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4172</Words>
  <Characters>23785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 Abigail</cp:lastModifiedBy>
  <cp:revision>5</cp:revision>
  <cp:lastPrinted>2020-02-11T19:20:00Z</cp:lastPrinted>
  <dcterms:created xsi:type="dcterms:W3CDTF">2022-09-29T11:34:00Z</dcterms:created>
  <dcterms:modified xsi:type="dcterms:W3CDTF">2023-02-23T18:23:00Z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