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30C324" wp14:paraId="48A31BD8" wp14:textId="21603E1F">
      <w:pPr>
        <w:pStyle w:val="Heading1"/>
        <w:keepNext w:val="1"/>
        <w:keepLines w:val="1"/>
        <w:shd w:val="clear" w:color="auto" w:fill="FFFFFF" w:themeFill="background1"/>
        <w:spacing w:before="0" w:after="80" w:line="256" w:lineRule="auto"/>
        <w:jc w:val="center"/>
        <w:rPr>
          <w:rFonts w:ascii="Aptos" w:hAnsi="Aptos" w:eastAsia="Aptos" w:cs="Aptos"/>
          <w:noProof w:val="0"/>
          <w:sz w:val="24"/>
          <w:szCs w:val="24"/>
          <w:lang w:val="en-US"/>
        </w:rPr>
      </w:pPr>
      <w:r w:rsidRPr="0F30C324" w:rsidR="01DCC4CB">
        <w:rPr>
          <w:rFonts w:ascii="Segoe UI" w:hAnsi="Segoe UI" w:eastAsia="Segoe UI" w:cs="Segoe UI"/>
          <w:b w:val="0"/>
          <w:bCs w:val="0"/>
          <w:i w:val="0"/>
          <w:iCs w:val="0"/>
          <w:caps w:val="0"/>
          <w:smallCaps w:val="0"/>
          <w:strike w:val="0"/>
          <w:dstrike w:val="0"/>
          <w:noProof w:val="0"/>
          <w:color w:val="1D2125"/>
          <w:sz w:val="40"/>
          <w:szCs w:val="40"/>
          <w:u w:val="single"/>
          <w:lang w:val="en-US"/>
        </w:rPr>
        <w:t>Preparing For Professional Policing (BMPL4002 _CARD)</w:t>
      </w:r>
    </w:p>
    <w:p xmlns:wp14="http://schemas.microsoft.com/office/word/2010/wordml" wp14:paraId="2C078E63" wp14:textId="5EED8434"/>
    <w:p w:rsidR="0F30C324" w:rsidRDefault="0F30C324" w14:paraId="2D109272" w14:textId="5CB98456"/>
    <w:p w:rsidR="0F30C324" w:rsidRDefault="0F30C324" w14:paraId="6F1A3866" w14:textId="57A26E5C"/>
    <w:p w:rsidR="01DCC4CB" w:rsidP="0F30C324" w:rsidRDefault="01DCC4CB" w14:paraId="18262092" w14:textId="0D127589">
      <w:pPr>
        <w:pStyle w:val="Normal"/>
        <w:keepNext w:val="1"/>
        <w:keepLines w:val="1"/>
        <w:spacing w:before="360" w:after="80" w:line="256" w:lineRule="auto"/>
        <w:rPr>
          <w:rFonts w:ascii="Aptos Display" w:hAnsi="Aptos Display" w:eastAsia="Aptos Display" w:cs="Aptos Display"/>
          <w:noProof w:val="0"/>
          <w:sz w:val="40"/>
          <w:szCs w:val="40"/>
          <w:lang w:val="en-US"/>
        </w:rPr>
      </w:pPr>
      <w:r w:rsidRPr="0F30C324" w:rsidR="01DCC4CB">
        <w:rPr>
          <w:rStyle w:val="Heading1Char"/>
          <w:rFonts w:ascii="Aptos Display" w:hAnsi="Aptos Display" w:eastAsia="Aptos Display" w:cs="Aptos Display"/>
          <w:b w:val="1"/>
          <w:bCs w:val="1"/>
          <w:i w:val="0"/>
          <w:iCs w:val="0"/>
          <w:caps w:val="0"/>
          <w:smallCaps w:val="0"/>
          <w:strike w:val="0"/>
          <w:dstrike w:val="0"/>
          <w:noProof w:val="0"/>
          <w:color w:val="0F4761" w:themeColor="accent1" w:themeTint="FF" w:themeShade="BF"/>
          <w:sz w:val="40"/>
          <w:szCs w:val="40"/>
          <w:u w:val="single"/>
          <w:lang w:val="en-US"/>
        </w:rPr>
        <w:t>Title</w:t>
      </w:r>
      <w:r w:rsidRPr="0F30C324" w:rsidR="01DCC4CB">
        <w:rPr>
          <w:rStyle w:val="Heading1Cha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 xml:space="preserve">: </w:t>
      </w:r>
      <w:r w:rsidRPr="0F30C324" w:rsidR="01DCC4CB">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t>Examine the impact that historical policing incidents had upon the concept of policing by consent in the UK</w:t>
      </w:r>
    </w:p>
    <w:p w:rsidR="0F30C324" w:rsidP="0F30C324" w:rsidRDefault="0F30C324" w14:paraId="4F0D3AC2" w14:textId="20F5804D">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01DCC4CB" w:rsidP="0F30C324" w:rsidRDefault="01DCC4CB" w14:paraId="4C433C0B" w14:textId="53886D33">
      <w:pPr>
        <w:keepNext w:val="1"/>
        <w:keepLines w:val="1"/>
        <w:spacing w:before="360" w:after="80" w:line="256" w:lineRule="auto"/>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0F30C324" w:rsidR="01DCC4CB">
        <w:rPr>
          <w:rStyle w:val="Heading1Char"/>
          <w:rFonts w:ascii="Aptos Display" w:hAnsi="Aptos Display" w:eastAsia="Aptos Display" w:cs="Aptos Display"/>
          <w:b w:val="1"/>
          <w:bCs w:val="1"/>
          <w:i w:val="0"/>
          <w:iCs w:val="0"/>
          <w:caps w:val="0"/>
          <w:smallCaps w:val="0"/>
          <w:noProof w:val="0"/>
          <w:color w:val="0F4761" w:themeColor="accent1" w:themeTint="FF" w:themeShade="BF"/>
          <w:sz w:val="40"/>
          <w:szCs w:val="40"/>
          <w:lang w:val="en-US"/>
        </w:rPr>
        <w:t>Name</w:t>
      </w:r>
      <w:r w:rsidRPr="0F30C324" w:rsidR="01DCC4CB">
        <w:rPr>
          <w:rStyle w:val="Heading1Cha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 Elena Nicoleta Dinu</w:t>
      </w:r>
    </w:p>
    <w:p w:rsidR="01DCC4CB" w:rsidP="0F30C324" w:rsidRDefault="01DCC4CB" w14:paraId="12AC8740" w14:textId="3FB2A2DD">
      <w:pPr>
        <w:pStyle w:val="Heading1"/>
        <w:keepNext w:val="1"/>
        <w:keepLines w:val="1"/>
        <w:spacing w:before="360" w:after="80" w:line="256" w:lineRule="auto"/>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0F30C324" w:rsidR="01DCC4CB">
        <w:rPr>
          <w:rFonts w:ascii="Aptos Display" w:hAnsi="Aptos Display" w:eastAsia="Aptos Display" w:cs="Aptos Display"/>
          <w:b w:val="1"/>
          <w:bCs w:val="1"/>
          <w:i w:val="0"/>
          <w:iCs w:val="0"/>
          <w:caps w:val="0"/>
          <w:smallCaps w:val="0"/>
          <w:noProof w:val="0"/>
          <w:color w:val="0F4761" w:themeColor="accent1" w:themeTint="FF" w:themeShade="BF"/>
          <w:sz w:val="40"/>
          <w:szCs w:val="40"/>
          <w:lang w:val="en-US"/>
        </w:rPr>
        <w:t>Student Number:</w:t>
      </w:r>
      <w:r w:rsidRPr="0F30C324" w:rsidR="01DCC4CB">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2320466</w:t>
      </w:r>
    </w:p>
    <w:p w:rsidR="0F30C324" w:rsidP="0F30C324" w:rsidRDefault="0F30C324" w14:paraId="1F3AE83A" w14:textId="028EB2B5">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0F30C324" w:rsidP="0F30C324" w:rsidRDefault="0F30C324" w14:paraId="51A5D707" w14:textId="49D3DFCD">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0F30C324" w:rsidP="0F30C324" w:rsidRDefault="0F30C324" w14:paraId="7A230D40" w14:textId="7693E7C9">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0F30C324" w:rsidP="0F30C324" w:rsidRDefault="0F30C324" w14:paraId="3F77B0A4" w14:textId="632D0573">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0F30C324" w:rsidP="0F30C324" w:rsidRDefault="0F30C324" w14:paraId="22A563DF" w14:textId="4F88ED10">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0F30C324" w:rsidP="0F30C324" w:rsidRDefault="0F30C324" w14:paraId="702F00FB" w14:textId="1F27F0B3">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0F30C324" w:rsidP="0F30C324" w:rsidRDefault="0F30C324" w14:paraId="58A4BDAA" w14:textId="3240D220">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0F30C324" w:rsidP="0F30C324" w:rsidRDefault="0F30C324" w14:paraId="46671714" w14:textId="5E6E3D89">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0F30C324" w:rsidP="0F30C324" w:rsidRDefault="0F30C324" w14:paraId="31A5DD52" w14:textId="0D2F3962">
      <w:pPr>
        <w:pStyle w:val="Normal"/>
        <w:keepNext w:val="1"/>
        <w:keepLines w:val="1"/>
        <w:spacing w:before="360" w:after="80" w:line="256" w:lineRule="auto"/>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US"/>
        </w:rPr>
      </w:pPr>
    </w:p>
    <w:p w:rsidR="3CBBFBCA" w:rsidP="0F30C324" w:rsidRDefault="3CBBFBCA" w14:paraId="38D4A22C" w14:textId="0827460F">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Policing by consent is a fundamental premise of the United Kingdom's policing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system. However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 relationship between police and the general people has been far from consistent, with historical episodes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frequently</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challenging popular trust in law enforcement. These occurrences, which range from difficult policing methods to high-profile cases of police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misbehaviour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have had a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significant influence</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on the idea of policing by consent (Haines, 2014). This essay will look at the historical police episodes that have affected our understanding and use of this concept, which is with a special emphasis on the role of professional standards, the Code of Ethics, the Standards of Professional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and the value of community trust.</w:t>
      </w:r>
    </w:p>
    <w:p w:rsidR="3CBBFBCA" w:rsidP="0F30C324" w:rsidRDefault="3CBBFBCA" w14:paraId="295A57C7" w14:textId="6A81E319">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By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analysing</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key events, this essay will investigate how these incidents influenced the evolution of policing practices and public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perceptions</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of the police in the UK, eventually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determining</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modern policing policies, improving accountability measures, and reinforcing the importance of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maintaining</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 trust and cooperation of the communities served.</w:t>
      </w:r>
    </w:p>
    <w:p w:rsidR="0F30C324" w:rsidP="0F30C324" w:rsidRDefault="0F30C324" w14:paraId="3DC9C105" w14:textId="081496D6">
      <w:pPr>
        <w:spacing w:before="0" w:beforeAutospacing="off" w:after="0" w:afterAutospacing="off"/>
      </w:pPr>
    </w:p>
    <w:p w:rsidR="0F30C324" w:rsidP="0F30C324" w:rsidRDefault="0F30C324" w14:paraId="6A6C8C3A" w14:textId="7F576AD4">
      <w:pPr>
        <w:spacing w:before="0" w:beforeAutospacing="off" w:after="0" w:afterAutospacing="off"/>
      </w:pPr>
    </w:p>
    <w:p w:rsidR="0F30C324" w:rsidP="0F30C324" w:rsidRDefault="0F30C324" w14:paraId="158692D9" w14:textId="056B0A2D">
      <w:pPr>
        <w:spacing w:before="0" w:beforeAutospacing="off" w:after="0" w:afterAutospacing="off"/>
      </w:pPr>
    </w:p>
    <w:p w:rsidR="0F30C324" w:rsidP="0F30C324" w:rsidRDefault="0F30C324" w14:paraId="4A223718" w14:textId="6CD6E3C4">
      <w:pPr>
        <w:spacing w:before="0" w:beforeAutospacing="off" w:after="0" w:afterAutospacing="off"/>
      </w:pPr>
    </w:p>
    <w:p w:rsidR="3CBBFBCA" w:rsidP="0F30C324" w:rsidRDefault="3CBBFBCA" w14:paraId="187572FF" w14:textId="17BD0818">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Before getting into historical cases, it is necessary to define the term "policing by consent." Policing by consent is based on the teachings of Sir Robert Peel, who formed the Metropolitan Police in 1829. It says that the police get their power from the permission of the population they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serve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Peel's beliefs, in particular the idea that "the police are the public and the public are the police," highlight the necessity of community collaboration in maintaining law and order (Peel, 1829).</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This perspective has long been a major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component</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of British policing, highlighting the necessity of professional integrity, accountability, and openness in police conduct (Reiner, 2010). Several historical events have had a significant impact on the interaction between police and the general people in the United Kingdom,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frequently</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questioning the concept of policing by consent (Stanko, 2014). </w:t>
      </w:r>
    </w:p>
    <w:p w:rsidR="3CBBFBCA" w:rsidP="0F30C324" w:rsidRDefault="3CBBFBCA" w14:paraId="44F68081" w14:textId="3CE86458">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These occurrences have emphasised the hazards of minimising public trust and the need of professional standards in maintaining legitimacy (Stanko, 2014). A significant occurrence was the Hillsborough catastrophe in 1989, in which 96 football fans died as a result of stadium overcrowding. The following cover-up by the South Yorkshire Police, which included altering statements and blaming the victims, harmed public trust in the police (Hillsborough Independent Panel, 2012). The Hillsborough Independent Panel's findings in 2012 revealed the scale of police improper conduct, prompting calls for increased accountability and openness within the force.</w:t>
      </w:r>
    </w:p>
    <w:p w:rsidR="0F30C324" w:rsidP="0F30C324" w:rsidRDefault="0F30C324" w14:paraId="56599B34" w14:textId="7309EF0C">
      <w:pPr>
        <w:spacing w:before="0" w:beforeAutospacing="off" w:after="0" w:afterAutospacing="off"/>
      </w:pPr>
    </w:p>
    <w:p w:rsidR="3CBBFBCA" w:rsidP="0F30C324" w:rsidRDefault="3CBBFBCA" w14:paraId="46A6CD90" w14:textId="4413C868">
      <w:pPr>
        <w:spacing w:before="0" w:beforeAutospacing="off" w:after="0" w:afterAutospacing="off"/>
        <w:rPr>
          <w:rFonts w:ascii="Lato" w:hAnsi="Lato" w:eastAsia="Lato" w:cs="Lato"/>
          <w:b w:val="0"/>
          <w:bCs w:val="0"/>
          <w:i w:val="0"/>
          <w:iCs w:val="0"/>
          <w:caps w:val="0"/>
          <w:smallCaps w:val="0"/>
          <w:noProof w:val="0"/>
          <w:color w:val="000000" w:themeColor="text1" w:themeTint="FF" w:themeShade="FF"/>
          <w:sz w:val="22"/>
          <w:szCs w:val="22"/>
          <w:lang w:val="en-US"/>
        </w:rPr>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One of the first instances of police operations cutting into the premise of policing by agreement happened during the 1919 race riots in London. Following the end of the First World War, racial tensions in the city erupted, resulting in deadly conflicts between Black and white groups (Reid, 2019). The police reaction to the riots was widely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criticised</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as racially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biassed</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and excessively harsh on the Black community (Reid, 2019). The police were accused of deploying disproportionate force while neglecting to address the fundamental causes of the disturbance, such as prejudice and economic inequalities (Reiner, 2010). </w:t>
      </w:r>
    </w:p>
    <w:p w:rsidR="3CBBFBCA" w:rsidP="0F30C324" w:rsidRDefault="3CBBFBCA" w14:paraId="038A5B55" w14:textId="594B9C86">
      <w:pPr>
        <w:spacing w:before="0" w:beforeAutospacing="off" w:after="0" w:afterAutospacing="off"/>
        <w:rPr>
          <w:rFonts w:ascii="Lato" w:hAnsi="Lato" w:eastAsia="Lato" w:cs="Lato"/>
          <w:b w:val="0"/>
          <w:bCs w:val="0"/>
          <w:i w:val="0"/>
          <w:iCs w:val="0"/>
          <w:caps w:val="0"/>
          <w:smallCaps w:val="0"/>
          <w:noProof w:val="0"/>
          <w:color w:val="000000" w:themeColor="text1" w:themeTint="FF" w:themeShade="FF"/>
          <w:sz w:val="22"/>
          <w:szCs w:val="22"/>
          <w:lang w:val="en-US"/>
        </w:rPr>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This episode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demonstrated</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 risks of the police acting as an arm of the state, disregarding the interests and concerns of the people they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serve.The</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1919 riots are an early illustration of how a failure to preserve impartiality and justice could damage the police's legitimacy in the eyes of the people. It is an instance in which the police, by failing to fully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demonstrate</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 principles of consent-based policing, led to a breakdown in trust that would last for many years in specific communities (Stanko 2014).</w:t>
      </w:r>
      <w:r>
        <w:br/>
      </w:r>
    </w:p>
    <w:p w:rsidR="0F30C324" w:rsidP="0F30C324" w:rsidRDefault="0F30C324" w14:paraId="7A16A0CF" w14:textId="441371C8">
      <w:pPr>
        <w:spacing w:before="0" w:beforeAutospacing="off" w:after="0" w:afterAutospacing="off"/>
      </w:pPr>
    </w:p>
    <w:p w:rsidR="3CBBFBCA" w:rsidP="0F30C324" w:rsidRDefault="3CBBFBCA" w14:paraId="7DB6F017" w14:textId="487E1681">
      <w:pPr>
        <w:spacing w:before="0" w:beforeAutospacing="off" w:after="0" w:afterAutospacing="off"/>
        <w:rPr>
          <w:rFonts w:ascii="Lato" w:hAnsi="Lato" w:eastAsia="Lato" w:cs="Lato"/>
          <w:b w:val="0"/>
          <w:bCs w:val="0"/>
          <w:i w:val="0"/>
          <w:iCs w:val="0"/>
          <w:caps w:val="0"/>
          <w:smallCaps w:val="0"/>
          <w:noProof w:val="0"/>
          <w:color w:val="000000" w:themeColor="text1" w:themeTint="FF" w:themeShade="FF"/>
          <w:sz w:val="22"/>
          <w:szCs w:val="22"/>
          <w:lang w:val="en-US"/>
        </w:rPr>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 Brixton Riots of 1981 were another key event that called into question consent-based policing. Tensions between the police and the Black community in South London had been building for years because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of to</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a variety of issues such as prejudiced policing, unemployment, and financial difficulties (Hall et al., 2013). The introduction of "sus" laws, which permitted police to stop and search persons they suspected of committing crimes, frequently disproportionately targeting Black people, was an important cause for the riots (Stuart, 1988).The police reaction to the riots was widely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criticised</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for being heavy-handed and failing to address the root causes of the disturbance (Hall et al., 2013). The violence in Brixton was the direct outcome of a breakdown of trust between the police and the community they serve. The events of 1981 pointed out the hazards of a policing system that functions without public permission, confirming the concept that police legitimacy is dependent on fair and transparent actions (Stanko 2014).            This incident generated calls for police reform and increased accountability, which influenced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subsequent</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changes in policing practices, including the establishment of community policing models (Reiner, 2010).</w:t>
      </w:r>
      <w:r>
        <w:br/>
      </w:r>
    </w:p>
    <w:p w:rsidR="0F30C324" w:rsidP="0F30C324" w:rsidRDefault="0F30C324" w14:paraId="62536646" w14:textId="2FE3F573">
      <w:pPr>
        <w:spacing w:before="0" w:beforeAutospacing="off" w:after="0" w:afterAutospacing="off"/>
      </w:pPr>
    </w:p>
    <w:p w:rsidR="3CBBFBCA" w:rsidP="0F30C324" w:rsidRDefault="3CBBFBCA" w14:paraId="1CFBD8E9" w14:textId="489A7B9C">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Following Stephen Lawrence's murder in 1993, public faith in the police decreased even more. Lawrence, a Black adolescent, was tragically stabbed in a racially motivated attack, but the police investigation into his murder was complicated by failure and claimed prejudice. The police's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initial</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rejection to thoroughly investigate the murder generated significant protests in the community, particularly among Black people (Macpherson, 1999). The police were accused of institutional racism, a phrase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popularised</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by the 1999 Macpherson Report, which examined how the case was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handled.The</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Macpherson Report's conclusions, which illustrated the Metropolitan Police as institutionally racist, caused a huge damage to the force's reputation and had consequences that lasted for consent-based policing. </w:t>
      </w:r>
    </w:p>
    <w:p w:rsidR="3CBBFBCA" w:rsidP="0F30C324" w:rsidRDefault="3CBBFBCA" w14:paraId="6055FD12" w14:textId="0BC4E83E">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It illustrated the critical necessity for the police to function in a manner that respects the rights and dignity of all persons, regardless of race, and that any deviation from this would result in a loss of legitimacy (Macpherson 1999). The Stephen Lawrence case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demonstrated</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that police officers must not only execute the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law, but</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also develop trust and confidence in the community they serve (Reiner, 2010).</w:t>
      </w:r>
    </w:p>
    <w:p w:rsidR="0F30C324" w:rsidP="0F30C324" w:rsidRDefault="0F30C324" w14:paraId="1AAF199C" w14:textId="618317D2">
      <w:pPr>
        <w:spacing w:before="0" w:beforeAutospacing="off" w:after="0" w:afterAutospacing="off"/>
      </w:pPr>
    </w:p>
    <w:p w:rsidR="3CBBFBCA" w:rsidP="0F30C324" w:rsidRDefault="3CBBFBCA" w14:paraId="295058C4" w14:textId="412B701C">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 historical past events listed above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demonstrate</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 need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of maintaining</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professional standards within the police force. To ensure that policing by consent is enforced, police personnel must follow strict standards of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such as the Code of Ethics and the Standards of Professional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These frameworks define the principles and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behaviours</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that officers must demonstrate, such as honesty, integrity, responsibility, fairness, and respect for others (College of Policing, 2014).The Standards of Professional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as described in the Police (Conduct) Regulations 2020, strengthen these ideals by establishing a framework for dealing with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misbehaviour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and providing responsibility. These standards apply to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numerous</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elements of police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such as the use of force, equality and diversity, and prisoner treatment (Police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Regulations 2020, 2020). By following these guidelines, the police may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demonstrate</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their commitment to ethical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and sustain public trust (Police (Conduct) Regulations 2020, 2020). Community trust is essential for consent-based policing to function effectively. When citizens trust the police, they are more inclined to collaborate with law enforcement, report crimes, and give useful information. In contrast, a lack of trust can lead to separation, conflict, and even civil disturbance (Myhill &amp; Quinton, 2011). </w:t>
      </w:r>
    </w:p>
    <w:p w:rsidR="3CBBFBCA" w:rsidP="0F30C324" w:rsidRDefault="3CBBFBCA" w14:paraId="45C91D2C" w14:textId="3FEC086E">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Building and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retaining</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community trust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necessitates</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constant efforts to communicate with the public, address their issues, and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exhibit</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openness and responsibility (Myhill &amp; Quinton, 2011). Initiatives like community policing, in which officers collaborate closely with local communities to identify and address issues, have been demonstrated to enhance public opinions of the police (Myhill &amp; Quinton, 2011).Furthermore, independent oversight groups, such as the Independent Office for Police Conduct (IOPC), play an important role in going over complaints against police officers and ensuring that misconduct is treated effectively ( Independent Office for Police Conduct,2020).</w:t>
      </w:r>
    </w:p>
    <w:p w:rsidR="0F30C324" w:rsidP="0F30C324" w:rsidRDefault="0F30C324" w14:paraId="318AFD90" w14:textId="7E3635A0">
      <w:pPr>
        <w:spacing w:before="0" w:beforeAutospacing="off" w:after="0" w:afterAutospacing="off"/>
      </w:pPr>
    </w:p>
    <w:p w:rsidR="0F30C324" w:rsidP="0F30C324" w:rsidRDefault="0F30C324" w14:paraId="769023DC" w14:textId="1B2BCF17">
      <w:pPr>
        <w:spacing w:before="0" w:beforeAutospacing="off" w:after="0" w:afterAutospacing="off"/>
      </w:pPr>
    </w:p>
    <w:p w:rsidR="0F30C324" w:rsidP="0F30C324" w:rsidRDefault="0F30C324" w14:paraId="2312C6FF" w14:textId="3CB9A0B2">
      <w:pPr>
        <w:spacing w:before="0" w:beforeAutospacing="off" w:after="0" w:afterAutospacing="off"/>
      </w:pPr>
    </w:p>
    <w:p w:rsidR="0F30C324" w:rsidP="0F30C324" w:rsidRDefault="0F30C324" w14:paraId="504F4FA9" w14:textId="7DB75B2A">
      <w:pPr>
        <w:spacing w:before="0" w:beforeAutospacing="off" w:after="0" w:afterAutospacing="off"/>
      </w:pPr>
    </w:p>
    <w:p w:rsidR="3CBBFBCA" w:rsidP="0F30C324" w:rsidRDefault="3CBBFBCA" w14:paraId="244D27C2" w14:textId="6999A927">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In conclusion, previous instances have had a profound impact on the notion of consent-based policing in the UK.</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 1919 racial riots and the Stephen Lawrence case have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demonstrated</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the vital need of preserving confidence and openness between the police and the people. In response to these problems, professional standards such as the Code of Ethics and the Standards of Professional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Behaviour</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have been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established</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to guarantee that police personnel uphold the highest ethical standards while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maintaining</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public trust.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Ultimately, the</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legitimacy of the police is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determined</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by their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capacity</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to </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operate</w:t>
      </w: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honestly, impartially, and with the permission of the people they serve. </w:t>
      </w:r>
    </w:p>
    <w:p w:rsidR="3CBBFBCA" w:rsidP="0F30C324" w:rsidRDefault="3CBBFBCA" w14:paraId="2C86485B" w14:textId="2036F414">
      <w:pPr>
        <w:spacing w:before="0" w:beforeAutospacing="off" w:after="0" w:afterAutospacing="off"/>
      </w:pPr>
      <w:r w:rsidRPr="0F30C324" w:rsidR="3CBBFBCA">
        <w:rPr>
          <w:rFonts w:ascii="Lato" w:hAnsi="Lato" w:eastAsia="Lato" w:cs="Lato"/>
          <w:b w:val="0"/>
          <w:bCs w:val="0"/>
          <w:i w:val="0"/>
          <w:iCs w:val="0"/>
          <w:caps w:val="0"/>
          <w:smallCaps w:val="0"/>
          <w:noProof w:val="0"/>
          <w:color w:val="000000" w:themeColor="text1" w:themeTint="FF" w:themeShade="FF"/>
          <w:sz w:val="22"/>
          <w:szCs w:val="22"/>
          <w:lang w:val="en-US"/>
        </w:rPr>
        <w:t xml:space="preserve">     As the UK navigates the complicated nature of modern policing, the lessons learnt from these historical episodes will continue to shape the future of law enforcement and its interaction with the public.</w:t>
      </w:r>
    </w:p>
    <w:p w:rsidR="0F30C324" w:rsidRDefault="0F30C324" w14:paraId="4D336D43" w14:textId="075A6CF1"/>
    <w:p w:rsidR="0F30C324" w:rsidRDefault="0F30C324" w14:paraId="0F0837DC" w14:textId="347E5D2E"/>
    <w:p w:rsidR="0F30C324" w:rsidRDefault="0F30C324" w14:paraId="0719CD11" w14:textId="6F3B7A67"/>
    <w:p w:rsidR="0F30C324" w:rsidRDefault="0F30C324" w14:paraId="458222B4" w14:textId="345865B1"/>
    <w:p w:rsidR="0F30C324" w:rsidRDefault="0F30C324" w14:paraId="4CC6C10B" w14:textId="5B76742D"/>
    <w:p w:rsidR="0F30C324" w:rsidRDefault="0F30C324" w14:paraId="715C39C5" w14:textId="22D348B7"/>
    <w:p w:rsidR="0F30C324" w:rsidRDefault="0F30C324" w14:paraId="66689586" w14:textId="626BF9DF"/>
    <w:p w:rsidR="0F30C324" w:rsidRDefault="0F30C324" w14:paraId="2AC2456D" w14:textId="7E28417D"/>
    <w:p w:rsidR="018D351E" w:rsidP="0F30C324" w:rsidRDefault="018D351E" w14:paraId="46F7ACBC" w14:textId="4F507B81">
      <w:pPr>
        <w:jc w:val="center"/>
        <w:rPr>
          <w:sz w:val="48"/>
          <w:szCs w:val="48"/>
          <w:u w:val="single"/>
        </w:rPr>
      </w:pPr>
      <w:r w:rsidRPr="0F30C324" w:rsidR="018D351E">
        <w:rPr>
          <w:sz w:val="48"/>
          <w:szCs w:val="48"/>
          <w:u w:val="single"/>
        </w:rPr>
        <w:t>REFERENCE LIST</w:t>
      </w:r>
    </w:p>
    <w:p w:rsidR="0F30C324" w:rsidP="0F30C324" w:rsidRDefault="0F30C324" w14:paraId="1C994EF6" w14:textId="330C96F5">
      <w:pPr>
        <w:jc w:val="center"/>
        <w:rPr>
          <w:sz w:val="48"/>
          <w:szCs w:val="48"/>
          <w:u w:val="single"/>
        </w:rPr>
      </w:pPr>
    </w:p>
    <w:p w:rsidR="0F30C324" w:rsidP="0F30C324" w:rsidRDefault="0F30C324" w14:paraId="5EB29D5F" w14:textId="7F42887E">
      <w:pPr>
        <w:jc w:val="center"/>
        <w:rPr>
          <w:sz w:val="48"/>
          <w:szCs w:val="48"/>
          <w:u w:val="single"/>
        </w:rPr>
      </w:pPr>
    </w:p>
    <w:p w:rsidR="4B080018" w:rsidP="0F30C324" w:rsidRDefault="4B080018" w14:paraId="5E9498AD" w14:textId="055DE735">
      <w:pPr>
        <w:pStyle w:val="ListParagraph"/>
        <w:numPr>
          <w:ilvl w:val="0"/>
          <w:numId w:val="1"/>
        </w:numPr>
        <w:jc w:val="left"/>
        <w:rPr>
          <w:sz w:val="24"/>
          <w:szCs w:val="24"/>
          <w:u w:val="none"/>
        </w:rPr>
      </w:pPr>
      <w:r w:rsidRPr="0F30C324" w:rsidR="4B080018">
        <w:rPr>
          <w:sz w:val="24"/>
          <w:szCs w:val="24"/>
          <w:u w:val="none"/>
        </w:rPr>
        <w:t xml:space="preserve">College of Policing. (2014). Code of Ethics: A Code of Practice for the Principles and Standards of Professional </w:t>
      </w:r>
      <w:r w:rsidRPr="0F30C324" w:rsidR="4B080018">
        <w:rPr>
          <w:sz w:val="24"/>
          <w:szCs w:val="24"/>
          <w:u w:val="none"/>
        </w:rPr>
        <w:t>Behaviour</w:t>
      </w:r>
      <w:r w:rsidRPr="0F30C324" w:rsidR="4B080018">
        <w:rPr>
          <w:sz w:val="24"/>
          <w:szCs w:val="24"/>
          <w:u w:val="none"/>
        </w:rPr>
        <w:t xml:space="preserve"> for Policing in England and Wales. College of </w:t>
      </w:r>
      <w:r w:rsidRPr="0F30C324" w:rsidR="4B080018">
        <w:rPr>
          <w:sz w:val="24"/>
          <w:szCs w:val="24"/>
          <w:u w:val="none"/>
        </w:rPr>
        <w:t>Policing.Accessed</w:t>
      </w:r>
      <w:r w:rsidRPr="0F30C324" w:rsidR="4B080018">
        <w:rPr>
          <w:sz w:val="24"/>
          <w:szCs w:val="24"/>
          <w:u w:val="none"/>
        </w:rPr>
        <w:t xml:space="preserve"> date:03/11/2024</w:t>
      </w:r>
    </w:p>
    <w:p w:rsidR="4B080018" w:rsidP="0F30C324" w:rsidRDefault="4B080018" w14:paraId="62131E16" w14:textId="67F7338D">
      <w:pPr>
        <w:pStyle w:val="ListParagraph"/>
        <w:spacing w:before="240" w:beforeAutospacing="off" w:after="240" w:afterAutospacing="off"/>
        <w:ind w:left="720"/>
      </w:pPr>
      <w:r w:rsidRPr="0F30C324" w:rsidR="4B080018">
        <w:rPr>
          <w:noProof w:val="0"/>
          <w:lang w:val="en-US"/>
        </w:rPr>
        <w:t xml:space="preserve"> </w:t>
      </w:r>
    </w:p>
    <w:p w:rsidR="4B080018" w:rsidP="0F30C324" w:rsidRDefault="4B080018" w14:paraId="3DE73C5A" w14:textId="186AF810">
      <w:pPr>
        <w:pStyle w:val="ListParagraph"/>
        <w:numPr>
          <w:ilvl w:val="0"/>
          <w:numId w:val="1"/>
        </w:numPr>
        <w:spacing w:before="240" w:beforeAutospacing="off" w:after="240" w:afterAutospacing="off"/>
        <w:rPr/>
      </w:pPr>
      <w:r w:rsidRPr="0F30C324" w:rsidR="4B080018">
        <w:rPr>
          <w:noProof w:val="0"/>
          <w:lang w:val="en-US"/>
        </w:rPr>
        <w:t>Haines, F. (2014). Policing and the Social Contract: The Transformation of Police and Policing. Routledge.Accessed date:11/11/2024</w:t>
      </w:r>
    </w:p>
    <w:p w:rsidR="4B080018" w:rsidP="0F30C324" w:rsidRDefault="4B080018" w14:paraId="7D547C95" w14:textId="3338CAF5">
      <w:pPr>
        <w:pStyle w:val="ListParagraph"/>
        <w:spacing w:before="240" w:beforeAutospacing="off" w:after="240" w:afterAutospacing="off"/>
        <w:ind w:left="720"/>
      </w:pPr>
      <w:r w:rsidRPr="0F30C324" w:rsidR="4B080018">
        <w:rPr>
          <w:noProof w:val="0"/>
          <w:lang w:val="en-US"/>
        </w:rPr>
        <w:t xml:space="preserve"> </w:t>
      </w:r>
    </w:p>
    <w:p w:rsidR="4B080018" w:rsidP="0F30C324" w:rsidRDefault="4B080018" w14:paraId="1A193752" w14:textId="3F507204">
      <w:pPr>
        <w:pStyle w:val="ListParagraph"/>
        <w:numPr>
          <w:ilvl w:val="0"/>
          <w:numId w:val="1"/>
        </w:numPr>
        <w:spacing w:before="240" w:beforeAutospacing="off" w:after="240" w:afterAutospacing="off"/>
        <w:rPr/>
      </w:pPr>
      <w:r w:rsidRPr="0F30C324" w:rsidR="4B080018">
        <w:rPr>
          <w:noProof w:val="0"/>
          <w:lang w:val="en-US"/>
        </w:rPr>
        <w:t>Hall, S., Critcher, C., Jefferson, T., Clarke, J., &amp; Roberts, B. (2013). Policing the Crisis: Mugging, the State and Law and Order. Macmillan.Accessed date:10/11/2024</w:t>
      </w:r>
    </w:p>
    <w:p w:rsidR="4B080018" w:rsidP="0F30C324" w:rsidRDefault="4B080018" w14:paraId="3215BBE3" w14:textId="0EE02542">
      <w:pPr>
        <w:pStyle w:val="ListParagraph"/>
        <w:spacing w:before="240" w:beforeAutospacing="off" w:after="240" w:afterAutospacing="off"/>
        <w:ind w:left="720"/>
      </w:pPr>
      <w:r w:rsidRPr="0F30C324" w:rsidR="4B080018">
        <w:rPr>
          <w:noProof w:val="0"/>
          <w:lang w:val="en-US"/>
        </w:rPr>
        <w:t xml:space="preserve"> </w:t>
      </w:r>
    </w:p>
    <w:p w:rsidR="4B080018" w:rsidP="0F30C324" w:rsidRDefault="4B080018" w14:paraId="16C0805B" w14:textId="662F9C6A">
      <w:pPr>
        <w:pStyle w:val="ListParagraph"/>
        <w:numPr>
          <w:ilvl w:val="0"/>
          <w:numId w:val="1"/>
        </w:numPr>
        <w:spacing w:before="240" w:beforeAutospacing="off" w:after="240" w:afterAutospacing="off"/>
        <w:rPr/>
      </w:pPr>
      <w:r w:rsidRPr="0F30C324" w:rsidR="4B080018">
        <w:rPr>
          <w:noProof w:val="0"/>
          <w:lang w:val="en-US"/>
        </w:rPr>
        <w:t>Hillsborough Independent Panel. (2012). Hillsborough: The Report of the Hillsborough Independent Panel. London: The Stationery Office.Accessed date:10/11/2024</w:t>
      </w:r>
    </w:p>
    <w:p w:rsidR="4B080018" w:rsidP="0F30C324" w:rsidRDefault="4B080018" w14:paraId="4E003AD3" w14:textId="6C0E563C">
      <w:pPr>
        <w:pStyle w:val="ListParagraph"/>
        <w:spacing w:before="240" w:beforeAutospacing="off" w:after="240" w:afterAutospacing="off"/>
        <w:ind w:left="720"/>
      </w:pPr>
      <w:r w:rsidRPr="0F30C324" w:rsidR="4B080018">
        <w:rPr>
          <w:noProof w:val="0"/>
          <w:lang w:val="en-US"/>
        </w:rPr>
        <w:t xml:space="preserve"> </w:t>
      </w:r>
    </w:p>
    <w:p w:rsidR="4B080018" w:rsidP="0F30C324" w:rsidRDefault="4B080018" w14:paraId="6E6F8998" w14:textId="427B13E7">
      <w:pPr>
        <w:pStyle w:val="ListParagraph"/>
        <w:numPr>
          <w:ilvl w:val="0"/>
          <w:numId w:val="1"/>
        </w:numPr>
        <w:spacing w:before="240" w:beforeAutospacing="off" w:after="240" w:afterAutospacing="off"/>
        <w:rPr/>
      </w:pPr>
      <w:r w:rsidRPr="0F30C324" w:rsidR="4B080018">
        <w:rPr>
          <w:noProof w:val="0"/>
          <w:lang w:val="en-US"/>
        </w:rPr>
        <w:t>Independent Office for Police Conduct. (2020). Annual Report and Accounts 2019/20. London: The Stationery Office.Accessed date:03/11/2024</w:t>
      </w:r>
    </w:p>
    <w:p w:rsidR="4B080018" w:rsidP="0F30C324" w:rsidRDefault="4B080018" w14:paraId="1465CC23" w14:textId="4604E15A">
      <w:pPr>
        <w:pStyle w:val="ListParagraph"/>
        <w:spacing w:before="240" w:beforeAutospacing="off" w:after="240" w:afterAutospacing="off"/>
        <w:ind w:left="720"/>
      </w:pPr>
      <w:r w:rsidRPr="0F30C324" w:rsidR="4B080018">
        <w:rPr>
          <w:noProof w:val="0"/>
          <w:lang w:val="en-US"/>
        </w:rPr>
        <w:t xml:space="preserve"> </w:t>
      </w:r>
    </w:p>
    <w:p w:rsidR="4B080018" w:rsidP="0F30C324" w:rsidRDefault="4B080018" w14:paraId="6300FA26" w14:textId="288F390F">
      <w:pPr>
        <w:pStyle w:val="ListParagraph"/>
        <w:numPr>
          <w:ilvl w:val="0"/>
          <w:numId w:val="1"/>
        </w:numPr>
        <w:spacing w:before="240" w:beforeAutospacing="off" w:after="240" w:afterAutospacing="off"/>
        <w:rPr/>
      </w:pPr>
      <w:r w:rsidRPr="0F30C324" w:rsidR="4B080018">
        <w:rPr>
          <w:noProof w:val="0"/>
          <w:lang w:val="en-US"/>
        </w:rPr>
        <w:t>Macpherson, W. (1999). The Stephen Lawrence Inquiry: Report of an Inquiry by Sir William Macpherson of Cluny. The Stationery Office.Accessed date:20/11/2024</w:t>
      </w:r>
    </w:p>
    <w:p w:rsidR="0F30C324" w:rsidP="0F30C324" w:rsidRDefault="0F30C324" w14:paraId="136004DF" w14:textId="1FC97A54">
      <w:pPr>
        <w:pStyle w:val="ListParagraph"/>
        <w:spacing w:before="240" w:beforeAutospacing="off" w:after="240" w:afterAutospacing="off"/>
        <w:ind w:left="720"/>
        <w:rPr>
          <w:noProof w:val="0"/>
          <w:lang w:val="en-US"/>
        </w:rPr>
      </w:pPr>
    </w:p>
    <w:p w:rsidR="4B080018" w:rsidP="0F30C324" w:rsidRDefault="4B080018" w14:paraId="16A2284C" w14:textId="0A7A6701">
      <w:pPr>
        <w:pStyle w:val="ListParagraph"/>
        <w:numPr>
          <w:ilvl w:val="0"/>
          <w:numId w:val="1"/>
        </w:numPr>
        <w:spacing w:before="240" w:beforeAutospacing="off" w:after="240" w:afterAutospacing="off"/>
        <w:rPr>
          <w:noProof w:val="0"/>
          <w:lang w:val="en-US"/>
        </w:rPr>
      </w:pPr>
      <w:r w:rsidRPr="0F30C324" w:rsidR="4B080018">
        <w:rPr>
          <w:noProof w:val="0"/>
          <w:lang w:val="en-US"/>
        </w:rPr>
        <w:t xml:space="preserve">Myhill, A., &amp; Quinton, P. (2011). </w:t>
      </w:r>
      <w:r w:rsidRPr="0F30C324" w:rsidR="4B080018">
        <w:rPr>
          <w:noProof w:val="0"/>
          <w:lang w:val="en-US"/>
        </w:rPr>
        <w:t>It’s</w:t>
      </w:r>
      <w:r w:rsidRPr="0F30C324" w:rsidR="4B080018">
        <w:rPr>
          <w:noProof w:val="0"/>
          <w:lang w:val="en-US"/>
        </w:rPr>
        <w:t xml:space="preserve"> a fair </w:t>
      </w:r>
      <w:r w:rsidRPr="0F30C324" w:rsidR="4B080018">
        <w:rPr>
          <w:noProof w:val="0"/>
          <w:lang w:val="en-US"/>
        </w:rPr>
        <w:t>cop</w:t>
      </w:r>
      <w:r w:rsidRPr="0F30C324" w:rsidR="4B080018">
        <w:rPr>
          <w:noProof w:val="0"/>
          <w:lang w:val="en-US"/>
        </w:rPr>
        <w:t xml:space="preserve">? Police legitimacy, public cooperation, and crime reduction: An interpretative evidence commentary. London: National Policing Improvement </w:t>
      </w:r>
      <w:r w:rsidRPr="0F30C324" w:rsidR="4B080018">
        <w:rPr>
          <w:noProof w:val="0"/>
          <w:lang w:val="en-US"/>
        </w:rPr>
        <w:t>Agency.Accessed</w:t>
      </w:r>
      <w:r w:rsidRPr="0F30C324" w:rsidR="4B080018">
        <w:rPr>
          <w:noProof w:val="0"/>
          <w:lang w:val="en-US"/>
        </w:rPr>
        <w:t xml:space="preserve"> date:11/11/2024</w:t>
      </w:r>
    </w:p>
    <w:p w:rsidR="0F30C324" w:rsidP="0F30C324" w:rsidRDefault="0F30C324" w14:paraId="0189CDD0" w14:textId="4C3FA122">
      <w:pPr>
        <w:pStyle w:val="ListParagraph"/>
        <w:spacing w:before="240" w:beforeAutospacing="off" w:after="240" w:afterAutospacing="off"/>
        <w:ind w:left="720"/>
        <w:rPr>
          <w:noProof w:val="0"/>
          <w:lang w:val="en-US"/>
        </w:rPr>
      </w:pPr>
    </w:p>
    <w:p w:rsidR="4B080018" w:rsidP="0F30C324" w:rsidRDefault="4B080018" w14:paraId="0E641832" w14:textId="3E8E5DD8">
      <w:pPr>
        <w:pStyle w:val="ListParagraph"/>
        <w:numPr>
          <w:ilvl w:val="0"/>
          <w:numId w:val="1"/>
        </w:numPr>
        <w:spacing w:before="240" w:beforeAutospacing="off" w:after="240" w:afterAutospacing="off"/>
        <w:rPr/>
      </w:pPr>
      <w:r w:rsidRPr="0F30C324" w:rsidR="4B080018">
        <w:rPr>
          <w:noProof w:val="0"/>
          <w:lang w:val="en-US"/>
        </w:rPr>
        <w:t>Peel, R. (1829). A Report on the Organization of the Police of the Metropolis.Accessed date:11/11/2024</w:t>
      </w:r>
    </w:p>
    <w:p w:rsidR="4B080018" w:rsidP="0F30C324" w:rsidRDefault="4B080018" w14:paraId="61B98231" w14:textId="57A9DAED">
      <w:pPr>
        <w:pStyle w:val="ListParagraph"/>
        <w:spacing w:before="240" w:beforeAutospacing="off" w:after="240" w:afterAutospacing="off"/>
        <w:ind w:left="720"/>
      </w:pPr>
      <w:r w:rsidRPr="0F30C324" w:rsidR="4B080018">
        <w:rPr>
          <w:noProof w:val="0"/>
          <w:lang w:val="en-US"/>
        </w:rPr>
        <w:t xml:space="preserve"> </w:t>
      </w:r>
    </w:p>
    <w:p w:rsidR="4B080018" w:rsidP="0F30C324" w:rsidRDefault="4B080018" w14:paraId="7D5FC8E5" w14:textId="25A6F2AB">
      <w:pPr>
        <w:pStyle w:val="ListParagraph"/>
        <w:numPr>
          <w:ilvl w:val="0"/>
          <w:numId w:val="1"/>
        </w:numPr>
        <w:spacing w:before="240" w:beforeAutospacing="off" w:after="240" w:afterAutospacing="off"/>
        <w:rPr/>
      </w:pPr>
      <w:r w:rsidRPr="0F30C324" w:rsidR="4B080018">
        <w:rPr>
          <w:noProof w:val="0"/>
          <w:lang w:val="en-US"/>
        </w:rPr>
        <w:t xml:space="preserve">Police (Conduct) Regulations 2020. (2020). London: The Stationery Office. Available at: </w:t>
      </w:r>
      <w:hyperlink r:id="R41e6114b7cd145fa">
        <w:r w:rsidRPr="0F30C324" w:rsidR="4B080018">
          <w:rPr>
            <w:rStyle w:val="Hyperlink"/>
            <w:noProof w:val="0"/>
            <w:lang w:val="en-US"/>
          </w:rPr>
          <w:t>https://www.legislation.gov.uk/uksi/2020/4</w:t>
        </w:r>
      </w:hyperlink>
      <w:r w:rsidRPr="0F30C324" w:rsidR="4B080018">
        <w:rPr>
          <w:noProof w:val="0"/>
          <w:lang w:val="en-US"/>
        </w:rPr>
        <w:t xml:space="preserve"> Accessed date:20/11/2024</w:t>
      </w:r>
    </w:p>
    <w:p w:rsidR="0F30C324" w:rsidP="0F30C324" w:rsidRDefault="0F30C324" w14:paraId="24CC1C02" w14:textId="01692CD5">
      <w:pPr>
        <w:pStyle w:val="ListParagraph"/>
        <w:spacing w:before="240" w:beforeAutospacing="off" w:after="240" w:afterAutospacing="off"/>
        <w:ind w:left="720"/>
        <w:rPr>
          <w:noProof w:val="0"/>
          <w:lang w:val="en-US"/>
        </w:rPr>
      </w:pPr>
    </w:p>
    <w:p w:rsidR="4B080018" w:rsidP="0F30C324" w:rsidRDefault="4B080018" w14:paraId="376FA4AA" w14:textId="37FDF141">
      <w:pPr>
        <w:pStyle w:val="ListParagraph"/>
        <w:numPr>
          <w:ilvl w:val="0"/>
          <w:numId w:val="1"/>
        </w:numPr>
        <w:spacing w:before="240" w:beforeAutospacing="off" w:after="240" w:afterAutospacing="off"/>
        <w:rPr/>
      </w:pPr>
      <w:r w:rsidRPr="0F30C324" w:rsidR="4B080018">
        <w:rPr>
          <w:noProof w:val="0"/>
          <w:lang w:val="en-US"/>
        </w:rPr>
        <w:t>Reid, J. (2019). Race and Policing in Britain: The Impact of Historical Injustices on Policing Practices. Routledge.Accessed date:06/11/2024</w:t>
      </w:r>
    </w:p>
    <w:p w:rsidR="0F30C324" w:rsidP="0F30C324" w:rsidRDefault="0F30C324" w14:paraId="74F3498B" w14:textId="1CF2F3C3">
      <w:pPr>
        <w:pStyle w:val="ListParagraph"/>
        <w:spacing w:before="240" w:beforeAutospacing="off" w:after="240" w:afterAutospacing="off"/>
        <w:ind w:left="720"/>
        <w:rPr>
          <w:noProof w:val="0"/>
          <w:lang w:val="en-US"/>
        </w:rPr>
      </w:pPr>
    </w:p>
    <w:p w:rsidR="4B080018" w:rsidP="0F30C324" w:rsidRDefault="4B080018" w14:paraId="77AEDE7F" w14:textId="091D277E">
      <w:pPr>
        <w:pStyle w:val="ListParagraph"/>
        <w:numPr>
          <w:ilvl w:val="0"/>
          <w:numId w:val="1"/>
        </w:numPr>
        <w:spacing w:before="240" w:beforeAutospacing="off" w:after="240" w:afterAutospacing="off"/>
        <w:rPr/>
      </w:pPr>
      <w:r w:rsidRPr="0F30C324" w:rsidR="4B080018">
        <w:rPr>
          <w:noProof w:val="0"/>
          <w:lang w:val="en-US"/>
        </w:rPr>
        <w:t>Reiner, R. (2010). The Politics of the Police. 4th ed. Oxford University Press.Accessed date:03/11/2024</w:t>
      </w:r>
    </w:p>
    <w:p w:rsidR="4B080018" w:rsidP="0F30C324" w:rsidRDefault="4B080018" w14:paraId="0BDB9F01" w14:textId="53ED5468">
      <w:pPr>
        <w:pStyle w:val="ListParagraph"/>
        <w:spacing w:before="240" w:beforeAutospacing="off" w:after="240" w:afterAutospacing="off"/>
        <w:ind w:left="720"/>
      </w:pPr>
      <w:r w:rsidRPr="0F30C324" w:rsidR="4B080018">
        <w:rPr>
          <w:noProof w:val="0"/>
          <w:lang w:val="en-US"/>
        </w:rPr>
        <w:t xml:space="preserve"> </w:t>
      </w:r>
    </w:p>
    <w:p w:rsidR="4B080018" w:rsidP="0F30C324" w:rsidRDefault="4B080018" w14:paraId="22F12B40" w14:textId="63A9A75D">
      <w:pPr>
        <w:pStyle w:val="ListParagraph"/>
        <w:numPr>
          <w:ilvl w:val="0"/>
          <w:numId w:val="1"/>
        </w:numPr>
        <w:spacing w:before="240" w:beforeAutospacing="off" w:after="240" w:afterAutospacing="off"/>
        <w:rPr/>
      </w:pPr>
      <w:r w:rsidRPr="0F30C324" w:rsidR="4B080018">
        <w:rPr>
          <w:noProof w:val="0"/>
          <w:lang w:val="en-US"/>
        </w:rPr>
        <w:t>Stanko, E. A. (2014). The Police and Social Change in the UK: The Impact of Historical Incidents on the Role of Policing. Routledge.Accessed date:10/11/2024</w:t>
      </w:r>
    </w:p>
    <w:p w:rsidR="0F30C324" w:rsidP="0F30C324" w:rsidRDefault="0F30C324" w14:paraId="370EB117" w14:textId="3022D918">
      <w:pPr>
        <w:pStyle w:val="ListParagraph"/>
        <w:spacing w:before="240" w:beforeAutospacing="off" w:after="240" w:afterAutospacing="off"/>
        <w:ind w:left="720"/>
        <w:rPr>
          <w:noProof w:val="0"/>
          <w:lang w:val="en-US"/>
        </w:rPr>
      </w:pPr>
    </w:p>
    <w:p w:rsidR="4B080018" w:rsidP="0F30C324" w:rsidRDefault="4B080018" w14:paraId="6C798972" w14:textId="5E694857">
      <w:pPr>
        <w:pStyle w:val="ListParagraph"/>
        <w:numPr>
          <w:ilvl w:val="0"/>
          <w:numId w:val="1"/>
        </w:numPr>
        <w:spacing w:before="240" w:beforeAutospacing="off" w:after="240" w:afterAutospacing="off"/>
        <w:rPr/>
      </w:pPr>
      <w:r w:rsidRPr="0F30C324" w:rsidR="4B080018">
        <w:rPr>
          <w:noProof w:val="0"/>
          <w:lang w:val="en-US"/>
        </w:rPr>
        <w:t>Stuart, D. (1988). The Politics of Protest: The 1981 Brixton Riots and Policing in London. Sage Publications.Accessed date:06/11/2024</w:t>
      </w:r>
    </w:p>
    <w:p w:rsidR="0F30C324" w:rsidP="0F30C324" w:rsidRDefault="0F30C324" w14:paraId="7A3B6C56" w14:textId="78A8B922">
      <w:pPr>
        <w:pStyle w:val="ListParagraph"/>
        <w:spacing w:before="240" w:beforeAutospacing="off" w:after="240" w:afterAutospacing="off"/>
        <w:ind w:left="720"/>
        <w:rPr>
          <w:noProof w:val="0"/>
          <w:lang w:val="en-US"/>
        </w:rPr>
      </w:pPr>
    </w:p>
    <w:p w:rsidR="0F30C324" w:rsidP="0F30C324" w:rsidRDefault="0F30C324" w14:paraId="2D0BD062" w14:textId="7F3295F7">
      <w:pPr>
        <w:pStyle w:val="ListParagraph"/>
        <w:ind w:left="720"/>
        <w:jc w:val="left"/>
        <w:rPr>
          <w:sz w:val="48"/>
          <w:szCs w:val="48"/>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fa9a5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72E4B4"/>
    <w:rsid w:val="018D351E"/>
    <w:rsid w:val="01DCC4CB"/>
    <w:rsid w:val="02D6B5D7"/>
    <w:rsid w:val="0F30C324"/>
    <w:rsid w:val="14E0E5C7"/>
    <w:rsid w:val="15EFCEBC"/>
    <w:rsid w:val="2910FDB4"/>
    <w:rsid w:val="36980542"/>
    <w:rsid w:val="37EEE94D"/>
    <w:rsid w:val="39F39845"/>
    <w:rsid w:val="3CBBFBCA"/>
    <w:rsid w:val="4B080018"/>
    <w:rsid w:val="4B6C1598"/>
    <w:rsid w:val="6B72E4B4"/>
    <w:rsid w:val="735EBFB6"/>
    <w:rsid w:val="7571F8E8"/>
    <w:rsid w:val="786CBD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2E4B4"/>
  <w15:chartTrackingRefBased/>
  <w15:docId w15:val="{33CC4BE9-59DA-4790-A377-7A412EF4E0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30C324"/>
    <w:pPr>
      <w:spacing/>
      <w:ind w:left="720"/>
      <w:contextualSpacing/>
    </w:pPr>
  </w:style>
  <w:style w:type="character" w:styleId="Hyperlink">
    <w:uiPriority w:val="99"/>
    <w:name w:val="Hyperlink"/>
    <w:basedOn w:val="DefaultParagraphFont"/>
    <w:unhideWhenUsed/>
    <w:rsid w:val="0F30C32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si/2020/4" TargetMode="External" Id="R41e6114b7cd145fa" /><Relationship Type="http://schemas.openxmlformats.org/officeDocument/2006/relationships/numbering" Target="numbering.xml" Id="R55949b8ddec84d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2024-12-06T12:16:49.1334406Z</dcterms:created>
  <dcterms:modified xsi:type="dcterms:W3CDTF">2024-12-06T12:31:57.4303796Z</dcterms:modified>
  <dc:creator>Elena Dinu (2320466)</dc:creator>
  <lastModifiedBy>Elena Dinu (2320466)</lastModifiedBy>
</coreProperties>
</file>