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882145" w14:textId="77777777" w:rsidR="0078010A" w:rsidRDefault="00000000">
      <w:r>
        <w:br/>
      </w:r>
    </w:p>
    <w:p w14:paraId="0F31B0CB" w14:textId="77777777" w:rsidR="00BD654F" w:rsidRDefault="00BD654F" w:rsidP="00BD654F">
      <w:pPr>
        <w:rPr>
          <w:b/>
          <w:sz w:val="28"/>
        </w:rPr>
      </w:pPr>
      <w:r>
        <w:rPr>
          <w:b/>
          <w:sz w:val="28"/>
        </w:rPr>
        <w:t>Module Code: BF2224</w:t>
      </w:r>
      <w:r>
        <w:rPr>
          <w:b/>
          <w:sz w:val="28"/>
        </w:rPr>
        <w:br/>
      </w:r>
    </w:p>
    <w:p w14:paraId="46710751" w14:textId="31BE90B0" w:rsidR="0078010A" w:rsidRDefault="00BD654F" w:rsidP="00BD654F">
      <w:pPr>
        <w:rPr>
          <w:b/>
          <w:sz w:val="28"/>
        </w:rPr>
      </w:pPr>
      <w:r>
        <w:rPr>
          <w:b/>
          <w:sz w:val="28"/>
        </w:rPr>
        <w:t>Module Title: Applied Management Accounting</w:t>
      </w:r>
      <w:r>
        <w:rPr>
          <w:b/>
          <w:sz w:val="28"/>
        </w:rPr>
        <w:br/>
      </w:r>
      <w:r>
        <w:rPr>
          <w:b/>
          <w:sz w:val="28"/>
        </w:rPr>
        <w:br/>
        <w:t>Student ID:</w:t>
      </w:r>
      <w:r w:rsidR="00FF69E6">
        <w:rPr>
          <w:b/>
          <w:sz w:val="28"/>
        </w:rPr>
        <w:t>2313056</w:t>
      </w:r>
    </w:p>
    <w:p w14:paraId="62CAE71B" w14:textId="77777777" w:rsidR="00BD654F" w:rsidRDefault="00BD654F" w:rsidP="00BD654F">
      <w:pPr>
        <w:jc w:val="center"/>
        <w:rPr>
          <w:b/>
          <w:bCs/>
        </w:rPr>
      </w:pPr>
    </w:p>
    <w:p w14:paraId="110183CE" w14:textId="0823DC66" w:rsidR="00BD654F" w:rsidRPr="00BD654F" w:rsidRDefault="00BD654F" w:rsidP="00BD654F">
      <w:pPr>
        <w:rPr>
          <w:b/>
          <w:bCs/>
          <w:sz w:val="28"/>
          <w:szCs w:val="28"/>
        </w:rPr>
      </w:pPr>
      <w:r w:rsidRPr="00BD654F">
        <w:rPr>
          <w:b/>
          <w:bCs/>
          <w:sz w:val="28"/>
          <w:szCs w:val="28"/>
        </w:rPr>
        <w:t>Assessment Title:</w:t>
      </w:r>
    </w:p>
    <w:p w14:paraId="31B8C270" w14:textId="022A32E8" w:rsidR="00BD654F" w:rsidRDefault="00BD654F" w:rsidP="00BD654F">
      <w:pPr>
        <w:rPr>
          <w:sz w:val="28"/>
          <w:szCs w:val="28"/>
        </w:rPr>
      </w:pPr>
      <w:r w:rsidRPr="00BD654F">
        <w:rPr>
          <w:sz w:val="28"/>
          <w:szCs w:val="28"/>
        </w:rPr>
        <w:t>Healthy Hospital Report &amp; using AI to enhance decision-making</w:t>
      </w:r>
    </w:p>
    <w:p w14:paraId="3E3B5EB7" w14:textId="77777777" w:rsidR="008A7901" w:rsidRDefault="008A7901" w:rsidP="00BD654F">
      <w:pPr>
        <w:rPr>
          <w:sz w:val="28"/>
          <w:szCs w:val="28"/>
        </w:rPr>
      </w:pPr>
    </w:p>
    <w:p w14:paraId="4C6832F4" w14:textId="77777777" w:rsidR="00BD654F" w:rsidRPr="00BD654F" w:rsidRDefault="00BD654F" w:rsidP="00BD654F">
      <w:pPr>
        <w:rPr>
          <w:sz w:val="28"/>
          <w:szCs w:val="28"/>
        </w:rPr>
      </w:pPr>
    </w:p>
    <w:p w14:paraId="6FEC308D" w14:textId="12DC85B8" w:rsidR="00BD654F" w:rsidRPr="00753CE0" w:rsidRDefault="00000000" w:rsidP="00BD654F">
      <w:r>
        <w:br w:type="page"/>
      </w:r>
    </w:p>
    <w:p w14:paraId="2406DA57" w14:textId="45E59550" w:rsidR="0078010A" w:rsidRPr="00E114D3" w:rsidRDefault="00000000">
      <w:pPr>
        <w:pStyle w:val="Heading1"/>
        <w:rPr>
          <w:color w:val="EE0000"/>
        </w:rPr>
      </w:pPr>
      <w:r>
        <w:lastRenderedPageBreak/>
        <w:t>Task 1: Business Report – Healthy Hospital</w:t>
      </w:r>
      <w:r w:rsidR="00E114D3">
        <w:t xml:space="preserve"> </w:t>
      </w:r>
    </w:p>
    <w:p w14:paraId="35F308B5" w14:textId="77777777" w:rsidR="0078010A" w:rsidRDefault="00000000">
      <w:pPr>
        <w:pStyle w:val="Heading2"/>
      </w:pPr>
      <w:r>
        <w:t>Section 1 – Executive Summary</w:t>
      </w:r>
    </w:p>
    <w:p w14:paraId="0CC8605C" w14:textId="62ECF3DF" w:rsidR="00F87934" w:rsidRPr="00E81ED1" w:rsidRDefault="00F87934" w:rsidP="00E81ED1">
      <w:pPr>
        <w:spacing w:line="360" w:lineRule="auto"/>
        <w:rPr>
          <w:rFonts w:ascii="Arial" w:hAnsi="Arial" w:cs="Arial"/>
        </w:rPr>
      </w:pPr>
      <w:r w:rsidRPr="00E81ED1">
        <w:rPr>
          <w:rFonts w:ascii="Arial" w:hAnsi="Arial" w:cs="Arial"/>
        </w:rPr>
        <w:t xml:space="preserve">Healthy Hospital is currently reviewing the way it measures costs and sets prices, as concerns have emerged that its </w:t>
      </w:r>
      <w:r w:rsidRPr="00E81ED1">
        <w:rPr>
          <w:rFonts w:ascii="Arial" w:hAnsi="Arial" w:cs="Arial"/>
        </w:rPr>
        <w:t>existing cost</w:t>
      </w:r>
      <w:r w:rsidRPr="00E81ED1">
        <w:rPr>
          <w:rFonts w:ascii="Arial" w:hAnsi="Arial" w:cs="Arial"/>
        </w:rPr>
        <w:t xml:space="preserve"> system may no longer support accurate decision-making. The hospital operates in a competitive and fast-changing private healthcare market, where understanding the true cost of each treatment is essential for financial sustainability. To remain competitive and profitable, the hospital must ensure that its costing and pricing methods provide reliable information that reflects how resources are </w:t>
      </w:r>
      <w:r w:rsidRPr="00E81ED1">
        <w:rPr>
          <w:rFonts w:ascii="Arial" w:hAnsi="Arial" w:cs="Arial"/>
        </w:rPr>
        <w:t>used</w:t>
      </w:r>
      <w:r w:rsidRPr="00E81ED1">
        <w:rPr>
          <w:rFonts w:ascii="Arial" w:hAnsi="Arial" w:cs="Arial"/>
        </w:rPr>
        <w:t>.</w:t>
      </w:r>
      <w:r w:rsidRPr="00E81ED1">
        <w:rPr>
          <w:rFonts w:ascii="Arial" w:hAnsi="Arial" w:cs="Arial"/>
        </w:rPr>
        <w:t xml:space="preserve"> </w:t>
      </w:r>
      <w:r w:rsidRPr="00E81ED1">
        <w:rPr>
          <w:rFonts w:ascii="Arial" w:hAnsi="Arial" w:cs="Arial"/>
        </w:rPr>
        <w:t xml:space="preserve">At present, Healthy Hospital uses a traditional Absorption Costing (AC) system, which allocates overhead costs based only on surgeon time. Although this method is straightforward and commonly used in many </w:t>
      </w:r>
      <w:proofErr w:type="spellStart"/>
      <w:r w:rsidRPr="00E81ED1">
        <w:rPr>
          <w:rFonts w:ascii="Arial" w:hAnsi="Arial" w:cs="Arial"/>
        </w:rPr>
        <w:t>organisations</w:t>
      </w:r>
      <w:proofErr w:type="spellEnd"/>
      <w:r w:rsidRPr="00E81ED1">
        <w:rPr>
          <w:rFonts w:ascii="Arial" w:hAnsi="Arial" w:cs="Arial"/>
        </w:rPr>
        <w:t xml:space="preserve">, it is not well suited to modern healthcare environments. Hospitals deliver complex services involving many activities beyond surgeon </w:t>
      </w:r>
      <w:proofErr w:type="spellStart"/>
      <w:r w:rsidRPr="00E81ED1">
        <w:rPr>
          <w:rFonts w:ascii="Arial" w:hAnsi="Arial" w:cs="Arial"/>
        </w:rPr>
        <w:t>labour</w:t>
      </w:r>
      <w:proofErr w:type="spellEnd"/>
      <w:r w:rsidRPr="00E81ED1">
        <w:rPr>
          <w:rFonts w:ascii="Arial" w:hAnsi="Arial" w:cs="Arial"/>
        </w:rPr>
        <w:t xml:space="preserve">, such as theatre preparation, post-operative care, diagnostic testing, consultant follow-up sessions, and overnight patient stays. When these varied activities are not properly </w:t>
      </w:r>
      <w:proofErr w:type="spellStart"/>
      <w:r w:rsidRPr="00E81ED1">
        <w:rPr>
          <w:rFonts w:ascii="Arial" w:hAnsi="Arial" w:cs="Arial"/>
        </w:rPr>
        <w:t>recognised</w:t>
      </w:r>
      <w:proofErr w:type="spellEnd"/>
      <w:r w:rsidRPr="00E81ED1">
        <w:rPr>
          <w:rFonts w:ascii="Arial" w:hAnsi="Arial" w:cs="Arial"/>
        </w:rPr>
        <w:t xml:space="preserve"> in the costing system, the result is a distorted picture of service profitability. Some operations may appear profitable simply because they require relatively little surgeon time, even though they consume significant non-</w:t>
      </w:r>
      <w:proofErr w:type="spellStart"/>
      <w:r w:rsidRPr="00E81ED1">
        <w:rPr>
          <w:rFonts w:ascii="Arial" w:hAnsi="Arial" w:cs="Arial"/>
        </w:rPr>
        <w:t>labour</w:t>
      </w:r>
      <w:proofErr w:type="spellEnd"/>
      <w:r w:rsidRPr="00E81ED1">
        <w:rPr>
          <w:rFonts w:ascii="Arial" w:hAnsi="Arial" w:cs="Arial"/>
        </w:rPr>
        <w:t xml:space="preserve"> resources. Others may appear less profitable than they </w:t>
      </w:r>
      <w:proofErr w:type="gramStart"/>
      <w:r w:rsidRPr="00E81ED1">
        <w:rPr>
          <w:rFonts w:ascii="Arial" w:hAnsi="Arial" w:cs="Arial"/>
        </w:rPr>
        <w:t>actually are</w:t>
      </w:r>
      <w:proofErr w:type="gramEnd"/>
      <w:r w:rsidRPr="00E81ED1">
        <w:rPr>
          <w:rFonts w:ascii="Arial" w:hAnsi="Arial" w:cs="Arial"/>
        </w:rPr>
        <w:t>.</w:t>
      </w:r>
      <w:r w:rsidRPr="00E81ED1">
        <w:rPr>
          <w:rFonts w:ascii="Arial" w:hAnsi="Arial" w:cs="Arial"/>
        </w:rPr>
        <w:t xml:space="preserve"> </w:t>
      </w:r>
      <w:r w:rsidRPr="00E81ED1">
        <w:rPr>
          <w:rFonts w:ascii="Arial" w:hAnsi="Arial" w:cs="Arial"/>
        </w:rPr>
        <w:t>Concerns about these distortions led the hospital to examine Activity Based Costing (ABC) as an alternative method. ABC allocates costs based on specific activities and the resources they consume. By identifying cost drivers such as bed-days, follow-up appointments, or equipment usage, ABC offers a more realistic view of the true cost of each operation. This system is particularly valuable in healthcare, where operations with similar clinical characteristics can use very different levels of indirect resources.</w:t>
      </w:r>
      <w:r w:rsidRPr="00E81ED1">
        <w:rPr>
          <w:rFonts w:ascii="Arial" w:hAnsi="Arial" w:cs="Arial"/>
        </w:rPr>
        <w:t xml:space="preserve"> </w:t>
      </w:r>
      <w:r w:rsidRPr="00E81ED1">
        <w:rPr>
          <w:rFonts w:ascii="Arial" w:hAnsi="Arial" w:cs="Arial"/>
        </w:rPr>
        <w:t xml:space="preserve">To assess the potential benefits of ABC for Healthy Hospital, a detailed comparison was carried out across three major operations: Feet, Shoulder, and Hip. The analysis revealed large differences between the results produced by AC and those produced by ABC. Under AC, the Hip operation appears to be one of the hospital’s strongest services, showing a healthy profit margin. However, the ABC results show the opposite: the Hip operation </w:t>
      </w:r>
      <w:proofErr w:type="gramStart"/>
      <w:r w:rsidRPr="00E81ED1">
        <w:rPr>
          <w:rFonts w:ascii="Arial" w:hAnsi="Arial" w:cs="Arial"/>
        </w:rPr>
        <w:t>actually generates</w:t>
      </w:r>
      <w:proofErr w:type="gramEnd"/>
      <w:r w:rsidRPr="00E81ED1">
        <w:rPr>
          <w:rFonts w:ascii="Arial" w:hAnsi="Arial" w:cs="Arial"/>
        </w:rPr>
        <w:t xml:space="preserve"> a significant loss because it requires extensive overnight stays and follow-up care. In contrast, the Feet operation, which AC treats as only marginally profitable, is shown under ABC to be highly efficient and strongly profitable. These findings indicate that the AC system is masking important financial </w:t>
      </w:r>
      <w:r w:rsidRPr="00E81ED1">
        <w:rPr>
          <w:rFonts w:ascii="Arial" w:hAnsi="Arial" w:cs="Arial"/>
        </w:rPr>
        <w:lastRenderedPageBreak/>
        <w:t>realities and may lead the hospital to make poor pricing, investment, and operational decisions.</w:t>
      </w:r>
      <w:r w:rsidRPr="00E81ED1">
        <w:rPr>
          <w:rFonts w:ascii="Arial" w:hAnsi="Arial" w:cs="Arial"/>
        </w:rPr>
        <w:t xml:space="preserve"> </w:t>
      </w:r>
      <w:r w:rsidRPr="00E81ED1">
        <w:rPr>
          <w:rFonts w:ascii="Arial" w:hAnsi="Arial" w:cs="Arial"/>
        </w:rPr>
        <w:t>In addition to evaluating the costing system, this report also examines pricing for Healthy Hospital’s new high-end wellbeing package. As part of the hospital’s strategic diversification into preventative and wellness services, the package aims to attract a growing customer segment seeking premium non-acute healthcare. An economic pricing model based on marginal analysis was used to identify the profit-</w:t>
      </w:r>
      <w:proofErr w:type="spellStart"/>
      <w:r w:rsidRPr="00E81ED1">
        <w:rPr>
          <w:rFonts w:ascii="Arial" w:hAnsi="Arial" w:cs="Arial"/>
        </w:rPr>
        <w:t>maximising</w:t>
      </w:r>
      <w:proofErr w:type="spellEnd"/>
      <w:r w:rsidRPr="00E81ED1">
        <w:rPr>
          <w:rFonts w:ascii="Arial" w:hAnsi="Arial" w:cs="Arial"/>
        </w:rPr>
        <w:t xml:space="preserve"> price under the hospital’s capacity constraints. This approach helps ensure that the new package is priced both competitively in the market and sustainably for the </w:t>
      </w:r>
      <w:proofErr w:type="spellStart"/>
      <w:r w:rsidRPr="00E81ED1">
        <w:rPr>
          <w:rFonts w:ascii="Arial" w:hAnsi="Arial" w:cs="Arial"/>
        </w:rPr>
        <w:t>organisation</w:t>
      </w:r>
      <w:proofErr w:type="spellEnd"/>
      <w:r w:rsidRPr="00E81ED1">
        <w:rPr>
          <w:rFonts w:ascii="Arial" w:hAnsi="Arial" w:cs="Arial"/>
        </w:rPr>
        <w:t>.</w:t>
      </w:r>
    </w:p>
    <w:p w14:paraId="7E2567C2" w14:textId="77777777" w:rsidR="00F87934" w:rsidRPr="00E81ED1" w:rsidRDefault="00F87934" w:rsidP="00E81ED1">
      <w:pPr>
        <w:spacing w:line="360" w:lineRule="auto"/>
        <w:rPr>
          <w:rFonts w:ascii="Arial" w:hAnsi="Arial" w:cs="Arial"/>
        </w:rPr>
      </w:pPr>
    </w:p>
    <w:p w14:paraId="693C70FA" w14:textId="618AE2FA" w:rsidR="00F87934" w:rsidRPr="00E81ED1" w:rsidRDefault="00F87934" w:rsidP="00E81ED1">
      <w:pPr>
        <w:spacing w:line="360" w:lineRule="auto"/>
        <w:rPr>
          <w:rFonts w:ascii="Arial" w:hAnsi="Arial" w:cs="Arial"/>
        </w:rPr>
      </w:pPr>
      <w:r w:rsidRPr="00E81ED1">
        <w:rPr>
          <w:rFonts w:ascii="Arial" w:hAnsi="Arial" w:cs="Arial"/>
        </w:rPr>
        <w:t xml:space="preserve">Overall, this report aims to provide a clear evaluation of Healthy Hospital’s current costing system, demonstrate the value of adopting Activity Based Costing, and recommend an appropriate price for the </w:t>
      </w:r>
      <w:proofErr w:type="gramStart"/>
      <w:r w:rsidRPr="00E81ED1">
        <w:rPr>
          <w:rFonts w:ascii="Arial" w:hAnsi="Arial" w:cs="Arial"/>
        </w:rPr>
        <w:t>wellbeing</w:t>
      </w:r>
      <w:proofErr w:type="gramEnd"/>
      <w:r w:rsidRPr="00E81ED1">
        <w:rPr>
          <w:rFonts w:ascii="Arial" w:hAnsi="Arial" w:cs="Arial"/>
        </w:rPr>
        <w:t xml:space="preserve"> package. By improving cost accuracy and aligning pricing with economic principles, Healthy Hospital will be better positioned to strengthen its financial performance, respond effectively to market pressures, and make well-informed strategic decisions</w:t>
      </w:r>
      <w:r w:rsidR="00E81ED1" w:rsidRPr="00E81ED1">
        <w:rPr>
          <w:rFonts w:ascii="Arial" w:hAnsi="Arial" w:cs="Arial"/>
        </w:rPr>
        <w:t>.</w:t>
      </w:r>
    </w:p>
    <w:p w14:paraId="27D13BF9" w14:textId="7BB2A8A8" w:rsidR="0078010A" w:rsidRDefault="00000000">
      <w:pPr>
        <w:pStyle w:val="Heading2"/>
      </w:pPr>
      <w:r>
        <w:t>Section 2 – Sector Review</w:t>
      </w:r>
    </w:p>
    <w:p w14:paraId="758C642C" w14:textId="1CFD754A" w:rsidR="00FF69E6" w:rsidRPr="00E81ED1" w:rsidRDefault="00FF69E6" w:rsidP="00E81ED1">
      <w:pPr>
        <w:spacing w:line="360" w:lineRule="auto"/>
        <w:rPr>
          <w:rFonts w:ascii="Arial" w:hAnsi="Arial" w:cs="Arial"/>
        </w:rPr>
      </w:pPr>
      <w:r w:rsidRPr="00E81ED1">
        <w:rPr>
          <w:rFonts w:ascii="Arial" w:hAnsi="Arial" w:cs="Arial"/>
        </w:rPr>
        <w:t xml:space="preserve">Private sector demand is being </w:t>
      </w:r>
      <w:proofErr w:type="spellStart"/>
      <w:r w:rsidRPr="00E81ED1">
        <w:rPr>
          <w:rFonts w:ascii="Arial" w:hAnsi="Arial" w:cs="Arial"/>
        </w:rPr>
        <w:t>fuelled</w:t>
      </w:r>
      <w:proofErr w:type="spellEnd"/>
      <w:r w:rsidRPr="00E81ED1">
        <w:rPr>
          <w:rFonts w:ascii="Arial" w:hAnsi="Arial" w:cs="Arial"/>
        </w:rPr>
        <w:t xml:space="preserve"> primarily by unprecedented pressure on the National Health Service (NHS). Long waiting lists for elective procedures, significant delays in GP appointments, and difficulty accessing diagnostic services have pushed many patients toward private providers. According to recent findings from the Private Healthcare Information Network (PHIN, 2024, 2025), private admissions have reached record highs, with self-pay and insured patients increasingly viewing private healthcare as a practical alternative to NHS bottlenecks.</w:t>
      </w:r>
      <w:r w:rsidRPr="00E81ED1">
        <w:rPr>
          <w:rFonts w:ascii="Arial" w:hAnsi="Arial" w:cs="Arial"/>
        </w:rPr>
        <w:t xml:space="preserve"> </w:t>
      </w:r>
      <w:r w:rsidRPr="00E81ED1">
        <w:rPr>
          <w:rFonts w:ascii="Arial" w:hAnsi="Arial" w:cs="Arial"/>
        </w:rPr>
        <w:t>IBISWorld (2025) confirms this trend, reporting that patient willingness to pay for faster access to treatment is a key driver of private hospital revenue growth. The report highlights that pent-up NHS demand, combined with demographic pressures from an aging population, is likely to sustain private sector expansion over the coming years.</w:t>
      </w:r>
      <w:r w:rsidRPr="00E81ED1">
        <w:rPr>
          <w:rFonts w:ascii="Arial" w:hAnsi="Arial" w:cs="Arial"/>
        </w:rPr>
        <w:t xml:space="preserve">  </w:t>
      </w:r>
      <w:r w:rsidRPr="00E81ED1">
        <w:rPr>
          <w:rFonts w:ascii="Arial" w:hAnsi="Arial" w:cs="Arial"/>
        </w:rPr>
        <w:t xml:space="preserve">Demand growth is not uniform across funding types. Private Medical Insurance (PMI) admissions have shown strong, sustained growth as employers invest in PMI to </w:t>
      </w:r>
      <w:proofErr w:type="spellStart"/>
      <w:r w:rsidRPr="00E81ED1">
        <w:rPr>
          <w:rFonts w:ascii="Arial" w:hAnsi="Arial" w:cs="Arial"/>
        </w:rPr>
        <w:t>minimise</w:t>
      </w:r>
      <w:proofErr w:type="spellEnd"/>
      <w:r w:rsidRPr="00E81ED1">
        <w:rPr>
          <w:rFonts w:ascii="Arial" w:hAnsi="Arial" w:cs="Arial"/>
        </w:rPr>
        <w:t xml:space="preserve"> staff absence caused by NHS delays. </w:t>
      </w:r>
      <w:r w:rsidRPr="00E81ED1">
        <w:rPr>
          <w:rFonts w:ascii="Arial" w:hAnsi="Arial" w:cs="Arial"/>
        </w:rPr>
        <w:t>On the other hand</w:t>
      </w:r>
      <w:r w:rsidRPr="00E81ED1">
        <w:rPr>
          <w:rFonts w:ascii="Arial" w:hAnsi="Arial" w:cs="Arial"/>
        </w:rPr>
        <w:t xml:space="preserve">, the rapid post-pandemic expansion of the self-pay market has begun to plateau. According to </w:t>
      </w:r>
      <w:proofErr w:type="spellStart"/>
      <w:r w:rsidRPr="00E81ED1">
        <w:rPr>
          <w:rFonts w:ascii="Arial" w:hAnsi="Arial" w:cs="Arial"/>
        </w:rPr>
        <w:t>LaingBuisson</w:t>
      </w:r>
      <w:proofErr w:type="spellEnd"/>
      <w:r w:rsidRPr="00E81ED1">
        <w:rPr>
          <w:rFonts w:ascii="Arial" w:hAnsi="Arial" w:cs="Arial"/>
        </w:rPr>
        <w:t xml:space="preserve"> (2024), economic uncertainty and the cost-of-living crisis have made patients more price-sensitive, especially for high-ticket </w:t>
      </w:r>
      <w:r w:rsidRPr="00E81ED1">
        <w:rPr>
          <w:rFonts w:ascii="Arial" w:hAnsi="Arial" w:cs="Arial"/>
        </w:rPr>
        <w:lastRenderedPageBreak/>
        <w:t>elective procedures.</w:t>
      </w:r>
      <w:r w:rsidRPr="00E81ED1">
        <w:rPr>
          <w:rFonts w:ascii="Arial" w:hAnsi="Arial" w:cs="Arial"/>
        </w:rPr>
        <w:t xml:space="preserve"> </w:t>
      </w:r>
      <w:r w:rsidRPr="00E81ED1">
        <w:rPr>
          <w:rFonts w:ascii="Arial" w:hAnsi="Arial" w:cs="Arial"/>
        </w:rPr>
        <w:t>This divergence increases the strategic importance of accurate and competitive pricing. If Healthy Hospital misprices key services due to distorted cost information, it risks losing market share in a sector where consumers</w:t>
      </w:r>
      <w:r w:rsidRPr="00E81ED1">
        <w:rPr>
          <w:rFonts w:ascii="Arial" w:hAnsi="Arial" w:cs="Arial"/>
        </w:rPr>
        <w:t xml:space="preserve"> </w:t>
      </w:r>
      <w:r w:rsidRPr="00E81ED1">
        <w:rPr>
          <w:rFonts w:ascii="Arial" w:hAnsi="Arial" w:cs="Arial"/>
        </w:rPr>
        <w:t xml:space="preserve">are increasingly </w:t>
      </w:r>
      <w:r w:rsidRPr="00E81ED1">
        <w:rPr>
          <w:rFonts w:ascii="Arial" w:hAnsi="Arial" w:cs="Arial"/>
        </w:rPr>
        <w:t>value conscious</w:t>
      </w:r>
      <w:r w:rsidRPr="00E81ED1">
        <w:rPr>
          <w:rFonts w:ascii="Arial" w:hAnsi="Arial" w:cs="Arial"/>
        </w:rPr>
        <w:t>.</w:t>
      </w:r>
      <w:r w:rsidRPr="00E81ED1">
        <w:rPr>
          <w:rFonts w:ascii="Arial" w:hAnsi="Arial" w:cs="Arial"/>
        </w:rPr>
        <w:t xml:space="preserve"> </w:t>
      </w:r>
      <w:r w:rsidRPr="00E81ED1">
        <w:rPr>
          <w:rFonts w:ascii="Arial" w:hAnsi="Arial" w:cs="Arial"/>
        </w:rPr>
        <w:t>The historically fragmented private healthcare market is becoming more competitive. Previously, geographical concentration sometimes limited patient choice (OFT, 2011), but new entrants and facility expansions are increasing competition, particularly in elective care. Younger patients are more informed and more likely to compare options based on price, quality, and convenience.</w:t>
      </w:r>
      <w:r w:rsidRPr="00E81ED1">
        <w:rPr>
          <w:rFonts w:ascii="Arial" w:hAnsi="Arial" w:cs="Arial"/>
        </w:rPr>
        <w:t xml:space="preserve"> </w:t>
      </w:r>
      <w:r w:rsidRPr="00E81ED1">
        <w:rPr>
          <w:rFonts w:ascii="Arial" w:hAnsi="Arial" w:cs="Arial"/>
        </w:rPr>
        <w:t>Providers are now also diversifying beyond traditional surgical services. There is fast-growing demand for diagnostics, preventative health programs, and premium wellbeing services (Burges Salmon, 2025</w:t>
      </w:r>
      <w:proofErr w:type="gramStart"/>
      <w:r w:rsidRPr="00E81ED1">
        <w:rPr>
          <w:rFonts w:ascii="Arial" w:hAnsi="Arial" w:cs="Arial"/>
        </w:rPr>
        <w:t>) .</w:t>
      </w:r>
      <w:r w:rsidRPr="00E81ED1">
        <w:rPr>
          <w:rFonts w:ascii="Arial" w:hAnsi="Arial" w:cs="Arial"/>
        </w:rPr>
        <w:t>This</w:t>
      </w:r>
      <w:proofErr w:type="gramEnd"/>
      <w:r w:rsidRPr="00E81ED1">
        <w:rPr>
          <w:rFonts w:ascii="Arial" w:hAnsi="Arial" w:cs="Arial"/>
        </w:rPr>
        <w:t xml:space="preserve"> shift underscores the relevance of Healthy Hospital’s strategy to launch a premium wellbeing package, which can attract new market segments and provide stable revenue to offset fluctuations in surgical demand.</w:t>
      </w:r>
      <w:r w:rsidRPr="00E81ED1">
        <w:rPr>
          <w:rFonts w:ascii="Arial" w:hAnsi="Arial" w:cs="Arial"/>
        </w:rPr>
        <w:t xml:space="preserve"> </w:t>
      </w:r>
      <w:r w:rsidRPr="00E81ED1">
        <w:rPr>
          <w:rFonts w:ascii="Arial" w:hAnsi="Arial" w:cs="Arial"/>
        </w:rPr>
        <w:t xml:space="preserve">Overall, Healthy Hospital is operating in a </w:t>
      </w:r>
      <w:r w:rsidRPr="00E81ED1">
        <w:rPr>
          <w:rFonts w:ascii="Arial" w:hAnsi="Arial" w:cs="Arial"/>
        </w:rPr>
        <w:t>high opportunity</w:t>
      </w:r>
      <w:r w:rsidRPr="00E81ED1">
        <w:rPr>
          <w:rFonts w:ascii="Arial" w:hAnsi="Arial" w:cs="Arial"/>
        </w:rPr>
        <w:t xml:space="preserve"> but high-pressure market. Competition, cost visibility, and pricing accuracy are essential for long-term sustainability</w:t>
      </w:r>
      <w:r w:rsidRPr="00E81ED1">
        <w:rPr>
          <w:rFonts w:ascii="Arial" w:hAnsi="Arial" w:cs="Arial"/>
        </w:rPr>
        <w:t xml:space="preserve"> to help </w:t>
      </w:r>
      <w:r w:rsidRPr="00E81ED1">
        <w:rPr>
          <w:rFonts w:ascii="Arial" w:hAnsi="Arial" w:cs="Arial"/>
        </w:rPr>
        <w:t>reinforc</w:t>
      </w:r>
      <w:r w:rsidRPr="00E81ED1">
        <w:rPr>
          <w:rFonts w:ascii="Arial" w:hAnsi="Arial" w:cs="Arial"/>
        </w:rPr>
        <w:t>e</w:t>
      </w:r>
      <w:r w:rsidRPr="00E81ED1">
        <w:rPr>
          <w:rFonts w:ascii="Arial" w:hAnsi="Arial" w:cs="Arial"/>
        </w:rPr>
        <w:t xml:space="preserve"> the need for an improved costing system</w:t>
      </w:r>
      <w:r w:rsidRPr="00E81ED1">
        <w:rPr>
          <w:rFonts w:ascii="Arial" w:hAnsi="Arial" w:cs="Arial"/>
        </w:rPr>
        <w:t>.</w:t>
      </w:r>
    </w:p>
    <w:p w14:paraId="29DAAA0A" w14:textId="7D3D778E" w:rsidR="0078010A" w:rsidRDefault="00000000">
      <w:pPr>
        <w:pStyle w:val="Heading2"/>
      </w:pPr>
      <w:r>
        <w:t>Section 3 – Operation Cost and Profit Analysis</w:t>
      </w:r>
    </w:p>
    <w:p w14:paraId="1D827800" w14:textId="14AAE148" w:rsidR="004402CD" w:rsidRPr="00E81ED1" w:rsidRDefault="004402CD" w:rsidP="00E81ED1">
      <w:pPr>
        <w:spacing w:line="360" w:lineRule="auto"/>
        <w:jc w:val="both"/>
        <w:rPr>
          <w:rFonts w:ascii="Arial" w:hAnsi="Arial" w:cs="Arial"/>
        </w:rPr>
      </w:pPr>
      <w:r w:rsidRPr="00E81ED1">
        <w:rPr>
          <w:rFonts w:ascii="Arial" w:hAnsi="Arial" w:cs="Arial"/>
        </w:rPr>
        <w:t xml:space="preserve">This section evaluates the total cost and profitability of the three core operations (Feet, Shoulder, Hip) under the two proposed overhead allocation methods: Option 1 (Absorption Costing - AC) and Option 2 (Activity Based Costing - ABC). </w:t>
      </w:r>
    </w:p>
    <w:p w14:paraId="31425C43" w14:textId="77777777" w:rsidR="004402CD" w:rsidRPr="00E81ED1" w:rsidRDefault="004402CD" w:rsidP="00E81ED1">
      <w:pPr>
        <w:spacing w:line="360" w:lineRule="auto"/>
        <w:jc w:val="both"/>
        <w:rPr>
          <w:rFonts w:ascii="Arial" w:hAnsi="Arial" w:cs="Arial"/>
        </w:rPr>
      </w:pPr>
    </w:p>
    <w:p w14:paraId="59DA3C06" w14:textId="77777777" w:rsidR="004402CD" w:rsidRPr="00E81ED1" w:rsidRDefault="004402CD" w:rsidP="00E81ED1">
      <w:pPr>
        <w:spacing w:line="360" w:lineRule="auto"/>
        <w:jc w:val="both"/>
        <w:rPr>
          <w:rFonts w:ascii="Arial" w:hAnsi="Arial" w:cs="Arial"/>
        </w:rPr>
      </w:pPr>
      <w:r w:rsidRPr="00E81ED1">
        <w:rPr>
          <w:rFonts w:ascii="Arial" w:hAnsi="Arial" w:cs="Arial"/>
        </w:rPr>
        <w:t>3.1 Total Cost and Profit per Operation</w:t>
      </w:r>
    </w:p>
    <w:p w14:paraId="0985B32C" w14:textId="77777777" w:rsidR="004402CD" w:rsidRPr="00E81ED1" w:rsidRDefault="004402CD" w:rsidP="00E81ED1">
      <w:pPr>
        <w:spacing w:line="360" w:lineRule="auto"/>
        <w:jc w:val="both"/>
        <w:rPr>
          <w:rFonts w:ascii="Arial" w:hAnsi="Arial" w:cs="Arial"/>
        </w:rPr>
      </w:pPr>
      <w:r w:rsidRPr="00E81ED1">
        <w:rPr>
          <w:rFonts w:ascii="Arial" w:hAnsi="Arial" w:cs="Arial"/>
        </w:rPr>
        <w:t xml:space="preserve">The following table </w:t>
      </w:r>
      <w:proofErr w:type="spellStart"/>
      <w:r w:rsidRPr="00E81ED1">
        <w:rPr>
          <w:rFonts w:ascii="Arial" w:hAnsi="Arial" w:cs="Arial"/>
        </w:rPr>
        <w:t>summarises</w:t>
      </w:r>
      <w:proofErr w:type="spellEnd"/>
      <w:r w:rsidRPr="00E81ED1">
        <w:rPr>
          <w:rFonts w:ascii="Arial" w:hAnsi="Arial" w:cs="Arial"/>
        </w:rPr>
        <w:t xml:space="preserve"> the confirmed results for total cost and profit margin provided in your calculation summary:</w:t>
      </w:r>
    </w:p>
    <w:tbl>
      <w:tblPr>
        <w:tblStyle w:val="TableGrid"/>
        <w:tblW w:w="0" w:type="auto"/>
        <w:tblLook w:val="04A0" w:firstRow="1" w:lastRow="0" w:firstColumn="1" w:lastColumn="0" w:noHBand="0" w:noVBand="1"/>
      </w:tblPr>
      <w:tblGrid>
        <w:gridCol w:w="2157"/>
        <w:gridCol w:w="2157"/>
        <w:gridCol w:w="2158"/>
        <w:gridCol w:w="2158"/>
      </w:tblGrid>
      <w:tr w:rsidR="004402CD" w:rsidRPr="00E81ED1" w14:paraId="24D49755" w14:textId="77777777" w:rsidTr="004402CD">
        <w:tc>
          <w:tcPr>
            <w:tcW w:w="2157" w:type="dxa"/>
          </w:tcPr>
          <w:p w14:paraId="4567EE2B" w14:textId="77777777" w:rsidR="004402CD" w:rsidRPr="00E81ED1" w:rsidRDefault="004402CD" w:rsidP="00E81ED1">
            <w:pPr>
              <w:spacing w:line="360" w:lineRule="auto"/>
              <w:jc w:val="both"/>
              <w:rPr>
                <w:rFonts w:ascii="Arial" w:hAnsi="Arial" w:cs="Arial"/>
              </w:rPr>
            </w:pPr>
          </w:p>
        </w:tc>
        <w:tc>
          <w:tcPr>
            <w:tcW w:w="2157" w:type="dxa"/>
          </w:tcPr>
          <w:p w14:paraId="3F28B745" w14:textId="55A6AB82" w:rsidR="004402CD" w:rsidRPr="00E81ED1" w:rsidRDefault="004402CD" w:rsidP="00E81ED1">
            <w:pPr>
              <w:spacing w:line="360" w:lineRule="auto"/>
              <w:jc w:val="both"/>
              <w:rPr>
                <w:rFonts w:ascii="Arial" w:hAnsi="Arial" w:cs="Arial"/>
              </w:rPr>
            </w:pPr>
            <w:r w:rsidRPr="00E81ED1">
              <w:rPr>
                <w:rFonts w:ascii="Arial" w:hAnsi="Arial" w:cs="Arial"/>
              </w:rPr>
              <w:t>Feet</w:t>
            </w:r>
          </w:p>
        </w:tc>
        <w:tc>
          <w:tcPr>
            <w:tcW w:w="2158" w:type="dxa"/>
          </w:tcPr>
          <w:p w14:paraId="180BAF21" w14:textId="42D558D1" w:rsidR="004402CD" w:rsidRPr="00E81ED1" w:rsidRDefault="004402CD" w:rsidP="00E81ED1">
            <w:pPr>
              <w:spacing w:line="360" w:lineRule="auto"/>
              <w:jc w:val="both"/>
              <w:rPr>
                <w:rFonts w:ascii="Arial" w:hAnsi="Arial" w:cs="Arial"/>
              </w:rPr>
            </w:pPr>
            <w:r w:rsidRPr="00E81ED1">
              <w:rPr>
                <w:rFonts w:ascii="Arial" w:hAnsi="Arial" w:cs="Arial"/>
              </w:rPr>
              <w:t>Shoulder</w:t>
            </w:r>
          </w:p>
        </w:tc>
        <w:tc>
          <w:tcPr>
            <w:tcW w:w="2158" w:type="dxa"/>
          </w:tcPr>
          <w:p w14:paraId="134A4F65" w14:textId="67C3D822" w:rsidR="004402CD" w:rsidRPr="00E81ED1" w:rsidRDefault="004402CD" w:rsidP="00E81ED1">
            <w:pPr>
              <w:spacing w:line="360" w:lineRule="auto"/>
              <w:jc w:val="both"/>
              <w:rPr>
                <w:rFonts w:ascii="Arial" w:hAnsi="Arial" w:cs="Arial"/>
              </w:rPr>
            </w:pPr>
            <w:r w:rsidRPr="00E81ED1">
              <w:rPr>
                <w:rFonts w:ascii="Arial" w:hAnsi="Arial" w:cs="Arial"/>
              </w:rPr>
              <w:t>Hip</w:t>
            </w:r>
          </w:p>
        </w:tc>
      </w:tr>
      <w:tr w:rsidR="004402CD" w:rsidRPr="00E81ED1" w14:paraId="2493EB22" w14:textId="77777777" w:rsidTr="004402CD">
        <w:tc>
          <w:tcPr>
            <w:tcW w:w="2157" w:type="dxa"/>
          </w:tcPr>
          <w:p w14:paraId="0ABE4FDB" w14:textId="55A426A3" w:rsidR="004402CD" w:rsidRPr="00E81ED1" w:rsidRDefault="004402CD" w:rsidP="00E81ED1">
            <w:pPr>
              <w:spacing w:line="360" w:lineRule="auto"/>
              <w:jc w:val="both"/>
              <w:rPr>
                <w:rFonts w:ascii="Arial" w:hAnsi="Arial" w:cs="Arial"/>
              </w:rPr>
            </w:pPr>
            <w:r w:rsidRPr="00E81ED1">
              <w:rPr>
                <w:rFonts w:ascii="Arial" w:hAnsi="Arial" w:cs="Arial"/>
              </w:rPr>
              <w:t>Patient Fee (£) (P)</w:t>
            </w:r>
          </w:p>
        </w:tc>
        <w:tc>
          <w:tcPr>
            <w:tcW w:w="2157" w:type="dxa"/>
          </w:tcPr>
          <w:p w14:paraId="420A2BF9" w14:textId="6CCF143F" w:rsidR="004402CD" w:rsidRPr="00E81ED1" w:rsidRDefault="004402CD" w:rsidP="00E81ED1">
            <w:pPr>
              <w:spacing w:line="360" w:lineRule="auto"/>
              <w:jc w:val="both"/>
              <w:rPr>
                <w:rFonts w:ascii="Arial" w:hAnsi="Arial" w:cs="Arial"/>
              </w:rPr>
            </w:pPr>
            <w:r w:rsidRPr="00E81ED1">
              <w:rPr>
                <w:rFonts w:ascii="Arial" w:hAnsi="Arial" w:cs="Arial"/>
              </w:rPr>
              <w:t>4200</w:t>
            </w:r>
          </w:p>
        </w:tc>
        <w:tc>
          <w:tcPr>
            <w:tcW w:w="2158" w:type="dxa"/>
          </w:tcPr>
          <w:p w14:paraId="1B45B7C4" w14:textId="3F50D266" w:rsidR="004402CD" w:rsidRPr="00E81ED1" w:rsidRDefault="004402CD" w:rsidP="00E81ED1">
            <w:pPr>
              <w:spacing w:line="360" w:lineRule="auto"/>
              <w:jc w:val="both"/>
              <w:rPr>
                <w:rFonts w:ascii="Arial" w:hAnsi="Arial" w:cs="Arial"/>
              </w:rPr>
            </w:pPr>
            <w:r w:rsidRPr="00E81ED1">
              <w:rPr>
                <w:rFonts w:ascii="Arial" w:hAnsi="Arial" w:cs="Arial"/>
              </w:rPr>
              <w:t>4700</w:t>
            </w:r>
          </w:p>
        </w:tc>
        <w:tc>
          <w:tcPr>
            <w:tcW w:w="2158" w:type="dxa"/>
          </w:tcPr>
          <w:p w14:paraId="5CA7988B" w14:textId="1F08E13D" w:rsidR="004402CD" w:rsidRPr="00E81ED1" w:rsidRDefault="004402CD" w:rsidP="00E81ED1">
            <w:pPr>
              <w:spacing w:line="360" w:lineRule="auto"/>
              <w:jc w:val="both"/>
              <w:rPr>
                <w:rFonts w:ascii="Arial" w:hAnsi="Arial" w:cs="Arial"/>
              </w:rPr>
            </w:pPr>
            <w:r w:rsidRPr="00E81ED1">
              <w:rPr>
                <w:rFonts w:ascii="Arial" w:hAnsi="Arial" w:cs="Arial"/>
              </w:rPr>
              <w:t>5000</w:t>
            </w:r>
          </w:p>
        </w:tc>
      </w:tr>
      <w:tr w:rsidR="004402CD" w:rsidRPr="00E81ED1" w14:paraId="557414A2" w14:textId="77777777" w:rsidTr="004402CD">
        <w:tc>
          <w:tcPr>
            <w:tcW w:w="2157" w:type="dxa"/>
          </w:tcPr>
          <w:p w14:paraId="59B03AA3" w14:textId="53B1CB03" w:rsidR="004402CD" w:rsidRPr="00E81ED1" w:rsidRDefault="004402CD" w:rsidP="00E81ED1">
            <w:pPr>
              <w:spacing w:line="360" w:lineRule="auto"/>
              <w:jc w:val="both"/>
              <w:rPr>
                <w:rFonts w:ascii="Arial" w:hAnsi="Arial" w:cs="Arial"/>
              </w:rPr>
            </w:pPr>
            <w:r w:rsidRPr="00E81ED1">
              <w:rPr>
                <w:rFonts w:ascii="Arial" w:hAnsi="Arial" w:cs="Arial"/>
              </w:rPr>
              <w:t>Option1: Absorption Costing</w:t>
            </w:r>
          </w:p>
        </w:tc>
        <w:tc>
          <w:tcPr>
            <w:tcW w:w="2157" w:type="dxa"/>
          </w:tcPr>
          <w:p w14:paraId="58C65D66" w14:textId="77777777" w:rsidR="004402CD" w:rsidRPr="00E81ED1" w:rsidRDefault="004402CD" w:rsidP="00E81ED1">
            <w:pPr>
              <w:spacing w:line="360" w:lineRule="auto"/>
              <w:jc w:val="both"/>
              <w:rPr>
                <w:rFonts w:ascii="Arial" w:hAnsi="Arial" w:cs="Arial"/>
              </w:rPr>
            </w:pPr>
          </w:p>
        </w:tc>
        <w:tc>
          <w:tcPr>
            <w:tcW w:w="2158" w:type="dxa"/>
          </w:tcPr>
          <w:p w14:paraId="4CF9F842" w14:textId="77777777" w:rsidR="004402CD" w:rsidRPr="00E81ED1" w:rsidRDefault="004402CD" w:rsidP="00E81ED1">
            <w:pPr>
              <w:spacing w:line="360" w:lineRule="auto"/>
              <w:jc w:val="both"/>
              <w:rPr>
                <w:rFonts w:ascii="Arial" w:hAnsi="Arial" w:cs="Arial"/>
              </w:rPr>
            </w:pPr>
          </w:p>
        </w:tc>
        <w:tc>
          <w:tcPr>
            <w:tcW w:w="2158" w:type="dxa"/>
          </w:tcPr>
          <w:p w14:paraId="2CB5CC87" w14:textId="77777777" w:rsidR="004402CD" w:rsidRPr="00E81ED1" w:rsidRDefault="004402CD" w:rsidP="00E81ED1">
            <w:pPr>
              <w:spacing w:line="360" w:lineRule="auto"/>
              <w:jc w:val="both"/>
              <w:rPr>
                <w:rFonts w:ascii="Arial" w:hAnsi="Arial" w:cs="Arial"/>
              </w:rPr>
            </w:pPr>
          </w:p>
        </w:tc>
      </w:tr>
      <w:tr w:rsidR="004402CD" w:rsidRPr="00E81ED1" w14:paraId="4AD6A681" w14:textId="77777777" w:rsidTr="004402CD">
        <w:tc>
          <w:tcPr>
            <w:tcW w:w="2157" w:type="dxa"/>
          </w:tcPr>
          <w:p w14:paraId="61487087" w14:textId="74C04120" w:rsidR="004402CD" w:rsidRPr="00E81ED1" w:rsidRDefault="004402CD" w:rsidP="00E81ED1">
            <w:pPr>
              <w:spacing w:line="360" w:lineRule="auto"/>
              <w:jc w:val="both"/>
              <w:rPr>
                <w:rFonts w:ascii="Arial" w:hAnsi="Arial" w:cs="Arial"/>
              </w:rPr>
            </w:pPr>
            <w:r w:rsidRPr="00E81ED1">
              <w:rPr>
                <w:rFonts w:ascii="Arial" w:hAnsi="Arial" w:cs="Arial"/>
              </w:rPr>
              <w:t>Total Cost (£)</w:t>
            </w:r>
          </w:p>
        </w:tc>
        <w:tc>
          <w:tcPr>
            <w:tcW w:w="2157" w:type="dxa"/>
          </w:tcPr>
          <w:p w14:paraId="3311D78A" w14:textId="2ED2D04A" w:rsidR="004402CD" w:rsidRPr="00E81ED1" w:rsidRDefault="004402CD" w:rsidP="00E81ED1">
            <w:pPr>
              <w:spacing w:line="360" w:lineRule="auto"/>
              <w:jc w:val="both"/>
              <w:rPr>
                <w:rFonts w:ascii="Arial" w:hAnsi="Arial" w:cs="Arial"/>
              </w:rPr>
            </w:pPr>
            <w:r w:rsidRPr="00E81ED1">
              <w:rPr>
                <w:rFonts w:ascii="Arial" w:hAnsi="Arial" w:cs="Arial"/>
              </w:rPr>
              <w:t>3930.77</w:t>
            </w:r>
          </w:p>
        </w:tc>
        <w:tc>
          <w:tcPr>
            <w:tcW w:w="2158" w:type="dxa"/>
          </w:tcPr>
          <w:p w14:paraId="4E86A392" w14:textId="17962AC7" w:rsidR="004402CD" w:rsidRPr="00E81ED1" w:rsidRDefault="004402CD" w:rsidP="00E81ED1">
            <w:pPr>
              <w:spacing w:line="360" w:lineRule="auto"/>
              <w:jc w:val="both"/>
              <w:rPr>
                <w:rFonts w:ascii="Arial" w:hAnsi="Arial" w:cs="Arial"/>
              </w:rPr>
            </w:pPr>
            <w:r w:rsidRPr="00E81ED1">
              <w:rPr>
                <w:rFonts w:ascii="Arial" w:hAnsi="Arial" w:cs="Arial"/>
              </w:rPr>
              <w:t>4946.92</w:t>
            </w:r>
          </w:p>
        </w:tc>
        <w:tc>
          <w:tcPr>
            <w:tcW w:w="2158" w:type="dxa"/>
          </w:tcPr>
          <w:p w14:paraId="1E3DFB19" w14:textId="47334375" w:rsidR="004402CD" w:rsidRPr="00E81ED1" w:rsidRDefault="004402CD" w:rsidP="00E81ED1">
            <w:pPr>
              <w:spacing w:line="360" w:lineRule="auto"/>
              <w:jc w:val="both"/>
              <w:rPr>
                <w:rFonts w:ascii="Arial" w:hAnsi="Arial" w:cs="Arial"/>
              </w:rPr>
            </w:pPr>
            <w:r w:rsidRPr="00E81ED1">
              <w:rPr>
                <w:rFonts w:ascii="Arial" w:hAnsi="Arial" w:cs="Arial"/>
              </w:rPr>
              <w:t>4330.77</w:t>
            </w:r>
          </w:p>
        </w:tc>
      </w:tr>
      <w:tr w:rsidR="004402CD" w:rsidRPr="00E81ED1" w14:paraId="0D43CA38" w14:textId="77777777" w:rsidTr="004402CD">
        <w:tc>
          <w:tcPr>
            <w:tcW w:w="2157" w:type="dxa"/>
          </w:tcPr>
          <w:p w14:paraId="27BE7416" w14:textId="1EE4DD81" w:rsidR="004402CD" w:rsidRPr="00E81ED1" w:rsidRDefault="004402CD" w:rsidP="00E81ED1">
            <w:pPr>
              <w:spacing w:line="360" w:lineRule="auto"/>
              <w:jc w:val="both"/>
              <w:rPr>
                <w:rFonts w:ascii="Arial" w:hAnsi="Arial" w:cs="Arial"/>
              </w:rPr>
            </w:pPr>
            <w:r w:rsidRPr="00E81ED1">
              <w:rPr>
                <w:rFonts w:ascii="Arial" w:hAnsi="Arial" w:cs="Arial"/>
              </w:rPr>
              <w:t>Profit (£)</w:t>
            </w:r>
          </w:p>
        </w:tc>
        <w:tc>
          <w:tcPr>
            <w:tcW w:w="2157" w:type="dxa"/>
          </w:tcPr>
          <w:p w14:paraId="507845EF" w14:textId="28452B02" w:rsidR="004402CD" w:rsidRPr="00E81ED1" w:rsidRDefault="004402CD" w:rsidP="00E81ED1">
            <w:pPr>
              <w:spacing w:line="360" w:lineRule="auto"/>
              <w:jc w:val="both"/>
              <w:rPr>
                <w:rFonts w:ascii="Arial" w:hAnsi="Arial" w:cs="Arial"/>
              </w:rPr>
            </w:pPr>
            <w:r w:rsidRPr="00E81ED1">
              <w:rPr>
                <w:rFonts w:ascii="Arial" w:hAnsi="Arial" w:cs="Arial"/>
              </w:rPr>
              <w:t>269.23</w:t>
            </w:r>
          </w:p>
        </w:tc>
        <w:tc>
          <w:tcPr>
            <w:tcW w:w="2158" w:type="dxa"/>
          </w:tcPr>
          <w:p w14:paraId="311FC8C7" w14:textId="72C90B29" w:rsidR="004402CD" w:rsidRPr="00E81ED1" w:rsidRDefault="004402CD" w:rsidP="00E81ED1">
            <w:pPr>
              <w:spacing w:line="360" w:lineRule="auto"/>
              <w:jc w:val="both"/>
              <w:rPr>
                <w:rFonts w:ascii="Arial" w:hAnsi="Arial" w:cs="Arial"/>
              </w:rPr>
            </w:pPr>
            <w:r w:rsidRPr="00E81ED1">
              <w:rPr>
                <w:rFonts w:ascii="Arial" w:hAnsi="Arial" w:cs="Arial"/>
              </w:rPr>
              <w:t>203.08</w:t>
            </w:r>
          </w:p>
        </w:tc>
        <w:tc>
          <w:tcPr>
            <w:tcW w:w="2158" w:type="dxa"/>
          </w:tcPr>
          <w:p w14:paraId="2B6643CD" w14:textId="6D995F8D" w:rsidR="004402CD" w:rsidRPr="00E81ED1" w:rsidRDefault="004402CD" w:rsidP="00E81ED1">
            <w:pPr>
              <w:spacing w:line="360" w:lineRule="auto"/>
              <w:jc w:val="both"/>
              <w:rPr>
                <w:rFonts w:ascii="Arial" w:hAnsi="Arial" w:cs="Arial"/>
              </w:rPr>
            </w:pPr>
            <w:r w:rsidRPr="00E81ED1">
              <w:rPr>
                <w:rFonts w:ascii="Arial" w:hAnsi="Arial" w:cs="Arial"/>
              </w:rPr>
              <w:t>669.23</w:t>
            </w:r>
          </w:p>
        </w:tc>
      </w:tr>
      <w:tr w:rsidR="004402CD" w:rsidRPr="00E81ED1" w14:paraId="67B811AC" w14:textId="77777777" w:rsidTr="004402CD">
        <w:tc>
          <w:tcPr>
            <w:tcW w:w="2157" w:type="dxa"/>
          </w:tcPr>
          <w:p w14:paraId="7CB18967" w14:textId="26C76504" w:rsidR="004402CD" w:rsidRPr="00E81ED1" w:rsidRDefault="004402CD" w:rsidP="00E81ED1">
            <w:pPr>
              <w:spacing w:line="360" w:lineRule="auto"/>
              <w:jc w:val="both"/>
              <w:rPr>
                <w:rFonts w:ascii="Arial" w:hAnsi="Arial" w:cs="Arial"/>
              </w:rPr>
            </w:pPr>
            <w:r w:rsidRPr="00E81ED1">
              <w:rPr>
                <w:rFonts w:ascii="Arial" w:hAnsi="Arial" w:cs="Arial"/>
              </w:rPr>
              <w:t>Profit Margin (%)</w:t>
            </w:r>
          </w:p>
        </w:tc>
        <w:tc>
          <w:tcPr>
            <w:tcW w:w="2157" w:type="dxa"/>
          </w:tcPr>
          <w:p w14:paraId="41F12410" w14:textId="395D9D77" w:rsidR="004402CD" w:rsidRPr="00E81ED1" w:rsidRDefault="004402CD" w:rsidP="00E81ED1">
            <w:pPr>
              <w:spacing w:line="360" w:lineRule="auto"/>
              <w:jc w:val="both"/>
              <w:rPr>
                <w:rFonts w:ascii="Arial" w:hAnsi="Arial" w:cs="Arial"/>
              </w:rPr>
            </w:pPr>
            <w:r w:rsidRPr="00E81ED1">
              <w:rPr>
                <w:rFonts w:ascii="Arial" w:hAnsi="Arial" w:cs="Arial"/>
              </w:rPr>
              <w:t>6.41</w:t>
            </w:r>
          </w:p>
        </w:tc>
        <w:tc>
          <w:tcPr>
            <w:tcW w:w="2158" w:type="dxa"/>
          </w:tcPr>
          <w:p w14:paraId="5B01462A" w14:textId="2C0F561C" w:rsidR="004402CD" w:rsidRPr="00E81ED1" w:rsidRDefault="004402CD" w:rsidP="00E81ED1">
            <w:pPr>
              <w:spacing w:line="360" w:lineRule="auto"/>
              <w:jc w:val="both"/>
              <w:rPr>
                <w:rFonts w:ascii="Arial" w:hAnsi="Arial" w:cs="Arial"/>
              </w:rPr>
            </w:pPr>
            <w:r w:rsidRPr="00E81ED1">
              <w:rPr>
                <w:rFonts w:ascii="Arial" w:hAnsi="Arial" w:cs="Arial"/>
              </w:rPr>
              <w:t>4.32</w:t>
            </w:r>
          </w:p>
        </w:tc>
        <w:tc>
          <w:tcPr>
            <w:tcW w:w="2158" w:type="dxa"/>
          </w:tcPr>
          <w:p w14:paraId="5AED969E" w14:textId="7B8FEF68" w:rsidR="004402CD" w:rsidRPr="00E81ED1" w:rsidRDefault="004402CD" w:rsidP="00E81ED1">
            <w:pPr>
              <w:spacing w:line="360" w:lineRule="auto"/>
              <w:jc w:val="both"/>
              <w:rPr>
                <w:rFonts w:ascii="Arial" w:hAnsi="Arial" w:cs="Arial"/>
              </w:rPr>
            </w:pPr>
            <w:r w:rsidRPr="00E81ED1">
              <w:rPr>
                <w:rFonts w:ascii="Arial" w:hAnsi="Arial" w:cs="Arial"/>
              </w:rPr>
              <w:t>13.38</w:t>
            </w:r>
          </w:p>
        </w:tc>
      </w:tr>
      <w:tr w:rsidR="004402CD" w:rsidRPr="00E81ED1" w14:paraId="2727F248" w14:textId="77777777" w:rsidTr="004402CD">
        <w:tc>
          <w:tcPr>
            <w:tcW w:w="2157" w:type="dxa"/>
          </w:tcPr>
          <w:p w14:paraId="2EC9DB10" w14:textId="185BBAF5" w:rsidR="004402CD" w:rsidRPr="00E81ED1" w:rsidRDefault="004402CD" w:rsidP="00E81ED1">
            <w:pPr>
              <w:spacing w:line="360" w:lineRule="auto"/>
              <w:jc w:val="both"/>
              <w:rPr>
                <w:rFonts w:ascii="Arial" w:hAnsi="Arial" w:cs="Arial"/>
              </w:rPr>
            </w:pPr>
            <w:r w:rsidRPr="00E81ED1">
              <w:rPr>
                <w:rFonts w:ascii="Arial" w:hAnsi="Arial" w:cs="Arial"/>
              </w:rPr>
              <w:lastRenderedPageBreak/>
              <w:t>Option2: Activity Based Costing</w:t>
            </w:r>
          </w:p>
        </w:tc>
        <w:tc>
          <w:tcPr>
            <w:tcW w:w="2157" w:type="dxa"/>
          </w:tcPr>
          <w:p w14:paraId="10E5BEEB" w14:textId="77777777" w:rsidR="004402CD" w:rsidRPr="00E81ED1" w:rsidRDefault="004402CD" w:rsidP="00E81ED1">
            <w:pPr>
              <w:spacing w:line="360" w:lineRule="auto"/>
              <w:jc w:val="both"/>
              <w:rPr>
                <w:rFonts w:ascii="Arial" w:hAnsi="Arial" w:cs="Arial"/>
              </w:rPr>
            </w:pPr>
          </w:p>
        </w:tc>
        <w:tc>
          <w:tcPr>
            <w:tcW w:w="2158" w:type="dxa"/>
          </w:tcPr>
          <w:p w14:paraId="58DA097F" w14:textId="77777777" w:rsidR="004402CD" w:rsidRPr="00E81ED1" w:rsidRDefault="004402CD" w:rsidP="00E81ED1">
            <w:pPr>
              <w:spacing w:line="360" w:lineRule="auto"/>
              <w:jc w:val="both"/>
              <w:rPr>
                <w:rFonts w:ascii="Arial" w:hAnsi="Arial" w:cs="Arial"/>
              </w:rPr>
            </w:pPr>
          </w:p>
        </w:tc>
        <w:tc>
          <w:tcPr>
            <w:tcW w:w="2158" w:type="dxa"/>
          </w:tcPr>
          <w:p w14:paraId="3FAB3BF5" w14:textId="77777777" w:rsidR="004402CD" w:rsidRPr="00E81ED1" w:rsidRDefault="004402CD" w:rsidP="00E81ED1">
            <w:pPr>
              <w:spacing w:line="360" w:lineRule="auto"/>
              <w:jc w:val="both"/>
              <w:rPr>
                <w:rFonts w:ascii="Arial" w:hAnsi="Arial" w:cs="Arial"/>
              </w:rPr>
            </w:pPr>
          </w:p>
        </w:tc>
      </w:tr>
      <w:tr w:rsidR="004402CD" w:rsidRPr="00E81ED1" w14:paraId="02D4AE19" w14:textId="77777777" w:rsidTr="004402CD">
        <w:tc>
          <w:tcPr>
            <w:tcW w:w="2157" w:type="dxa"/>
          </w:tcPr>
          <w:p w14:paraId="79685924" w14:textId="1393E67C" w:rsidR="004402CD" w:rsidRPr="00E81ED1" w:rsidRDefault="004402CD" w:rsidP="00E81ED1">
            <w:pPr>
              <w:spacing w:line="360" w:lineRule="auto"/>
              <w:jc w:val="both"/>
              <w:rPr>
                <w:rFonts w:ascii="Arial" w:hAnsi="Arial" w:cs="Arial"/>
              </w:rPr>
            </w:pPr>
            <w:r w:rsidRPr="00E81ED1">
              <w:rPr>
                <w:rFonts w:ascii="Arial" w:hAnsi="Arial" w:cs="Arial"/>
              </w:rPr>
              <w:t>Total Cost (£)</w:t>
            </w:r>
          </w:p>
        </w:tc>
        <w:tc>
          <w:tcPr>
            <w:tcW w:w="2157" w:type="dxa"/>
          </w:tcPr>
          <w:p w14:paraId="3330A48D" w14:textId="0AFC3AB1" w:rsidR="004402CD" w:rsidRPr="00E81ED1" w:rsidRDefault="004402CD" w:rsidP="00E81ED1">
            <w:pPr>
              <w:spacing w:line="360" w:lineRule="auto"/>
              <w:jc w:val="both"/>
              <w:rPr>
                <w:rFonts w:ascii="Arial" w:hAnsi="Arial" w:cs="Arial"/>
              </w:rPr>
            </w:pPr>
            <w:r w:rsidRPr="00E81ED1">
              <w:rPr>
                <w:rFonts w:ascii="Arial" w:hAnsi="Arial" w:cs="Arial"/>
              </w:rPr>
              <w:t>2381.21</w:t>
            </w:r>
          </w:p>
        </w:tc>
        <w:tc>
          <w:tcPr>
            <w:tcW w:w="2158" w:type="dxa"/>
          </w:tcPr>
          <w:p w14:paraId="6C259368" w14:textId="6F3109C2" w:rsidR="004402CD" w:rsidRPr="00E81ED1" w:rsidRDefault="004402CD" w:rsidP="00E81ED1">
            <w:pPr>
              <w:spacing w:line="360" w:lineRule="auto"/>
              <w:jc w:val="both"/>
              <w:rPr>
                <w:rFonts w:ascii="Arial" w:hAnsi="Arial" w:cs="Arial"/>
              </w:rPr>
            </w:pPr>
            <w:r w:rsidRPr="00E81ED1">
              <w:rPr>
                <w:rFonts w:ascii="Arial" w:hAnsi="Arial" w:cs="Arial"/>
              </w:rPr>
              <w:t>4037.06</w:t>
            </w:r>
          </w:p>
        </w:tc>
        <w:tc>
          <w:tcPr>
            <w:tcW w:w="2158" w:type="dxa"/>
          </w:tcPr>
          <w:p w14:paraId="7894E2FB" w14:textId="238ABA15" w:rsidR="004402CD" w:rsidRPr="00E81ED1" w:rsidRDefault="004402CD" w:rsidP="00E81ED1">
            <w:pPr>
              <w:spacing w:line="360" w:lineRule="auto"/>
              <w:jc w:val="both"/>
              <w:rPr>
                <w:rFonts w:ascii="Arial" w:hAnsi="Arial" w:cs="Arial"/>
              </w:rPr>
            </w:pPr>
            <w:r w:rsidRPr="00E81ED1">
              <w:rPr>
                <w:rFonts w:ascii="Arial" w:hAnsi="Arial" w:cs="Arial"/>
              </w:rPr>
              <w:t>6067.77</w:t>
            </w:r>
          </w:p>
        </w:tc>
      </w:tr>
      <w:tr w:rsidR="004402CD" w:rsidRPr="00E81ED1" w14:paraId="16CD0498" w14:textId="77777777" w:rsidTr="004402CD">
        <w:tc>
          <w:tcPr>
            <w:tcW w:w="2157" w:type="dxa"/>
          </w:tcPr>
          <w:p w14:paraId="127FA6E7" w14:textId="52DBB4CC" w:rsidR="004402CD" w:rsidRPr="00E81ED1" w:rsidRDefault="004402CD" w:rsidP="00E81ED1">
            <w:pPr>
              <w:spacing w:line="360" w:lineRule="auto"/>
              <w:jc w:val="both"/>
              <w:rPr>
                <w:rFonts w:ascii="Arial" w:hAnsi="Arial" w:cs="Arial"/>
              </w:rPr>
            </w:pPr>
            <w:r w:rsidRPr="00E81ED1">
              <w:rPr>
                <w:rFonts w:ascii="Arial" w:hAnsi="Arial" w:cs="Arial"/>
              </w:rPr>
              <w:t>Profit (£)</w:t>
            </w:r>
          </w:p>
        </w:tc>
        <w:tc>
          <w:tcPr>
            <w:tcW w:w="2157" w:type="dxa"/>
          </w:tcPr>
          <w:p w14:paraId="4632950E" w14:textId="7D9C215B" w:rsidR="004402CD" w:rsidRPr="00E81ED1" w:rsidRDefault="004402CD" w:rsidP="00E81ED1">
            <w:pPr>
              <w:spacing w:line="360" w:lineRule="auto"/>
              <w:jc w:val="both"/>
              <w:rPr>
                <w:rFonts w:ascii="Arial" w:hAnsi="Arial" w:cs="Arial"/>
              </w:rPr>
            </w:pPr>
            <w:r w:rsidRPr="00E81ED1">
              <w:rPr>
                <w:rFonts w:ascii="Arial" w:hAnsi="Arial" w:cs="Arial"/>
              </w:rPr>
              <w:t>1818.79</w:t>
            </w:r>
          </w:p>
        </w:tc>
        <w:tc>
          <w:tcPr>
            <w:tcW w:w="2158" w:type="dxa"/>
          </w:tcPr>
          <w:p w14:paraId="1D8D0936" w14:textId="567F4687" w:rsidR="004402CD" w:rsidRPr="00E81ED1" w:rsidRDefault="004402CD" w:rsidP="00E81ED1">
            <w:pPr>
              <w:spacing w:line="360" w:lineRule="auto"/>
              <w:jc w:val="both"/>
              <w:rPr>
                <w:rFonts w:ascii="Arial" w:hAnsi="Arial" w:cs="Arial"/>
              </w:rPr>
            </w:pPr>
            <w:r w:rsidRPr="00E81ED1">
              <w:rPr>
                <w:rFonts w:ascii="Arial" w:hAnsi="Arial" w:cs="Arial"/>
              </w:rPr>
              <w:t>662.94</w:t>
            </w:r>
          </w:p>
        </w:tc>
        <w:tc>
          <w:tcPr>
            <w:tcW w:w="2158" w:type="dxa"/>
          </w:tcPr>
          <w:p w14:paraId="46A72F43" w14:textId="47BC1D27" w:rsidR="004402CD" w:rsidRPr="00E81ED1" w:rsidRDefault="004402CD" w:rsidP="00E81ED1">
            <w:pPr>
              <w:spacing w:line="360" w:lineRule="auto"/>
              <w:jc w:val="both"/>
              <w:rPr>
                <w:rFonts w:ascii="Arial" w:hAnsi="Arial" w:cs="Arial"/>
              </w:rPr>
            </w:pPr>
            <w:r w:rsidRPr="00E81ED1">
              <w:rPr>
                <w:rFonts w:ascii="Arial" w:hAnsi="Arial" w:cs="Arial"/>
              </w:rPr>
              <w:t>(1067.77)</w:t>
            </w:r>
          </w:p>
        </w:tc>
      </w:tr>
      <w:tr w:rsidR="004402CD" w:rsidRPr="00E81ED1" w14:paraId="2A6EEF19" w14:textId="77777777" w:rsidTr="004402CD">
        <w:tc>
          <w:tcPr>
            <w:tcW w:w="2157" w:type="dxa"/>
          </w:tcPr>
          <w:p w14:paraId="09C921E9" w14:textId="72DA97F5" w:rsidR="004402CD" w:rsidRPr="00E81ED1" w:rsidRDefault="004402CD" w:rsidP="00E81ED1">
            <w:pPr>
              <w:spacing w:line="360" w:lineRule="auto"/>
              <w:jc w:val="both"/>
              <w:rPr>
                <w:rFonts w:ascii="Arial" w:hAnsi="Arial" w:cs="Arial"/>
              </w:rPr>
            </w:pPr>
            <w:r w:rsidRPr="00E81ED1">
              <w:rPr>
                <w:rFonts w:ascii="Arial" w:hAnsi="Arial" w:cs="Arial"/>
              </w:rPr>
              <w:t>Profit Margin (%)</w:t>
            </w:r>
          </w:p>
        </w:tc>
        <w:tc>
          <w:tcPr>
            <w:tcW w:w="2157" w:type="dxa"/>
          </w:tcPr>
          <w:p w14:paraId="0426A863" w14:textId="16E89661" w:rsidR="004402CD" w:rsidRPr="00E81ED1" w:rsidRDefault="004402CD" w:rsidP="00E81ED1">
            <w:pPr>
              <w:spacing w:line="360" w:lineRule="auto"/>
              <w:jc w:val="both"/>
              <w:rPr>
                <w:rFonts w:ascii="Arial" w:hAnsi="Arial" w:cs="Arial"/>
              </w:rPr>
            </w:pPr>
            <w:r w:rsidRPr="00E81ED1">
              <w:rPr>
                <w:rFonts w:ascii="Arial" w:hAnsi="Arial" w:cs="Arial"/>
              </w:rPr>
              <w:t>43.33</w:t>
            </w:r>
          </w:p>
        </w:tc>
        <w:tc>
          <w:tcPr>
            <w:tcW w:w="2158" w:type="dxa"/>
          </w:tcPr>
          <w:p w14:paraId="5A168F0B" w14:textId="0BC46C36" w:rsidR="004402CD" w:rsidRPr="00E81ED1" w:rsidRDefault="004402CD" w:rsidP="00E81ED1">
            <w:pPr>
              <w:spacing w:line="360" w:lineRule="auto"/>
              <w:jc w:val="both"/>
              <w:rPr>
                <w:rFonts w:ascii="Arial" w:hAnsi="Arial" w:cs="Arial"/>
              </w:rPr>
            </w:pPr>
            <w:r w:rsidRPr="00E81ED1">
              <w:rPr>
                <w:rFonts w:ascii="Arial" w:hAnsi="Arial" w:cs="Arial"/>
              </w:rPr>
              <w:t>14.11</w:t>
            </w:r>
          </w:p>
        </w:tc>
        <w:tc>
          <w:tcPr>
            <w:tcW w:w="2158" w:type="dxa"/>
          </w:tcPr>
          <w:p w14:paraId="2E7A71DD" w14:textId="4DE369F5" w:rsidR="004402CD" w:rsidRPr="00E81ED1" w:rsidRDefault="004402CD" w:rsidP="00E81ED1">
            <w:pPr>
              <w:spacing w:line="360" w:lineRule="auto"/>
              <w:jc w:val="both"/>
              <w:rPr>
                <w:rFonts w:ascii="Arial" w:hAnsi="Arial" w:cs="Arial"/>
              </w:rPr>
            </w:pPr>
            <w:r w:rsidRPr="00E81ED1">
              <w:rPr>
                <w:rFonts w:ascii="Arial" w:hAnsi="Arial" w:cs="Arial"/>
              </w:rPr>
              <w:t>(21.36)</w:t>
            </w:r>
          </w:p>
        </w:tc>
      </w:tr>
    </w:tbl>
    <w:p w14:paraId="44BA1973" w14:textId="5CE99F00" w:rsidR="0078010A" w:rsidRPr="00E81ED1" w:rsidRDefault="0078010A" w:rsidP="00E81ED1">
      <w:pPr>
        <w:spacing w:line="360" w:lineRule="auto"/>
        <w:jc w:val="both"/>
        <w:rPr>
          <w:rFonts w:ascii="Arial" w:hAnsi="Arial" w:cs="Arial"/>
        </w:rPr>
      </w:pPr>
    </w:p>
    <w:p w14:paraId="3DAECDF7" w14:textId="4DE55B6D" w:rsidR="004402CD" w:rsidRPr="00E81ED1" w:rsidRDefault="004402CD" w:rsidP="00E81ED1">
      <w:pPr>
        <w:spacing w:line="360" w:lineRule="auto"/>
        <w:jc w:val="both"/>
        <w:rPr>
          <w:rFonts w:ascii="Arial" w:hAnsi="Arial" w:cs="Arial"/>
        </w:rPr>
      </w:pPr>
      <w:r w:rsidRPr="00E81ED1">
        <w:rPr>
          <w:rFonts w:ascii="Arial" w:hAnsi="Arial" w:cs="Arial"/>
        </w:rPr>
        <w:t xml:space="preserve">The AC method allocates overhead based solely on surgeon's time, leading to severe cross-subsidization. The AC system makes the Hip operation appear to be the most profitable service 13.38%, while it is </w:t>
      </w:r>
      <w:proofErr w:type="gramStart"/>
      <w:r w:rsidRPr="00E81ED1">
        <w:rPr>
          <w:rFonts w:ascii="Arial" w:hAnsi="Arial" w:cs="Arial"/>
        </w:rPr>
        <w:t>actually the</w:t>
      </w:r>
      <w:proofErr w:type="gramEnd"/>
      <w:r w:rsidRPr="00E81ED1">
        <w:rPr>
          <w:rFonts w:ascii="Arial" w:hAnsi="Arial" w:cs="Arial"/>
        </w:rPr>
        <w:t xml:space="preserve"> biggest drain on resources. The ABC system reveals the Hip operation is loss-making by £1,067.77 per unit, representing a negative margin of</w:t>
      </w:r>
      <w:r w:rsidRPr="00E81ED1">
        <w:rPr>
          <w:rFonts w:ascii="Arial" w:hAnsi="Arial" w:cs="Arial"/>
        </w:rPr>
        <w:t xml:space="preserve">         -</w:t>
      </w:r>
      <w:r w:rsidRPr="00E81ED1">
        <w:rPr>
          <w:rFonts w:ascii="Arial" w:hAnsi="Arial" w:cs="Arial"/>
        </w:rPr>
        <w:t>21.36</w:t>
      </w:r>
      <w:r w:rsidRPr="00E81ED1">
        <w:rPr>
          <w:rFonts w:ascii="Arial" w:hAnsi="Arial" w:cs="Arial"/>
        </w:rPr>
        <w:t>%</w:t>
      </w:r>
      <w:r w:rsidRPr="00E81ED1">
        <w:rPr>
          <w:rFonts w:ascii="Arial" w:hAnsi="Arial" w:cs="Arial"/>
        </w:rPr>
        <w:t xml:space="preserve">. This loss is being concealed and paid for by the high margins generated by the Feet </w:t>
      </w:r>
      <w:r w:rsidRPr="00E81ED1">
        <w:rPr>
          <w:rFonts w:ascii="Arial" w:hAnsi="Arial" w:cs="Arial"/>
        </w:rPr>
        <w:t>operation. True</w:t>
      </w:r>
      <w:r w:rsidRPr="00E81ED1">
        <w:rPr>
          <w:rFonts w:ascii="Arial" w:hAnsi="Arial" w:cs="Arial"/>
        </w:rPr>
        <w:t xml:space="preserve"> Profitability: The ABC method confirms the Feet operation is the star performer, generating a 43.3</w:t>
      </w:r>
      <w:r w:rsidRPr="00E81ED1">
        <w:rPr>
          <w:rFonts w:ascii="Arial" w:hAnsi="Arial" w:cs="Arial"/>
        </w:rPr>
        <w:t>%</w:t>
      </w:r>
      <w:r w:rsidRPr="00E81ED1">
        <w:rPr>
          <w:rFonts w:ascii="Arial" w:hAnsi="Arial" w:cs="Arial"/>
        </w:rPr>
        <w:t xml:space="preserve"> profit margin. This is significantly higher than its AC margin of 6.41%. This differential proves the Feet operation consumes far fewer indirect resources (like theatre preparation or overnight stays) than its surgeon time would </w:t>
      </w:r>
      <w:r w:rsidRPr="00E81ED1">
        <w:rPr>
          <w:rFonts w:ascii="Arial" w:hAnsi="Arial" w:cs="Arial"/>
        </w:rPr>
        <w:t>suggest. Strategic</w:t>
      </w:r>
      <w:r w:rsidRPr="00E81ED1">
        <w:rPr>
          <w:rFonts w:ascii="Arial" w:hAnsi="Arial" w:cs="Arial"/>
        </w:rPr>
        <w:t xml:space="preserve"> Implications: Healthy Hospital's reliance on AC has led to a major strategic flaw: over-investing in what was perceived as the high-margin service (Hip) while potentially </w:t>
      </w:r>
      <w:r w:rsidRPr="00E81ED1">
        <w:rPr>
          <w:rFonts w:ascii="Arial" w:hAnsi="Arial" w:cs="Arial"/>
        </w:rPr>
        <w:t>underpricing</w:t>
      </w:r>
      <w:r w:rsidRPr="00E81ED1">
        <w:rPr>
          <w:rFonts w:ascii="Arial" w:hAnsi="Arial" w:cs="Arial"/>
        </w:rPr>
        <w:t xml:space="preserve"> the true high-margin service (Feet). The accurate data from ABC is mandatory for correcting pricing errors, justifying negotiations, and undertaking process efficiency to reduce the heavy resource usage of the Hip operation (Kaplan and Porter, 2011).</w:t>
      </w:r>
    </w:p>
    <w:p w14:paraId="326F261F" w14:textId="0B7BDF1C" w:rsidR="0078010A" w:rsidRDefault="00000000">
      <w:pPr>
        <w:pStyle w:val="Heading2"/>
      </w:pPr>
      <w:r>
        <w:t>Section 4 – Critical Reflection of Adopting Activity Based Costing</w:t>
      </w:r>
    </w:p>
    <w:p w14:paraId="455D078E" w14:textId="188306C9" w:rsidR="00834A53" w:rsidRPr="00E81ED1" w:rsidRDefault="00FF69E6" w:rsidP="00E81ED1">
      <w:pPr>
        <w:spacing w:line="360" w:lineRule="auto"/>
        <w:rPr>
          <w:rFonts w:ascii="Arial" w:hAnsi="Arial" w:cs="Arial"/>
        </w:rPr>
      </w:pPr>
      <w:r w:rsidRPr="00E81ED1">
        <w:rPr>
          <w:rFonts w:ascii="Arial" w:hAnsi="Arial" w:cs="Arial"/>
        </w:rPr>
        <w:t>The adoption of Activity Based Costing (ABC) is essential for Healthy Hospital because it provides a far more accurate and meaningful representation of resource consumption than the current Absorption Costing (AC) system. ABC offers the hospital detailed visibility into the activities that drive costs, thereby eliminating the significant distortions observed under AC. By tracing expenses to specific activities such as theatre preparation, consultant follow-up, and overnight stays, ABC equips management with reliable information for decision-making. This improved cost accuracy supports more effective pricing strategies, strengthens the hospital’s ability to negotiate with insurers and partners, and clarifies which services genuinely contribute to profitability.</w:t>
      </w:r>
      <w:r w:rsidRPr="00E81ED1">
        <w:rPr>
          <w:rFonts w:ascii="Arial" w:hAnsi="Arial" w:cs="Arial"/>
        </w:rPr>
        <w:t xml:space="preserve"> </w:t>
      </w:r>
      <w:r w:rsidRPr="00E81ED1">
        <w:rPr>
          <w:rFonts w:ascii="Arial" w:hAnsi="Arial" w:cs="Arial"/>
        </w:rPr>
        <w:t xml:space="preserve">The shift to ABC also has wider strategic implications. Understanding the true cost of care pathways allows the hospital to identify operational inefficiencies and </w:t>
      </w:r>
      <w:proofErr w:type="spellStart"/>
      <w:r w:rsidRPr="00E81ED1">
        <w:rPr>
          <w:rFonts w:ascii="Arial" w:hAnsi="Arial" w:cs="Arial"/>
        </w:rPr>
        <w:t>prioritise</w:t>
      </w:r>
      <w:proofErr w:type="spellEnd"/>
      <w:r w:rsidRPr="00E81ED1">
        <w:rPr>
          <w:rFonts w:ascii="Arial" w:hAnsi="Arial" w:cs="Arial"/>
        </w:rPr>
        <w:t xml:space="preserve"> areas for </w:t>
      </w:r>
      <w:r w:rsidRPr="00E81ED1">
        <w:rPr>
          <w:rFonts w:ascii="Arial" w:hAnsi="Arial" w:cs="Arial"/>
        </w:rPr>
        <w:lastRenderedPageBreak/>
        <w:t xml:space="preserve">improvement. The Hip operation, for instance, is revealed under ABC to be highly resource-intensive, particularly due to overnight stays and follow-up appointments. This insight gives management a clear basis for process re-engineering, whether through pathway redesign, scheduling </w:t>
      </w:r>
      <w:proofErr w:type="spellStart"/>
      <w:r w:rsidRPr="00E81ED1">
        <w:rPr>
          <w:rFonts w:ascii="Arial" w:hAnsi="Arial" w:cs="Arial"/>
        </w:rPr>
        <w:t>optimisation</w:t>
      </w:r>
      <w:proofErr w:type="spellEnd"/>
      <w:r w:rsidRPr="00E81ED1">
        <w:rPr>
          <w:rFonts w:ascii="Arial" w:hAnsi="Arial" w:cs="Arial"/>
        </w:rPr>
        <w:t>, or improved post-operative efficiency. At the same time, the strong profitability of the Feet operation, as demonstrated by ABC, highlights opportunities to expand or promote this service, which can contribute significantly to the hospital’s overall financial health.</w:t>
      </w:r>
      <w:r w:rsidRPr="00E81ED1">
        <w:rPr>
          <w:rFonts w:ascii="Arial" w:hAnsi="Arial" w:cs="Arial"/>
        </w:rPr>
        <w:t xml:space="preserve"> </w:t>
      </w:r>
      <w:r w:rsidRPr="00E81ED1">
        <w:rPr>
          <w:rFonts w:ascii="Arial" w:hAnsi="Arial" w:cs="Arial"/>
        </w:rPr>
        <w:t xml:space="preserve">However, adopting ABC is not simply a technical adjustment; it requires </w:t>
      </w:r>
      <w:proofErr w:type="spellStart"/>
      <w:r w:rsidRPr="00E81ED1">
        <w:rPr>
          <w:rFonts w:ascii="Arial" w:hAnsi="Arial" w:cs="Arial"/>
        </w:rPr>
        <w:t>organisational</w:t>
      </w:r>
      <w:proofErr w:type="spellEnd"/>
      <w:r w:rsidRPr="00E81ED1">
        <w:rPr>
          <w:rFonts w:ascii="Arial" w:hAnsi="Arial" w:cs="Arial"/>
        </w:rPr>
        <w:t xml:space="preserve"> commitment and cultural change. Implementing ABC involves retraining staff, increasing awareness of cost drivers, and ensuring accurate and timely data collection across departments. Stratton (2006) notes that ABC implementation often encounters initial resistance because it challenges existing assumptions about cost structures, while </w:t>
      </w:r>
      <w:proofErr w:type="spellStart"/>
      <w:r w:rsidRPr="00E81ED1">
        <w:rPr>
          <w:rFonts w:ascii="Arial" w:hAnsi="Arial" w:cs="Arial"/>
        </w:rPr>
        <w:t>Udpa</w:t>
      </w:r>
      <w:proofErr w:type="spellEnd"/>
      <w:r w:rsidRPr="00E81ED1">
        <w:rPr>
          <w:rFonts w:ascii="Arial" w:hAnsi="Arial" w:cs="Arial"/>
        </w:rPr>
        <w:t xml:space="preserve"> (1996) argues that cross-functional cooperation is crucial for maintaining data accuracy and system effectiveness. For Healthy Hospital, success will depend on leadership communicating the strategic value of ABC and ensuring that clinical, administrative, and financial teams all engage with the system as part of a unified approach to performance improvement.</w:t>
      </w:r>
      <w:r w:rsidRPr="00E81ED1">
        <w:rPr>
          <w:rFonts w:ascii="Arial" w:hAnsi="Arial" w:cs="Arial"/>
        </w:rPr>
        <w:t xml:space="preserve"> </w:t>
      </w:r>
      <w:r w:rsidRPr="00E81ED1">
        <w:rPr>
          <w:rFonts w:ascii="Arial" w:hAnsi="Arial" w:cs="Arial"/>
        </w:rPr>
        <w:t xml:space="preserve">Despite these challenges, the strategic advantages of ABC significantly outweigh the implementation costs. ABC allows Healthy Hospital to base pricing decisions on real resource consumption rather than simplistic averages. It also provides a foundation for long-term service portfolio management, helping the hospital determine where to invest, where to divest, and where to redesign services to enhance value. In a highly competitive private healthcare </w:t>
      </w:r>
      <w:r w:rsidR="00F87934" w:rsidRPr="00E81ED1">
        <w:rPr>
          <w:rFonts w:ascii="Arial" w:hAnsi="Arial" w:cs="Arial"/>
        </w:rPr>
        <w:t>market. ABC</w:t>
      </w:r>
      <w:r w:rsidRPr="00E81ED1">
        <w:rPr>
          <w:rFonts w:ascii="Arial" w:hAnsi="Arial" w:cs="Arial"/>
        </w:rPr>
        <w:t xml:space="preserve"> offers a level of financial clarity that is indispensable.</w:t>
      </w:r>
      <w:r w:rsidRPr="00E81ED1">
        <w:rPr>
          <w:rFonts w:ascii="Arial" w:hAnsi="Arial" w:cs="Arial"/>
        </w:rPr>
        <w:t xml:space="preserve"> </w:t>
      </w:r>
      <w:r w:rsidRPr="00E81ED1">
        <w:rPr>
          <w:rFonts w:ascii="Arial" w:hAnsi="Arial" w:cs="Arial"/>
        </w:rPr>
        <w:t>Ultimately, ABC should be implemented immediately because it enables the hospital to correct current pricing distortions, address the substantial losses hidden within certain operations, and support strategic decision-making grounded in accurate cost information. By adopting ABC, Healthy Hospital will place itself in a stronger position to respond to market pressures, improve profitability, and deliver sustainable, high-quality patient care.</w:t>
      </w:r>
    </w:p>
    <w:p w14:paraId="0AF4D77E" w14:textId="18563920" w:rsidR="0078010A" w:rsidRDefault="00000000">
      <w:pPr>
        <w:pStyle w:val="Heading2"/>
      </w:pPr>
      <w:r>
        <w:t>Section 5 – Pricing Analysis</w:t>
      </w:r>
    </w:p>
    <w:p w14:paraId="6DFBB498" w14:textId="7A8A0D52" w:rsidR="0078010A" w:rsidRPr="00E81ED1" w:rsidRDefault="004402CD" w:rsidP="00E81ED1">
      <w:pPr>
        <w:spacing w:line="360" w:lineRule="auto"/>
        <w:jc w:val="both"/>
        <w:rPr>
          <w:rFonts w:ascii="Arial" w:hAnsi="Arial" w:cs="Arial"/>
        </w:rPr>
      </w:pPr>
      <w:r w:rsidRPr="00E81ED1">
        <w:rPr>
          <w:rFonts w:ascii="Arial" w:hAnsi="Arial" w:cs="Arial"/>
        </w:rPr>
        <w:t xml:space="preserve">This section </w:t>
      </w:r>
      <w:r w:rsidRPr="00E81ED1">
        <w:rPr>
          <w:rFonts w:ascii="Arial" w:hAnsi="Arial" w:cs="Arial"/>
        </w:rPr>
        <w:t>applies to</w:t>
      </w:r>
      <w:r w:rsidRPr="00E81ED1">
        <w:rPr>
          <w:rFonts w:ascii="Arial" w:hAnsi="Arial" w:cs="Arial"/>
        </w:rPr>
        <w:t xml:space="preserve"> the principle of profit maximization, where Marginal Revenue (MR) equals Marginal Cost (MC), to determine an appropriate selling price for the new high-end </w:t>
      </w:r>
      <w:r w:rsidRPr="00E81ED1">
        <w:rPr>
          <w:rFonts w:ascii="Arial" w:hAnsi="Arial" w:cs="Arial"/>
        </w:rPr>
        <w:t>well-being</w:t>
      </w:r>
      <w:r w:rsidRPr="00E81ED1">
        <w:rPr>
          <w:rFonts w:ascii="Arial" w:hAnsi="Arial" w:cs="Arial"/>
        </w:rPr>
        <w:t xml:space="preserve"> </w:t>
      </w:r>
      <w:r w:rsidRPr="00E81ED1">
        <w:rPr>
          <w:rFonts w:ascii="Arial" w:hAnsi="Arial" w:cs="Arial"/>
        </w:rPr>
        <w:t>package (Baye,2020). Using</w:t>
      </w:r>
      <w:r w:rsidRPr="00E81ED1">
        <w:rPr>
          <w:rFonts w:ascii="Arial" w:hAnsi="Arial" w:cs="Arial"/>
        </w:rPr>
        <w:t xml:space="preserve"> the demand equation P = 6,000 - 20Q and Marginal Cost £3,000, the theoretical unconstrained profit-maximizing quantity is Qmax </w:t>
      </w:r>
      <w:r w:rsidRPr="00E81ED1">
        <w:rPr>
          <w:rFonts w:ascii="Arial" w:hAnsi="Arial" w:cs="Arial"/>
        </w:rPr>
        <w:lastRenderedPageBreak/>
        <w:t>=7</w:t>
      </w:r>
      <w:r w:rsidRPr="00E81ED1">
        <w:rPr>
          <w:rFonts w:ascii="Arial" w:hAnsi="Arial" w:cs="Arial"/>
        </w:rPr>
        <w:t>5 packages</w:t>
      </w:r>
      <w:r w:rsidRPr="00E81ED1">
        <w:rPr>
          <w:rFonts w:ascii="Arial" w:hAnsi="Arial" w:cs="Arial"/>
        </w:rPr>
        <w:t xml:space="preserve"> resulting in a price </w:t>
      </w:r>
      <w:r w:rsidRPr="00E81ED1">
        <w:rPr>
          <w:rFonts w:ascii="Arial" w:hAnsi="Arial" w:cs="Arial"/>
        </w:rPr>
        <w:t>of Pmax</w:t>
      </w:r>
      <w:r w:rsidRPr="00E81ED1">
        <w:rPr>
          <w:rFonts w:ascii="Arial" w:hAnsi="Arial" w:cs="Arial"/>
        </w:rPr>
        <w:t xml:space="preserve"> = £4,</w:t>
      </w:r>
      <w:r w:rsidRPr="00E81ED1">
        <w:rPr>
          <w:rFonts w:ascii="Arial" w:hAnsi="Arial" w:cs="Arial"/>
        </w:rPr>
        <w:t xml:space="preserve">500. </w:t>
      </w:r>
      <w:r w:rsidRPr="00E81ED1">
        <w:rPr>
          <w:rFonts w:ascii="Arial" w:hAnsi="Arial" w:cs="Arial"/>
        </w:rPr>
        <w:t>Since the hospital’s capacity is constrained at Q = 70 packages (less than Qma</w:t>
      </w:r>
      <w:r w:rsidRPr="00E81ED1">
        <w:rPr>
          <w:rFonts w:ascii="Arial" w:hAnsi="Arial" w:cs="Arial"/>
        </w:rPr>
        <w:t>x</w:t>
      </w:r>
      <w:r w:rsidRPr="00E81ED1">
        <w:rPr>
          <w:rFonts w:ascii="Arial" w:hAnsi="Arial" w:cs="Arial"/>
        </w:rPr>
        <w:t>), the hospital must operate at full capacity. The optimal price the market will bear at this capacity is calculated as:</w:t>
      </w:r>
      <w:r w:rsidRPr="00E81ED1">
        <w:rPr>
          <w:rFonts w:ascii="Arial" w:hAnsi="Arial" w:cs="Arial"/>
        </w:rPr>
        <w:t xml:space="preserve"> </w:t>
      </w:r>
      <w:r w:rsidRPr="00E81ED1">
        <w:rPr>
          <w:rFonts w:ascii="Arial" w:hAnsi="Arial" w:cs="Arial"/>
        </w:rPr>
        <w:t>Pcapacity = 6,000 - 20(70) = £4,600</w:t>
      </w:r>
      <w:r w:rsidRPr="00E81ED1">
        <w:rPr>
          <w:rFonts w:ascii="Arial" w:hAnsi="Arial" w:cs="Arial"/>
        </w:rPr>
        <w:t xml:space="preserve">. </w:t>
      </w:r>
      <w:r w:rsidRPr="00E81ED1">
        <w:rPr>
          <w:rFonts w:ascii="Arial" w:hAnsi="Arial" w:cs="Arial"/>
        </w:rPr>
        <w:t>This price generates the maximum feasible</w:t>
      </w:r>
      <w:r w:rsidRPr="00E81ED1">
        <w:rPr>
          <w:rFonts w:ascii="Arial" w:hAnsi="Arial" w:cs="Arial"/>
        </w:rPr>
        <w:t xml:space="preserve"> </w:t>
      </w:r>
      <w:r w:rsidRPr="00E81ED1">
        <w:rPr>
          <w:rFonts w:ascii="Arial" w:hAnsi="Arial" w:cs="Arial"/>
        </w:rPr>
        <w:t xml:space="preserve">profit of £112,000. </w:t>
      </w:r>
      <w:r w:rsidRPr="00E81ED1">
        <w:rPr>
          <w:rFonts w:ascii="Arial" w:hAnsi="Arial" w:cs="Arial"/>
        </w:rPr>
        <w:t>The suggested</w:t>
      </w:r>
      <w:r w:rsidRPr="00E81ED1">
        <w:rPr>
          <w:rFonts w:ascii="Arial" w:hAnsi="Arial" w:cs="Arial"/>
        </w:rPr>
        <w:t xml:space="preserve"> price range is therefore £4,500 (the unconstrained optimum) to £4,60</w:t>
      </w:r>
      <w:r w:rsidRPr="00E81ED1">
        <w:rPr>
          <w:rFonts w:ascii="Arial" w:hAnsi="Arial" w:cs="Arial"/>
        </w:rPr>
        <w:t>0.</w:t>
      </w:r>
      <w:r w:rsidRPr="00E81ED1">
        <w:rPr>
          <w:rFonts w:ascii="Arial" w:hAnsi="Arial" w:cs="Arial"/>
        </w:rPr>
        <w:t xml:space="preserve"> the capacity-constrained optimum. The recommended price of £4,600 is higher than the average market price of £4,400, indicating that the package can be successfully positioned as a premium offering. This venture is strategically vital as it provides a crucial, profitable revenue stream to support the hospital's overall financial stability and offset losses in core surgical operations</w:t>
      </w:r>
      <w:r w:rsidRPr="00E81ED1">
        <w:rPr>
          <w:rFonts w:ascii="Arial" w:hAnsi="Arial" w:cs="Arial"/>
        </w:rPr>
        <w:t>.</w:t>
      </w:r>
    </w:p>
    <w:p w14:paraId="6C4C116B" w14:textId="54723697" w:rsidR="0078010A" w:rsidRDefault="00000000">
      <w:pPr>
        <w:pStyle w:val="Heading2"/>
      </w:pPr>
      <w:r>
        <w:t>Section 6 – Recommendations</w:t>
      </w:r>
    </w:p>
    <w:p w14:paraId="1FB941B8" w14:textId="27BD9E70" w:rsidR="00834A53" w:rsidRPr="00E81ED1" w:rsidRDefault="00F87934" w:rsidP="00E81ED1">
      <w:pPr>
        <w:spacing w:line="360" w:lineRule="auto"/>
        <w:jc w:val="both"/>
        <w:rPr>
          <w:rFonts w:ascii="Arial" w:hAnsi="Arial" w:cs="Arial"/>
        </w:rPr>
      </w:pPr>
      <w:r w:rsidRPr="00E81ED1">
        <w:rPr>
          <w:rFonts w:ascii="Arial" w:hAnsi="Arial" w:cs="Arial"/>
        </w:rPr>
        <w:t>Healthy Hospital should move forward with the implementation of Activity Based Costing as a matter of urgency. The evidence clearly demonstrates that the existing Absorption Costing system has created significant cost distortions, particularly disguising the losses generated by the Hip operation and overstating the true profitability of other services. Introducing ABC will give the hospital the cost transparency it needs to set accurate prices, negotiate more effectively with insurers, and allocate resources in a way that reflects the genuine economic value of each operation.</w:t>
      </w:r>
      <w:r w:rsidRPr="00E81ED1">
        <w:rPr>
          <w:rFonts w:ascii="Arial" w:hAnsi="Arial" w:cs="Arial"/>
        </w:rPr>
        <w:t xml:space="preserve"> </w:t>
      </w:r>
      <w:r w:rsidRPr="00E81ED1">
        <w:rPr>
          <w:rFonts w:ascii="Arial" w:hAnsi="Arial" w:cs="Arial"/>
        </w:rPr>
        <w:t xml:space="preserve">As part of this transition, management should </w:t>
      </w:r>
      <w:proofErr w:type="spellStart"/>
      <w:r w:rsidRPr="00E81ED1">
        <w:rPr>
          <w:rFonts w:ascii="Arial" w:hAnsi="Arial" w:cs="Arial"/>
        </w:rPr>
        <w:t>prioritise</w:t>
      </w:r>
      <w:proofErr w:type="spellEnd"/>
      <w:r w:rsidRPr="00E81ED1">
        <w:rPr>
          <w:rFonts w:ascii="Arial" w:hAnsi="Arial" w:cs="Arial"/>
        </w:rPr>
        <w:t xml:space="preserve"> a detailed review of the Hip operation, addressing the activities that currently drive the £1,067.77 loss per procedure. Reducing the length and intensity of overnight hospital stays and streamlining consultant follow-up processes will be essential for restoring the operation’s viability. At the same time, the Feet </w:t>
      </w:r>
      <w:proofErr w:type="gramStart"/>
      <w:r w:rsidRPr="00E81ED1">
        <w:rPr>
          <w:rFonts w:ascii="Arial" w:hAnsi="Arial" w:cs="Arial"/>
        </w:rPr>
        <w:t>operation</w:t>
      </w:r>
      <w:proofErr w:type="gramEnd"/>
      <w:r w:rsidRPr="00E81ED1">
        <w:rPr>
          <w:rFonts w:ascii="Arial" w:hAnsi="Arial" w:cs="Arial"/>
        </w:rPr>
        <w:t xml:space="preserve"> which was </w:t>
      </w:r>
      <w:r w:rsidRPr="00E81ED1">
        <w:rPr>
          <w:rFonts w:ascii="Arial" w:hAnsi="Arial" w:cs="Arial"/>
        </w:rPr>
        <w:t xml:space="preserve">identified as the hospital’s most profitable service under </w:t>
      </w:r>
      <w:proofErr w:type="gramStart"/>
      <w:r w:rsidRPr="00E81ED1">
        <w:rPr>
          <w:rFonts w:ascii="Arial" w:hAnsi="Arial" w:cs="Arial"/>
        </w:rPr>
        <w:t>ABC</w:t>
      </w:r>
      <w:proofErr w:type="gramEnd"/>
      <w:r w:rsidRPr="00E81ED1">
        <w:rPr>
          <w:rFonts w:ascii="Arial" w:hAnsi="Arial" w:cs="Arial"/>
        </w:rPr>
        <w:t xml:space="preserve"> </w:t>
      </w:r>
      <w:r w:rsidRPr="00E81ED1">
        <w:rPr>
          <w:rFonts w:ascii="Arial" w:hAnsi="Arial" w:cs="Arial"/>
        </w:rPr>
        <w:t xml:space="preserve">should be actively promoted and developed to strengthen the </w:t>
      </w:r>
      <w:proofErr w:type="spellStart"/>
      <w:r w:rsidRPr="00E81ED1">
        <w:rPr>
          <w:rFonts w:ascii="Arial" w:hAnsi="Arial" w:cs="Arial"/>
        </w:rPr>
        <w:t>organisation’s</w:t>
      </w:r>
      <w:proofErr w:type="spellEnd"/>
      <w:r w:rsidRPr="00E81ED1">
        <w:rPr>
          <w:rFonts w:ascii="Arial" w:hAnsi="Arial" w:cs="Arial"/>
        </w:rPr>
        <w:t xml:space="preserve"> financial foundation.</w:t>
      </w:r>
      <w:r w:rsidRPr="00E81ED1">
        <w:rPr>
          <w:rFonts w:ascii="Arial" w:hAnsi="Arial" w:cs="Arial"/>
        </w:rPr>
        <w:t xml:space="preserve"> </w:t>
      </w:r>
      <w:r w:rsidRPr="00E81ED1">
        <w:rPr>
          <w:rFonts w:ascii="Arial" w:hAnsi="Arial" w:cs="Arial"/>
        </w:rPr>
        <w:t xml:space="preserve">In relation to the </w:t>
      </w:r>
      <w:proofErr w:type="gramStart"/>
      <w:r w:rsidRPr="00E81ED1">
        <w:rPr>
          <w:rFonts w:ascii="Arial" w:hAnsi="Arial" w:cs="Arial"/>
        </w:rPr>
        <w:t>wellbeing</w:t>
      </w:r>
      <w:proofErr w:type="gramEnd"/>
      <w:r w:rsidRPr="00E81ED1">
        <w:rPr>
          <w:rFonts w:ascii="Arial" w:hAnsi="Arial" w:cs="Arial"/>
        </w:rPr>
        <w:t xml:space="preserve"> package, the hospital should adopt the recommended selling price of £4,600. This price reflects the capacity-constrained profit-</w:t>
      </w:r>
      <w:proofErr w:type="spellStart"/>
      <w:r w:rsidRPr="00E81ED1">
        <w:rPr>
          <w:rFonts w:ascii="Arial" w:hAnsi="Arial" w:cs="Arial"/>
        </w:rPr>
        <w:t>maximising</w:t>
      </w:r>
      <w:proofErr w:type="spellEnd"/>
      <w:r w:rsidRPr="00E81ED1">
        <w:rPr>
          <w:rFonts w:ascii="Arial" w:hAnsi="Arial" w:cs="Arial"/>
        </w:rPr>
        <w:t xml:space="preserve"> outcome and positions the package appropriately within the premium segment of the market. The revenue generated will play a critical role in offsetting current losses in surgical services and enhancing overall financial stability.</w:t>
      </w:r>
      <w:r w:rsidRPr="00E81ED1">
        <w:rPr>
          <w:rFonts w:ascii="Arial" w:hAnsi="Arial" w:cs="Arial"/>
        </w:rPr>
        <w:t xml:space="preserve"> </w:t>
      </w:r>
      <w:r w:rsidRPr="00E81ED1">
        <w:rPr>
          <w:rFonts w:ascii="Arial" w:hAnsi="Arial" w:cs="Arial"/>
        </w:rPr>
        <w:t xml:space="preserve">More broadly, ABC should be embraced not just as a costing technique but as a strategic management tool. Its insights will support long-term service planning, operational improvement, and competitive positioning within a private healthcare environment that is increasingly shaped by price sensitivity, competition, and informed patient choice. By adopting ABC and basing its pricing and service decisions on accurate </w:t>
      </w:r>
      <w:r w:rsidRPr="00E81ED1">
        <w:rPr>
          <w:rFonts w:ascii="Arial" w:hAnsi="Arial" w:cs="Arial"/>
        </w:rPr>
        <w:lastRenderedPageBreak/>
        <w:t>cost information, Healthy Hospital will be better equipped to navigate market pressures and deliver sustainable, high-quality care.</w:t>
      </w:r>
    </w:p>
    <w:p w14:paraId="2553E39F" w14:textId="1491F7FB" w:rsidR="00CE510A" w:rsidRDefault="00CE510A" w:rsidP="00CE510A">
      <w:pPr>
        <w:pStyle w:val="Heading2"/>
      </w:pPr>
      <w:r>
        <w:t>References</w:t>
      </w:r>
    </w:p>
    <w:p w14:paraId="2BA9BADB" w14:textId="2F3DF067" w:rsidR="00CE510A" w:rsidRPr="00E81ED1" w:rsidRDefault="00E27D67" w:rsidP="00E81ED1">
      <w:pPr>
        <w:spacing w:line="360" w:lineRule="auto"/>
        <w:rPr>
          <w:rFonts w:ascii="Arial" w:hAnsi="Arial" w:cs="Arial"/>
        </w:rPr>
      </w:pPr>
      <w:r w:rsidRPr="00E81ED1">
        <w:rPr>
          <w:rFonts w:ascii="Arial" w:hAnsi="Arial" w:cs="Arial"/>
        </w:rPr>
        <w:t xml:space="preserve">IBISWorld (2025) Private Hospitals in the UK - Industry Market Research Report (Report 86.120). Available at: </w:t>
      </w:r>
      <w:hyperlink r:id="rId6" w:history="1">
        <w:r w:rsidRPr="00E81ED1">
          <w:rPr>
            <w:rStyle w:val="Hyperlink"/>
            <w:rFonts w:ascii="Arial" w:hAnsi="Arial" w:cs="Arial"/>
          </w:rPr>
          <w:t>https://www.ibisworld.com/united-kingdom/market-research-reports/private-hospitals-industry</w:t>
        </w:r>
      </w:hyperlink>
    </w:p>
    <w:p w14:paraId="5E9DA562" w14:textId="77777777" w:rsidR="00E27D67" w:rsidRPr="00E81ED1" w:rsidRDefault="00E27D67" w:rsidP="00E81ED1">
      <w:pPr>
        <w:spacing w:line="360" w:lineRule="auto"/>
        <w:rPr>
          <w:rFonts w:ascii="Arial" w:hAnsi="Arial" w:cs="Arial"/>
        </w:rPr>
      </w:pPr>
      <w:proofErr w:type="spellStart"/>
      <w:r w:rsidRPr="00E81ED1">
        <w:rPr>
          <w:rFonts w:ascii="Arial" w:hAnsi="Arial" w:cs="Arial"/>
        </w:rPr>
        <w:t>LaingBuisson</w:t>
      </w:r>
      <w:proofErr w:type="spellEnd"/>
      <w:r w:rsidRPr="00E81ED1">
        <w:rPr>
          <w:rFonts w:ascii="Arial" w:hAnsi="Arial" w:cs="Arial"/>
        </w:rPr>
        <w:t xml:space="preserve"> (2024) Private Acute Healthcare UK Market Report 10ed. Available at: https://go.laingbuisson.com/private-acute-report-10.</w:t>
      </w:r>
    </w:p>
    <w:p w14:paraId="6F75D59B" w14:textId="74005425" w:rsidR="00E27D67" w:rsidRPr="00E81ED1" w:rsidRDefault="00E27D67" w:rsidP="00E81ED1">
      <w:pPr>
        <w:spacing w:line="360" w:lineRule="auto"/>
        <w:rPr>
          <w:rFonts w:ascii="Arial" w:hAnsi="Arial" w:cs="Arial"/>
        </w:rPr>
      </w:pPr>
      <w:r w:rsidRPr="00E81ED1">
        <w:rPr>
          <w:rFonts w:ascii="Arial" w:hAnsi="Arial" w:cs="Arial"/>
        </w:rPr>
        <w:t xml:space="preserve">Burges Salmon (2025) Going Private 2025: The changing landscape of UK attitudes towards private healthcare. Available at: </w:t>
      </w:r>
      <w:hyperlink r:id="rId7" w:history="1">
        <w:r w:rsidRPr="00E81ED1">
          <w:rPr>
            <w:rStyle w:val="Hyperlink"/>
            <w:rFonts w:ascii="Arial" w:hAnsi="Arial" w:cs="Arial"/>
          </w:rPr>
          <w:t>https://www.burges-salmon.com/going-private-2025-the-changing-landscape-of-uk-attitudes-towards-private-healthcare</w:t>
        </w:r>
      </w:hyperlink>
    </w:p>
    <w:p w14:paraId="722962F0" w14:textId="38E0431D" w:rsidR="00E27D67" w:rsidRPr="00E81ED1" w:rsidRDefault="00E27D67" w:rsidP="00E81ED1">
      <w:pPr>
        <w:spacing w:line="360" w:lineRule="auto"/>
        <w:rPr>
          <w:rFonts w:ascii="Arial" w:hAnsi="Arial" w:cs="Arial"/>
        </w:rPr>
      </w:pPr>
      <w:r w:rsidRPr="00E81ED1">
        <w:rPr>
          <w:rFonts w:ascii="Arial" w:hAnsi="Arial" w:cs="Arial"/>
        </w:rPr>
        <w:t xml:space="preserve">Baye, M. R. (2020) Managerial Economics and Business Strategy. 10th </w:t>
      </w:r>
      <w:proofErr w:type="spellStart"/>
      <w:r w:rsidRPr="00E81ED1">
        <w:rPr>
          <w:rFonts w:ascii="Arial" w:hAnsi="Arial" w:cs="Arial"/>
        </w:rPr>
        <w:t>edn</w:t>
      </w:r>
      <w:proofErr w:type="spellEnd"/>
      <w:r w:rsidRPr="00E81ED1">
        <w:rPr>
          <w:rFonts w:ascii="Arial" w:hAnsi="Arial" w:cs="Arial"/>
        </w:rPr>
        <w:t>. McGraw-Hill Education</w:t>
      </w:r>
    </w:p>
    <w:p w14:paraId="682652A2" w14:textId="5B731CCC" w:rsidR="00E27D67" w:rsidRPr="00E81ED1" w:rsidRDefault="00E27D67" w:rsidP="00E81ED1">
      <w:pPr>
        <w:spacing w:line="360" w:lineRule="auto"/>
        <w:rPr>
          <w:rFonts w:ascii="Arial" w:hAnsi="Arial" w:cs="Arial"/>
        </w:rPr>
      </w:pPr>
      <w:r w:rsidRPr="00E81ED1">
        <w:rPr>
          <w:rFonts w:ascii="Arial" w:hAnsi="Arial" w:cs="Arial"/>
        </w:rPr>
        <w:t xml:space="preserve">IHPN (2025) Going Private 2025 - Headline Findings. </w:t>
      </w:r>
      <w:hyperlink r:id="rId8" w:history="1">
        <w:r w:rsidRPr="00E81ED1">
          <w:rPr>
            <w:rStyle w:val="Hyperlink"/>
            <w:rFonts w:ascii="Arial" w:hAnsi="Arial" w:cs="Arial"/>
          </w:rPr>
          <w:t>https://www.ihpn.org.uk/going-private-2025-headline-findings</w:t>
        </w:r>
      </w:hyperlink>
      <w:r w:rsidRPr="00E81ED1">
        <w:rPr>
          <w:rFonts w:ascii="Arial" w:hAnsi="Arial" w:cs="Arial"/>
        </w:rPr>
        <w:t xml:space="preserve"> </w:t>
      </w:r>
    </w:p>
    <w:p w14:paraId="465C0763" w14:textId="1356BA58" w:rsidR="00E27D67" w:rsidRPr="00E81ED1" w:rsidRDefault="00E27D67" w:rsidP="00E81ED1">
      <w:pPr>
        <w:spacing w:line="360" w:lineRule="auto"/>
        <w:rPr>
          <w:rFonts w:ascii="Arial" w:hAnsi="Arial" w:cs="Arial"/>
        </w:rPr>
      </w:pPr>
      <w:r w:rsidRPr="00E81ED1">
        <w:rPr>
          <w:rFonts w:ascii="Arial" w:hAnsi="Arial" w:cs="Arial"/>
        </w:rPr>
        <w:t>Stratton, W. O. (2006) 'Activity-Based Costing: A Practical Guide to Implementation', Journal of Corporate Accounting &amp; Finance</w:t>
      </w:r>
    </w:p>
    <w:p w14:paraId="17AC778D" w14:textId="29A709B3" w:rsidR="00E27D67" w:rsidRPr="00E81ED1" w:rsidRDefault="00E27D67" w:rsidP="00E81ED1">
      <w:pPr>
        <w:spacing w:line="360" w:lineRule="auto"/>
        <w:rPr>
          <w:rFonts w:ascii="Arial" w:hAnsi="Arial" w:cs="Arial"/>
        </w:rPr>
      </w:pPr>
      <w:proofErr w:type="spellStart"/>
      <w:r w:rsidRPr="00E81ED1">
        <w:rPr>
          <w:rFonts w:ascii="Arial" w:hAnsi="Arial" w:cs="Arial"/>
        </w:rPr>
        <w:t>Udpa</w:t>
      </w:r>
      <w:proofErr w:type="spellEnd"/>
      <w:r w:rsidRPr="00E81ED1">
        <w:rPr>
          <w:rFonts w:ascii="Arial" w:hAnsi="Arial" w:cs="Arial"/>
        </w:rPr>
        <w:t xml:space="preserve">, S. (1996) 'Activity-based costing for hospitals', Hospital &amp; Health Services Administration, 41(3), pp. 317–333. Available at: </w:t>
      </w:r>
      <w:hyperlink r:id="rId9" w:history="1">
        <w:r w:rsidRPr="00E81ED1">
          <w:rPr>
            <w:rStyle w:val="Hyperlink"/>
            <w:rFonts w:ascii="Arial" w:hAnsi="Arial" w:cs="Arial"/>
          </w:rPr>
          <w:t>https://pubmed.ncbi.nlm.nih.gov/8832280</w:t>
        </w:r>
      </w:hyperlink>
      <w:r w:rsidRPr="00E81ED1">
        <w:rPr>
          <w:rFonts w:ascii="Arial" w:hAnsi="Arial" w:cs="Arial"/>
        </w:rPr>
        <w:t xml:space="preserve"> </w:t>
      </w:r>
    </w:p>
    <w:p w14:paraId="381C7AAB" w14:textId="77777777" w:rsidR="00E27D67" w:rsidRDefault="00E27D67" w:rsidP="00E27D67"/>
    <w:p w14:paraId="3E87A4BC" w14:textId="77777777" w:rsidR="00CE510A" w:rsidRPr="00CE510A" w:rsidRDefault="00CE510A" w:rsidP="00CE510A"/>
    <w:p w14:paraId="21D3D8B0" w14:textId="26018735" w:rsidR="0078010A" w:rsidRDefault="00000000">
      <w:pPr>
        <w:pStyle w:val="Heading2"/>
      </w:pPr>
      <w:r>
        <w:lastRenderedPageBreak/>
        <w:t>Appendices</w:t>
      </w:r>
    </w:p>
    <w:bookmarkStart w:id="0" w:name="_MON_1827037568"/>
    <w:bookmarkEnd w:id="0"/>
    <w:p w14:paraId="65BEB2B8" w14:textId="77E4417F" w:rsidR="0078010A" w:rsidRPr="00834A53" w:rsidRDefault="00E605B7" w:rsidP="00834A53">
      <w:pPr>
        <w:jc w:val="both"/>
        <w:rPr>
          <w:color w:val="EE0000"/>
        </w:rPr>
      </w:pPr>
      <w:r w:rsidRPr="00E605B7">
        <w:rPr>
          <w:rFonts w:ascii="Arial" w:hAnsi="Arial" w:cs="Arial"/>
          <w:color w:val="EE0000"/>
        </w:rPr>
        <w:object w:dxaOrig="8344" w:dyaOrig="13593" w14:anchorId="6483064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417pt;height:679.5pt" o:ole="">
            <v:imagedata r:id="rId10" o:title=""/>
          </v:shape>
          <o:OLEObject Type="Embed" ProgID="Excel.Sheet.12" ShapeID="_x0000_i1031" DrawAspect="Content" ObjectID="_1827037947" r:id="rId11"/>
        </w:object>
      </w:r>
    </w:p>
    <w:bookmarkStart w:id="1" w:name="_MON_1827037879"/>
    <w:bookmarkEnd w:id="1"/>
    <w:p w14:paraId="33608469" w14:textId="25D074EB" w:rsidR="00E27D67" w:rsidRDefault="00E605B7">
      <w:pPr>
        <w:pStyle w:val="Heading1"/>
      </w:pPr>
      <w:r>
        <w:object w:dxaOrig="18598" w:dyaOrig="9783" w14:anchorId="7B60D51B">
          <v:shape id="_x0000_i1044" type="#_x0000_t75" style="width:930pt;height:489pt" o:ole="">
            <v:imagedata r:id="rId12" o:title=""/>
          </v:shape>
          <o:OLEObject Type="Embed" ProgID="Excel.Sheet.12" ShapeID="_x0000_i1044" DrawAspect="Content" ObjectID="_1827037948" r:id="rId13"/>
        </w:object>
      </w:r>
    </w:p>
    <w:p w14:paraId="46FF9971" w14:textId="77777777" w:rsidR="00E27D67" w:rsidRDefault="00E27D67">
      <w:pPr>
        <w:pStyle w:val="Heading1"/>
      </w:pPr>
    </w:p>
    <w:p w14:paraId="7C4EAEBC" w14:textId="77777777" w:rsidR="00E27D67" w:rsidRDefault="00E27D67">
      <w:pPr>
        <w:pStyle w:val="Heading1"/>
      </w:pPr>
    </w:p>
    <w:p w14:paraId="538E5E44" w14:textId="77777777" w:rsidR="00E27D67" w:rsidRDefault="00E27D67">
      <w:pPr>
        <w:pStyle w:val="Heading1"/>
      </w:pPr>
    </w:p>
    <w:p w14:paraId="5FDB17A8" w14:textId="3237E65F" w:rsidR="0078010A" w:rsidRPr="00E114D3" w:rsidRDefault="00000000">
      <w:pPr>
        <w:pStyle w:val="Heading1"/>
        <w:rPr>
          <w:color w:val="EE0000"/>
        </w:rPr>
      </w:pPr>
      <w:r>
        <w:lastRenderedPageBreak/>
        <w:t>Task 2: Reflective Report – Use of AI in Enhancing Management Accounting Recommendations</w:t>
      </w:r>
      <w:r w:rsidR="00E114D3">
        <w:t xml:space="preserve"> </w:t>
      </w:r>
    </w:p>
    <w:p w14:paraId="73276790" w14:textId="77777777" w:rsidR="0078010A" w:rsidRDefault="00000000">
      <w:pPr>
        <w:pStyle w:val="Heading2"/>
      </w:pPr>
      <w:r>
        <w:t>Reflective Paragraphs</w:t>
      </w:r>
    </w:p>
    <w:p w14:paraId="49BCEFDB" w14:textId="6EAC6C8F" w:rsidR="0078010A" w:rsidRPr="00E81ED1" w:rsidRDefault="00EC7DF0" w:rsidP="00E81ED1">
      <w:pPr>
        <w:spacing w:line="360" w:lineRule="auto"/>
        <w:jc w:val="center"/>
        <w:rPr>
          <w:rFonts w:ascii="Arial" w:hAnsi="Arial" w:cs="Arial"/>
          <w:b/>
          <w:bCs/>
        </w:rPr>
      </w:pPr>
      <w:r w:rsidRPr="00E81ED1">
        <w:rPr>
          <w:rFonts w:ascii="Arial" w:hAnsi="Arial" w:cs="Arial"/>
          <w:b/>
          <w:bCs/>
        </w:rPr>
        <w:t>Introduction</w:t>
      </w:r>
    </w:p>
    <w:p w14:paraId="1706D1FE" w14:textId="600BFF81" w:rsidR="00C06321" w:rsidRPr="00E81ED1" w:rsidRDefault="00C06321" w:rsidP="00E81ED1">
      <w:pPr>
        <w:spacing w:line="360" w:lineRule="auto"/>
        <w:rPr>
          <w:rFonts w:ascii="Arial" w:hAnsi="Arial" w:cs="Arial"/>
          <w:b/>
          <w:bCs/>
        </w:rPr>
      </w:pPr>
    </w:p>
    <w:p w14:paraId="4385AA9D" w14:textId="661D4C8D" w:rsidR="00EC7DF0" w:rsidRPr="00E81ED1" w:rsidRDefault="00EC7DF0" w:rsidP="00E81ED1">
      <w:pPr>
        <w:spacing w:line="360" w:lineRule="auto"/>
        <w:rPr>
          <w:rFonts w:ascii="Arial" w:hAnsi="Arial" w:cs="Arial"/>
        </w:rPr>
      </w:pPr>
      <w:r w:rsidRPr="00E81ED1">
        <w:rPr>
          <w:rFonts w:ascii="Arial" w:hAnsi="Arial" w:cs="Arial"/>
        </w:rPr>
        <w:t>In developing a strategic plan for Mackintosh-Grant, a heritage footwear company facing stagnating growth and outdated operational models, I utilized AI to refine my initial business recommendations. My primary objective was to transform a series of basic observations into a professional, cohesive strategy capable of driving both profitability and global expansion. By providing the AI with a prompt to "list 10 recommendations to accelerate growth and increase profitability" based on the case study data, I aimed to bridge the gap between identifying problems and articulating sophisticated, actionable solutions.</w:t>
      </w:r>
    </w:p>
    <w:p w14:paraId="07D9838B" w14:textId="77777777" w:rsidR="00EC7DF0" w:rsidRPr="00E81ED1" w:rsidRDefault="00EC7DF0" w:rsidP="00E81ED1">
      <w:pPr>
        <w:spacing w:line="360" w:lineRule="auto"/>
        <w:rPr>
          <w:rFonts w:ascii="Arial" w:hAnsi="Arial" w:cs="Arial"/>
        </w:rPr>
      </w:pPr>
    </w:p>
    <w:p w14:paraId="6CE06884" w14:textId="0E0D771B" w:rsidR="00EC7DF0" w:rsidRPr="00E81ED1" w:rsidRDefault="00EC7DF0" w:rsidP="00E81ED1">
      <w:pPr>
        <w:spacing w:line="360" w:lineRule="auto"/>
        <w:jc w:val="center"/>
        <w:rPr>
          <w:rFonts w:ascii="Arial" w:hAnsi="Arial" w:cs="Arial"/>
          <w:b/>
          <w:bCs/>
        </w:rPr>
      </w:pPr>
      <w:r w:rsidRPr="00E81ED1">
        <w:rPr>
          <w:rFonts w:ascii="Arial" w:hAnsi="Arial" w:cs="Arial"/>
          <w:b/>
          <w:bCs/>
        </w:rPr>
        <w:t>Main Body</w:t>
      </w:r>
    </w:p>
    <w:p w14:paraId="2E4AFBD3" w14:textId="77777777" w:rsidR="00EC7DF0" w:rsidRPr="00E81ED1" w:rsidRDefault="00EC7DF0" w:rsidP="00E81ED1">
      <w:pPr>
        <w:spacing w:line="360" w:lineRule="auto"/>
        <w:jc w:val="center"/>
        <w:rPr>
          <w:rFonts w:ascii="Arial" w:hAnsi="Arial" w:cs="Arial"/>
          <w:b/>
          <w:bCs/>
        </w:rPr>
      </w:pPr>
    </w:p>
    <w:p w14:paraId="4AFDEADB" w14:textId="3ACA00D7" w:rsidR="00EC7DF0" w:rsidRPr="00E81ED1" w:rsidRDefault="00EC7DF0" w:rsidP="00E81ED1">
      <w:pPr>
        <w:spacing w:line="360" w:lineRule="auto"/>
        <w:rPr>
          <w:rFonts w:ascii="Arial" w:hAnsi="Arial" w:cs="Arial"/>
        </w:rPr>
      </w:pPr>
      <w:r w:rsidRPr="00E81ED1">
        <w:rPr>
          <w:rFonts w:ascii="Arial" w:hAnsi="Arial" w:cs="Arial"/>
        </w:rPr>
        <w:t xml:space="preserve">The difference between my original draft and the AI-enhanced version is substantial, primarily in the depth of strategic reasoning and professional terminology. My initial draft was functional but simplistic; for example, I suggested that the company should "make the components simpler to make to reduce inventory </w:t>
      </w:r>
      <w:r w:rsidR="00E81ED1" w:rsidRPr="00E81ED1">
        <w:rPr>
          <w:rFonts w:ascii="Arial" w:hAnsi="Arial" w:cs="Arial"/>
        </w:rPr>
        <w:t>costs. The</w:t>
      </w:r>
      <w:r w:rsidRPr="00E81ED1">
        <w:rPr>
          <w:rFonts w:ascii="Arial" w:hAnsi="Arial" w:cs="Arial"/>
        </w:rPr>
        <w:t xml:space="preserve"> AI took this raw concept and refined it into a strategy of material standardization and supply chain synergy. It articulated how reducing the variety of the 100,000 components held in stock would not only lower costs but also improve forecasting accuracy and create economies of scale by </w:t>
      </w:r>
      <w:proofErr w:type="gramStart"/>
      <w:r w:rsidRPr="00E81ED1">
        <w:rPr>
          <w:rFonts w:ascii="Arial" w:hAnsi="Arial" w:cs="Arial"/>
        </w:rPr>
        <w:t>sharing  technology</w:t>
      </w:r>
      <w:proofErr w:type="gramEnd"/>
      <w:r w:rsidRPr="00E81ED1">
        <w:rPr>
          <w:rFonts w:ascii="Arial" w:hAnsi="Arial" w:cs="Arial"/>
        </w:rPr>
        <w:t xml:space="preserve"> across different product lines.</w:t>
      </w:r>
    </w:p>
    <w:p w14:paraId="0A27A490" w14:textId="77777777" w:rsidR="00EC7DF0" w:rsidRPr="00E81ED1" w:rsidRDefault="00EC7DF0" w:rsidP="00E81ED1">
      <w:pPr>
        <w:spacing w:line="360" w:lineRule="auto"/>
        <w:rPr>
          <w:rFonts w:ascii="Arial" w:hAnsi="Arial" w:cs="Arial"/>
        </w:rPr>
      </w:pPr>
    </w:p>
    <w:p w14:paraId="2DE0CE74" w14:textId="77777777" w:rsidR="00EC7DF0" w:rsidRPr="00E81ED1" w:rsidRDefault="00EC7DF0" w:rsidP="00E81ED1">
      <w:pPr>
        <w:spacing w:line="360" w:lineRule="auto"/>
        <w:rPr>
          <w:rFonts w:ascii="Arial" w:hAnsi="Arial" w:cs="Arial"/>
        </w:rPr>
      </w:pPr>
      <w:r w:rsidRPr="00E81ED1">
        <w:rPr>
          <w:rFonts w:ascii="Arial" w:hAnsi="Arial" w:cs="Arial"/>
        </w:rPr>
        <w:t xml:space="preserve">The AI’s output significantly improved the quality and relevance of the recommendations by connecting disparate data points from the case study. While I noted that the company should expand geographically, the AI specifically linked the "23% sales success of the Streetwear division in Asia-Pacific" as a proof of concept for wider regional expansion. </w:t>
      </w:r>
      <w:r w:rsidRPr="00E81ED1">
        <w:rPr>
          <w:rFonts w:ascii="Arial" w:hAnsi="Arial" w:cs="Arial"/>
        </w:rPr>
        <w:lastRenderedPageBreak/>
        <w:t>This added a layer of evidence-based justification that my draft lacked. Furthermore, regarding the SSWD (Specialist Sportswear) division, my draft simply suggested increasing prices. The AI-refined version offered a more nuanced approach, suggesting "better segmenting the premium market" to align the high-technology nature of the products with high-status pricing, thereby protecting profit margins without alienating the core customer base.</w:t>
      </w:r>
    </w:p>
    <w:p w14:paraId="245CFD14" w14:textId="77777777" w:rsidR="00EC7DF0" w:rsidRPr="00E81ED1" w:rsidRDefault="00EC7DF0" w:rsidP="00E81ED1">
      <w:pPr>
        <w:spacing w:line="360" w:lineRule="auto"/>
        <w:rPr>
          <w:rFonts w:ascii="Arial" w:hAnsi="Arial" w:cs="Arial"/>
        </w:rPr>
      </w:pPr>
    </w:p>
    <w:p w14:paraId="72D35FAA" w14:textId="6D5C4709" w:rsidR="00EC7DF0" w:rsidRPr="00E81ED1" w:rsidRDefault="00EC7DF0" w:rsidP="00E81ED1">
      <w:pPr>
        <w:spacing w:line="360" w:lineRule="auto"/>
        <w:rPr>
          <w:rFonts w:ascii="Arial" w:hAnsi="Arial" w:cs="Arial"/>
        </w:rPr>
      </w:pPr>
      <w:r w:rsidRPr="00E81ED1">
        <w:rPr>
          <w:rFonts w:ascii="Arial" w:hAnsi="Arial" w:cs="Arial"/>
        </w:rPr>
        <w:t>However, a critical assessment of the AI output reveals that while the prose is superior, the human element remains vital for context. The AI correctly identified the need for a modern e-commerce platform, but it was my initial observation of the company’s heavy reliance on catalogues and mail orders that provided the necessary catalyst for this suggestion. The AI effectively served as a force multiplier, taking my specific insights</w:t>
      </w:r>
      <w:r w:rsidR="00E81ED1" w:rsidRPr="00E81ED1">
        <w:rPr>
          <w:rFonts w:ascii="Arial" w:hAnsi="Arial" w:cs="Arial"/>
        </w:rPr>
        <w:t xml:space="preserve"> like</w:t>
      </w:r>
      <w:r w:rsidRPr="00E81ED1">
        <w:rPr>
          <w:rFonts w:ascii="Arial" w:hAnsi="Arial" w:cs="Arial"/>
        </w:rPr>
        <w:t xml:space="preserve"> the internal audit findings regarding managers ignoring authorization limits</w:t>
      </w:r>
      <w:r w:rsidR="00E81ED1" w:rsidRPr="00E81ED1">
        <w:rPr>
          <w:rFonts w:ascii="Arial" w:hAnsi="Arial" w:cs="Arial"/>
        </w:rPr>
        <w:t xml:space="preserve"> </w:t>
      </w:r>
      <w:r w:rsidRPr="00E81ED1">
        <w:rPr>
          <w:rFonts w:ascii="Arial" w:hAnsi="Arial" w:cs="Arial"/>
        </w:rPr>
        <w:t>and framing them as a systemic need for enforcing budgets and improving responsiveness.</w:t>
      </w:r>
    </w:p>
    <w:p w14:paraId="78E57290" w14:textId="77777777" w:rsidR="00E81ED1" w:rsidRPr="00E81ED1" w:rsidRDefault="00E81ED1" w:rsidP="00E81ED1">
      <w:pPr>
        <w:spacing w:line="360" w:lineRule="auto"/>
        <w:jc w:val="center"/>
        <w:rPr>
          <w:rFonts w:ascii="Arial" w:hAnsi="Arial" w:cs="Arial"/>
        </w:rPr>
      </w:pPr>
    </w:p>
    <w:p w14:paraId="778BA49C" w14:textId="44073FA8" w:rsidR="00E81ED1" w:rsidRPr="00E81ED1" w:rsidRDefault="00E81ED1" w:rsidP="00E81ED1">
      <w:pPr>
        <w:spacing w:line="360" w:lineRule="auto"/>
        <w:jc w:val="center"/>
        <w:rPr>
          <w:rFonts w:ascii="Arial" w:hAnsi="Arial" w:cs="Arial"/>
          <w:b/>
          <w:bCs/>
        </w:rPr>
      </w:pPr>
      <w:r w:rsidRPr="00E81ED1">
        <w:rPr>
          <w:rFonts w:ascii="Arial" w:hAnsi="Arial" w:cs="Arial"/>
          <w:b/>
          <w:bCs/>
        </w:rPr>
        <w:t>Conclusion</w:t>
      </w:r>
    </w:p>
    <w:p w14:paraId="615DBE73" w14:textId="77777777" w:rsidR="00E81ED1" w:rsidRPr="00E81ED1" w:rsidRDefault="00E81ED1" w:rsidP="00E81ED1">
      <w:pPr>
        <w:spacing w:line="360" w:lineRule="auto"/>
        <w:jc w:val="center"/>
        <w:rPr>
          <w:rFonts w:ascii="Arial" w:hAnsi="Arial" w:cs="Arial"/>
          <w:b/>
          <w:bCs/>
        </w:rPr>
      </w:pPr>
    </w:p>
    <w:p w14:paraId="57CDDA06" w14:textId="2836E82A" w:rsidR="00E81ED1" w:rsidRPr="00E81ED1" w:rsidRDefault="00E81ED1" w:rsidP="00E81ED1">
      <w:pPr>
        <w:spacing w:line="360" w:lineRule="auto"/>
      </w:pPr>
      <w:r w:rsidRPr="00E81ED1">
        <w:rPr>
          <w:rFonts w:ascii="Arial" w:hAnsi="Arial" w:cs="Arial"/>
        </w:rPr>
        <w:t xml:space="preserve">Using AI to refine the Mackintosh-Grant case study recommendations proved to be an invaluable exercise in professional communication and strategic synthesis. The transition from a </w:t>
      </w:r>
      <w:r w:rsidRPr="00E81ED1">
        <w:rPr>
          <w:rFonts w:ascii="Arial" w:hAnsi="Arial" w:cs="Arial"/>
        </w:rPr>
        <w:t>bullet</w:t>
      </w:r>
      <w:r w:rsidRPr="00E81ED1">
        <w:rPr>
          <w:rFonts w:ascii="Arial" w:hAnsi="Arial" w:cs="Arial"/>
        </w:rPr>
        <w:t xml:space="preserve"> list of observations to a structured plan emphasizing digital integration, structural reorganization, and market diversification has created a much more compelling business case. While the AI provided </w:t>
      </w:r>
      <w:r w:rsidRPr="00E81ED1">
        <w:rPr>
          <w:rFonts w:ascii="Arial" w:hAnsi="Arial" w:cs="Arial"/>
        </w:rPr>
        <w:t>sophisticated</w:t>
      </w:r>
      <w:r w:rsidRPr="00E81ED1">
        <w:rPr>
          <w:rFonts w:ascii="Arial" w:hAnsi="Arial" w:cs="Arial"/>
        </w:rPr>
        <w:t xml:space="preserve"> vocabulary and logical framework, the core relevance of the output was anchored in my original identification of the company’s specific operational failures. Ultimately, the collaboration resulted in a strategy that is not only ambitious but also grounded in the practical realities of the footwear industry.</w:t>
      </w:r>
    </w:p>
    <w:p w14:paraId="2DE563C1" w14:textId="77777777" w:rsidR="00CE510A" w:rsidRDefault="00CE510A" w:rsidP="00CE510A">
      <w:pPr>
        <w:pStyle w:val="Heading2"/>
      </w:pPr>
      <w:r>
        <w:t>References</w:t>
      </w:r>
    </w:p>
    <w:p w14:paraId="540948AB" w14:textId="6D63378F" w:rsidR="00E81ED1" w:rsidRPr="00E81ED1" w:rsidRDefault="00E81ED1" w:rsidP="00E81ED1">
      <w:pPr>
        <w:spacing w:line="360" w:lineRule="auto"/>
        <w:rPr>
          <w:rFonts w:ascii="Arial" w:hAnsi="Arial" w:cs="Arial"/>
        </w:rPr>
      </w:pPr>
      <w:r w:rsidRPr="00E81ED1">
        <w:rPr>
          <w:rFonts w:ascii="Arial" w:hAnsi="Arial" w:cs="Arial"/>
        </w:rPr>
        <w:t xml:space="preserve">Lechner Ido (2024) How to write a good AI prompt for better results-and less frustration. Available at </w:t>
      </w:r>
      <w:hyperlink r:id="rId14" w:history="1">
        <w:r w:rsidRPr="00E81ED1">
          <w:rPr>
            <w:rStyle w:val="Hyperlink"/>
            <w:rFonts w:ascii="Arial" w:hAnsi="Arial" w:cs="Arial"/>
          </w:rPr>
          <w:t>https://ww</w:t>
        </w:r>
        <w:r w:rsidRPr="00E81ED1">
          <w:rPr>
            <w:rStyle w:val="Hyperlink"/>
            <w:rFonts w:ascii="Arial" w:hAnsi="Arial" w:cs="Arial"/>
          </w:rPr>
          <w:t>w</w:t>
        </w:r>
        <w:r w:rsidRPr="00E81ED1">
          <w:rPr>
            <w:rStyle w:val="Hyperlink"/>
            <w:rFonts w:ascii="Arial" w:hAnsi="Arial" w:cs="Arial"/>
          </w:rPr>
          <w:t>.wix.com/studio/blog/how-to-write-a-good-ai-prompt</w:t>
        </w:r>
      </w:hyperlink>
    </w:p>
    <w:p w14:paraId="253E745E" w14:textId="77777777" w:rsidR="00E81ED1" w:rsidRDefault="00E81ED1" w:rsidP="00BD654F"/>
    <w:p w14:paraId="6C607339" w14:textId="77777777" w:rsidR="00CE510A" w:rsidRDefault="00CE510A" w:rsidP="00BD654F"/>
    <w:p w14:paraId="704A77A7" w14:textId="00033B4E" w:rsidR="0078010A" w:rsidRDefault="00000000">
      <w:pPr>
        <w:pStyle w:val="Heading2"/>
      </w:pPr>
      <w:r>
        <w:t>Appendix</w:t>
      </w:r>
    </w:p>
    <w:p w14:paraId="73DD2C5D" w14:textId="77777777" w:rsidR="0078010A" w:rsidRPr="008C5ACC" w:rsidRDefault="00000000">
      <w:pPr>
        <w:rPr>
          <w:b/>
          <w:bCs/>
        </w:rPr>
      </w:pPr>
      <w:r w:rsidRPr="008C5ACC">
        <w:rPr>
          <w:b/>
          <w:bCs/>
        </w:rPr>
        <w:t>Original Draft Recommendations</w:t>
      </w:r>
    </w:p>
    <w:p w14:paraId="06FBDECE" w14:textId="7EBBC32C" w:rsidR="0078010A" w:rsidRPr="00E81ED1" w:rsidRDefault="00764CC7" w:rsidP="00E81ED1">
      <w:pPr>
        <w:spacing w:line="360" w:lineRule="auto"/>
        <w:rPr>
          <w:rFonts w:ascii="Arial" w:hAnsi="Arial" w:cs="Arial"/>
        </w:rPr>
      </w:pPr>
      <w:r w:rsidRPr="00E81ED1">
        <w:rPr>
          <w:rFonts w:ascii="Arial" w:hAnsi="Arial" w:cs="Arial"/>
        </w:rPr>
        <w:t xml:space="preserve">Focus on trying to get sales from other countries Mackintosh-Grant sells their primary footwear </w:t>
      </w:r>
      <w:r w:rsidR="00F216CA" w:rsidRPr="00E81ED1">
        <w:rPr>
          <w:rFonts w:ascii="Arial" w:hAnsi="Arial" w:cs="Arial"/>
        </w:rPr>
        <w:t>products</w:t>
      </w:r>
      <w:r w:rsidRPr="00E81ED1">
        <w:rPr>
          <w:rFonts w:ascii="Arial" w:hAnsi="Arial" w:cs="Arial"/>
        </w:rPr>
        <w:t xml:space="preserve"> such as </w:t>
      </w:r>
      <w:proofErr w:type="gramStart"/>
      <w:r w:rsidRPr="00E81ED1">
        <w:rPr>
          <w:rFonts w:ascii="Arial" w:hAnsi="Arial" w:cs="Arial"/>
        </w:rPr>
        <w:t>USA .</w:t>
      </w:r>
      <w:proofErr w:type="gramEnd"/>
      <w:r w:rsidR="007A172F" w:rsidRPr="00E81ED1">
        <w:rPr>
          <w:rFonts w:ascii="Arial" w:hAnsi="Arial" w:cs="Arial"/>
        </w:rPr>
        <w:t xml:space="preserve"> Create an online store to expand customer base.</w:t>
      </w:r>
      <w:r w:rsidR="00F216CA" w:rsidRPr="00E81ED1">
        <w:rPr>
          <w:rFonts w:ascii="Arial" w:hAnsi="Arial" w:cs="Arial"/>
        </w:rPr>
        <w:t xml:space="preserve"> Change the organizational structure as it has been the same since 1990 despite changes in industry. The company should move away from being cautious and should start to have an ambitious vision. Try to increase price more for premium footwear as it has a low operating profit compared to their normal footwear. Enforce Budgets that managers </w:t>
      </w:r>
      <w:proofErr w:type="gramStart"/>
      <w:r w:rsidR="00F216CA" w:rsidRPr="00E81ED1">
        <w:rPr>
          <w:rFonts w:ascii="Arial" w:hAnsi="Arial" w:cs="Arial"/>
        </w:rPr>
        <w:t>have to</w:t>
      </w:r>
      <w:proofErr w:type="gramEnd"/>
      <w:r w:rsidR="00F216CA" w:rsidRPr="00E81ED1">
        <w:rPr>
          <w:rFonts w:ascii="Arial" w:hAnsi="Arial" w:cs="Arial"/>
        </w:rPr>
        <w:t xml:space="preserve"> use to prevent overspending. Make the components simpler to make to reduce inventory costs. Give more focus to the primary footwear as it makes 90% of the sales </w:t>
      </w:r>
      <w:r w:rsidR="00474167" w:rsidRPr="00E81ED1">
        <w:rPr>
          <w:rFonts w:ascii="Arial" w:hAnsi="Arial" w:cs="Arial"/>
        </w:rPr>
        <w:t>in UK and EU. Share materials for the different types of footwear if they all use the same material in some parts. Allow customers to make custom made products and charge them extra. Advertise products through social media to bring brand awareness.</w:t>
      </w:r>
    </w:p>
    <w:p w14:paraId="15975F58" w14:textId="126D51B5" w:rsidR="008C5ACC" w:rsidRPr="00E81ED1" w:rsidRDefault="008C5ACC" w:rsidP="00E81ED1">
      <w:pPr>
        <w:spacing w:line="360" w:lineRule="auto"/>
        <w:rPr>
          <w:rFonts w:ascii="Arial" w:hAnsi="Arial" w:cs="Arial"/>
          <w:color w:val="EE0000"/>
        </w:rPr>
      </w:pPr>
    </w:p>
    <w:p w14:paraId="718C9DCC" w14:textId="09511B9D" w:rsidR="008C5ACC" w:rsidRPr="00E81ED1" w:rsidRDefault="008C5ACC" w:rsidP="00E81ED1">
      <w:pPr>
        <w:spacing w:line="360" w:lineRule="auto"/>
        <w:rPr>
          <w:rFonts w:ascii="Arial" w:hAnsi="Arial" w:cs="Arial"/>
        </w:rPr>
      </w:pPr>
    </w:p>
    <w:p w14:paraId="079F316C" w14:textId="2CB2444C" w:rsidR="0078010A" w:rsidRPr="00E81ED1" w:rsidRDefault="00000000" w:rsidP="00E81ED1">
      <w:pPr>
        <w:spacing w:line="360" w:lineRule="auto"/>
        <w:rPr>
          <w:rFonts w:ascii="Arial" w:hAnsi="Arial" w:cs="Arial"/>
          <w:b/>
          <w:bCs/>
        </w:rPr>
      </w:pPr>
      <w:r w:rsidRPr="00E81ED1">
        <w:rPr>
          <w:rFonts w:ascii="Arial" w:hAnsi="Arial" w:cs="Arial"/>
          <w:b/>
          <w:bCs/>
        </w:rPr>
        <w:t>AI Prompts and Outputs</w:t>
      </w:r>
    </w:p>
    <w:p w14:paraId="0137B2A3" w14:textId="7E99975E" w:rsidR="0078010A" w:rsidRPr="00E81ED1" w:rsidRDefault="00A74A5E" w:rsidP="00E81ED1">
      <w:pPr>
        <w:spacing w:line="360" w:lineRule="auto"/>
        <w:rPr>
          <w:rFonts w:ascii="Arial" w:hAnsi="Arial" w:cs="Arial"/>
        </w:rPr>
      </w:pPr>
      <w:r w:rsidRPr="00E81ED1">
        <w:rPr>
          <w:rFonts w:ascii="Arial" w:hAnsi="Arial" w:cs="Arial"/>
        </w:rPr>
        <w:t xml:space="preserve">I am reading through the Mackintosh-Grant case study </w:t>
      </w:r>
      <w:proofErr w:type="gramStart"/>
      <w:r w:rsidRPr="00E81ED1">
        <w:rPr>
          <w:rFonts w:ascii="Arial" w:hAnsi="Arial" w:cs="Arial"/>
        </w:rPr>
        <w:t xml:space="preserve">and </w:t>
      </w:r>
      <w:proofErr w:type="spellStart"/>
      <w:r w:rsidRPr="00E81ED1">
        <w:rPr>
          <w:rFonts w:ascii="Arial" w:hAnsi="Arial" w:cs="Arial"/>
        </w:rPr>
        <w:t>i</w:t>
      </w:r>
      <w:proofErr w:type="spellEnd"/>
      <w:proofErr w:type="gramEnd"/>
      <w:r w:rsidRPr="00E81ED1">
        <w:rPr>
          <w:rFonts w:ascii="Arial" w:hAnsi="Arial" w:cs="Arial"/>
        </w:rPr>
        <w:t xml:space="preserve"> </w:t>
      </w:r>
      <w:proofErr w:type="gramStart"/>
      <w:r w:rsidRPr="00E81ED1">
        <w:rPr>
          <w:rFonts w:ascii="Arial" w:hAnsi="Arial" w:cs="Arial"/>
        </w:rPr>
        <w:t>have to</w:t>
      </w:r>
      <w:proofErr w:type="gramEnd"/>
      <w:r w:rsidRPr="00E81ED1">
        <w:rPr>
          <w:rFonts w:ascii="Arial" w:hAnsi="Arial" w:cs="Arial"/>
        </w:rPr>
        <w:t xml:space="preserve"> list 10 recommendations </w:t>
      </w:r>
      <w:r w:rsidRPr="00E81ED1">
        <w:rPr>
          <w:rFonts w:ascii="Arial" w:hAnsi="Arial" w:cs="Arial"/>
        </w:rPr>
        <w:t>that I</w:t>
      </w:r>
      <w:r w:rsidRPr="00E81ED1">
        <w:rPr>
          <w:rFonts w:ascii="Arial" w:hAnsi="Arial" w:cs="Arial"/>
        </w:rPr>
        <w:t xml:space="preserve"> think will accelerate growth and increase profitability. Here are My 10 recommendations: Focus on trying to get sales from other countries Mackintosh-Grant sells their primary footwear products such as </w:t>
      </w:r>
      <w:proofErr w:type="gramStart"/>
      <w:r w:rsidRPr="00E81ED1">
        <w:rPr>
          <w:rFonts w:ascii="Arial" w:hAnsi="Arial" w:cs="Arial"/>
        </w:rPr>
        <w:t>USA .</w:t>
      </w:r>
      <w:proofErr w:type="gramEnd"/>
      <w:r w:rsidRPr="00E81ED1">
        <w:rPr>
          <w:rFonts w:ascii="Arial" w:hAnsi="Arial" w:cs="Arial"/>
        </w:rPr>
        <w:t xml:space="preserve"> Create an online store to expand customer base. Change the organizational structure as it has been the same since 1990 despite changes in industry. The company should move away from being cautious and should start to have an ambitious vision. Try to increase price more for premium footwear as it has a low operating profit compared to their normal footwear. Enforce Budgets that managers </w:t>
      </w:r>
      <w:proofErr w:type="gramStart"/>
      <w:r w:rsidRPr="00E81ED1">
        <w:rPr>
          <w:rFonts w:ascii="Arial" w:hAnsi="Arial" w:cs="Arial"/>
        </w:rPr>
        <w:t>have to</w:t>
      </w:r>
      <w:proofErr w:type="gramEnd"/>
      <w:r w:rsidRPr="00E81ED1">
        <w:rPr>
          <w:rFonts w:ascii="Arial" w:hAnsi="Arial" w:cs="Arial"/>
        </w:rPr>
        <w:t xml:space="preserve"> use to prevent overspending. Make the components simpler to make to reduce inventory costs. Give more focus to the primary footwear as it makes 90% of the sales in UK and EU. Share materials for the different types of footwear if they all use the same material in some parts. Allow customers to make custom made products and charge them extra. Advertise products through social </w:t>
      </w:r>
      <w:r w:rsidRPr="00E81ED1">
        <w:rPr>
          <w:rFonts w:ascii="Arial" w:hAnsi="Arial" w:cs="Arial"/>
        </w:rPr>
        <w:lastRenderedPageBreak/>
        <w:t xml:space="preserve">media to bring brand awareness. </w:t>
      </w:r>
      <w:proofErr w:type="gramStart"/>
      <w:r w:rsidRPr="00E81ED1">
        <w:rPr>
          <w:rFonts w:ascii="Arial" w:hAnsi="Arial" w:cs="Arial"/>
        </w:rPr>
        <w:t>improve on</w:t>
      </w:r>
      <w:proofErr w:type="gramEnd"/>
      <w:r w:rsidRPr="00E81ED1">
        <w:rPr>
          <w:rFonts w:ascii="Arial" w:hAnsi="Arial" w:cs="Arial"/>
        </w:rPr>
        <w:t xml:space="preserve"> these recommendations by giving more clarity and explanation behind these recommendations</w:t>
      </w:r>
      <w:r w:rsidRPr="00E81ED1">
        <w:rPr>
          <w:rFonts w:ascii="Arial" w:hAnsi="Arial" w:cs="Arial"/>
        </w:rPr>
        <w:t>.</w:t>
      </w:r>
    </w:p>
    <w:p w14:paraId="73CE6B35" w14:textId="77777777" w:rsidR="00A74A5E" w:rsidRPr="00E81ED1" w:rsidRDefault="00A74A5E" w:rsidP="00E81ED1">
      <w:pPr>
        <w:spacing w:line="360" w:lineRule="auto"/>
        <w:rPr>
          <w:rFonts w:ascii="Arial" w:hAnsi="Arial" w:cs="Arial"/>
        </w:rPr>
      </w:pPr>
      <w:r w:rsidRPr="00E81ED1">
        <w:rPr>
          <w:rFonts w:ascii="Arial" w:hAnsi="Arial" w:cs="Arial"/>
        </w:rPr>
        <w:t>Here is an improved, clearer, and better-explained version of your recommendations.</w:t>
      </w:r>
    </w:p>
    <w:p w14:paraId="154976AB" w14:textId="50F3C3B8" w:rsidR="00A74A5E" w:rsidRPr="00E81ED1" w:rsidRDefault="00A74A5E" w:rsidP="00E81ED1">
      <w:pPr>
        <w:spacing w:line="360" w:lineRule="auto"/>
        <w:rPr>
          <w:rFonts w:ascii="Arial" w:hAnsi="Arial" w:cs="Arial"/>
        </w:rPr>
      </w:pPr>
      <w:r w:rsidRPr="00E81ED1">
        <w:rPr>
          <w:rFonts w:ascii="Arial" w:hAnsi="Arial" w:cs="Arial"/>
        </w:rPr>
        <w:t>I’ve kept all your original ideas but rewritten them with stronger justification based only on the case study information.</w:t>
      </w:r>
    </w:p>
    <w:p w14:paraId="7F1E7CEA" w14:textId="16B1B1E6" w:rsidR="008C5ACC" w:rsidRPr="00E81ED1" w:rsidRDefault="008C5ACC" w:rsidP="00E81ED1">
      <w:pPr>
        <w:spacing w:line="360" w:lineRule="auto"/>
        <w:rPr>
          <w:rFonts w:ascii="Arial" w:hAnsi="Arial" w:cs="Arial"/>
          <w:color w:val="EE0000"/>
        </w:rPr>
      </w:pPr>
    </w:p>
    <w:p w14:paraId="0E8428D0" w14:textId="77777777" w:rsidR="008C5ACC" w:rsidRPr="00E81ED1" w:rsidRDefault="008C5ACC" w:rsidP="00E81ED1">
      <w:pPr>
        <w:spacing w:line="360" w:lineRule="auto"/>
        <w:rPr>
          <w:rFonts w:ascii="Arial" w:hAnsi="Arial" w:cs="Arial"/>
        </w:rPr>
      </w:pPr>
    </w:p>
    <w:p w14:paraId="2D606553" w14:textId="74BE2C5E" w:rsidR="008C5ACC" w:rsidRPr="00E81ED1" w:rsidRDefault="008C5ACC" w:rsidP="00E81ED1">
      <w:pPr>
        <w:spacing w:line="360" w:lineRule="auto"/>
        <w:rPr>
          <w:rFonts w:ascii="Arial" w:hAnsi="Arial" w:cs="Arial"/>
          <w:b/>
          <w:bCs/>
        </w:rPr>
      </w:pPr>
      <w:r w:rsidRPr="00E81ED1">
        <w:rPr>
          <w:rFonts w:ascii="Arial" w:hAnsi="Arial" w:cs="Arial"/>
          <w:b/>
          <w:bCs/>
        </w:rPr>
        <w:t>Improved Final Recommendation</w:t>
      </w:r>
    </w:p>
    <w:p w14:paraId="319676A4" w14:textId="6A879B33" w:rsidR="008C5ACC" w:rsidRPr="00E81ED1" w:rsidRDefault="00A74A5E" w:rsidP="00E81ED1">
      <w:pPr>
        <w:spacing w:line="360" w:lineRule="auto"/>
        <w:rPr>
          <w:rFonts w:ascii="Arial" w:hAnsi="Arial" w:cs="Arial"/>
        </w:rPr>
      </w:pPr>
      <w:r w:rsidRPr="00E81ED1">
        <w:rPr>
          <w:rFonts w:ascii="Arial" w:hAnsi="Arial" w:cs="Arial"/>
        </w:rPr>
        <w:t>Mackintosh-Grant relies heavily on UK/EU sales for its primary footwear line and North America for specialist sportswear. Expanding further into regions such as Asia-Pacific—where the Streetwear division already has 23% of sales—would diversify revenue sources and accelerate growth.</w:t>
      </w:r>
      <w:r w:rsidRPr="00E81ED1">
        <w:rPr>
          <w:rFonts w:ascii="Arial" w:hAnsi="Arial" w:cs="Arial"/>
        </w:rPr>
        <w:t xml:space="preserve"> </w:t>
      </w:r>
      <w:r w:rsidRPr="00E81ED1">
        <w:rPr>
          <w:rFonts w:ascii="Arial" w:hAnsi="Arial" w:cs="Arial"/>
        </w:rPr>
        <w:t xml:space="preserve">The company still depends heavily on catalogues, mail </w:t>
      </w:r>
      <w:r w:rsidRPr="00E81ED1">
        <w:rPr>
          <w:rFonts w:ascii="Arial" w:hAnsi="Arial" w:cs="Arial"/>
        </w:rPr>
        <w:t>orders</w:t>
      </w:r>
      <w:r w:rsidRPr="00E81ED1">
        <w:rPr>
          <w:rFonts w:ascii="Arial" w:hAnsi="Arial" w:cs="Arial"/>
        </w:rPr>
        <w:t xml:space="preserve"> and retailers. Moving to a modern e-commerce platform would reduce reliance on wholesalers, lower selling costs, and make it easier for customers to browse and buy the full product range.</w:t>
      </w:r>
      <w:r w:rsidRPr="00E81ED1">
        <w:rPr>
          <w:rFonts w:ascii="Arial" w:hAnsi="Arial" w:cs="Arial"/>
        </w:rPr>
        <w:t xml:space="preserve"> </w:t>
      </w:r>
      <w:r w:rsidRPr="00E81ED1">
        <w:rPr>
          <w:rFonts w:ascii="Arial" w:hAnsi="Arial" w:cs="Arial"/>
        </w:rPr>
        <w:t xml:space="preserve">The structure has remained unchanged since 1990, despite major industry changes and competitor </w:t>
      </w:r>
      <w:proofErr w:type="spellStart"/>
      <w:r w:rsidRPr="00E81ED1">
        <w:rPr>
          <w:rFonts w:ascii="Arial" w:hAnsi="Arial" w:cs="Arial"/>
        </w:rPr>
        <w:t>reorganisations</w:t>
      </w:r>
      <w:proofErr w:type="spellEnd"/>
      <w:r w:rsidRPr="00E81ED1">
        <w:rPr>
          <w:rFonts w:ascii="Arial" w:hAnsi="Arial" w:cs="Arial"/>
        </w:rPr>
        <w:t xml:space="preserve">. Updating the </w:t>
      </w:r>
      <w:proofErr w:type="gramStart"/>
      <w:r w:rsidRPr="00E81ED1">
        <w:rPr>
          <w:rFonts w:ascii="Arial" w:hAnsi="Arial" w:cs="Arial"/>
        </w:rPr>
        <w:t>structure—</w:t>
      </w:r>
      <w:proofErr w:type="gramEnd"/>
      <w:r w:rsidRPr="00E81ED1">
        <w:rPr>
          <w:rFonts w:ascii="Arial" w:hAnsi="Arial" w:cs="Arial"/>
        </w:rPr>
        <w:t>such as increasing integration between design, manufacturing and marketing—would improve responsiveness and support new digital services.</w:t>
      </w:r>
      <w:r w:rsidRPr="00E81ED1">
        <w:rPr>
          <w:rFonts w:ascii="Arial" w:hAnsi="Arial" w:cs="Arial"/>
        </w:rPr>
        <w:t xml:space="preserve"> </w:t>
      </w:r>
      <w:r w:rsidRPr="00E81ED1">
        <w:rPr>
          <w:rFonts w:ascii="Arial" w:hAnsi="Arial" w:cs="Arial"/>
        </w:rPr>
        <w:t>The Board’s cautious approach was useful after the unprofitable period before the merger. However, shareholders now expect stronger growth. A more ambitious outlook—aligned with new markets, digital tools and product innovation—would drive higher long-term profitability.</w:t>
      </w:r>
      <w:r w:rsidRPr="00E81ED1">
        <w:rPr>
          <w:rFonts w:ascii="Arial" w:hAnsi="Arial" w:cs="Arial"/>
        </w:rPr>
        <w:t xml:space="preserve"> </w:t>
      </w:r>
      <w:r w:rsidRPr="00E81ED1">
        <w:rPr>
          <w:rFonts w:ascii="Arial" w:hAnsi="Arial" w:cs="Arial"/>
        </w:rPr>
        <w:t>The SSWD division charges premium prices but still produces a low operating profit compared to the Footwear division. Raising prices or better segmenting the premium market could improve the profitability of these high-status, high-technology products.</w:t>
      </w:r>
      <w:r w:rsidRPr="00E81ED1">
        <w:rPr>
          <w:rFonts w:ascii="Arial" w:hAnsi="Arial" w:cs="Arial"/>
        </w:rPr>
        <w:t xml:space="preserve"> </w:t>
      </w:r>
      <w:r w:rsidRPr="00E81ED1">
        <w:rPr>
          <w:rFonts w:ascii="Arial" w:hAnsi="Arial" w:cs="Arial"/>
        </w:rPr>
        <w:t xml:space="preserve">Internal Audit found that managers frequently ignore </w:t>
      </w:r>
      <w:proofErr w:type="spellStart"/>
      <w:r w:rsidRPr="00E81ED1">
        <w:rPr>
          <w:rFonts w:ascii="Arial" w:hAnsi="Arial" w:cs="Arial"/>
        </w:rPr>
        <w:t>authorisation</w:t>
      </w:r>
      <w:proofErr w:type="spellEnd"/>
      <w:r w:rsidRPr="00E81ED1">
        <w:rPr>
          <w:rFonts w:ascii="Arial" w:hAnsi="Arial" w:cs="Arial"/>
        </w:rPr>
        <w:t xml:space="preserve"> limits, causing cost overruns. Enforcing budgets and improving </w:t>
      </w:r>
      <w:proofErr w:type="gramStart"/>
      <w:r w:rsidRPr="00E81ED1">
        <w:rPr>
          <w:rFonts w:ascii="Arial" w:hAnsi="Arial" w:cs="Arial"/>
        </w:rPr>
        <w:t>forecasting—</w:t>
      </w:r>
      <w:proofErr w:type="gramEnd"/>
      <w:r w:rsidRPr="00E81ED1">
        <w:rPr>
          <w:rFonts w:ascii="Arial" w:hAnsi="Arial" w:cs="Arial"/>
        </w:rPr>
        <w:t xml:space="preserve">especially for </w:t>
      </w:r>
      <w:proofErr w:type="spellStart"/>
      <w:r w:rsidRPr="00E81ED1">
        <w:rPr>
          <w:rFonts w:ascii="Arial" w:hAnsi="Arial" w:cs="Arial"/>
        </w:rPr>
        <w:t>customised</w:t>
      </w:r>
      <w:proofErr w:type="spellEnd"/>
      <w:r w:rsidRPr="00E81ED1">
        <w:rPr>
          <w:rFonts w:ascii="Arial" w:hAnsi="Arial" w:cs="Arial"/>
        </w:rPr>
        <w:t xml:space="preserve"> </w:t>
      </w:r>
      <w:r w:rsidRPr="00E81ED1">
        <w:rPr>
          <w:rFonts w:ascii="Arial" w:hAnsi="Arial" w:cs="Arial"/>
        </w:rPr>
        <w:t xml:space="preserve">products, </w:t>
      </w:r>
      <w:r w:rsidRPr="00E81ED1">
        <w:rPr>
          <w:rFonts w:ascii="Arial" w:hAnsi="Arial" w:cs="Arial"/>
        </w:rPr>
        <w:t>will ensure capital is spent efficiently and protect profit margins.</w:t>
      </w:r>
      <w:r w:rsidRPr="00E81ED1">
        <w:rPr>
          <w:rFonts w:ascii="Arial" w:hAnsi="Arial" w:cs="Arial"/>
        </w:rPr>
        <w:t xml:space="preserve"> </w:t>
      </w:r>
      <w:r w:rsidRPr="00E81ED1">
        <w:rPr>
          <w:rFonts w:ascii="Arial" w:hAnsi="Arial" w:cs="Arial"/>
        </w:rPr>
        <w:t xml:space="preserve">Holding 100,000 different components is costly and inefficient. Reducing component variety and </w:t>
      </w:r>
      <w:proofErr w:type="spellStart"/>
      <w:r w:rsidRPr="00E81ED1">
        <w:rPr>
          <w:rFonts w:ascii="Arial" w:hAnsi="Arial" w:cs="Arial"/>
        </w:rPr>
        <w:t>standardising</w:t>
      </w:r>
      <w:proofErr w:type="spellEnd"/>
      <w:r w:rsidRPr="00E81ED1">
        <w:rPr>
          <w:rFonts w:ascii="Arial" w:hAnsi="Arial" w:cs="Arial"/>
        </w:rPr>
        <w:t xml:space="preserve"> materials would streamline production, lower inventory costs, and make future cost predictions more accurate.</w:t>
      </w:r>
      <w:r w:rsidRPr="00E81ED1">
        <w:rPr>
          <w:rFonts w:ascii="Arial" w:hAnsi="Arial" w:cs="Arial"/>
        </w:rPr>
        <w:t xml:space="preserve"> </w:t>
      </w:r>
      <w:r w:rsidRPr="00E81ED1">
        <w:rPr>
          <w:rFonts w:ascii="Arial" w:hAnsi="Arial" w:cs="Arial"/>
        </w:rPr>
        <w:t xml:space="preserve">The Footwear division generates £20m operating profit and 90% of sales come from UK and EU. Strengthening this successful segment—through </w:t>
      </w:r>
      <w:r w:rsidRPr="00E81ED1">
        <w:rPr>
          <w:rFonts w:ascii="Arial" w:hAnsi="Arial" w:cs="Arial"/>
        </w:rPr>
        <w:lastRenderedPageBreak/>
        <w:t>new designs, marketing or expanded distribution—could deliver significant growth.</w:t>
      </w:r>
      <w:r w:rsidRPr="00E81ED1">
        <w:rPr>
          <w:rFonts w:ascii="Arial" w:hAnsi="Arial" w:cs="Arial"/>
        </w:rPr>
        <w:t xml:space="preserve"> </w:t>
      </w:r>
      <w:r w:rsidRPr="00E81ED1">
        <w:rPr>
          <w:rFonts w:ascii="Arial" w:hAnsi="Arial" w:cs="Arial"/>
        </w:rPr>
        <w:t>If different product lines use similar materials or in-shoe technology, sharing these across divisions would reduce duplication, lower procurement costs, and create economies of scale.</w:t>
      </w:r>
      <w:r w:rsidRPr="00E81ED1">
        <w:rPr>
          <w:rFonts w:ascii="Arial" w:hAnsi="Arial" w:cs="Arial"/>
        </w:rPr>
        <w:t xml:space="preserve"> </w:t>
      </w:r>
      <w:r w:rsidRPr="00E81ED1">
        <w:rPr>
          <w:rFonts w:ascii="Arial" w:hAnsi="Arial" w:cs="Arial"/>
        </w:rPr>
        <w:t xml:space="preserve">Customers increasingly want collaboration and custom-designed products. Offering </w:t>
      </w:r>
      <w:proofErr w:type="spellStart"/>
      <w:r w:rsidRPr="00E81ED1">
        <w:rPr>
          <w:rFonts w:ascii="Arial" w:hAnsi="Arial" w:cs="Arial"/>
        </w:rPr>
        <w:t>customisation</w:t>
      </w:r>
      <w:proofErr w:type="spellEnd"/>
      <w:r w:rsidRPr="00E81ED1">
        <w:rPr>
          <w:rFonts w:ascii="Arial" w:hAnsi="Arial" w:cs="Arial"/>
        </w:rPr>
        <w:t xml:space="preserve"> services—and charging extra—aligns with market trends and adds a new revenue stream while differentiating Mackintosh-Grant from competitors.</w:t>
      </w:r>
    </w:p>
    <w:p w14:paraId="5A921758" w14:textId="3FAF210C" w:rsidR="008C5ACC" w:rsidRPr="00E81ED1" w:rsidRDefault="008C5ACC" w:rsidP="00E81ED1">
      <w:pPr>
        <w:spacing w:line="360" w:lineRule="auto"/>
        <w:rPr>
          <w:rFonts w:ascii="Arial" w:hAnsi="Arial" w:cs="Arial"/>
          <w:color w:val="EE0000"/>
        </w:rPr>
      </w:pPr>
    </w:p>
    <w:sectPr w:rsidR="008C5ACC" w:rsidRPr="00E81ED1"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B2C3461"/>
    <w:multiLevelType w:val="hybridMultilevel"/>
    <w:tmpl w:val="57F85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600D1E"/>
    <w:multiLevelType w:val="hybridMultilevel"/>
    <w:tmpl w:val="DB365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8831935">
    <w:abstractNumId w:val="8"/>
  </w:num>
  <w:num w:numId="2" w16cid:durableId="1146437907">
    <w:abstractNumId w:val="6"/>
  </w:num>
  <w:num w:numId="3" w16cid:durableId="1401824698">
    <w:abstractNumId w:val="5"/>
  </w:num>
  <w:num w:numId="4" w16cid:durableId="265576974">
    <w:abstractNumId w:val="4"/>
  </w:num>
  <w:num w:numId="5" w16cid:durableId="206142539">
    <w:abstractNumId w:val="7"/>
  </w:num>
  <w:num w:numId="6" w16cid:durableId="823668193">
    <w:abstractNumId w:val="3"/>
  </w:num>
  <w:num w:numId="7" w16cid:durableId="1327593923">
    <w:abstractNumId w:val="2"/>
  </w:num>
  <w:num w:numId="8" w16cid:durableId="2036153375">
    <w:abstractNumId w:val="1"/>
  </w:num>
  <w:num w:numId="9" w16cid:durableId="1466240689">
    <w:abstractNumId w:val="0"/>
  </w:num>
  <w:num w:numId="10" w16cid:durableId="912466346">
    <w:abstractNumId w:val="9"/>
  </w:num>
  <w:num w:numId="11" w16cid:durableId="108345074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C1277"/>
    <w:rsid w:val="0015074B"/>
    <w:rsid w:val="0029639D"/>
    <w:rsid w:val="00326F90"/>
    <w:rsid w:val="004402CD"/>
    <w:rsid w:val="00455938"/>
    <w:rsid w:val="00474167"/>
    <w:rsid w:val="004A4152"/>
    <w:rsid w:val="00764CC7"/>
    <w:rsid w:val="0078010A"/>
    <w:rsid w:val="007A172F"/>
    <w:rsid w:val="007D2DB3"/>
    <w:rsid w:val="00834A53"/>
    <w:rsid w:val="008A7901"/>
    <w:rsid w:val="008C5ACC"/>
    <w:rsid w:val="00A74A5E"/>
    <w:rsid w:val="00AA1D8D"/>
    <w:rsid w:val="00AA37CE"/>
    <w:rsid w:val="00B47730"/>
    <w:rsid w:val="00BD654F"/>
    <w:rsid w:val="00C06321"/>
    <w:rsid w:val="00CB0664"/>
    <w:rsid w:val="00CE510A"/>
    <w:rsid w:val="00E114D3"/>
    <w:rsid w:val="00E27D67"/>
    <w:rsid w:val="00E605B7"/>
    <w:rsid w:val="00E81ED1"/>
    <w:rsid w:val="00EC7DF0"/>
    <w:rsid w:val="00F216CA"/>
    <w:rsid w:val="00F87934"/>
    <w:rsid w:val="00FA61DE"/>
    <w:rsid w:val="00FC693F"/>
    <w:rsid w:val="00FF69E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C7597E3"/>
  <w14:defaultImageDpi w14:val="300"/>
  <w15:docId w15:val="{815BCC9E-AF6D-AA47-8ACD-42F88122C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CommentReference">
    <w:name w:val="annotation reference"/>
    <w:basedOn w:val="DefaultParagraphFont"/>
    <w:uiPriority w:val="99"/>
    <w:semiHidden/>
    <w:unhideWhenUsed/>
    <w:rsid w:val="007D2DB3"/>
    <w:rPr>
      <w:sz w:val="16"/>
      <w:szCs w:val="16"/>
    </w:rPr>
  </w:style>
  <w:style w:type="paragraph" w:styleId="CommentText">
    <w:name w:val="annotation text"/>
    <w:basedOn w:val="Normal"/>
    <w:link w:val="CommentTextChar"/>
    <w:uiPriority w:val="99"/>
    <w:semiHidden/>
    <w:unhideWhenUsed/>
    <w:rsid w:val="007D2DB3"/>
    <w:pPr>
      <w:spacing w:line="240" w:lineRule="auto"/>
    </w:pPr>
    <w:rPr>
      <w:sz w:val="20"/>
      <w:szCs w:val="20"/>
    </w:rPr>
  </w:style>
  <w:style w:type="character" w:customStyle="1" w:styleId="CommentTextChar">
    <w:name w:val="Comment Text Char"/>
    <w:basedOn w:val="DefaultParagraphFont"/>
    <w:link w:val="CommentText"/>
    <w:uiPriority w:val="99"/>
    <w:semiHidden/>
    <w:rsid w:val="007D2DB3"/>
    <w:rPr>
      <w:sz w:val="20"/>
      <w:szCs w:val="20"/>
    </w:rPr>
  </w:style>
  <w:style w:type="paragraph" w:styleId="CommentSubject">
    <w:name w:val="annotation subject"/>
    <w:basedOn w:val="CommentText"/>
    <w:next w:val="CommentText"/>
    <w:link w:val="CommentSubjectChar"/>
    <w:uiPriority w:val="99"/>
    <w:semiHidden/>
    <w:unhideWhenUsed/>
    <w:rsid w:val="007D2DB3"/>
    <w:rPr>
      <w:b/>
      <w:bCs/>
    </w:rPr>
  </w:style>
  <w:style w:type="character" w:customStyle="1" w:styleId="CommentSubjectChar">
    <w:name w:val="Comment Subject Char"/>
    <w:basedOn w:val="CommentTextChar"/>
    <w:link w:val="CommentSubject"/>
    <w:uiPriority w:val="99"/>
    <w:semiHidden/>
    <w:rsid w:val="007D2DB3"/>
    <w:rPr>
      <w:b/>
      <w:bCs/>
      <w:sz w:val="20"/>
      <w:szCs w:val="20"/>
    </w:rPr>
  </w:style>
  <w:style w:type="character" w:styleId="Hyperlink">
    <w:name w:val="Hyperlink"/>
    <w:basedOn w:val="DefaultParagraphFont"/>
    <w:uiPriority w:val="99"/>
    <w:unhideWhenUsed/>
    <w:rsid w:val="00F87934"/>
    <w:rPr>
      <w:color w:val="0000FF" w:themeColor="hyperlink"/>
      <w:u w:val="single"/>
    </w:rPr>
  </w:style>
  <w:style w:type="character" w:styleId="UnresolvedMention">
    <w:name w:val="Unresolved Mention"/>
    <w:basedOn w:val="DefaultParagraphFont"/>
    <w:uiPriority w:val="99"/>
    <w:semiHidden/>
    <w:unhideWhenUsed/>
    <w:rsid w:val="00F87934"/>
    <w:rPr>
      <w:color w:val="605E5C"/>
      <w:shd w:val="clear" w:color="auto" w:fill="E1DFDD"/>
    </w:rPr>
  </w:style>
  <w:style w:type="character" w:styleId="FollowedHyperlink">
    <w:name w:val="FollowedHyperlink"/>
    <w:basedOn w:val="DefaultParagraphFont"/>
    <w:uiPriority w:val="99"/>
    <w:semiHidden/>
    <w:unhideWhenUsed/>
    <w:rsid w:val="00E81ED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pn.org.uk/going-private-2025-headline-findings" TargetMode="External"/><Relationship Id="rId13" Type="http://schemas.openxmlformats.org/officeDocument/2006/relationships/package" Target="embeddings/Microsoft_Excel_Worksheet1.xlsx"/><Relationship Id="rId3" Type="http://schemas.openxmlformats.org/officeDocument/2006/relationships/styles" Target="styles.xml"/><Relationship Id="rId7" Type="http://schemas.openxmlformats.org/officeDocument/2006/relationships/hyperlink" Target="https://www.burges-salmon.com/going-private-2025-the-changing-landscape-of-uk-attitudes-towards-private-healthcare" TargetMode="External"/><Relationship Id="rId12" Type="http://schemas.openxmlformats.org/officeDocument/2006/relationships/image" Target="media/image2.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ibisworld.com/united-kingdom/market-research-reports/private-hospitals-industry" TargetMode="External"/><Relationship Id="rId11" Type="http://schemas.openxmlformats.org/officeDocument/2006/relationships/package" Target="embeddings/Microsoft_Excel_Worksheet.xlsx"/><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emf"/><Relationship Id="rId4" Type="http://schemas.openxmlformats.org/officeDocument/2006/relationships/settings" Target="settings.xml"/><Relationship Id="rId9" Type="http://schemas.openxmlformats.org/officeDocument/2006/relationships/hyperlink" Target="https://pubmed.ncbi.nlm.nih.gov/8832280" TargetMode="External"/><Relationship Id="rId14" Type="http://schemas.openxmlformats.org/officeDocument/2006/relationships/hyperlink" Target="https://www.wix.com/studio/blog/how-to-write-a-good-ai-prom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173</TotalTime>
  <Pages>16</Pages>
  <Words>3835</Words>
  <Characters>21864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25648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Zayan Ajmal (Student)</cp:lastModifiedBy>
  <cp:revision>3</cp:revision>
  <dcterms:created xsi:type="dcterms:W3CDTF">2025-12-12T06:23:00Z</dcterms:created>
  <dcterms:modified xsi:type="dcterms:W3CDTF">2025-12-12T09:46:00Z</dcterms:modified>
  <cp:category/>
</cp:coreProperties>
</file>