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93962" w14:textId="7F02BBCE" w:rsidR="001D100C" w:rsidRPr="00CC36A3" w:rsidRDefault="00CC36A3" w:rsidP="00CC36A3">
      <w:pPr>
        <w:spacing w:line="360" w:lineRule="auto"/>
        <w:jc w:val="center"/>
        <w:rPr>
          <w:b/>
          <w:bCs/>
          <w:color w:val="000000" w:themeColor="text1"/>
          <w:sz w:val="32"/>
          <w:szCs w:val="32"/>
        </w:rPr>
      </w:pPr>
      <w:r w:rsidRPr="00CC36A3">
        <w:rPr>
          <w:b/>
          <w:bCs/>
          <w:color w:val="000000" w:themeColor="text1"/>
          <w:sz w:val="32"/>
          <w:szCs w:val="32"/>
        </w:rPr>
        <w:t>BMSW 5102: Developing relationships and workplace achievement.</w:t>
      </w:r>
    </w:p>
    <w:p w14:paraId="04EACA40" w14:textId="0214CEB8" w:rsidR="00CC36A3" w:rsidRPr="00CC36A3" w:rsidRDefault="00CC36A3" w:rsidP="00CC36A3">
      <w:pPr>
        <w:spacing w:line="360" w:lineRule="auto"/>
        <w:jc w:val="center"/>
        <w:rPr>
          <w:b/>
          <w:bCs/>
          <w:color w:val="000000" w:themeColor="text1"/>
          <w:sz w:val="28"/>
          <w:szCs w:val="28"/>
        </w:rPr>
      </w:pPr>
      <w:r w:rsidRPr="00CC36A3">
        <w:rPr>
          <w:b/>
          <w:bCs/>
          <w:color w:val="000000" w:themeColor="text1"/>
          <w:sz w:val="28"/>
          <w:szCs w:val="28"/>
        </w:rPr>
        <w:t>Assignment 2</w:t>
      </w:r>
    </w:p>
    <w:p w14:paraId="220BF8AA" w14:textId="77777777" w:rsidR="00CC36A3" w:rsidRDefault="00CC36A3" w:rsidP="007D3ACC">
      <w:pPr>
        <w:spacing w:line="360" w:lineRule="auto"/>
        <w:jc w:val="both"/>
        <w:rPr>
          <w:color w:val="000000" w:themeColor="text1"/>
          <w:sz w:val="24"/>
          <w:szCs w:val="24"/>
        </w:rPr>
      </w:pPr>
    </w:p>
    <w:p w14:paraId="1B5433A4" w14:textId="155A6733" w:rsidR="00BD2928" w:rsidRDefault="00BD2928">
      <w:pPr>
        <w:rPr>
          <w:color w:val="000000" w:themeColor="text1"/>
          <w:sz w:val="24"/>
          <w:szCs w:val="24"/>
        </w:rPr>
      </w:pPr>
      <w:r>
        <w:rPr>
          <w:color w:val="000000" w:themeColor="text1"/>
          <w:sz w:val="24"/>
          <w:szCs w:val="24"/>
        </w:rPr>
        <w:br w:type="page"/>
      </w:r>
    </w:p>
    <w:sdt>
      <w:sdtPr>
        <w:rPr>
          <w:rFonts w:asciiTheme="minorHAnsi" w:eastAsiaTheme="minorHAnsi" w:hAnsiTheme="minorHAnsi" w:cstheme="minorBidi"/>
          <w:color w:val="auto"/>
          <w:sz w:val="22"/>
          <w:szCs w:val="22"/>
          <w:lang w:val="en-US" w:eastAsia="en-US"/>
        </w:rPr>
        <w:id w:val="449135982"/>
        <w:docPartObj>
          <w:docPartGallery w:val="Table of Contents"/>
          <w:docPartUnique/>
        </w:docPartObj>
      </w:sdtPr>
      <w:sdtEndPr>
        <w:rPr>
          <w:b/>
          <w:bCs/>
        </w:rPr>
      </w:sdtEndPr>
      <w:sdtContent>
        <w:p w14:paraId="712339AB" w14:textId="6E4678F5" w:rsidR="00F855A1" w:rsidRPr="00F855A1" w:rsidRDefault="00F855A1" w:rsidP="00F855A1">
          <w:pPr>
            <w:pStyle w:val="TOCHeading"/>
            <w:jc w:val="center"/>
            <w:rPr>
              <w:b/>
              <w:bCs/>
              <w:color w:val="000000" w:themeColor="text1"/>
              <w:sz w:val="26"/>
              <w:szCs w:val="26"/>
            </w:rPr>
          </w:pPr>
          <w:r w:rsidRPr="00F855A1">
            <w:rPr>
              <w:b/>
              <w:bCs/>
              <w:color w:val="000000" w:themeColor="text1"/>
              <w:sz w:val="26"/>
              <w:szCs w:val="26"/>
            </w:rPr>
            <w:t>Table of Contents</w:t>
          </w:r>
        </w:p>
        <w:p w14:paraId="0C2A6DA5" w14:textId="400CAC8A" w:rsidR="00F855A1" w:rsidRPr="00F855A1" w:rsidRDefault="00F34185">
          <w:pPr>
            <w:pStyle w:val="TOC1"/>
            <w:tabs>
              <w:tab w:val="right" w:leader="dot" w:pos="9350"/>
            </w:tabs>
            <w:rPr>
              <w:noProof/>
            </w:rPr>
          </w:pPr>
          <w:hyperlink w:anchor="_Toc138472562" w:history="1">
            <w:r w:rsidR="00F855A1" w:rsidRPr="00F855A1">
              <w:rPr>
                <w:rStyle w:val="Hyperlink"/>
                <w:noProof/>
              </w:rPr>
              <w:t>Introduction</w:t>
            </w:r>
            <w:r w:rsidR="00F855A1" w:rsidRPr="00F855A1">
              <w:rPr>
                <w:noProof/>
                <w:webHidden/>
              </w:rPr>
              <w:tab/>
            </w:r>
            <w:r w:rsidR="00F855A1" w:rsidRPr="00F855A1">
              <w:rPr>
                <w:noProof/>
                <w:webHidden/>
              </w:rPr>
              <w:fldChar w:fldCharType="begin"/>
            </w:r>
            <w:r w:rsidR="00F855A1" w:rsidRPr="00F855A1">
              <w:rPr>
                <w:noProof/>
                <w:webHidden/>
              </w:rPr>
              <w:instrText xml:space="preserve"> PAGEREF _Toc138472562 \h </w:instrText>
            </w:r>
            <w:r w:rsidR="00F855A1" w:rsidRPr="00F855A1">
              <w:rPr>
                <w:noProof/>
                <w:webHidden/>
              </w:rPr>
            </w:r>
            <w:r w:rsidR="00F855A1" w:rsidRPr="00F855A1">
              <w:rPr>
                <w:noProof/>
                <w:webHidden/>
              </w:rPr>
              <w:fldChar w:fldCharType="separate"/>
            </w:r>
            <w:r w:rsidR="00F855A1" w:rsidRPr="00F855A1">
              <w:rPr>
                <w:noProof/>
                <w:webHidden/>
              </w:rPr>
              <w:t>3</w:t>
            </w:r>
            <w:r w:rsidR="00F855A1" w:rsidRPr="00F855A1">
              <w:rPr>
                <w:noProof/>
                <w:webHidden/>
              </w:rPr>
              <w:fldChar w:fldCharType="end"/>
            </w:r>
          </w:hyperlink>
        </w:p>
        <w:p w14:paraId="52BD0CC9" w14:textId="09A85C5C" w:rsidR="00F855A1" w:rsidRPr="00F855A1" w:rsidRDefault="00F34185">
          <w:pPr>
            <w:pStyle w:val="TOC1"/>
            <w:tabs>
              <w:tab w:val="right" w:leader="dot" w:pos="9350"/>
            </w:tabs>
            <w:rPr>
              <w:noProof/>
            </w:rPr>
          </w:pPr>
          <w:hyperlink w:anchor="_Toc138472563" w:history="1">
            <w:r w:rsidR="00F855A1" w:rsidRPr="00F855A1">
              <w:rPr>
                <w:rStyle w:val="Hyperlink"/>
                <w:noProof/>
              </w:rPr>
              <w:t>A critical assessment of the potential benefits to the organisation: Unilever.</w:t>
            </w:r>
            <w:r w:rsidR="00F855A1" w:rsidRPr="00F855A1">
              <w:rPr>
                <w:noProof/>
                <w:webHidden/>
              </w:rPr>
              <w:tab/>
              <w:t>3</w:t>
            </w:r>
          </w:hyperlink>
        </w:p>
        <w:p w14:paraId="39A05D8D" w14:textId="5031F654" w:rsidR="00F855A1" w:rsidRPr="00F855A1" w:rsidRDefault="00F34185">
          <w:pPr>
            <w:pStyle w:val="TOC2"/>
            <w:tabs>
              <w:tab w:val="right" w:leader="dot" w:pos="9350"/>
            </w:tabs>
            <w:rPr>
              <w:noProof/>
            </w:rPr>
          </w:pPr>
          <w:hyperlink w:anchor="_Toc138472564" w:history="1">
            <w:r w:rsidR="00F855A1" w:rsidRPr="00F855A1">
              <w:rPr>
                <w:rStyle w:val="Hyperlink"/>
                <w:noProof/>
                <w:lang w:val="en-GB"/>
              </w:rPr>
              <w:t>The application of Human Capital Theory: Explaining the benefits to Unilever</w:t>
            </w:r>
            <w:r w:rsidR="00F855A1" w:rsidRPr="00F855A1">
              <w:rPr>
                <w:noProof/>
                <w:webHidden/>
              </w:rPr>
              <w:tab/>
              <w:t>4</w:t>
            </w:r>
          </w:hyperlink>
        </w:p>
        <w:p w14:paraId="5831BE97" w14:textId="44CBEEA9" w:rsidR="00F855A1" w:rsidRPr="00F855A1" w:rsidRDefault="00F34185">
          <w:pPr>
            <w:pStyle w:val="TOC1"/>
            <w:tabs>
              <w:tab w:val="right" w:leader="dot" w:pos="9350"/>
            </w:tabs>
            <w:rPr>
              <w:noProof/>
            </w:rPr>
          </w:pPr>
          <w:hyperlink w:anchor="_Toc138472565" w:history="1">
            <w:r w:rsidR="00F855A1" w:rsidRPr="00F855A1">
              <w:rPr>
                <w:rStyle w:val="Hyperlink"/>
                <w:noProof/>
              </w:rPr>
              <w:t>A critical assessment of the potential benefits to the individual of personally developing individuals in Unilever.</w:t>
            </w:r>
            <w:r w:rsidR="00F855A1" w:rsidRPr="00F855A1">
              <w:rPr>
                <w:noProof/>
                <w:webHidden/>
              </w:rPr>
              <w:tab/>
              <w:t>5</w:t>
            </w:r>
          </w:hyperlink>
        </w:p>
        <w:p w14:paraId="076994EE" w14:textId="49863891" w:rsidR="00F855A1" w:rsidRPr="00F855A1" w:rsidRDefault="00F34185">
          <w:pPr>
            <w:pStyle w:val="TOC2"/>
            <w:tabs>
              <w:tab w:val="right" w:leader="dot" w:pos="9350"/>
            </w:tabs>
            <w:rPr>
              <w:noProof/>
            </w:rPr>
          </w:pPr>
          <w:hyperlink w:anchor="_Toc138472566" w:history="1">
            <w:r w:rsidR="00F855A1" w:rsidRPr="00F855A1">
              <w:rPr>
                <w:rStyle w:val="Hyperlink"/>
                <w:noProof/>
              </w:rPr>
              <w:t>The application of Maslow’s Hierarchy of Needs: Explaining the benefits to the individual</w:t>
            </w:r>
            <w:r w:rsidR="00F855A1" w:rsidRPr="00F855A1">
              <w:rPr>
                <w:noProof/>
                <w:webHidden/>
              </w:rPr>
              <w:tab/>
              <w:t>6</w:t>
            </w:r>
          </w:hyperlink>
        </w:p>
        <w:p w14:paraId="78831B6A" w14:textId="6584FB71" w:rsidR="00F855A1" w:rsidRPr="00F855A1" w:rsidRDefault="00F34185">
          <w:pPr>
            <w:pStyle w:val="TOC1"/>
            <w:tabs>
              <w:tab w:val="right" w:leader="dot" w:pos="9350"/>
            </w:tabs>
            <w:rPr>
              <w:noProof/>
            </w:rPr>
          </w:pPr>
          <w:hyperlink w:anchor="_Toc138472567" w:history="1">
            <w:r w:rsidR="00F855A1" w:rsidRPr="00F855A1">
              <w:rPr>
                <w:rStyle w:val="Hyperlink"/>
                <w:noProof/>
              </w:rPr>
              <w:t>A critical evaluation of the development vehicles available to Unilever appropriate to the development needs of the individual.</w:t>
            </w:r>
            <w:r w:rsidR="00F855A1" w:rsidRPr="00F855A1">
              <w:rPr>
                <w:noProof/>
                <w:webHidden/>
              </w:rPr>
              <w:tab/>
              <w:t>6</w:t>
            </w:r>
          </w:hyperlink>
        </w:p>
        <w:p w14:paraId="58BFB11C" w14:textId="570D0077" w:rsidR="00F855A1" w:rsidRPr="00F855A1" w:rsidRDefault="00F34185">
          <w:pPr>
            <w:pStyle w:val="TOC2"/>
            <w:tabs>
              <w:tab w:val="right" w:leader="dot" w:pos="9350"/>
            </w:tabs>
            <w:rPr>
              <w:noProof/>
            </w:rPr>
          </w:pPr>
          <w:hyperlink w:anchor="_Toc138472568" w:history="1">
            <w:r w:rsidR="00F855A1" w:rsidRPr="00F855A1">
              <w:rPr>
                <w:rStyle w:val="Hyperlink"/>
                <w:noProof/>
              </w:rPr>
              <w:t>Motivation</w:t>
            </w:r>
            <w:r w:rsidR="00F855A1" w:rsidRPr="00F855A1">
              <w:rPr>
                <w:noProof/>
                <w:webHidden/>
              </w:rPr>
              <w:tab/>
              <w:t>6</w:t>
            </w:r>
          </w:hyperlink>
        </w:p>
        <w:p w14:paraId="4CFA65E6" w14:textId="5E584AC8" w:rsidR="00F855A1" w:rsidRPr="00F855A1" w:rsidRDefault="00F34185">
          <w:pPr>
            <w:pStyle w:val="TOC2"/>
            <w:tabs>
              <w:tab w:val="right" w:leader="dot" w:pos="9350"/>
            </w:tabs>
            <w:rPr>
              <w:noProof/>
            </w:rPr>
          </w:pPr>
          <w:hyperlink w:anchor="_Toc138472569" w:history="1">
            <w:r w:rsidR="00F855A1" w:rsidRPr="00F855A1">
              <w:rPr>
                <w:rStyle w:val="Hyperlink"/>
                <w:noProof/>
              </w:rPr>
              <w:t>Employee engagement</w:t>
            </w:r>
            <w:r w:rsidR="00F855A1" w:rsidRPr="00F855A1">
              <w:rPr>
                <w:noProof/>
                <w:webHidden/>
              </w:rPr>
              <w:tab/>
              <w:t>7</w:t>
            </w:r>
          </w:hyperlink>
        </w:p>
        <w:p w14:paraId="3D240385" w14:textId="69DA284D" w:rsidR="00F855A1" w:rsidRPr="00F855A1" w:rsidRDefault="00F34185">
          <w:pPr>
            <w:pStyle w:val="TOC2"/>
            <w:tabs>
              <w:tab w:val="right" w:leader="dot" w:pos="9350"/>
            </w:tabs>
            <w:rPr>
              <w:noProof/>
            </w:rPr>
          </w:pPr>
          <w:hyperlink w:anchor="_Toc138472570" w:history="1">
            <w:r w:rsidR="00F855A1" w:rsidRPr="00F855A1">
              <w:rPr>
                <w:rStyle w:val="Hyperlink"/>
                <w:noProof/>
              </w:rPr>
              <w:t>Performance management and Training</w:t>
            </w:r>
            <w:r w:rsidR="00F855A1" w:rsidRPr="00F855A1">
              <w:rPr>
                <w:noProof/>
                <w:webHidden/>
              </w:rPr>
              <w:tab/>
              <w:t>8</w:t>
            </w:r>
          </w:hyperlink>
        </w:p>
        <w:p w14:paraId="29A7CC6D" w14:textId="6E69B8B2" w:rsidR="00F855A1" w:rsidRPr="00F855A1" w:rsidRDefault="00F34185">
          <w:pPr>
            <w:pStyle w:val="TOC1"/>
            <w:tabs>
              <w:tab w:val="right" w:leader="dot" w:pos="9350"/>
            </w:tabs>
            <w:rPr>
              <w:noProof/>
            </w:rPr>
          </w:pPr>
          <w:hyperlink w:anchor="_Toc138472571" w:history="1">
            <w:r w:rsidR="00F855A1" w:rsidRPr="00F855A1">
              <w:rPr>
                <w:rStyle w:val="Hyperlink"/>
                <w:noProof/>
              </w:rPr>
              <w:t>A detailed Personal Development Plan (PDP) to meet the identified development needs of an individual at Unilever.</w:t>
            </w:r>
            <w:r w:rsidR="00F855A1" w:rsidRPr="00F855A1">
              <w:rPr>
                <w:noProof/>
                <w:webHidden/>
              </w:rPr>
              <w:tab/>
              <w:t>9</w:t>
            </w:r>
          </w:hyperlink>
        </w:p>
        <w:p w14:paraId="255A3389" w14:textId="51EA4B0F" w:rsidR="00F855A1" w:rsidRPr="00F855A1" w:rsidRDefault="00F34185">
          <w:pPr>
            <w:pStyle w:val="TOC1"/>
            <w:tabs>
              <w:tab w:val="right" w:leader="dot" w:pos="9350"/>
            </w:tabs>
            <w:rPr>
              <w:noProof/>
            </w:rPr>
          </w:pPr>
          <w:hyperlink w:anchor="_Toc138472572" w:history="1">
            <w:r w:rsidR="00F855A1" w:rsidRPr="00F855A1">
              <w:rPr>
                <w:rStyle w:val="Hyperlink"/>
                <w:noProof/>
              </w:rPr>
              <w:t>Conclusion</w:t>
            </w:r>
            <w:r w:rsidR="00F855A1" w:rsidRPr="00F855A1">
              <w:rPr>
                <w:noProof/>
                <w:webHidden/>
              </w:rPr>
              <w:tab/>
              <w:t>10</w:t>
            </w:r>
          </w:hyperlink>
        </w:p>
        <w:p w14:paraId="1077E29E" w14:textId="28E45963" w:rsidR="00F855A1" w:rsidRPr="00F855A1" w:rsidRDefault="00F34185">
          <w:pPr>
            <w:pStyle w:val="TOC1"/>
            <w:tabs>
              <w:tab w:val="right" w:leader="dot" w:pos="9350"/>
            </w:tabs>
            <w:rPr>
              <w:noProof/>
            </w:rPr>
          </w:pPr>
          <w:hyperlink w:anchor="_Toc138472573" w:history="1">
            <w:r w:rsidR="00F855A1" w:rsidRPr="00F855A1">
              <w:rPr>
                <w:rStyle w:val="Hyperlink"/>
                <w:noProof/>
                <w:lang w:val="en-GB"/>
              </w:rPr>
              <w:t>References</w:t>
            </w:r>
            <w:r w:rsidR="00F855A1" w:rsidRPr="00F855A1">
              <w:rPr>
                <w:noProof/>
                <w:webHidden/>
              </w:rPr>
              <w:tab/>
              <w:t>12</w:t>
            </w:r>
          </w:hyperlink>
        </w:p>
        <w:p w14:paraId="6F685339" w14:textId="5B45FA9D" w:rsidR="00F855A1" w:rsidRDefault="00F34185"/>
      </w:sdtContent>
    </w:sdt>
    <w:p w14:paraId="4835D729" w14:textId="0BE1C52E" w:rsidR="002C2BD0" w:rsidRDefault="002C2BD0" w:rsidP="007D3ACC">
      <w:pPr>
        <w:spacing w:line="360" w:lineRule="auto"/>
        <w:jc w:val="both"/>
        <w:rPr>
          <w:color w:val="000000" w:themeColor="text1"/>
          <w:sz w:val="24"/>
          <w:szCs w:val="24"/>
        </w:rPr>
      </w:pPr>
    </w:p>
    <w:p w14:paraId="7B9F2847" w14:textId="23D91D29" w:rsidR="0095254F" w:rsidRDefault="0095254F">
      <w:pPr>
        <w:rPr>
          <w:color w:val="000000" w:themeColor="text1"/>
          <w:sz w:val="24"/>
          <w:szCs w:val="24"/>
        </w:rPr>
      </w:pPr>
      <w:r>
        <w:rPr>
          <w:color w:val="000000" w:themeColor="text1"/>
          <w:sz w:val="24"/>
          <w:szCs w:val="24"/>
        </w:rPr>
        <w:br w:type="page"/>
      </w:r>
    </w:p>
    <w:p w14:paraId="5B4080FD" w14:textId="6176B368" w:rsidR="0095254F" w:rsidRPr="009163FA" w:rsidRDefault="0095254F" w:rsidP="009163FA">
      <w:pPr>
        <w:pStyle w:val="Heading1"/>
        <w:rPr>
          <w:b/>
          <w:bCs/>
        </w:rPr>
      </w:pPr>
      <w:bookmarkStart w:id="0" w:name="_Toc138472562"/>
      <w:r w:rsidRPr="009163FA">
        <w:rPr>
          <w:b/>
          <w:bCs/>
        </w:rPr>
        <w:t>Introduction</w:t>
      </w:r>
      <w:bookmarkEnd w:id="0"/>
    </w:p>
    <w:p w14:paraId="080225C3" w14:textId="2822CA05" w:rsidR="0095254F" w:rsidRDefault="00A166B6" w:rsidP="007D3ACC">
      <w:pPr>
        <w:spacing w:line="360" w:lineRule="auto"/>
        <w:jc w:val="both"/>
        <w:rPr>
          <w:color w:val="000000" w:themeColor="text1"/>
          <w:sz w:val="24"/>
          <w:szCs w:val="24"/>
        </w:rPr>
      </w:pPr>
      <w:r w:rsidRPr="00A166B6">
        <w:rPr>
          <w:color w:val="000000" w:themeColor="text1"/>
          <w:sz w:val="24"/>
          <w:szCs w:val="24"/>
        </w:rPr>
        <w:t>This case study provides an in-depth analysis of the Human Resource Management (HRM) practices at Unilever, a globally renowned consumer goods corporation. Drawing on first-hand information shared by an individual</w:t>
      </w:r>
      <w:r>
        <w:rPr>
          <w:color w:val="000000" w:themeColor="text1"/>
          <w:sz w:val="24"/>
          <w:szCs w:val="24"/>
        </w:rPr>
        <w:t xml:space="preserve"> (One of the friends of the author)</w:t>
      </w:r>
      <w:r w:rsidRPr="00A166B6">
        <w:rPr>
          <w:color w:val="000000" w:themeColor="text1"/>
          <w:sz w:val="24"/>
          <w:szCs w:val="24"/>
        </w:rPr>
        <w:t xml:space="preserve"> currently employed at the company, this report explores the dimensions of personal development and performance management within the </w:t>
      </w:r>
      <w:proofErr w:type="spellStart"/>
      <w:r w:rsidRPr="00A166B6">
        <w:rPr>
          <w:color w:val="000000" w:themeColor="text1"/>
          <w:sz w:val="24"/>
          <w:szCs w:val="24"/>
        </w:rPr>
        <w:t>organisational</w:t>
      </w:r>
      <w:proofErr w:type="spellEnd"/>
      <w:r w:rsidRPr="00A166B6">
        <w:rPr>
          <w:color w:val="000000" w:themeColor="text1"/>
          <w:sz w:val="24"/>
          <w:szCs w:val="24"/>
        </w:rPr>
        <w:t xml:space="preserve"> context. The first part of the study will critically assess the benefits accruing to both Unilever and the employee from personal development initiatives. Next, </w:t>
      </w:r>
      <w:r>
        <w:rPr>
          <w:color w:val="000000" w:themeColor="text1"/>
          <w:sz w:val="24"/>
          <w:szCs w:val="24"/>
        </w:rPr>
        <w:t>I</w:t>
      </w:r>
      <w:r w:rsidRPr="00A166B6">
        <w:rPr>
          <w:color w:val="000000" w:themeColor="text1"/>
          <w:sz w:val="24"/>
          <w:szCs w:val="24"/>
        </w:rPr>
        <w:t xml:space="preserve"> will evaluate the different developmental tools at Unilever's disposal, focusing on their relevance to the individual’s needs. Finally, the report will formulate a comprehensive Personal Development Plan (PDP) to address the identified development needs of the individual, offering a roadmap for enhancing their professional growth. This case study aims to shed light on the role and significance of HRM practices in cultivating an environment conducive to individual growth and </w:t>
      </w:r>
      <w:proofErr w:type="spellStart"/>
      <w:r w:rsidRPr="00A166B6">
        <w:rPr>
          <w:color w:val="000000" w:themeColor="text1"/>
          <w:sz w:val="24"/>
          <w:szCs w:val="24"/>
        </w:rPr>
        <w:t>organisational</w:t>
      </w:r>
      <w:proofErr w:type="spellEnd"/>
      <w:r w:rsidRPr="00A166B6">
        <w:rPr>
          <w:color w:val="000000" w:themeColor="text1"/>
          <w:sz w:val="24"/>
          <w:szCs w:val="24"/>
        </w:rPr>
        <w:t xml:space="preserve"> success.</w:t>
      </w:r>
    </w:p>
    <w:p w14:paraId="2D41B3C1" w14:textId="712DD4BD" w:rsidR="0095254F" w:rsidRPr="009163FA" w:rsidRDefault="0095254F" w:rsidP="009163FA">
      <w:pPr>
        <w:pStyle w:val="Heading1"/>
        <w:rPr>
          <w:b/>
          <w:bCs/>
        </w:rPr>
      </w:pPr>
      <w:bookmarkStart w:id="1" w:name="_Toc138472563"/>
      <w:r w:rsidRPr="009163FA">
        <w:rPr>
          <w:b/>
          <w:bCs/>
        </w:rPr>
        <w:t xml:space="preserve">A critical assessment of the potential benefits to the </w:t>
      </w:r>
      <w:proofErr w:type="spellStart"/>
      <w:r w:rsidRPr="009163FA">
        <w:rPr>
          <w:b/>
          <w:bCs/>
        </w:rPr>
        <w:t>organisation</w:t>
      </w:r>
      <w:proofErr w:type="spellEnd"/>
      <w:r w:rsidRPr="009163FA">
        <w:rPr>
          <w:b/>
          <w:bCs/>
        </w:rPr>
        <w:t>: Unilever</w:t>
      </w:r>
      <w:r w:rsidR="008C50C9">
        <w:rPr>
          <w:b/>
          <w:bCs/>
        </w:rPr>
        <w:t>.</w:t>
      </w:r>
      <w:bookmarkEnd w:id="1"/>
    </w:p>
    <w:p w14:paraId="2AAE3295" w14:textId="77777777" w:rsidR="00986E0A" w:rsidRPr="00986E0A" w:rsidRDefault="00986E0A" w:rsidP="00986E0A">
      <w:pPr>
        <w:spacing w:line="360" w:lineRule="auto"/>
        <w:jc w:val="both"/>
        <w:rPr>
          <w:color w:val="000000" w:themeColor="text1"/>
          <w:sz w:val="24"/>
          <w:szCs w:val="24"/>
          <w:lang w:val="en-GB"/>
        </w:rPr>
      </w:pPr>
      <w:r w:rsidRPr="00986E0A">
        <w:rPr>
          <w:color w:val="000000" w:themeColor="text1"/>
          <w:sz w:val="24"/>
          <w:szCs w:val="24"/>
          <w:lang w:val="en-GB"/>
        </w:rPr>
        <w:t>The potential benefits to Unilever from personally developing individuals, including the chosen employee, are manifold. These benefits transcend the immediate working relationship and have far-reaching effects on the organization’s overall performance and reputation.</w:t>
      </w:r>
    </w:p>
    <w:p w14:paraId="77D74DC6" w14:textId="77777777" w:rsidR="00986E0A" w:rsidRPr="00986E0A" w:rsidRDefault="00986E0A" w:rsidP="00986E0A">
      <w:pPr>
        <w:spacing w:line="360" w:lineRule="auto"/>
        <w:jc w:val="both"/>
        <w:rPr>
          <w:color w:val="000000" w:themeColor="text1"/>
          <w:sz w:val="24"/>
          <w:szCs w:val="24"/>
          <w:lang w:val="en-GB"/>
        </w:rPr>
      </w:pPr>
      <w:r w:rsidRPr="00986E0A">
        <w:rPr>
          <w:b/>
          <w:bCs/>
          <w:color w:val="000000" w:themeColor="text1"/>
          <w:sz w:val="24"/>
          <w:szCs w:val="24"/>
          <w:lang w:val="en-GB"/>
        </w:rPr>
        <w:t>Intensified Competitiveness:</w:t>
      </w:r>
      <w:r w:rsidRPr="00986E0A">
        <w:rPr>
          <w:color w:val="000000" w:themeColor="text1"/>
          <w:sz w:val="24"/>
          <w:szCs w:val="24"/>
          <w:lang w:val="en-GB"/>
        </w:rPr>
        <w:t xml:space="preserve"> As a global player, Unilever's competitiveness lies in its ability to consistently innovate and adapt to market changes. By investing in personal development, Unilever equips its workforce with the latest skills and knowledge, thereby enhancing the organization’s competitiveness (Mathis et al., 2016). For instance, through employee training programs, Unilever fosters critical thinking and innovation, enabling it to stay ahead in the consumer goods industry (Mazur, 2014).</w:t>
      </w:r>
    </w:p>
    <w:p w14:paraId="19CFA85B" w14:textId="77777777" w:rsidR="00986E0A" w:rsidRPr="00986E0A" w:rsidRDefault="00986E0A" w:rsidP="00986E0A">
      <w:pPr>
        <w:spacing w:line="360" w:lineRule="auto"/>
        <w:jc w:val="both"/>
        <w:rPr>
          <w:color w:val="000000" w:themeColor="text1"/>
          <w:sz w:val="24"/>
          <w:szCs w:val="24"/>
          <w:lang w:val="en-GB"/>
        </w:rPr>
      </w:pPr>
      <w:r w:rsidRPr="00986E0A">
        <w:rPr>
          <w:b/>
          <w:bCs/>
          <w:color w:val="000000" w:themeColor="text1"/>
          <w:sz w:val="24"/>
          <w:szCs w:val="24"/>
          <w:lang w:val="en-GB"/>
        </w:rPr>
        <w:t>Increased Efficiency:</w:t>
      </w:r>
      <w:r w:rsidRPr="00986E0A">
        <w:rPr>
          <w:color w:val="000000" w:themeColor="text1"/>
          <w:sz w:val="24"/>
          <w:szCs w:val="24"/>
          <w:lang w:val="en-GB"/>
        </w:rPr>
        <w:t xml:space="preserve"> Personal development leads to increased proficiency and efficiency. As employees enhance their skills and gain more experience, they can perform their duties more effectively, reducing errors and saving time (Stewart &amp; Brown, 2019). At Unilever, development programs in areas like digital literacy have led to increased efficiency in data management and decision making (</w:t>
      </w:r>
      <w:proofErr w:type="spellStart"/>
      <w:r w:rsidRPr="00986E0A">
        <w:rPr>
          <w:color w:val="000000" w:themeColor="text1"/>
          <w:sz w:val="24"/>
          <w:szCs w:val="24"/>
          <w:lang w:val="en-GB"/>
        </w:rPr>
        <w:t>Cherono</w:t>
      </w:r>
      <w:proofErr w:type="spellEnd"/>
      <w:r w:rsidRPr="00986E0A">
        <w:rPr>
          <w:color w:val="000000" w:themeColor="text1"/>
          <w:sz w:val="24"/>
          <w:szCs w:val="24"/>
          <w:lang w:val="en-GB"/>
        </w:rPr>
        <w:t>, 2017).</w:t>
      </w:r>
    </w:p>
    <w:p w14:paraId="4E7A759D" w14:textId="77777777" w:rsidR="00986E0A" w:rsidRPr="00986E0A" w:rsidRDefault="00986E0A" w:rsidP="00986E0A">
      <w:pPr>
        <w:spacing w:line="360" w:lineRule="auto"/>
        <w:jc w:val="both"/>
        <w:rPr>
          <w:color w:val="000000" w:themeColor="text1"/>
          <w:sz w:val="24"/>
          <w:szCs w:val="24"/>
          <w:lang w:val="en-GB"/>
        </w:rPr>
      </w:pPr>
      <w:r w:rsidRPr="00986E0A">
        <w:rPr>
          <w:b/>
          <w:bCs/>
          <w:color w:val="000000" w:themeColor="text1"/>
          <w:sz w:val="24"/>
          <w:szCs w:val="24"/>
          <w:lang w:val="en-GB"/>
        </w:rPr>
        <w:t>Enhanced Reputation:</w:t>
      </w:r>
      <w:r w:rsidRPr="00986E0A">
        <w:rPr>
          <w:color w:val="000000" w:themeColor="text1"/>
          <w:sz w:val="24"/>
          <w:szCs w:val="24"/>
          <w:lang w:val="en-GB"/>
        </w:rPr>
        <w:t xml:space="preserve"> Unilever’s commitment to personal development enhances its reputation as a desirable employer, helping attract and retain top talent (Stone et al., 2020). Furthermore, Unilever's reputation is bolstered by its dedication to sustainability and social responsibility, a commitment reflected in its employee development programs. </w:t>
      </w:r>
      <w:proofErr w:type="spellStart"/>
      <w:r w:rsidRPr="00986E0A">
        <w:rPr>
          <w:color w:val="000000" w:themeColor="text1"/>
          <w:sz w:val="24"/>
          <w:szCs w:val="24"/>
          <w:lang w:val="en-GB"/>
        </w:rPr>
        <w:t>Aust</w:t>
      </w:r>
      <w:proofErr w:type="spellEnd"/>
      <w:r w:rsidRPr="00986E0A">
        <w:rPr>
          <w:color w:val="000000" w:themeColor="text1"/>
          <w:sz w:val="24"/>
          <w:szCs w:val="24"/>
          <w:lang w:val="en-GB"/>
        </w:rPr>
        <w:t>, Muller-</w:t>
      </w:r>
      <w:proofErr w:type="spellStart"/>
      <w:r w:rsidRPr="00986E0A">
        <w:rPr>
          <w:color w:val="000000" w:themeColor="text1"/>
          <w:sz w:val="24"/>
          <w:szCs w:val="24"/>
          <w:lang w:val="en-GB"/>
        </w:rPr>
        <w:t>Camen</w:t>
      </w:r>
      <w:proofErr w:type="spellEnd"/>
      <w:r w:rsidRPr="00986E0A">
        <w:rPr>
          <w:color w:val="000000" w:themeColor="text1"/>
          <w:sz w:val="24"/>
          <w:szCs w:val="24"/>
          <w:lang w:val="en-GB"/>
        </w:rPr>
        <w:t xml:space="preserve"> and </w:t>
      </w:r>
      <w:proofErr w:type="spellStart"/>
      <w:r w:rsidRPr="00986E0A">
        <w:rPr>
          <w:color w:val="000000" w:themeColor="text1"/>
          <w:sz w:val="24"/>
          <w:szCs w:val="24"/>
          <w:lang w:val="en-GB"/>
        </w:rPr>
        <w:t>Poutsma</w:t>
      </w:r>
      <w:proofErr w:type="spellEnd"/>
      <w:r w:rsidRPr="00986E0A">
        <w:rPr>
          <w:color w:val="000000" w:themeColor="text1"/>
          <w:sz w:val="24"/>
          <w:szCs w:val="24"/>
          <w:lang w:val="en-GB"/>
        </w:rPr>
        <w:t xml:space="preserve"> (2018) highlight Unilever's Learning for Life program, which provides training and skills development to young people, demonstrating the organization's commitment to societal development.</w:t>
      </w:r>
    </w:p>
    <w:p w14:paraId="4AFED79C" w14:textId="77777777" w:rsidR="00986E0A" w:rsidRPr="00986E0A" w:rsidRDefault="00986E0A" w:rsidP="00986E0A">
      <w:pPr>
        <w:spacing w:line="360" w:lineRule="auto"/>
        <w:jc w:val="both"/>
        <w:rPr>
          <w:color w:val="000000" w:themeColor="text1"/>
          <w:sz w:val="24"/>
          <w:szCs w:val="24"/>
          <w:lang w:val="en-GB"/>
        </w:rPr>
      </w:pPr>
      <w:r w:rsidRPr="00986E0A">
        <w:rPr>
          <w:b/>
          <w:bCs/>
          <w:color w:val="000000" w:themeColor="text1"/>
          <w:sz w:val="24"/>
          <w:szCs w:val="24"/>
          <w:lang w:val="en-GB"/>
        </w:rPr>
        <w:t>Increased Profitability:</w:t>
      </w:r>
      <w:r w:rsidRPr="00986E0A">
        <w:rPr>
          <w:color w:val="000000" w:themeColor="text1"/>
          <w:sz w:val="24"/>
          <w:szCs w:val="24"/>
          <w:lang w:val="en-GB"/>
        </w:rPr>
        <w:t xml:space="preserve"> There is a direct correlation between employee development and profitability (Stone &amp; Deadrick, 2015). As employees become more efficient and skilled, their contributions to the organization's goals increase, leading to higher productivity and, consequently, higher profits. Unilever’s increased profitability can be partially attributed to its robust development programs that empower employees to deliver high-quality work (Mazur, 2014).</w:t>
      </w:r>
    </w:p>
    <w:p w14:paraId="47279ABA" w14:textId="0235F886" w:rsidR="00986E0A" w:rsidRPr="00394615" w:rsidRDefault="00C14E1C" w:rsidP="00394615">
      <w:pPr>
        <w:pStyle w:val="Heading2"/>
        <w:rPr>
          <w:b/>
          <w:bCs/>
          <w:lang w:val="en-GB"/>
        </w:rPr>
      </w:pPr>
      <w:bookmarkStart w:id="2" w:name="_Toc138472564"/>
      <w:r w:rsidRPr="00C14E1C">
        <w:rPr>
          <w:b/>
          <w:bCs/>
          <w:lang w:val="en-GB"/>
        </w:rPr>
        <w:t>The application of Human Capital Theory</w:t>
      </w:r>
      <w:r>
        <w:rPr>
          <w:b/>
          <w:bCs/>
          <w:lang w:val="en-GB"/>
        </w:rPr>
        <w:t>: Explaining the benefits to Unilever</w:t>
      </w:r>
      <w:bookmarkEnd w:id="2"/>
      <w:r w:rsidR="00986E0A" w:rsidRPr="00986E0A">
        <w:rPr>
          <w:vanish/>
          <w:color w:val="000000" w:themeColor="text1"/>
          <w:sz w:val="24"/>
          <w:szCs w:val="24"/>
          <w:lang w:val="en-GB"/>
        </w:rPr>
        <w:t>Top of Form</w:t>
      </w:r>
    </w:p>
    <w:p w14:paraId="1D4332DC" w14:textId="7E0E2693" w:rsidR="00394615" w:rsidRPr="00394615" w:rsidRDefault="00394615" w:rsidP="00394615">
      <w:pPr>
        <w:spacing w:line="360" w:lineRule="auto"/>
        <w:jc w:val="both"/>
        <w:rPr>
          <w:color w:val="000000" w:themeColor="text1"/>
          <w:sz w:val="24"/>
          <w:szCs w:val="24"/>
          <w:lang w:val="en-GB"/>
        </w:rPr>
      </w:pPr>
      <w:r w:rsidRPr="00394615">
        <w:rPr>
          <w:color w:val="000000" w:themeColor="text1"/>
          <w:sz w:val="24"/>
          <w:szCs w:val="24"/>
          <w:lang w:val="en-GB"/>
        </w:rPr>
        <w:t>Human Capital Theory (HCT) posits that investments in education and employee development result in improved organizational performance and profitability, as these investments enhance the value of the human capital within the organization (Stone and Deadrick, 2015). In the case of Unilever, the application of HCT explicates the company's success and global competitiveness.</w:t>
      </w:r>
      <w:r>
        <w:rPr>
          <w:color w:val="000000" w:themeColor="text1"/>
          <w:sz w:val="24"/>
          <w:szCs w:val="24"/>
          <w:lang w:val="en-GB"/>
        </w:rPr>
        <w:t xml:space="preserve"> </w:t>
      </w:r>
      <w:r w:rsidRPr="00394615">
        <w:rPr>
          <w:color w:val="000000" w:themeColor="text1"/>
          <w:sz w:val="24"/>
          <w:szCs w:val="24"/>
          <w:lang w:val="en-GB"/>
        </w:rPr>
        <w:t>By investing in personal development, Unilever essentially increases the value of its human capital. This investment takes the form of skill enhancement, training, and continuing education, resulting in a more knowledgeable and efficient workforce (DeCenzo et al., 2016). For instance, Unilever's various development programs equip employees with innovative skills and knowledge, making them valuable assets to the organization (Ivanovic and Ivancevic, 2022).</w:t>
      </w:r>
    </w:p>
    <w:p w14:paraId="3602D2C7" w14:textId="77777777" w:rsidR="00394615" w:rsidRPr="00394615" w:rsidRDefault="00394615" w:rsidP="00394615">
      <w:pPr>
        <w:spacing w:line="360" w:lineRule="auto"/>
        <w:jc w:val="both"/>
        <w:rPr>
          <w:color w:val="000000" w:themeColor="text1"/>
          <w:sz w:val="24"/>
          <w:szCs w:val="24"/>
          <w:lang w:val="en-GB"/>
        </w:rPr>
      </w:pPr>
      <w:r w:rsidRPr="00394615">
        <w:rPr>
          <w:color w:val="000000" w:themeColor="text1"/>
          <w:sz w:val="24"/>
          <w:szCs w:val="24"/>
          <w:lang w:val="en-GB"/>
        </w:rPr>
        <w:t xml:space="preserve">Moreover, HCT supports the concept that higher levels of human capital </w:t>
      </w:r>
      <w:proofErr w:type="gramStart"/>
      <w:r w:rsidRPr="00394615">
        <w:rPr>
          <w:color w:val="000000" w:themeColor="text1"/>
          <w:sz w:val="24"/>
          <w:szCs w:val="24"/>
          <w:lang w:val="en-GB"/>
        </w:rPr>
        <w:t>lead</w:t>
      </w:r>
      <w:proofErr w:type="gramEnd"/>
      <w:r w:rsidRPr="00394615">
        <w:rPr>
          <w:color w:val="000000" w:themeColor="text1"/>
          <w:sz w:val="24"/>
          <w:szCs w:val="24"/>
          <w:lang w:val="en-GB"/>
        </w:rPr>
        <w:t xml:space="preserve"> to increased productivity, thereby enhancing profitability (Wilton, 2022). Unilever's profitability can be partially attributed to its strategic investment in its human capital, leading to high-quality output and business growth (</w:t>
      </w:r>
      <w:proofErr w:type="spellStart"/>
      <w:r w:rsidRPr="00394615">
        <w:rPr>
          <w:color w:val="000000" w:themeColor="text1"/>
          <w:sz w:val="24"/>
          <w:szCs w:val="24"/>
          <w:lang w:val="en-GB"/>
        </w:rPr>
        <w:t>Pattanayak</w:t>
      </w:r>
      <w:proofErr w:type="spellEnd"/>
      <w:r w:rsidRPr="00394615">
        <w:rPr>
          <w:color w:val="000000" w:themeColor="text1"/>
          <w:sz w:val="24"/>
          <w:szCs w:val="24"/>
          <w:lang w:val="en-GB"/>
        </w:rPr>
        <w:t>, 2020).</w:t>
      </w:r>
    </w:p>
    <w:p w14:paraId="70D8480E" w14:textId="77777777" w:rsidR="00394615" w:rsidRPr="00986E0A" w:rsidRDefault="00394615" w:rsidP="00986E0A">
      <w:pPr>
        <w:spacing w:line="360" w:lineRule="auto"/>
        <w:jc w:val="both"/>
        <w:rPr>
          <w:vanish/>
          <w:color w:val="000000" w:themeColor="text1"/>
          <w:sz w:val="24"/>
          <w:szCs w:val="24"/>
          <w:lang w:val="en-GB"/>
        </w:rPr>
      </w:pPr>
    </w:p>
    <w:p w14:paraId="3FFFC3B1" w14:textId="5C0D09BE" w:rsidR="0095254F" w:rsidRPr="009163FA" w:rsidRDefault="0095254F" w:rsidP="009163FA">
      <w:pPr>
        <w:pStyle w:val="Heading1"/>
        <w:rPr>
          <w:b/>
          <w:bCs/>
        </w:rPr>
      </w:pPr>
      <w:bookmarkStart w:id="3" w:name="_Toc138472565"/>
      <w:r w:rsidRPr="009163FA">
        <w:rPr>
          <w:b/>
          <w:bCs/>
        </w:rPr>
        <w:t>A critical assessment of the potential benefits to the</w:t>
      </w:r>
      <w:r w:rsidR="00B97A19" w:rsidRPr="009163FA">
        <w:rPr>
          <w:b/>
          <w:bCs/>
        </w:rPr>
        <w:t xml:space="preserve"> individual of personally developing individuals in </w:t>
      </w:r>
      <w:r w:rsidR="00D20583" w:rsidRPr="009163FA">
        <w:rPr>
          <w:b/>
          <w:bCs/>
        </w:rPr>
        <w:t>Unilever</w:t>
      </w:r>
      <w:r w:rsidR="00D15F6F">
        <w:rPr>
          <w:b/>
          <w:bCs/>
        </w:rPr>
        <w:t>.</w:t>
      </w:r>
      <w:bookmarkEnd w:id="3"/>
    </w:p>
    <w:p w14:paraId="79E6F37D" w14:textId="77777777" w:rsidR="00D15F6F" w:rsidRPr="00D15F6F" w:rsidRDefault="00D15F6F" w:rsidP="00D15F6F">
      <w:pPr>
        <w:spacing w:line="360" w:lineRule="auto"/>
        <w:jc w:val="both"/>
        <w:rPr>
          <w:color w:val="000000" w:themeColor="text1"/>
          <w:sz w:val="24"/>
          <w:szCs w:val="24"/>
          <w:lang w:val="en-GB"/>
        </w:rPr>
      </w:pPr>
      <w:r w:rsidRPr="00D15F6F">
        <w:rPr>
          <w:color w:val="000000" w:themeColor="text1"/>
          <w:sz w:val="24"/>
          <w:szCs w:val="24"/>
          <w:lang w:val="en-GB"/>
        </w:rPr>
        <w:t>The personal development initiatives at Unilever offer a multitude of benefits to the individual employees, driving productivity, promoting career growth, increasing financial incentives, and improving self-esteem and satisfaction.</w:t>
      </w:r>
    </w:p>
    <w:p w14:paraId="2C17F08E" w14:textId="77777777" w:rsidR="00D15F6F" w:rsidRPr="00D15F6F" w:rsidRDefault="00D15F6F" w:rsidP="00D15F6F">
      <w:pPr>
        <w:spacing w:line="360" w:lineRule="auto"/>
        <w:jc w:val="both"/>
        <w:rPr>
          <w:color w:val="000000" w:themeColor="text1"/>
          <w:sz w:val="24"/>
          <w:szCs w:val="24"/>
          <w:lang w:val="en-GB"/>
        </w:rPr>
      </w:pPr>
      <w:r w:rsidRPr="00D15F6F">
        <w:rPr>
          <w:b/>
          <w:bCs/>
          <w:color w:val="000000" w:themeColor="text1"/>
          <w:sz w:val="24"/>
          <w:szCs w:val="24"/>
          <w:lang w:val="en-GB"/>
        </w:rPr>
        <w:t>Being More Productive:</w:t>
      </w:r>
      <w:r w:rsidRPr="00D15F6F">
        <w:rPr>
          <w:color w:val="000000" w:themeColor="text1"/>
          <w:sz w:val="24"/>
          <w:szCs w:val="24"/>
          <w:lang w:val="en-GB"/>
        </w:rPr>
        <w:t xml:space="preserve"> Personal development directly contributes to an employee's productivity. When individuals expand their skills, their efficiency, and overall output invariably increase (Bratton, Gold, </w:t>
      </w:r>
      <w:proofErr w:type="gramStart"/>
      <w:r w:rsidRPr="00D15F6F">
        <w:rPr>
          <w:color w:val="000000" w:themeColor="text1"/>
          <w:sz w:val="24"/>
          <w:szCs w:val="24"/>
          <w:lang w:val="en-GB"/>
        </w:rPr>
        <w:t>Bratton</w:t>
      </w:r>
      <w:proofErr w:type="gramEnd"/>
      <w:r w:rsidRPr="00D15F6F">
        <w:rPr>
          <w:color w:val="000000" w:themeColor="text1"/>
          <w:sz w:val="24"/>
          <w:szCs w:val="24"/>
          <w:lang w:val="en-GB"/>
        </w:rPr>
        <w:t xml:space="preserve"> and Steele, 2021). For example, Unilever’s training programs designed to enhance employees’ technical and soft skills empower them to tackle complex tasks with greater competence, thereby increasing their productivity (Unilever Plc., 2023).</w:t>
      </w:r>
    </w:p>
    <w:p w14:paraId="2D745207" w14:textId="77777777" w:rsidR="00D15F6F" w:rsidRPr="00D15F6F" w:rsidRDefault="00D15F6F" w:rsidP="00D15F6F">
      <w:pPr>
        <w:spacing w:line="360" w:lineRule="auto"/>
        <w:jc w:val="both"/>
        <w:rPr>
          <w:color w:val="000000" w:themeColor="text1"/>
          <w:sz w:val="24"/>
          <w:szCs w:val="24"/>
          <w:lang w:val="en-GB"/>
        </w:rPr>
      </w:pPr>
      <w:r w:rsidRPr="00D15F6F">
        <w:rPr>
          <w:b/>
          <w:bCs/>
          <w:color w:val="000000" w:themeColor="text1"/>
          <w:sz w:val="24"/>
          <w:szCs w:val="24"/>
          <w:lang w:val="en-GB"/>
        </w:rPr>
        <w:t>Career Growth:</w:t>
      </w:r>
      <w:r w:rsidRPr="00D15F6F">
        <w:rPr>
          <w:color w:val="000000" w:themeColor="text1"/>
          <w:sz w:val="24"/>
          <w:szCs w:val="24"/>
          <w:lang w:val="en-GB"/>
        </w:rPr>
        <w:t xml:space="preserve"> Opportunities for personal development serve as the stepping-stones for career advancement. Acquiring advanced skills and competencies improves individuals' eligibility for promotion and leadership roles (Boxall and Purcell, 2022). Unilever’s robust talent management system, which includes mentoring and leadership development programs, facilitates employees' growth within the company (Tien and Nhi, 2019).</w:t>
      </w:r>
    </w:p>
    <w:p w14:paraId="627B933C" w14:textId="77777777" w:rsidR="00D15F6F" w:rsidRPr="00D15F6F" w:rsidRDefault="00D15F6F" w:rsidP="00D15F6F">
      <w:pPr>
        <w:spacing w:line="360" w:lineRule="auto"/>
        <w:jc w:val="both"/>
        <w:rPr>
          <w:color w:val="000000" w:themeColor="text1"/>
          <w:sz w:val="24"/>
          <w:szCs w:val="24"/>
          <w:lang w:val="en-GB"/>
        </w:rPr>
      </w:pPr>
      <w:r w:rsidRPr="00D15F6F">
        <w:rPr>
          <w:b/>
          <w:bCs/>
          <w:color w:val="000000" w:themeColor="text1"/>
          <w:sz w:val="24"/>
          <w:szCs w:val="24"/>
          <w:lang w:val="en-GB"/>
        </w:rPr>
        <w:t>Financial Incentives and Packages:</w:t>
      </w:r>
      <w:r w:rsidRPr="00D15F6F">
        <w:rPr>
          <w:color w:val="000000" w:themeColor="text1"/>
          <w:sz w:val="24"/>
          <w:szCs w:val="24"/>
          <w:lang w:val="en-GB"/>
        </w:rPr>
        <w:t xml:space="preserve"> Enhanced skills and expertise can lead to better financial rewards. Higher levels of competencies are often linked with improved compensation packages, which not only provide financial security but also serve as motivational factors (Armstrong and Taylor, 2020). Unilever has an incentive scheme that links rewards with employees' development milestones, thereby reinforcing the link between personal growth and financial incentives (</w:t>
      </w:r>
      <w:proofErr w:type="spellStart"/>
      <w:r w:rsidRPr="00D15F6F">
        <w:rPr>
          <w:color w:val="000000" w:themeColor="text1"/>
          <w:sz w:val="24"/>
          <w:szCs w:val="24"/>
          <w:lang w:val="en-GB"/>
        </w:rPr>
        <w:t>Nocker</w:t>
      </w:r>
      <w:proofErr w:type="spellEnd"/>
      <w:r w:rsidRPr="00D15F6F">
        <w:rPr>
          <w:color w:val="000000" w:themeColor="text1"/>
          <w:sz w:val="24"/>
          <w:szCs w:val="24"/>
          <w:lang w:val="en-GB"/>
        </w:rPr>
        <w:t xml:space="preserve"> and </w:t>
      </w:r>
      <w:proofErr w:type="spellStart"/>
      <w:r w:rsidRPr="00D15F6F">
        <w:rPr>
          <w:color w:val="000000" w:themeColor="text1"/>
          <w:sz w:val="24"/>
          <w:szCs w:val="24"/>
          <w:lang w:val="en-GB"/>
        </w:rPr>
        <w:t>Sena</w:t>
      </w:r>
      <w:proofErr w:type="spellEnd"/>
      <w:r w:rsidRPr="00D15F6F">
        <w:rPr>
          <w:color w:val="000000" w:themeColor="text1"/>
          <w:sz w:val="24"/>
          <w:szCs w:val="24"/>
          <w:lang w:val="en-GB"/>
        </w:rPr>
        <w:t>, 2019).</w:t>
      </w:r>
    </w:p>
    <w:p w14:paraId="39CC4395" w14:textId="77777777" w:rsidR="00D15F6F" w:rsidRPr="00D15F6F" w:rsidRDefault="00D15F6F" w:rsidP="00D15F6F">
      <w:pPr>
        <w:spacing w:line="360" w:lineRule="auto"/>
        <w:jc w:val="both"/>
        <w:rPr>
          <w:color w:val="000000" w:themeColor="text1"/>
          <w:sz w:val="24"/>
          <w:szCs w:val="24"/>
          <w:lang w:val="en-GB"/>
        </w:rPr>
      </w:pPr>
      <w:r w:rsidRPr="00D15F6F">
        <w:rPr>
          <w:b/>
          <w:bCs/>
          <w:color w:val="000000" w:themeColor="text1"/>
          <w:sz w:val="24"/>
          <w:szCs w:val="24"/>
          <w:lang w:val="en-GB"/>
        </w:rPr>
        <w:t>Self-Esteem:</w:t>
      </w:r>
      <w:r w:rsidRPr="00D15F6F">
        <w:rPr>
          <w:color w:val="000000" w:themeColor="text1"/>
          <w:sz w:val="24"/>
          <w:szCs w:val="24"/>
          <w:lang w:val="en-GB"/>
        </w:rPr>
        <w:t xml:space="preserve"> Personal development initiatives can significantly boost an employee's self-esteem. As individuals acquire new skills, they gain confidence in their abilities, leading to improved self-esteem (Stone et al., 2015). Unilever's culture of continuous learning fosters an environment where employees feel valued and respected, contributing positively to their self-esteem (</w:t>
      </w:r>
      <w:proofErr w:type="spellStart"/>
      <w:r w:rsidRPr="00D15F6F">
        <w:rPr>
          <w:color w:val="000000" w:themeColor="text1"/>
          <w:sz w:val="24"/>
          <w:szCs w:val="24"/>
          <w:lang w:val="en-GB"/>
        </w:rPr>
        <w:t>Kowo</w:t>
      </w:r>
      <w:proofErr w:type="spellEnd"/>
      <w:r w:rsidRPr="00D15F6F">
        <w:rPr>
          <w:color w:val="000000" w:themeColor="text1"/>
          <w:sz w:val="24"/>
          <w:szCs w:val="24"/>
          <w:lang w:val="en-GB"/>
        </w:rPr>
        <w:t xml:space="preserve">, </w:t>
      </w:r>
      <w:proofErr w:type="spellStart"/>
      <w:r w:rsidRPr="00D15F6F">
        <w:rPr>
          <w:color w:val="000000" w:themeColor="text1"/>
          <w:sz w:val="24"/>
          <w:szCs w:val="24"/>
          <w:lang w:val="en-GB"/>
        </w:rPr>
        <w:t>ObaAdenuga</w:t>
      </w:r>
      <w:proofErr w:type="spellEnd"/>
      <w:r w:rsidRPr="00D15F6F">
        <w:rPr>
          <w:color w:val="000000" w:themeColor="text1"/>
          <w:sz w:val="24"/>
          <w:szCs w:val="24"/>
          <w:lang w:val="en-GB"/>
        </w:rPr>
        <w:t xml:space="preserve"> and </w:t>
      </w:r>
      <w:proofErr w:type="spellStart"/>
      <w:r w:rsidRPr="00D15F6F">
        <w:rPr>
          <w:color w:val="000000" w:themeColor="text1"/>
          <w:sz w:val="24"/>
          <w:szCs w:val="24"/>
          <w:lang w:val="en-GB"/>
        </w:rPr>
        <w:t>owotutu</w:t>
      </w:r>
      <w:proofErr w:type="spellEnd"/>
      <w:r w:rsidRPr="00D15F6F">
        <w:rPr>
          <w:color w:val="000000" w:themeColor="text1"/>
          <w:sz w:val="24"/>
          <w:szCs w:val="24"/>
          <w:lang w:val="en-GB"/>
        </w:rPr>
        <w:t xml:space="preserve"> </w:t>
      </w:r>
      <w:proofErr w:type="spellStart"/>
      <w:r w:rsidRPr="00D15F6F">
        <w:rPr>
          <w:color w:val="000000" w:themeColor="text1"/>
          <w:sz w:val="24"/>
          <w:szCs w:val="24"/>
          <w:lang w:val="en-GB"/>
        </w:rPr>
        <w:t>Sabitu</w:t>
      </w:r>
      <w:proofErr w:type="spellEnd"/>
      <w:r w:rsidRPr="00D15F6F">
        <w:rPr>
          <w:color w:val="000000" w:themeColor="text1"/>
          <w:sz w:val="24"/>
          <w:szCs w:val="24"/>
          <w:lang w:val="en-GB"/>
        </w:rPr>
        <w:t>, 2019).</w:t>
      </w:r>
    </w:p>
    <w:p w14:paraId="6C497C59" w14:textId="77777777" w:rsidR="00D15F6F" w:rsidRPr="00D15F6F" w:rsidRDefault="00D15F6F" w:rsidP="00D15F6F">
      <w:pPr>
        <w:spacing w:line="360" w:lineRule="auto"/>
        <w:jc w:val="both"/>
        <w:rPr>
          <w:color w:val="000000" w:themeColor="text1"/>
          <w:sz w:val="24"/>
          <w:szCs w:val="24"/>
          <w:lang w:val="en-GB"/>
        </w:rPr>
      </w:pPr>
      <w:r w:rsidRPr="00D15F6F">
        <w:rPr>
          <w:b/>
          <w:bCs/>
          <w:color w:val="000000" w:themeColor="text1"/>
          <w:sz w:val="24"/>
          <w:szCs w:val="24"/>
          <w:lang w:val="en-GB"/>
        </w:rPr>
        <w:t>Satisfaction:</w:t>
      </w:r>
      <w:r w:rsidRPr="00D15F6F">
        <w:rPr>
          <w:color w:val="000000" w:themeColor="text1"/>
          <w:sz w:val="24"/>
          <w:szCs w:val="24"/>
          <w:lang w:val="en-GB"/>
        </w:rPr>
        <w:t xml:space="preserve"> Employee satisfaction is often intertwined with opportunities for personal development. The chance to learn, grow, and advance in one's career contributes to higher levels of job satisfaction (Torrington, 2014). Unilever's holistic approach to personal development, which balances professional growth with personal well-being, leads to higher employee satisfaction rates (Unilever Plc., 2023).</w:t>
      </w:r>
    </w:p>
    <w:p w14:paraId="153FA822" w14:textId="788CA429" w:rsidR="00916C47" w:rsidRPr="005A58B1" w:rsidRDefault="005A58B1" w:rsidP="005A58B1">
      <w:pPr>
        <w:pStyle w:val="Heading2"/>
        <w:rPr>
          <w:b/>
          <w:bCs/>
        </w:rPr>
      </w:pPr>
      <w:bookmarkStart w:id="4" w:name="_Toc138472566"/>
      <w:r w:rsidRPr="005A58B1">
        <w:rPr>
          <w:b/>
          <w:bCs/>
        </w:rPr>
        <w:t>The application of Maslow’s Hierarchy of Needs: Explaining the benefits to the individual</w:t>
      </w:r>
      <w:bookmarkEnd w:id="4"/>
    </w:p>
    <w:p w14:paraId="7DF952D9" w14:textId="44F01CCB" w:rsidR="001154C2" w:rsidRPr="001154C2" w:rsidRDefault="001154C2" w:rsidP="001154C2">
      <w:pPr>
        <w:spacing w:line="360" w:lineRule="auto"/>
        <w:jc w:val="both"/>
        <w:rPr>
          <w:color w:val="000000" w:themeColor="text1"/>
          <w:sz w:val="24"/>
          <w:szCs w:val="24"/>
          <w:lang w:val="en-GB"/>
        </w:rPr>
      </w:pPr>
      <w:r w:rsidRPr="001154C2">
        <w:rPr>
          <w:color w:val="000000" w:themeColor="text1"/>
          <w:sz w:val="24"/>
          <w:szCs w:val="24"/>
          <w:lang w:val="en-GB"/>
        </w:rPr>
        <w:t>Maslow's Hierarchy of Needs suggests that individuals strive to meet a series of needs, starting from basic physiological needs and culminating in self-actualization - the desire to realize one's full potential (Hewett et al., 2018). In the context of Unilever, the provision of personal development opportunities aligns with the theory by helping employees ascend Maslow's hierarchy.</w:t>
      </w:r>
      <w:r w:rsidR="0096649E">
        <w:rPr>
          <w:color w:val="000000" w:themeColor="text1"/>
          <w:sz w:val="24"/>
          <w:szCs w:val="24"/>
          <w:lang w:val="en-GB"/>
        </w:rPr>
        <w:t xml:space="preserve"> </w:t>
      </w:r>
      <w:r w:rsidRPr="001154C2">
        <w:rPr>
          <w:color w:val="000000" w:themeColor="text1"/>
          <w:sz w:val="24"/>
          <w:szCs w:val="24"/>
          <w:lang w:val="en-GB"/>
        </w:rPr>
        <w:t xml:space="preserve">Personal development can be seen </w:t>
      </w:r>
      <w:proofErr w:type="gramStart"/>
      <w:r w:rsidRPr="001154C2">
        <w:rPr>
          <w:color w:val="000000" w:themeColor="text1"/>
          <w:sz w:val="24"/>
          <w:szCs w:val="24"/>
          <w:lang w:val="en-GB"/>
        </w:rPr>
        <w:t>as a means to</w:t>
      </w:r>
      <w:proofErr w:type="gramEnd"/>
      <w:r w:rsidRPr="001154C2">
        <w:rPr>
          <w:color w:val="000000" w:themeColor="text1"/>
          <w:sz w:val="24"/>
          <w:szCs w:val="24"/>
          <w:lang w:val="en-GB"/>
        </w:rPr>
        <w:t xml:space="preserve"> satisfy the higher-level needs of Maslow's hierarchy, such as esteem and self-actualization. Esteem needs involve recognition and respect from others, which can be fulfilled at Unilever through promotions and financial incentives linked to personal development (Guest et al., 2021).</w:t>
      </w:r>
    </w:p>
    <w:p w14:paraId="60EC4CB6" w14:textId="77777777" w:rsidR="001154C2" w:rsidRPr="001154C2" w:rsidRDefault="001154C2" w:rsidP="001154C2">
      <w:pPr>
        <w:spacing w:line="360" w:lineRule="auto"/>
        <w:jc w:val="both"/>
        <w:rPr>
          <w:color w:val="000000" w:themeColor="text1"/>
          <w:sz w:val="24"/>
          <w:szCs w:val="24"/>
          <w:lang w:val="en-GB"/>
        </w:rPr>
      </w:pPr>
      <w:r w:rsidRPr="001154C2">
        <w:rPr>
          <w:color w:val="000000" w:themeColor="text1"/>
          <w:sz w:val="24"/>
          <w:szCs w:val="24"/>
          <w:lang w:val="en-GB"/>
        </w:rPr>
        <w:t>Furthermore, self-actualization, the pinnacle of Maslow's hierarchy, can be pursued through continuous learning and skill enhancement. By providing employees with the means to continually develop their skills, Unilever enables them to achieve their full potential, thereby attaining self-actualization (Ellinger and Kim, 2014).</w:t>
      </w:r>
    </w:p>
    <w:p w14:paraId="2FE86D55" w14:textId="77777777" w:rsidR="001154C2" w:rsidRPr="001154C2" w:rsidRDefault="001154C2" w:rsidP="001154C2">
      <w:pPr>
        <w:spacing w:line="360" w:lineRule="auto"/>
        <w:jc w:val="both"/>
        <w:rPr>
          <w:vanish/>
          <w:color w:val="000000" w:themeColor="text1"/>
          <w:sz w:val="24"/>
          <w:szCs w:val="24"/>
          <w:lang w:val="en-GB"/>
        </w:rPr>
      </w:pPr>
      <w:r w:rsidRPr="001154C2">
        <w:rPr>
          <w:vanish/>
          <w:color w:val="000000" w:themeColor="text1"/>
          <w:sz w:val="24"/>
          <w:szCs w:val="24"/>
          <w:lang w:val="en-GB"/>
        </w:rPr>
        <w:t>Top of Form</w:t>
      </w:r>
    </w:p>
    <w:p w14:paraId="09BADF24" w14:textId="31416E6E" w:rsidR="00B97A19" w:rsidRPr="009163FA" w:rsidRDefault="00D20583" w:rsidP="009163FA">
      <w:pPr>
        <w:pStyle w:val="Heading1"/>
        <w:rPr>
          <w:b/>
          <w:bCs/>
        </w:rPr>
      </w:pPr>
      <w:bookmarkStart w:id="5" w:name="_Toc138472567"/>
      <w:r w:rsidRPr="009163FA">
        <w:rPr>
          <w:b/>
          <w:bCs/>
        </w:rPr>
        <w:t xml:space="preserve">A critical evaluation of the development vehicles available to </w:t>
      </w:r>
      <w:r w:rsidR="00E52145">
        <w:rPr>
          <w:b/>
          <w:bCs/>
        </w:rPr>
        <w:t>Unilever</w:t>
      </w:r>
      <w:r w:rsidRPr="009163FA">
        <w:rPr>
          <w:b/>
          <w:bCs/>
        </w:rPr>
        <w:t xml:space="preserve"> appropriate to the development needs of the individual</w:t>
      </w:r>
      <w:r w:rsidR="005A4643">
        <w:rPr>
          <w:b/>
          <w:bCs/>
        </w:rPr>
        <w:t>.</w:t>
      </w:r>
      <w:bookmarkEnd w:id="5"/>
    </w:p>
    <w:p w14:paraId="22E9E06E" w14:textId="77777777" w:rsidR="00FB55FD" w:rsidRPr="002103CF" w:rsidRDefault="00D20583" w:rsidP="002103CF">
      <w:pPr>
        <w:pStyle w:val="Heading2"/>
        <w:rPr>
          <w:b/>
          <w:bCs/>
        </w:rPr>
      </w:pPr>
      <w:bookmarkStart w:id="6" w:name="_Toc138472568"/>
      <w:r w:rsidRPr="002103CF">
        <w:rPr>
          <w:b/>
          <w:bCs/>
        </w:rPr>
        <w:t>Motivation</w:t>
      </w:r>
      <w:bookmarkEnd w:id="6"/>
    </w:p>
    <w:p w14:paraId="7753C619" w14:textId="77777777" w:rsidR="002103CF" w:rsidRPr="002103CF" w:rsidRDefault="002103CF" w:rsidP="002103CF">
      <w:pPr>
        <w:spacing w:line="360" w:lineRule="auto"/>
        <w:jc w:val="both"/>
        <w:rPr>
          <w:color w:val="000000" w:themeColor="text1"/>
          <w:sz w:val="24"/>
          <w:szCs w:val="24"/>
          <w:lang w:val="en-GB"/>
        </w:rPr>
      </w:pPr>
      <w:r w:rsidRPr="002103CF">
        <w:rPr>
          <w:b/>
          <w:bCs/>
          <w:color w:val="000000" w:themeColor="text1"/>
          <w:sz w:val="24"/>
          <w:szCs w:val="24"/>
          <w:lang w:val="en-GB"/>
        </w:rPr>
        <w:t>Performance-Based Incentives:</w:t>
      </w:r>
      <w:r w:rsidRPr="002103CF">
        <w:rPr>
          <w:color w:val="000000" w:themeColor="text1"/>
          <w:sz w:val="24"/>
          <w:szCs w:val="24"/>
          <w:lang w:val="en-GB"/>
        </w:rPr>
        <w:t xml:space="preserve"> Unilever utilises a performance-based reward system that motivates employees by tying financial incentives to their professional development milestones (Unilever Plc., 2022). This strategy effectively motivates individuals to engage in development initiatives, as they directly see the results of their efforts in their remuneration (Armstrong and Taylor, 2020). However, a potential drawback is that this approach may promote a narrow focus on measurable outcomes, possibly neglecting aspects of development that are less tangible but equally valuable, such as teamwork or creativity (</w:t>
      </w:r>
      <w:proofErr w:type="spellStart"/>
      <w:r w:rsidRPr="002103CF">
        <w:rPr>
          <w:color w:val="000000" w:themeColor="text1"/>
          <w:sz w:val="24"/>
          <w:szCs w:val="24"/>
          <w:lang w:val="en-GB"/>
        </w:rPr>
        <w:t>Kantola</w:t>
      </w:r>
      <w:proofErr w:type="spellEnd"/>
      <w:r w:rsidRPr="002103CF">
        <w:rPr>
          <w:color w:val="000000" w:themeColor="text1"/>
          <w:sz w:val="24"/>
          <w:szCs w:val="24"/>
          <w:lang w:val="en-GB"/>
        </w:rPr>
        <w:t>, 2015).</w:t>
      </w:r>
    </w:p>
    <w:p w14:paraId="63E3B0A7" w14:textId="77777777" w:rsidR="002103CF" w:rsidRPr="002103CF" w:rsidRDefault="002103CF" w:rsidP="002103CF">
      <w:pPr>
        <w:spacing w:line="360" w:lineRule="auto"/>
        <w:jc w:val="both"/>
        <w:rPr>
          <w:color w:val="000000" w:themeColor="text1"/>
          <w:sz w:val="24"/>
          <w:szCs w:val="24"/>
          <w:lang w:val="en-GB"/>
        </w:rPr>
      </w:pPr>
      <w:r w:rsidRPr="002103CF">
        <w:rPr>
          <w:b/>
          <w:bCs/>
          <w:color w:val="000000" w:themeColor="text1"/>
          <w:sz w:val="24"/>
          <w:szCs w:val="24"/>
          <w:lang w:val="en-GB"/>
        </w:rPr>
        <w:t>Career Development Programs:</w:t>
      </w:r>
      <w:r w:rsidRPr="002103CF">
        <w:rPr>
          <w:color w:val="000000" w:themeColor="text1"/>
          <w:sz w:val="24"/>
          <w:szCs w:val="24"/>
          <w:lang w:val="en-GB"/>
        </w:rPr>
        <w:t xml:space="preserve"> Unilever offers comprehensive career development programs, which include mentoring, coaching, and leadership training (</w:t>
      </w:r>
      <w:proofErr w:type="spellStart"/>
      <w:r w:rsidRPr="002103CF">
        <w:rPr>
          <w:color w:val="000000" w:themeColor="text1"/>
          <w:sz w:val="24"/>
          <w:szCs w:val="24"/>
          <w:lang w:val="en-GB"/>
        </w:rPr>
        <w:t>Kowo</w:t>
      </w:r>
      <w:proofErr w:type="spellEnd"/>
      <w:r w:rsidRPr="002103CF">
        <w:rPr>
          <w:color w:val="000000" w:themeColor="text1"/>
          <w:sz w:val="24"/>
          <w:szCs w:val="24"/>
          <w:lang w:val="en-GB"/>
        </w:rPr>
        <w:t xml:space="preserve">, </w:t>
      </w:r>
      <w:proofErr w:type="spellStart"/>
      <w:r w:rsidRPr="002103CF">
        <w:rPr>
          <w:color w:val="000000" w:themeColor="text1"/>
          <w:sz w:val="24"/>
          <w:szCs w:val="24"/>
          <w:lang w:val="en-GB"/>
        </w:rPr>
        <w:t>ObaAdenuga</w:t>
      </w:r>
      <w:proofErr w:type="spellEnd"/>
      <w:r w:rsidRPr="002103CF">
        <w:rPr>
          <w:color w:val="000000" w:themeColor="text1"/>
          <w:sz w:val="24"/>
          <w:szCs w:val="24"/>
          <w:lang w:val="en-GB"/>
        </w:rPr>
        <w:t xml:space="preserve"> and </w:t>
      </w:r>
      <w:proofErr w:type="spellStart"/>
      <w:r w:rsidRPr="002103CF">
        <w:rPr>
          <w:color w:val="000000" w:themeColor="text1"/>
          <w:sz w:val="24"/>
          <w:szCs w:val="24"/>
          <w:lang w:val="en-GB"/>
        </w:rPr>
        <w:t>owotutu</w:t>
      </w:r>
      <w:proofErr w:type="spellEnd"/>
      <w:r w:rsidRPr="002103CF">
        <w:rPr>
          <w:color w:val="000000" w:themeColor="text1"/>
          <w:sz w:val="24"/>
          <w:szCs w:val="24"/>
          <w:lang w:val="en-GB"/>
        </w:rPr>
        <w:t xml:space="preserve"> </w:t>
      </w:r>
      <w:proofErr w:type="spellStart"/>
      <w:r w:rsidRPr="002103CF">
        <w:rPr>
          <w:color w:val="000000" w:themeColor="text1"/>
          <w:sz w:val="24"/>
          <w:szCs w:val="24"/>
          <w:lang w:val="en-GB"/>
        </w:rPr>
        <w:t>Sabitu</w:t>
      </w:r>
      <w:proofErr w:type="spellEnd"/>
      <w:r w:rsidRPr="002103CF">
        <w:rPr>
          <w:color w:val="000000" w:themeColor="text1"/>
          <w:sz w:val="24"/>
          <w:szCs w:val="24"/>
          <w:lang w:val="en-GB"/>
        </w:rPr>
        <w:t>, 2019). These programs motivate individuals by providing them with the tools to progress in their careers. Moreover, these programs foster a sense of belonging and commitment, further enhancing motivation (Ellinger and Kim, 2014). A potential downside is that these programs require significant investment of time and resources, and their effectiveness can vary greatly among individuals, depending on their learning styles and career aspirations (</w:t>
      </w:r>
      <w:proofErr w:type="spellStart"/>
      <w:r w:rsidRPr="002103CF">
        <w:rPr>
          <w:color w:val="000000" w:themeColor="text1"/>
          <w:sz w:val="24"/>
          <w:szCs w:val="24"/>
          <w:lang w:val="en-GB"/>
        </w:rPr>
        <w:t>Halid</w:t>
      </w:r>
      <w:proofErr w:type="spellEnd"/>
      <w:r w:rsidRPr="002103CF">
        <w:rPr>
          <w:color w:val="000000" w:themeColor="text1"/>
          <w:sz w:val="24"/>
          <w:szCs w:val="24"/>
          <w:lang w:val="en-GB"/>
        </w:rPr>
        <w:t xml:space="preserve">, </w:t>
      </w:r>
      <w:proofErr w:type="spellStart"/>
      <w:r w:rsidRPr="002103CF">
        <w:rPr>
          <w:color w:val="000000" w:themeColor="text1"/>
          <w:sz w:val="24"/>
          <w:szCs w:val="24"/>
          <w:lang w:val="en-GB"/>
        </w:rPr>
        <w:t>Yusoff</w:t>
      </w:r>
      <w:proofErr w:type="spellEnd"/>
      <w:r w:rsidRPr="002103CF">
        <w:rPr>
          <w:color w:val="000000" w:themeColor="text1"/>
          <w:sz w:val="24"/>
          <w:szCs w:val="24"/>
          <w:lang w:val="en-GB"/>
        </w:rPr>
        <w:t xml:space="preserve"> and Somu, 2020).</w:t>
      </w:r>
    </w:p>
    <w:p w14:paraId="30FCF55F" w14:textId="77777777" w:rsidR="002103CF" w:rsidRDefault="002103CF" w:rsidP="002103CF">
      <w:pPr>
        <w:spacing w:line="360" w:lineRule="auto"/>
        <w:jc w:val="both"/>
        <w:rPr>
          <w:color w:val="000000" w:themeColor="text1"/>
          <w:sz w:val="24"/>
          <w:szCs w:val="24"/>
          <w:lang w:val="en-GB"/>
        </w:rPr>
      </w:pPr>
      <w:r w:rsidRPr="002103CF">
        <w:rPr>
          <w:color w:val="000000" w:themeColor="text1"/>
          <w:sz w:val="24"/>
          <w:szCs w:val="24"/>
          <w:lang w:val="en-GB"/>
        </w:rPr>
        <w:t xml:space="preserve">Vroom's Expectancy Theory posits that an individual’s motivation is influenced by their expectation that their effort will lead to performance, and their performance will lead to a desired outcome (Gowan, </w:t>
      </w:r>
      <w:proofErr w:type="spellStart"/>
      <w:r w:rsidRPr="002103CF">
        <w:rPr>
          <w:color w:val="000000" w:themeColor="text1"/>
          <w:sz w:val="24"/>
          <w:szCs w:val="24"/>
          <w:lang w:val="en-GB"/>
        </w:rPr>
        <w:t>DeMarr</w:t>
      </w:r>
      <w:proofErr w:type="spellEnd"/>
      <w:r w:rsidRPr="002103CF">
        <w:rPr>
          <w:color w:val="000000" w:themeColor="text1"/>
          <w:sz w:val="24"/>
          <w:szCs w:val="24"/>
          <w:lang w:val="en-GB"/>
        </w:rPr>
        <w:t xml:space="preserve"> and David, 2022). Both strategies align with this theory. Performance-based incentives create a clear link between effort (personal development), performance (achieving development milestones), and outcome (financial rewards). Similarly, career development programs set clear expectations that effort and learning will result in career progression, thus motivating individuals to engage in personal development.</w:t>
      </w:r>
    </w:p>
    <w:p w14:paraId="5B407211" w14:textId="118128E4" w:rsidR="005A4643" w:rsidRPr="002103CF" w:rsidRDefault="005A4643" w:rsidP="002103CF">
      <w:pPr>
        <w:spacing w:line="360" w:lineRule="auto"/>
        <w:jc w:val="both"/>
        <w:rPr>
          <w:color w:val="000000" w:themeColor="text1"/>
          <w:sz w:val="24"/>
          <w:szCs w:val="24"/>
          <w:lang w:val="en-GB"/>
        </w:rPr>
      </w:pPr>
      <w:r w:rsidRPr="005A4643">
        <w:rPr>
          <w:color w:val="000000" w:themeColor="text1"/>
          <w:sz w:val="24"/>
          <w:szCs w:val="24"/>
        </w:rPr>
        <w:t>In conclusion, while both strategies have their benefits and potential drawbacks, they align well with Vroom's Expectancy Theory and contribute significantly to the professional development of individuals at Unilever.</w:t>
      </w:r>
    </w:p>
    <w:p w14:paraId="5F26CB09" w14:textId="7EB82196" w:rsidR="00D20583" w:rsidRPr="002103CF" w:rsidRDefault="00D20583" w:rsidP="002103CF">
      <w:pPr>
        <w:pStyle w:val="Heading2"/>
        <w:rPr>
          <w:b/>
          <w:bCs/>
        </w:rPr>
      </w:pPr>
      <w:bookmarkStart w:id="7" w:name="_Toc138472569"/>
      <w:r w:rsidRPr="002103CF">
        <w:rPr>
          <w:b/>
          <w:bCs/>
        </w:rPr>
        <w:t>Employee engagement</w:t>
      </w:r>
      <w:bookmarkEnd w:id="7"/>
    </w:p>
    <w:p w14:paraId="25E44DF3" w14:textId="77777777" w:rsidR="003E0DB2" w:rsidRPr="003E0DB2" w:rsidRDefault="003E0DB2" w:rsidP="003E0DB2">
      <w:pPr>
        <w:spacing w:line="360" w:lineRule="auto"/>
        <w:jc w:val="both"/>
        <w:rPr>
          <w:color w:val="000000" w:themeColor="text1"/>
          <w:sz w:val="24"/>
          <w:szCs w:val="24"/>
          <w:lang w:val="en-GB"/>
        </w:rPr>
      </w:pPr>
      <w:r w:rsidRPr="003E0DB2">
        <w:rPr>
          <w:color w:val="000000" w:themeColor="text1"/>
          <w:sz w:val="24"/>
          <w:szCs w:val="24"/>
          <w:lang w:val="en-GB"/>
        </w:rPr>
        <w:t>Unilever utilises a variety of strategies to boost employee engagement, of which two significant ones are fostering a sense of purpose and promoting a culture of recognition.</w:t>
      </w:r>
    </w:p>
    <w:p w14:paraId="428F36AC" w14:textId="5C383130" w:rsidR="003E0DB2" w:rsidRPr="003E0DB2" w:rsidRDefault="003E0DB2" w:rsidP="003E0DB2">
      <w:pPr>
        <w:spacing w:line="360" w:lineRule="auto"/>
        <w:jc w:val="both"/>
        <w:rPr>
          <w:color w:val="000000" w:themeColor="text1"/>
          <w:sz w:val="24"/>
          <w:szCs w:val="24"/>
          <w:lang w:val="en-GB"/>
        </w:rPr>
      </w:pPr>
      <w:r w:rsidRPr="003E0DB2">
        <w:rPr>
          <w:b/>
          <w:bCs/>
          <w:color w:val="000000" w:themeColor="text1"/>
          <w:sz w:val="24"/>
          <w:szCs w:val="24"/>
          <w:lang w:val="en-GB"/>
        </w:rPr>
        <w:t>Fostering a Sense of Purpose:</w:t>
      </w:r>
      <w:r w:rsidRPr="003E0DB2">
        <w:rPr>
          <w:color w:val="000000" w:themeColor="text1"/>
          <w:sz w:val="24"/>
          <w:szCs w:val="24"/>
          <w:lang w:val="en-GB"/>
        </w:rPr>
        <w:t xml:space="preserve"> Unilever actively cultivates a sense of purpose among its employees by aligning their work with the company's sustainability goals (Unilever Plc., 2022). Employees who see their roles as contributing to broader societal objectives are likely to feel more engaged and motivated to develop professionally (Tien and Nhi, 2019). This approach aligns with Kahn's Psychological Conditions for Engagement, which suggest that meaningfulness of work is key for engagement (Marchington et al., 2016). Under Kahn's theory, meaningfulness is fostered when employees feel that they are part of something larger and that their work is worthwhile (Becker and Smidt, 2016). Unilever does this by connecting employees' work with the company's sustainability goals, making their roles inherently meaningful. This engagement strategy, therefore, directly links to employees' professional development by enhancing their motivation to contribute more significantly, learn, and grow in line with the company's objectives (Unilever Plc., 2022; Tien and Nhi, 2019).</w:t>
      </w:r>
      <w:r>
        <w:rPr>
          <w:color w:val="000000" w:themeColor="text1"/>
          <w:sz w:val="24"/>
          <w:szCs w:val="24"/>
          <w:lang w:val="en-GB"/>
        </w:rPr>
        <w:t xml:space="preserve"> </w:t>
      </w:r>
      <w:r w:rsidRPr="003E0DB2">
        <w:rPr>
          <w:color w:val="000000" w:themeColor="text1"/>
          <w:sz w:val="24"/>
          <w:szCs w:val="24"/>
          <w:lang w:val="en-GB"/>
        </w:rPr>
        <w:t>However, a potential drawback is that the connection between individual roles and broader company goals may not always be apparent to employees, potentially undermining their sense of purpose (Brewster et al., 2016).</w:t>
      </w:r>
    </w:p>
    <w:p w14:paraId="0B3144B2" w14:textId="6EC50606" w:rsidR="003E0DB2" w:rsidRPr="003E0DB2" w:rsidRDefault="003E0DB2" w:rsidP="003E0DB2">
      <w:pPr>
        <w:spacing w:line="360" w:lineRule="auto"/>
        <w:jc w:val="both"/>
        <w:rPr>
          <w:color w:val="000000" w:themeColor="text1"/>
          <w:sz w:val="24"/>
          <w:szCs w:val="24"/>
          <w:lang w:val="en-GB"/>
        </w:rPr>
      </w:pPr>
      <w:r w:rsidRPr="003E0DB2">
        <w:rPr>
          <w:b/>
          <w:bCs/>
          <w:color w:val="000000" w:themeColor="text1"/>
          <w:sz w:val="24"/>
          <w:szCs w:val="24"/>
          <w:lang w:val="en-GB"/>
        </w:rPr>
        <w:t>Promoting a Culture of Recognition:</w:t>
      </w:r>
      <w:r w:rsidRPr="003E0DB2">
        <w:rPr>
          <w:color w:val="000000" w:themeColor="text1"/>
          <w:sz w:val="24"/>
          <w:szCs w:val="24"/>
          <w:lang w:val="en-GB"/>
        </w:rPr>
        <w:t xml:space="preserve"> Unilever fosters engagement by celebrating employee achievements and contributions (</w:t>
      </w:r>
      <w:proofErr w:type="spellStart"/>
      <w:r w:rsidRPr="003E0DB2">
        <w:rPr>
          <w:color w:val="000000" w:themeColor="text1"/>
          <w:sz w:val="24"/>
          <w:szCs w:val="24"/>
          <w:lang w:val="en-GB"/>
        </w:rPr>
        <w:t>Nocker</w:t>
      </w:r>
      <w:proofErr w:type="spellEnd"/>
      <w:r w:rsidRPr="003E0DB2">
        <w:rPr>
          <w:color w:val="000000" w:themeColor="text1"/>
          <w:sz w:val="24"/>
          <w:szCs w:val="24"/>
          <w:lang w:val="en-GB"/>
        </w:rPr>
        <w:t xml:space="preserve"> and </w:t>
      </w:r>
      <w:proofErr w:type="spellStart"/>
      <w:r w:rsidRPr="003E0DB2">
        <w:rPr>
          <w:color w:val="000000" w:themeColor="text1"/>
          <w:sz w:val="24"/>
          <w:szCs w:val="24"/>
          <w:lang w:val="en-GB"/>
        </w:rPr>
        <w:t>Sena</w:t>
      </w:r>
      <w:proofErr w:type="spellEnd"/>
      <w:r w:rsidRPr="003E0DB2">
        <w:rPr>
          <w:color w:val="000000" w:themeColor="text1"/>
          <w:sz w:val="24"/>
          <w:szCs w:val="24"/>
          <w:lang w:val="en-GB"/>
        </w:rPr>
        <w:t>, 2019). Recognition serves as a powerful motivator and can spur employees to strive for further development (</w:t>
      </w:r>
      <w:proofErr w:type="spellStart"/>
      <w:r w:rsidRPr="003E0DB2">
        <w:rPr>
          <w:color w:val="000000" w:themeColor="text1"/>
          <w:sz w:val="24"/>
          <w:szCs w:val="24"/>
          <w:lang w:val="en-GB"/>
        </w:rPr>
        <w:t>Hecklau</w:t>
      </w:r>
      <w:proofErr w:type="spellEnd"/>
      <w:r w:rsidRPr="003E0DB2">
        <w:rPr>
          <w:color w:val="000000" w:themeColor="text1"/>
          <w:sz w:val="24"/>
          <w:szCs w:val="24"/>
          <w:lang w:val="en-GB"/>
        </w:rPr>
        <w:t xml:space="preserve"> et al., 2016). It encourages employees to take risks, innovate, and contribute to their maximum potential, knowing their efforts will be appreciated and rewarded (</w:t>
      </w:r>
      <w:proofErr w:type="spellStart"/>
      <w:r w:rsidRPr="003E0DB2">
        <w:rPr>
          <w:color w:val="000000" w:themeColor="text1"/>
          <w:sz w:val="24"/>
          <w:szCs w:val="24"/>
          <w:lang w:val="en-GB"/>
        </w:rPr>
        <w:t>Nocker</w:t>
      </w:r>
      <w:proofErr w:type="spellEnd"/>
      <w:r w:rsidRPr="003E0DB2">
        <w:rPr>
          <w:color w:val="000000" w:themeColor="text1"/>
          <w:sz w:val="24"/>
          <w:szCs w:val="24"/>
          <w:lang w:val="en-GB"/>
        </w:rPr>
        <w:t xml:space="preserve"> and </w:t>
      </w:r>
      <w:proofErr w:type="spellStart"/>
      <w:r w:rsidRPr="003E0DB2">
        <w:rPr>
          <w:color w:val="000000" w:themeColor="text1"/>
          <w:sz w:val="24"/>
          <w:szCs w:val="24"/>
          <w:lang w:val="en-GB"/>
        </w:rPr>
        <w:t>Sena</w:t>
      </w:r>
      <w:proofErr w:type="spellEnd"/>
      <w:r w:rsidRPr="003E0DB2">
        <w:rPr>
          <w:color w:val="000000" w:themeColor="text1"/>
          <w:sz w:val="24"/>
          <w:szCs w:val="24"/>
          <w:lang w:val="en-GB"/>
        </w:rPr>
        <w:t>, 2019). This directly ties in with Kahn's second condition for engagement: safety (Sparrow, Brewster, and Chung, 2016). Employees who feel safe are more likely to express themselves fully and engage in activities that foster professional growth, such as taking on challenging projects or pursuing further learning (Tyson, 2014).</w:t>
      </w:r>
      <w:r>
        <w:rPr>
          <w:color w:val="000000" w:themeColor="text1"/>
          <w:sz w:val="24"/>
          <w:szCs w:val="24"/>
          <w:lang w:val="en-GB"/>
        </w:rPr>
        <w:t xml:space="preserve"> </w:t>
      </w:r>
      <w:r w:rsidRPr="003E0DB2">
        <w:rPr>
          <w:color w:val="000000" w:themeColor="text1"/>
          <w:sz w:val="24"/>
          <w:szCs w:val="24"/>
          <w:lang w:val="en-GB"/>
        </w:rPr>
        <w:t xml:space="preserve">However, it is crucial to ensure that recognition is administered fairly and transparently to prevent perceptions of favouritism, which could counteract the intended positive impact on engagement (Sparrow, </w:t>
      </w:r>
      <w:proofErr w:type="gramStart"/>
      <w:r w:rsidRPr="003E0DB2">
        <w:rPr>
          <w:color w:val="000000" w:themeColor="text1"/>
          <w:sz w:val="24"/>
          <w:szCs w:val="24"/>
          <w:lang w:val="en-GB"/>
        </w:rPr>
        <w:t>Brewster</w:t>
      </w:r>
      <w:proofErr w:type="gramEnd"/>
      <w:r w:rsidRPr="003E0DB2">
        <w:rPr>
          <w:color w:val="000000" w:themeColor="text1"/>
          <w:sz w:val="24"/>
          <w:szCs w:val="24"/>
          <w:lang w:val="en-GB"/>
        </w:rPr>
        <w:t xml:space="preserve"> and Chung, 2016).</w:t>
      </w:r>
    </w:p>
    <w:p w14:paraId="003416D0" w14:textId="32238539" w:rsidR="00D20583" w:rsidRPr="002103CF" w:rsidRDefault="00D20583" w:rsidP="002103CF">
      <w:pPr>
        <w:pStyle w:val="Heading2"/>
        <w:rPr>
          <w:b/>
          <w:bCs/>
        </w:rPr>
      </w:pPr>
      <w:bookmarkStart w:id="8" w:name="_Toc138472570"/>
      <w:r w:rsidRPr="002103CF">
        <w:rPr>
          <w:b/>
          <w:bCs/>
        </w:rPr>
        <w:t>Performance management</w:t>
      </w:r>
      <w:r w:rsidR="009E7078" w:rsidRPr="002103CF">
        <w:rPr>
          <w:b/>
          <w:bCs/>
        </w:rPr>
        <w:t xml:space="preserve"> and </w:t>
      </w:r>
      <w:r w:rsidRPr="002103CF">
        <w:rPr>
          <w:b/>
          <w:bCs/>
        </w:rPr>
        <w:t>Training</w:t>
      </w:r>
      <w:bookmarkEnd w:id="8"/>
    </w:p>
    <w:p w14:paraId="04B7865F" w14:textId="4394C536" w:rsidR="009D1B06" w:rsidRPr="009D1B06" w:rsidRDefault="009D1B06" w:rsidP="009D1B06">
      <w:pPr>
        <w:spacing w:line="360" w:lineRule="auto"/>
        <w:jc w:val="both"/>
        <w:rPr>
          <w:color w:val="000000" w:themeColor="text1"/>
          <w:sz w:val="24"/>
          <w:szCs w:val="24"/>
          <w:lang w:val="en-GB"/>
        </w:rPr>
      </w:pPr>
      <w:r w:rsidRPr="009D1B06">
        <w:rPr>
          <w:b/>
          <w:bCs/>
          <w:color w:val="000000" w:themeColor="text1"/>
          <w:sz w:val="24"/>
          <w:szCs w:val="24"/>
          <w:lang w:val="en-GB"/>
        </w:rPr>
        <w:t>Performance Management:</w:t>
      </w:r>
      <w:r w:rsidRPr="009D1B06">
        <w:rPr>
          <w:color w:val="000000" w:themeColor="text1"/>
          <w:sz w:val="24"/>
          <w:szCs w:val="24"/>
          <w:lang w:val="en-GB"/>
        </w:rPr>
        <w:t xml:space="preserve"> Unilever employs a performance-based reward system where clear, SMART (Specific, Measurable, Achievable, Relevant, Time-bound) goals are set and evaluated (Unilever Plc., 2022). This approach not only motivates employees to strive for their targets but also provides a tangible measure of their growth and performance (</w:t>
      </w:r>
      <w:proofErr w:type="spellStart"/>
      <w:r w:rsidRPr="009D1B06">
        <w:rPr>
          <w:color w:val="000000" w:themeColor="text1"/>
          <w:sz w:val="24"/>
          <w:szCs w:val="24"/>
          <w:lang w:val="en-GB"/>
        </w:rPr>
        <w:t>Cherono</w:t>
      </w:r>
      <w:proofErr w:type="spellEnd"/>
      <w:r w:rsidRPr="009D1B06">
        <w:rPr>
          <w:color w:val="000000" w:themeColor="text1"/>
          <w:sz w:val="24"/>
          <w:szCs w:val="24"/>
          <w:lang w:val="en-GB"/>
        </w:rPr>
        <w:t>, 2017). However, it also poses challenges, as focusing solely on quantitative measures may overlook some qualitative aspects of performance, such as creativity and teamwork (Torrington et al., 2020).</w:t>
      </w:r>
      <w:r>
        <w:rPr>
          <w:color w:val="000000" w:themeColor="text1"/>
          <w:sz w:val="24"/>
          <w:szCs w:val="24"/>
          <w:lang w:val="en-GB"/>
        </w:rPr>
        <w:t xml:space="preserve"> </w:t>
      </w:r>
      <w:r w:rsidRPr="009D1B06">
        <w:rPr>
          <w:color w:val="000000" w:themeColor="text1"/>
          <w:sz w:val="24"/>
          <w:szCs w:val="24"/>
          <w:lang w:val="en-GB"/>
        </w:rPr>
        <w:t>The SMART Goals Framework aligns perfectly with this strategy. It sets clear expectations, providing a roadmap for employees to follow in their professional development. By being specific, measurable, achievable, relevant, and time-bound, goals set under this strategy provide a robust framework for employees to focus their efforts and measure their progress (</w:t>
      </w:r>
      <w:proofErr w:type="spellStart"/>
      <w:r w:rsidRPr="009D1B06">
        <w:rPr>
          <w:color w:val="000000" w:themeColor="text1"/>
          <w:sz w:val="24"/>
          <w:szCs w:val="24"/>
          <w:lang w:val="en-GB"/>
        </w:rPr>
        <w:t>Aust</w:t>
      </w:r>
      <w:proofErr w:type="spellEnd"/>
      <w:r w:rsidRPr="009D1B06">
        <w:rPr>
          <w:color w:val="000000" w:themeColor="text1"/>
          <w:sz w:val="24"/>
          <w:szCs w:val="24"/>
          <w:lang w:val="en-GB"/>
        </w:rPr>
        <w:t>, Muller-</w:t>
      </w:r>
      <w:proofErr w:type="spellStart"/>
      <w:r w:rsidRPr="009D1B06">
        <w:rPr>
          <w:color w:val="000000" w:themeColor="text1"/>
          <w:sz w:val="24"/>
          <w:szCs w:val="24"/>
          <w:lang w:val="en-GB"/>
        </w:rPr>
        <w:t>Camen</w:t>
      </w:r>
      <w:proofErr w:type="spellEnd"/>
      <w:r w:rsidRPr="009D1B06">
        <w:rPr>
          <w:color w:val="000000" w:themeColor="text1"/>
          <w:sz w:val="24"/>
          <w:szCs w:val="24"/>
          <w:lang w:val="en-GB"/>
        </w:rPr>
        <w:t xml:space="preserve"> and </w:t>
      </w:r>
      <w:proofErr w:type="spellStart"/>
      <w:r w:rsidRPr="009D1B06">
        <w:rPr>
          <w:color w:val="000000" w:themeColor="text1"/>
          <w:sz w:val="24"/>
          <w:szCs w:val="24"/>
          <w:lang w:val="en-GB"/>
        </w:rPr>
        <w:t>Poutsma</w:t>
      </w:r>
      <w:proofErr w:type="spellEnd"/>
      <w:r w:rsidRPr="009D1B06">
        <w:rPr>
          <w:color w:val="000000" w:themeColor="text1"/>
          <w:sz w:val="24"/>
          <w:szCs w:val="24"/>
          <w:lang w:val="en-GB"/>
        </w:rPr>
        <w:t>, 2018).</w:t>
      </w:r>
    </w:p>
    <w:p w14:paraId="1CB2E4A8" w14:textId="6FDBFBDC" w:rsidR="009D1B06" w:rsidRPr="009D1B06" w:rsidRDefault="009D1B06" w:rsidP="009D1B06">
      <w:pPr>
        <w:spacing w:line="360" w:lineRule="auto"/>
        <w:jc w:val="both"/>
        <w:rPr>
          <w:color w:val="000000" w:themeColor="text1"/>
          <w:sz w:val="24"/>
          <w:szCs w:val="24"/>
          <w:lang w:val="en-GB"/>
        </w:rPr>
      </w:pPr>
      <w:r w:rsidRPr="009D1B06">
        <w:rPr>
          <w:b/>
          <w:bCs/>
          <w:color w:val="000000" w:themeColor="text1"/>
          <w:sz w:val="24"/>
          <w:szCs w:val="24"/>
          <w:lang w:val="en-GB"/>
        </w:rPr>
        <w:t>Training:</w:t>
      </w:r>
      <w:r w:rsidRPr="009D1B06">
        <w:rPr>
          <w:color w:val="000000" w:themeColor="text1"/>
          <w:sz w:val="24"/>
          <w:szCs w:val="24"/>
          <w:lang w:val="en-GB"/>
        </w:rPr>
        <w:t xml:space="preserve"> Unilever heavily invests in continuous learning and development programs, offering resources such as online courses, workshops, and coaching sessions (Tien and Nhi, 2019). This allows employees to continuously upgrade their skills and competencies, fostering a culture of lifelong learning (</w:t>
      </w:r>
      <w:proofErr w:type="spellStart"/>
      <w:r w:rsidRPr="009D1B06">
        <w:rPr>
          <w:color w:val="000000" w:themeColor="text1"/>
          <w:sz w:val="24"/>
          <w:szCs w:val="24"/>
          <w:lang w:val="en-GB"/>
        </w:rPr>
        <w:t>Nocker</w:t>
      </w:r>
      <w:proofErr w:type="spellEnd"/>
      <w:r w:rsidRPr="009D1B06">
        <w:rPr>
          <w:color w:val="000000" w:themeColor="text1"/>
          <w:sz w:val="24"/>
          <w:szCs w:val="24"/>
          <w:lang w:val="en-GB"/>
        </w:rPr>
        <w:t xml:space="preserve"> and </w:t>
      </w:r>
      <w:proofErr w:type="spellStart"/>
      <w:r w:rsidRPr="009D1B06">
        <w:rPr>
          <w:color w:val="000000" w:themeColor="text1"/>
          <w:sz w:val="24"/>
          <w:szCs w:val="24"/>
          <w:lang w:val="en-GB"/>
        </w:rPr>
        <w:t>Sena</w:t>
      </w:r>
      <w:proofErr w:type="spellEnd"/>
      <w:r w:rsidRPr="009D1B06">
        <w:rPr>
          <w:color w:val="000000" w:themeColor="text1"/>
          <w:sz w:val="24"/>
          <w:szCs w:val="24"/>
          <w:lang w:val="en-GB"/>
        </w:rPr>
        <w:t>, 2019). However, the effectiveness of these training programs is highly dependent on an individual's learning style and motivation, which might not be the same for every employee (Torrington et al., 2020).</w:t>
      </w:r>
      <w:r>
        <w:rPr>
          <w:color w:val="000000" w:themeColor="text1"/>
          <w:sz w:val="24"/>
          <w:szCs w:val="24"/>
          <w:lang w:val="en-GB"/>
        </w:rPr>
        <w:t xml:space="preserve"> </w:t>
      </w:r>
      <w:r w:rsidRPr="009D1B06">
        <w:rPr>
          <w:color w:val="000000" w:themeColor="text1"/>
          <w:sz w:val="24"/>
          <w:szCs w:val="24"/>
          <w:lang w:val="en-GB"/>
        </w:rPr>
        <w:t>In line with the SMART Goals Framework, the training strategies at Unilever are specific (tailored to job roles), measurable (quantifiable outcomes), achievable (resources provided), relevant (alignment with job roles), and time-bound (set duration). This way, employees can optimally utilise these training resources to reach their personal development goals.</w:t>
      </w:r>
    </w:p>
    <w:p w14:paraId="51894741" w14:textId="77777777" w:rsidR="009D1B06" w:rsidRPr="009D1B06" w:rsidRDefault="009D1B06" w:rsidP="009D1B06">
      <w:pPr>
        <w:spacing w:line="360" w:lineRule="auto"/>
        <w:jc w:val="both"/>
        <w:rPr>
          <w:vanish/>
          <w:color w:val="000000" w:themeColor="text1"/>
          <w:sz w:val="24"/>
          <w:szCs w:val="24"/>
          <w:lang w:val="en-GB"/>
        </w:rPr>
      </w:pPr>
      <w:r w:rsidRPr="009D1B06">
        <w:rPr>
          <w:vanish/>
          <w:color w:val="000000" w:themeColor="text1"/>
          <w:sz w:val="24"/>
          <w:szCs w:val="24"/>
          <w:lang w:val="en-GB"/>
        </w:rPr>
        <w:t>Top of Form</w:t>
      </w:r>
    </w:p>
    <w:p w14:paraId="16DA94D7" w14:textId="23FFF3ED" w:rsidR="007D3ACC" w:rsidRPr="009163FA" w:rsidRDefault="00EE73E4" w:rsidP="009163FA">
      <w:pPr>
        <w:pStyle w:val="Heading1"/>
        <w:rPr>
          <w:b/>
          <w:bCs/>
        </w:rPr>
      </w:pPr>
      <w:bookmarkStart w:id="9" w:name="_Toc138472571"/>
      <w:r>
        <w:rPr>
          <w:b/>
          <w:bCs/>
        </w:rPr>
        <w:t>A</w:t>
      </w:r>
      <w:r w:rsidR="00D20583" w:rsidRPr="009163FA">
        <w:rPr>
          <w:b/>
          <w:bCs/>
        </w:rPr>
        <w:t xml:space="preserve"> detailed Personal Development Plan </w:t>
      </w:r>
      <w:r>
        <w:rPr>
          <w:b/>
          <w:bCs/>
        </w:rPr>
        <w:t>(</w:t>
      </w:r>
      <w:r w:rsidR="00D20583" w:rsidRPr="009163FA">
        <w:rPr>
          <w:b/>
          <w:bCs/>
        </w:rPr>
        <w:t>PDP) to meet the identified development needs of an individual at Unilever.</w:t>
      </w:r>
      <w:bookmarkEnd w:id="9"/>
    </w:p>
    <w:p w14:paraId="640A63D9" w14:textId="4113D281" w:rsidR="007D3ACC" w:rsidRDefault="00C15FB2" w:rsidP="007D3ACC">
      <w:pPr>
        <w:spacing w:line="360" w:lineRule="auto"/>
        <w:jc w:val="both"/>
        <w:rPr>
          <w:color w:val="000000" w:themeColor="text1"/>
          <w:sz w:val="24"/>
          <w:szCs w:val="24"/>
        </w:rPr>
      </w:pPr>
      <w:r>
        <w:rPr>
          <w:color w:val="000000" w:themeColor="text1"/>
          <w:sz w:val="24"/>
          <w:szCs w:val="24"/>
        </w:rPr>
        <w:t xml:space="preserve">During the interview with the individual working at Unilever and through his provided performance appraisal report, several areas were identified in which the individual requires significant improvement. </w:t>
      </w:r>
      <w:r w:rsidR="00CC67D4">
        <w:rPr>
          <w:color w:val="000000" w:themeColor="text1"/>
          <w:sz w:val="24"/>
          <w:szCs w:val="24"/>
        </w:rPr>
        <w:t>These areas include problem- Analytical skills, problem-solving skills, Emotional resilience, Adaptability, and Proactivity.</w:t>
      </w:r>
    </w:p>
    <w:tbl>
      <w:tblPr>
        <w:tblW w:w="10390" w:type="dxa"/>
        <w:jc w:val="center"/>
        <w:tblLook w:val="04A0" w:firstRow="1" w:lastRow="0" w:firstColumn="1" w:lastColumn="0" w:noHBand="0" w:noVBand="1"/>
      </w:tblPr>
      <w:tblGrid>
        <w:gridCol w:w="1681"/>
        <w:gridCol w:w="2017"/>
        <w:gridCol w:w="2489"/>
        <w:gridCol w:w="2993"/>
        <w:gridCol w:w="1210"/>
      </w:tblGrid>
      <w:tr w:rsidR="00E54468" w:rsidRPr="009136EA" w14:paraId="313806D7" w14:textId="77777777" w:rsidTr="00E54468">
        <w:trPr>
          <w:trHeight w:val="665"/>
          <w:jc w:val="center"/>
        </w:trPr>
        <w:tc>
          <w:tcPr>
            <w:tcW w:w="168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2874CF1" w14:textId="77777777" w:rsidR="009136EA" w:rsidRPr="009136EA" w:rsidRDefault="009136EA" w:rsidP="009136EA">
            <w:pPr>
              <w:spacing w:after="0" w:line="240" w:lineRule="auto"/>
              <w:jc w:val="center"/>
              <w:rPr>
                <w:rFonts w:ascii="Calibri" w:eastAsia="Times New Roman" w:hAnsi="Calibri" w:cs="Calibri"/>
                <w:b/>
                <w:bCs/>
                <w:sz w:val="24"/>
                <w:szCs w:val="24"/>
                <w:lang w:val="en-GB" w:eastAsia="en-GB"/>
              </w:rPr>
            </w:pPr>
            <w:r w:rsidRPr="009136EA">
              <w:rPr>
                <w:rFonts w:ascii="Calibri" w:eastAsia="Times New Roman" w:hAnsi="Calibri" w:cs="Calibri"/>
                <w:b/>
                <w:bCs/>
                <w:sz w:val="24"/>
                <w:szCs w:val="24"/>
                <w:lang w:val="en-GB" w:eastAsia="en-GB"/>
              </w:rPr>
              <w:t>Skills Requiring Improvement</w:t>
            </w:r>
          </w:p>
        </w:tc>
        <w:tc>
          <w:tcPr>
            <w:tcW w:w="2017" w:type="dxa"/>
            <w:tcBorders>
              <w:top w:val="single" w:sz="4" w:space="0" w:color="auto"/>
              <w:left w:val="nil"/>
              <w:bottom w:val="single" w:sz="4" w:space="0" w:color="auto"/>
              <w:right w:val="single" w:sz="4" w:space="0" w:color="auto"/>
            </w:tcBorders>
            <w:shd w:val="clear" w:color="auto" w:fill="auto"/>
            <w:vAlign w:val="bottom"/>
            <w:hideMark/>
          </w:tcPr>
          <w:p w14:paraId="4B9FA67F" w14:textId="77777777" w:rsidR="009136EA" w:rsidRPr="009136EA" w:rsidRDefault="009136EA" w:rsidP="009136EA">
            <w:pPr>
              <w:spacing w:after="0" w:line="240" w:lineRule="auto"/>
              <w:jc w:val="center"/>
              <w:rPr>
                <w:rFonts w:ascii="Calibri" w:eastAsia="Times New Roman" w:hAnsi="Calibri" w:cs="Calibri"/>
                <w:b/>
                <w:bCs/>
                <w:sz w:val="24"/>
                <w:szCs w:val="24"/>
                <w:lang w:val="en-GB" w:eastAsia="en-GB"/>
              </w:rPr>
            </w:pPr>
            <w:r w:rsidRPr="009136EA">
              <w:rPr>
                <w:rFonts w:ascii="Calibri" w:eastAsia="Times New Roman" w:hAnsi="Calibri" w:cs="Calibri"/>
                <w:b/>
                <w:bCs/>
                <w:sz w:val="24"/>
                <w:szCs w:val="24"/>
                <w:lang w:val="en-GB" w:eastAsia="en-GB"/>
              </w:rPr>
              <w:t>Objectives</w:t>
            </w:r>
          </w:p>
        </w:tc>
        <w:tc>
          <w:tcPr>
            <w:tcW w:w="2489" w:type="dxa"/>
            <w:tcBorders>
              <w:top w:val="single" w:sz="4" w:space="0" w:color="auto"/>
              <w:left w:val="nil"/>
              <w:bottom w:val="single" w:sz="4" w:space="0" w:color="auto"/>
              <w:right w:val="single" w:sz="4" w:space="0" w:color="auto"/>
            </w:tcBorders>
            <w:shd w:val="clear" w:color="auto" w:fill="auto"/>
            <w:vAlign w:val="bottom"/>
            <w:hideMark/>
          </w:tcPr>
          <w:p w14:paraId="46C3342C" w14:textId="77777777" w:rsidR="009136EA" w:rsidRPr="009136EA" w:rsidRDefault="009136EA" w:rsidP="009136EA">
            <w:pPr>
              <w:spacing w:after="0" w:line="240" w:lineRule="auto"/>
              <w:jc w:val="center"/>
              <w:rPr>
                <w:rFonts w:ascii="Calibri" w:eastAsia="Times New Roman" w:hAnsi="Calibri" w:cs="Calibri"/>
                <w:b/>
                <w:bCs/>
                <w:sz w:val="24"/>
                <w:szCs w:val="24"/>
                <w:lang w:val="en-GB" w:eastAsia="en-GB"/>
              </w:rPr>
            </w:pPr>
            <w:r w:rsidRPr="009136EA">
              <w:rPr>
                <w:rFonts w:ascii="Calibri" w:eastAsia="Times New Roman" w:hAnsi="Calibri" w:cs="Calibri"/>
                <w:b/>
                <w:bCs/>
                <w:sz w:val="24"/>
                <w:szCs w:val="24"/>
                <w:lang w:val="en-GB" w:eastAsia="en-GB"/>
              </w:rPr>
              <w:t>Actions to be Taken</w:t>
            </w:r>
          </w:p>
        </w:tc>
        <w:tc>
          <w:tcPr>
            <w:tcW w:w="2993" w:type="dxa"/>
            <w:tcBorders>
              <w:top w:val="single" w:sz="4" w:space="0" w:color="auto"/>
              <w:left w:val="nil"/>
              <w:bottom w:val="single" w:sz="4" w:space="0" w:color="auto"/>
              <w:right w:val="single" w:sz="4" w:space="0" w:color="auto"/>
            </w:tcBorders>
            <w:shd w:val="clear" w:color="auto" w:fill="auto"/>
            <w:vAlign w:val="bottom"/>
            <w:hideMark/>
          </w:tcPr>
          <w:p w14:paraId="49B55440" w14:textId="77777777" w:rsidR="009136EA" w:rsidRPr="009136EA" w:rsidRDefault="009136EA" w:rsidP="009136EA">
            <w:pPr>
              <w:spacing w:after="0" w:line="240" w:lineRule="auto"/>
              <w:jc w:val="center"/>
              <w:rPr>
                <w:rFonts w:ascii="Calibri" w:eastAsia="Times New Roman" w:hAnsi="Calibri" w:cs="Calibri"/>
                <w:b/>
                <w:bCs/>
                <w:sz w:val="24"/>
                <w:szCs w:val="24"/>
                <w:lang w:val="en-GB" w:eastAsia="en-GB"/>
              </w:rPr>
            </w:pPr>
            <w:r w:rsidRPr="009136EA">
              <w:rPr>
                <w:rFonts w:ascii="Calibri" w:eastAsia="Times New Roman" w:hAnsi="Calibri" w:cs="Calibri"/>
                <w:b/>
                <w:bCs/>
                <w:sz w:val="24"/>
                <w:szCs w:val="24"/>
                <w:lang w:val="en-GB" w:eastAsia="en-GB"/>
              </w:rPr>
              <w:t>Resources Required</w:t>
            </w:r>
          </w:p>
        </w:tc>
        <w:tc>
          <w:tcPr>
            <w:tcW w:w="1210" w:type="dxa"/>
            <w:tcBorders>
              <w:top w:val="single" w:sz="4" w:space="0" w:color="auto"/>
              <w:left w:val="nil"/>
              <w:bottom w:val="single" w:sz="4" w:space="0" w:color="auto"/>
              <w:right w:val="single" w:sz="4" w:space="0" w:color="auto"/>
            </w:tcBorders>
            <w:shd w:val="clear" w:color="auto" w:fill="auto"/>
            <w:vAlign w:val="bottom"/>
            <w:hideMark/>
          </w:tcPr>
          <w:p w14:paraId="4C6DF40A" w14:textId="77777777" w:rsidR="009136EA" w:rsidRPr="009136EA" w:rsidRDefault="009136EA" w:rsidP="009136EA">
            <w:pPr>
              <w:spacing w:after="0" w:line="240" w:lineRule="auto"/>
              <w:jc w:val="center"/>
              <w:rPr>
                <w:rFonts w:ascii="Calibri" w:eastAsia="Times New Roman" w:hAnsi="Calibri" w:cs="Calibri"/>
                <w:b/>
                <w:bCs/>
                <w:sz w:val="24"/>
                <w:szCs w:val="24"/>
                <w:lang w:val="en-GB" w:eastAsia="en-GB"/>
              </w:rPr>
            </w:pPr>
            <w:r w:rsidRPr="009136EA">
              <w:rPr>
                <w:rFonts w:ascii="Calibri" w:eastAsia="Times New Roman" w:hAnsi="Calibri" w:cs="Calibri"/>
                <w:b/>
                <w:bCs/>
                <w:sz w:val="24"/>
                <w:szCs w:val="24"/>
                <w:lang w:val="en-GB" w:eastAsia="en-GB"/>
              </w:rPr>
              <w:t>Timeline to Review</w:t>
            </w:r>
          </w:p>
        </w:tc>
      </w:tr>
      <w:tr w:rsidR="00E54468" w:rsidRPr="009136EA" w14:paraId="2D3BEC5F" w14:textId="77777777" w:rsidTr="00E54468">
        <w:trPr>
          <w:trHeight w:val="1665"/>
          <w:jc w:val="center"/>
        </w:trPr>
        <w:tc>
          <w:tcPr>
            <w:tcW w:w="1681" w:type="dxa"/>
            <w:tcBorders>
              <w:top w:val="nil"/>
              <w:left w:val="single" w:sz="4" w:space="0" w:color="auto"/>
              <w:bottom w:val="single" w:sz="4" w:space="0" w:color="auto"/>
              <w:right w:val="single" w:sz="4" w:space="0" w:color="auto"/>
            </w:tcBorders>
            <w:shd w:val="clear" w:color="auto" w:fill="auto"/>
            <w:vAlign w:val="center"/>
            <w:hideMark/>
          </w:tcPr>
          <w:p w14:paraId="4D6B2C76"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Analytical Skills</w:t>
            </w:r>
          </w:p>
        </w:tc>
        <w:tc>
          <w:tcPr>
            <w:tcW w:w="2017" w:type="dxa"/>
            <w:tcBorders>
              <w:top w:val="nil"/>
              <w:left w:val="nil"/>
              <w:bottom w:val="single" w:sz="4" w:space="0" w:color="auto"/>
              <w:right w:val="single" w:sz="4" w:space="0" w:color="auto"/>
            </w:tcBorders>
            <w:shd w:val="clear" w:color="auto" w:fill="auto"/>
            <w:vAlign w:val="center"/>
            <w:hideMark/>
          </w:tcPr>
          <w:p w14:paraId="23959A36"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Improve data interpretation and decision-making abilities.</w:t>
            </w:r>
          </w:p>
        </w:tc>
        <w:tc>
          <w:tcPr>
            <w:tcW w:w="2489" w:type="dxa"/>
            <w:tcBorders>
              <w:top w:val="nil"/>
              <w:left w:val="nil"/>
              <w:bottom w:val="single" w:sz="4" w:space="0" w:color="auto"/>
              <w:right w:val="single" w:sz="4" w:space="0" w:color="auto"/>
            </w:tcBorders>
            <w:shd w:val="clear" w:color="auto" w:fill="auto"/>
            <w:vAlign w:val="center"/>
            <w:hideMark/>
          </w:tcPr>
          <w:p w14:paraId="3D49E04F"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Enrol in online courses focusing on data analysis and decision-making. Regularly practice with real-world scenarios.</w:t>
            </w:r>
          </w:p>
        </w:tc>
        <w:tc>
          <w:tcPr>
            <w:tcW w:w="2993" w:type="dxa"/>
            <w:tcBorders>
              <w:top w:val="nil"/>
              <w:left w:val="nil"/>
              <w:bottom w:val="single" w:sz="4" w:space="0" w:color="auto"/>
              <w:right w:val="single" w:sz="4" w:space="0" w:color="auto"/>
            </w:tcBorders>
            <w:shd w:val="clear" w:color="auto" w:fill="auto"/>
            <w:vAlign w:val="center"/>
            <w:hideMark/>
          </w:tcPr>
          <w:p w14:paraId="562F169B"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Access to online platforms like Coursera, Udemy for courses like "Data Driven Decision Making" and books like "Thinking, Fast and Slow" by Daniel Kahneman.</w:t>
            </w:r>
          </w:p>
        </w:tc>
        <w:tc>
          <w:tcPr>
            <w:tcW w:w="1210" w:type="dxa"/>
            <w:tcBorders>
              <w:top w:val="nil"/>
              <w:left w:val="nil"/>
              <w:bottom w:val="single" w:sz="4" w:space="0" w:color="auto"/>
              <w:right w:val="single" w:sz="4" w:space="0" w:color="auto"/>
            </w:tcBorders>
            <w:shd w:val="clear" w:color="auto" w:fill="auto"/>
            <w:vAlign w:val="center"/>
            <w:hideMark/>
          </w:tcPr>
          <w:p w14:paraId="67832554"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6 months</w:t>
            </w:r>
          </w:p>
        </w:tc>
      </w:tr>
      <w:tr w:rsidR="00E54468" w:rsidRPr="009136EA" w14:paraId="02F750D7" w14:textId="77777777" w:rsidTr="00E54468">
        <w:trPr>
          <w:trHeight w:val="1665"/>
          <w:jc w:val="center"/>
        </w:trPr>
        <w:tc>
          <w:tcPr>
            <w:tcW w:w="1681" w:type="dxa"/>
            <w:tcBorders>
              <w:top w:val="nil"/>
              <w:left w:val="single" w:sz="4" w:space="0" w:color="auto"/>
              <w:bottom w:val="single" w:sz="4" w:space="0" w:color="auto"/>
              <w:right w:val="single" w:sz="4" w:space="0" w:color="auto"/>
            </w:tcBorders>
            <w:shd w:val="clear" w:color="auto" w:fill="auto"/>
            <w:vAlign w:val="center"/>
            <w:hideMark/>
          </w:tcPr>
          <w:p w14:paraId="6EE7BEB8"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Problem-Solving Skills</w:t>
            </w:r>
          </w:p>
        </w:tc>
        <w:tc>
          <w:tcPr>
            <w:tcW w:w="2017" w:type="dxa"/>
            <w:tcBorders>
              <w:top w:val="nil"/>
              <w:left w:val="nil"/>
              <w:bottom w:val="single" w:sz="4" w:space="0" w:color="auto"/>
              <w:right w:val="single" w:sz="4" w:space="0" w:color="auto"/>
            </w:tcBorders>
            <w:shd w:val="clear" w:color="auto" w:fill="auto"/>
            <w:vAlign w:val="center"/>
            <w:hideMark/>
          </w:tcPr>
          <w:p w14:paraId="4B8C7A40"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Enhance ability to identify solutions to complex business issues.</w:t>
            </w:r>
          </w:p>
        </w:tc>
        <w:tc>
          <w:tcPr>
            <w:tcW w:w="2489" w:type="dxa"/>
            <w:tcBorders>
              <w:top w:val="nil"/>
              <w:left w:val="nil"/>
              <w:bottom w:val="single" w:sz="4" w:space="0" w:color="auto"/>
              <w:right w:val="single" w:sz="4" w:space="0" w:color="auto"/>
            </w:tcBorders>
            <w:shd w:val="clear" w:color="auto" w:fill="auto"/>
            <w:vAlign w:val="center"/>
            <w:hideMark/>
          </w:tcPr>
          <w:p w14:paraId="673AC82F"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Participate in problem-solving workshops and case study exercises. Regularly challenge oneself with complex problems.</w:t>
            </w:r>
          </w:p>
        </w:tc>
        <w:tc>
          <w:tcPr>
            <w:tcW w:w="2993" w:type="dxa"/>
            <w:tcBorders>
              <w:top w:val="nil"/>
              <w:left w:val="nil"/>
              <w:bottom w:val="single" w:sz="4" w:space="0" w:color="auto"/>
              <w:right w:val="single" w:sz="4" w:space="0" w:color="auto"/>
            </w:tcBorders>
            <w:shd w:val="clear" w:color="auto" w:fill="auto"/>
            <w:vAlign w:val="center"/>
            <w:hideMark/>
          </w:tcPr>
          <w:p w14:paraId="551E923B"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Access to problem-solving workshops, case study materials, and books such as "Problem Solving 101" by Ken Watanabe.</w:t>
            </w:r>
          </w:p>
        </w:tc>
        <w:tc>
          <w:tcPr>
            <w:tcW w:w="1210" w:type="dxa"/>
            <w:tcBorders>
              <w:top w:val="nil"/>
              <w:left w:val="nil"/>
              <w:bottom w:val="single" w:sz="4" w:space="0" w:color="auto"/>
              <w:right w:val="single" w:sz="4" w:space="0" w:color="auto"/>
            </w:tcBorders>
            <w:shd w:val="clear" w:color="auto" w:fill="auto"/>
            <w:vAlign w:val="center"/>
            <w:hideMark/>
          </w:tcPr>
          <w:p w14:paraId="10DCD580"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1 year</w:t>
            </w:r>
          </w:p>
        </w:tc>
      </w:tr>
      <w:tr w:rsidR="00E54468" w:rsidRPr="009136EA" w14:paraId="46C8BD7C" w14:textId="77777777" w:rsidTr="00E54468">
        <w:trPr>
          <w:trHeight w:val="1665"/>
          <w:jc w:val="center"/>
        </w:trPr>
        <w:tc>
          <w:tcPr>
            <w:tcW w:w="1681" w:type="dxa"/>
            <w:tcBorders>
              <w:top w:val="nil"/>
              <w:left w:val="single" w:sz="4" w:space="0" w:color="auto"/>
              <w:bottom w:val="single" w:sz="4" w:space="0" w:color="auto"/>
              <w:right w:val="single" w:sz="4" w:space="0" w:color="auto"/>
            </w:tcBorders>
            <w:shd w:val="clear" w:color="auto" w:fill="auto"/>
            <w:vAlign w:val="center"/>
            <w:hideMark/>
          </w:tcPr>
          <w:p w14:paraId="64E50A91"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Emotional Resilience</w:t>
            </w:r>
          </w:p>
        </w:tc>
        <w:tc>
          <w:tcPr>
            <w:tcW w:w="2017" w:type="dxa"/>
            <w:tcBorders>
              <w:top w:val="nil"/>
              <w:left w:val="nil"/>
              <w:bottom w:val="single" w:sz="4" w:space="0" w:color="auto"/>
              <w:right w:val="single" w:sz="4" w:space="0" w:color="auto"/>
            </w:tcBorders>
            <w:shd w:val="clear" w:color="auto" w:fill="auto"/>
            <w:vAlign w:val="center"/>
            <w:hideMark/>
          </w:tcPr>
          <w:p w14:paraId="41D33AF0"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Improve emotional stability and resilience to stress.</w:t>
            </w:r>
          </w:p>
        </w:tc>
        <w:tc>
          <w:tcPr>
            <w:tcW w:w="2489" w:type="dxa"/>
            <w:tcBorders>
              <w:top w:val="nil"/>
              <w:left w:val="nil"/>
              <w:bottom w:val="single" w:sz="4" w:space="0" w:color="auto"/>
              <w:right w:val="single" w:sz="4" w:space="0" w:color="auto"/>
            </w:tcBorders>
            <w:shd w:val="clear" w:color="auto" w:fill="auto"/>
            <w:vAlign w:val="center"/>
            <w:hideMark/>
          </w:tcPr>
          <w:p w14:paraId="5F88E6FF"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Engage in mindfulness activities, stress management workshops, and counselling sessions if needed.</w:t>
            </w:r>
          </w:p>
        </w:tc>
        <w:tc>
          <w:tcPr>
            <w:tcW w:w="2993" w:type="dxa"/>
            <w:tcBorders>
              <w:top w:val="nil"/>
              <w:left w:val="nil"/>
              <w:bottom w:val="single" w:sz="4" w:space="0" w:color="auto"/>
              <w:right w:val="single" w:sz="4" w:space="0" w:color="auto"/>
            </w:tcBorders>
            <w:shd w:val="clear" w:color="auto" w:fill="auto"/>
            <w:vAlign w:val="center"/>
            <w:hideMark/>
          </w:tcPr>
          <w:p w14:paraId="2212AE5D"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Access to mindfulness apps like Headspace, stress management workshops, and professional counselling services.</w:t>
            </w:r>
          </w:p>
        </w:tc>
        <w:tc>
          <w:tcPr>
            <w:tcW w:w="1210" w:type="dxa"/>
            <w:tcBorders>
              <w:top w:val="nil"/>
              <w:left w:val="nil"/>
              <w:bottom w:val="single" w:sz="4" w:space="0" w:color="auto"/>
              <w:right w:val="single" w:sz="4" w:space="0" w:color="auto"/>
            </w:tcBorders>
            <w:shd w:val="clear" w:color="auto" w:fill="auto"/>
            <w:vAlign w:val="center"/>
            <w:hideMark/>
          </w:tcPr>
          <w:p w14:paraId="41B7E493"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1 year</w:t>
            </w:r>
          </w:p>
        </w:tc>
      </w:tr>
      <w:tr w:rsidR="00E54468" w:rsidRPr="009136EA" w14:paraId="1CCFAC4B" w14:textId="77777777" w:rsidTr="00E54468">
        <w:trPr>
          <w:trHeight w:val="1665"/>
          <w:jc w:val="center"/>
        </w:trPr>
        <w:tc>
          <w:tcPr>
            <w:tcW w:w="1681" w:type="dxa"/>
            <w:tcBorders>
              <w:top w:val="nil"/>
              <w:left w:val="single" w:sz="4" w:space="0" w:color="auto"/>
              <w:bottom w:val="single" w:sz="4" w:space="0" w:color="auto"/>
              <w:right w:val="single" w:sz="4" w:space="0" w:color="auto"/>
            </w:tcBorders>
            <w:shd w:val="clear" w:color="auto" w:fill="auto"/>
            <w:vAlign w:val="center"/>
            <w:hideMark/>
          </w:tcPr>
          <w:p w14:paraId="1E1A0EF9"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Adaptability</w:t>
            </w:r>
          </w:p>
        </w:tc>
        <w:tc>
          <w:tcPr>
            <w:tcW w:w="2017" w:type="dxa"/>
            <w:tcBorders>
              <w:top w:val="nil"/>
              <w:left w:val="nil"/>
              <w:bottom w:val="single" w:sz="4" w:space="0" w:color="auto"/>
              <w:right w:val="single" w:sz="4" w:space="0" w:color="auto"/>
            </w:tcBorders>
            <w:shd w:val="clear" w:color="auto" w:fill="auto"/>
            <w:vAlign w:val="center"/>
            <w:hideMark/>
          </w:tcPr>
          <w:p w14:paraId="68BD2086"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Enhance ability to adjust to changes in the business environment and job role.</w:t>
            </w:r>
          </w:p>
        </w:tc>
        <w:tc>
          <w:tcPr>
            <w:tcW w:w="2489" w:type="dxa"/>
            <w:tcBorders>
              <w:top w:val="nil"/>
              <w:left w:val="nil"/>
              <w:bottom w:val="single" w:sz="4" w:space="0" w:color="auto"/>
              <w:right w:val="single" w:sz="4" w:space="0" w:color="auto"/>
            </w:tcBorders>
            <w:shd w:val="clear" w:color="auto" w:fill="auto"/>
            <w:vAlign w:val="center"/>
            <w:hideMark/>
          </w:tcPr>
          <w:p w14:paraId="3A95AC1E"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Attend seminars on change management and develop a personal strategy to deal with changes effectively.</w:t>
            </w:r>
          </w:p>
        </w:tc>
        <w:tc>
          <w:tcPr>
            <w:tcW w:w="2993" w:type="dxa"/>
            <w:tcBorders>
              <w:top w:val="nil"/>
              <w:left w:val="nil"/>
              <w:bottom w:val="single" w:sz="4" w:space="0" w:color="auto"/>
              <w:right w:val="single" w:sz="4" w:space="0" w:color="auto"/>
            </w:tcBorders>
            <w:shd w:val="clear" w:color="auto" w:fill="auto"/>
            <w:vAlign w:val="center"/>
            <w:hideMark/>
          </w:tcPr>
          <w:p w14:paraId="1AF8C2E8"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Access to seminars on change management, books like "Who Moved My Cheese?" by Spencer Johnson.</w:t>
            </w:r>
          </w:p>
        </w:tc>
        <w:tc>
          <w:tcPr>
            <w:tcW w:w="1210" w:type="dxa"/>
            <w:tcBorders>
              <w:top w:val="nil"/>
              <w:left w:val="nil"/>
              <w:bottom w:val="single" w:sz="4" w:space="0" w:color="auto"/>
              <w:right w:val="single" w:sz="4" w:space="0" w:color="auto"/>
            </w:tcBorders>
            <w:shd w:val="clear" w:color="auto" w:fill="auto"/>
            <w:vAlign w:val="center"/>
            <w:hideMark/>
          </w:tcPr>
          <w:p w14:paraId="545A071C"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1.5 years</w:t>
            </w:r>
          </w:p>
        </w:tc>
      </w:tr>
      <w:tr w:rsidR="00E54468" w:rsidRPr="009136EA" w14:paraId="0A5F6368" w14:textId="77777777" w:rsidTr="00E54468">
        <w:trPr>
          <w:trHeight w:val="1665"/>
          <w:jc w:val="center"/>
        </w:trPr>
        <w:tc>
          <w:tcPr>
            <w:tcW w:w="1681" w:type="dxa"/>
            <w:tcBorders>
              <w:top w:val="nil"/>
              <w:left w:val="single" w:sz="4" w:space="0" w:color="auto"/>
              <w:bottom w:val="single" w:sz="4" w:space="0" w:color="auto"/>
              <w:right w:val="single" w:sz="4" w:space="0" w:color="auto"/>
            </w:tcBorders>
            <w:shd w:val="clear" w:color="auto" w:fill="auto"/>
            <w:vAlign w:val="center"/>
            <w:hideMark/>
          </w:tcPr>
          <w:p w14:paraId="66117B08"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Proactivity</w:t>
            </w:r>
          </w:p>
        </w:tc>
        <w:tc>
          <w:tcPr>
            <w:tcW w:w="2017" w:type="dxa"/>
            <w:tcBorders>
              <w:top w:val="nil"/>
              <w:left w:val="nil"/>
              <w:bottom w:val="single" w:sz="4" w:space="0" w:color="auto"/>
              <w:right w:val="single" w:sz="4" w:space="0" w:color="auto"/>
            </w:tcBorders>
            <w:shd w:val="clear" w:color="auto" w:fill="auto"/>
            <w:vAlign w:val="center"/>
            <w:hideMark/>
          </w:tcPr>
          <w:p w14:paraId="47A9CE2D"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Improve initiative-taking and forward-thinking abilities.</w:t>
            </w:r>
          </w:p>
        </w:tc>
        <w:tc>
          <w:tcPr>
            <w:tcW w:w="2489" w:type="dxa"/>
            <w:tcBorders>
              <w:top w:val="nil"/>
              <w:left w:val="nil"/>
              <w:bottom w:val="single" w:sz="4" w:space="0" w:color="auto"/>
              <w:right w:val="single" w:sz="4" w:space="0" w:color="auto"/>
            </w:tcBorders>
            <w:shd w:val="clear" w:color="auto" w:fill="auto"/>
            <w:vAlign w:val="center"/>
            <w:hideMark/>
          </w:tcPr>
          <w:p w14:paraId="5857803E"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Take on additional responsibilities, participate in innovative projects, and seek regular feedback.</w:t>
            </w:r>
          </w:p>
        </w:tc>
        <w:tc>
          <w:tcPr>
            <w:tcW w:w="2993" w:type="dxa"/>
            <w:tcBorders>
              <w:top w:val="nil"/>
              <w:left w:val="nil"/>
              <w:bottom w:val="single" w:sz="4" w:space="0" w:color="auto"/>
              <w:right w:val="single" w:sz="4" w:space="0" w:color="auto"/>
            </w:tcBorders>
            <w:shd w:val="clear" w:color="auto" w:fill="auto"/>
            <w:vAlign w:val="center"/>
            <w:hideMark/>
          </w:tcPr>
          <w:p w14:paraId="2FDFB9F1"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Access to innovation hubs within Unilever, feedback sessions, and books like "The 7 Habits of Highly Effective People" by Stephen R. Covey.</w:t>
            </w:r>
          </w:p>
        </w:tc>
        <w:tc>
          <w:tcPr>
            <w:tcW w:w="1210" w:type="dxa"/>
            <w:tcBorders>
              <w:top w:val="nil"/>
              <w:left w:val="nil"/>
              <w:bottom w:val="single" w:sz="4" w:space="0" w:color="auto"/>
              <w:right w:val="single" w:sz="4" w:space="0" w:color="auto"/>
            </w:tcBorders>
            <w:shd w:val="clear" w:color="auto" w:fill="auto"/>
            <w:vAlign w:val="center"/>
            <w:hideMark/>
          </w:tcPr>
          <w:p w14:paraId="34ED3036" w14:textId="77777777" w:rsidR="009136EA" w:rsidRPr="009136EA" w:rsidRDefault="009136EA" w:rsidP="009136EA">
            <w:pPr>
              <w:spacing w:after="0" w:line="276" w:lineRule="auto"/>
              <w:jc w:val="both"/>
              <w:rPr>
                <w:rFonts w:ascii="Calibri" w:eastAsia="Times New Roman" w:hAnsi="Calibri" w:cs="Calibri"/>
                <w:sz w:val="24"/>
                <w:szCs w:val="24"/>
                <w:lang w:val="en-GB" w:eastAsia="en-GB"/>
              </w:rPr>
            </w:pPr>
            <w:r w:rsidRPr="009136EA">
              <w:rPr>
                <w:rFonts w:ascii="Calibri" w:eastAsia="Times New Roman" w:hAnsi="Calibri" w:cs="Calibri"/>
                <w:sz w:val="24"/>
                <w:szCs w:val="24"/>
                <w:lang w:val="en-GB" w:eastAsia="en-GB"/>
              </w:rPr>
              <w:t>2 years</w:t>
            </w:r>
          </w:p>
        </w:tc>
      </w:tr>
    </w:tbl>
    <w:p w14:paraId="55771CA4" w14:textId="77777777" w:rsidR="0078181B" w:rsidRDefault="0078181B" w:rsidP="007D3ACC">
      <w:pPr>
        <w:spacing w:line="360" w:lineRule="auto"/>
        <w:jc w:val="both"/>
        <w:rPr>
          <w:color w:val="000000" w:themeColor="text1"/>
          <w:sz w:val="24"/>
          <w:szCs w:val="24"/>
        </w:rPr>
      </w:pPr>
    </w:p>
    <w:p w14:paraId="68E42828" w14:textId="6D430A82" w:rsidR="004119B8" w:rsidRPr="009163FA" w:rsidRDefault="004119B8" w:rsidP="009163FA">
      <w:pPr>
        <w:pStyle w:val="Heading1"/>
        <w:rPr>
          <w:b/>
          <w:bCs/>
        </w:rPr>
      </w:pPr>
      <w:bookmarkStart w:id="10" w:name="_Toc138472572"/>
      <w:r w:rsidRPr="009163FA">
        <w:rPr>
          <w:b/>
          <w:bCs/>
        </w:rPr>
        <w:t>Conclusion</w:t>
      </w:r>
      <w:bookmarkEnd w:id="10"/>
    </w:p>
    <w:p w14:paraId="1A479F50" w14:textId="3E182E43" w:rsidR="00265E0F" w:rsidRPr="00265E0F" w:rsidRDefault="00F855A1" w:rsidP="00265E0F">
      <w:pPr>
        <w:spacing w:line="360" w:lineRule="auto"/>
        <w:jc w:val="both"/>
        <w:rPr>
          <w:color w:val="000000" w:themeColor="text1"/>
          <w:sz w:val="24"/>
          <w:szCs w:val="24"/>
          <w:lang w:val="en-GB"/>
        </w:rPr>
      </w:pPr>
      <w:r>
        <w:rPr>
          <w:color w:val="000000" w:themeColor="text1"/>
          <w:sz w:val="24"/>
          <w:szCs w:val="24"/>
          <w:lang w:val="en-GB"/>
        </w:rPr>
        <w:t>T</w:t>
      </w:r>
      <w:r w:rsidR="00265E0F" w:rsidRPr="00265E0F">
        <w:rPr>
          <w:color w:val="000000" w:themeColor="text1"/>
          <w:sz w:val="24"/>
          <w:szCs w:val="24"/>
          <w:lang w:val="en-GB"/>
        </w:rPr>
        <w:t>he analysis underscores the value of personal development within Unilever. The symbiosis of individual growth and organizational success is evident, as reinforced by the Human Capital Theory. By investing in its employees, Unilever strengthens its competitiveness, efficiency, reputation, and profitability, while also empowering individuals to be more productive, experience career growth, and enhance self-esteem and satisfaction. The application of Maslow's Hierarchy of Needs demonstrates how Unilever supports employees in fulfilling their potential and meeting their personal needs.</w:t>
      </w:r>
      <w:r w:rsidR="00265E0F">
        <w:rPr>
          <w:color w:val="000000" w:themeColor="text1"/>
          <w:sz w:val="24"/>
          <w:szCs w:val="24"/>
          <w:lang w:val="en-GB"/>
        </w:rPr>
        <w:t xml:space="preserve"> </w:t>
      </w:r>
      <w:r w:rsidR="00265E0F" w:rsidRPr="00265E0F">
        <w:rPr>
          <w:color w:val="000000" w:themeColor="text1"/>
          <w:sz w:val="24"/>
          <w:szCs w:val="24"/>
          <w:lang w:val="en-GB"/>
        </w:rPr>
        <w:t>Furthermore, the critical evaluation of Unilever's motivational strategies, employee engagement, performance management, and training revealed a strategic alignment with Vroom's Expectancy Theory, Kahn's Psychological Conditions for Engagement, and the SMART Goals Framework. This indicates the effectiveness of Unilever's strategies in fostering an engaging, motivating, and developmental environment.</w:t>
      </w:r>
      <w:r w:rsidR="00265E0F">
        <w:rPr>
          <w:color w:val="000000" w:themeColor="text1"/>
          <w:sz w:val="24"/>
          <w:szCs w:val="24"/>
          <w:lang w:val="en-GB"/>
        </w:rPr>
        <w:t xml:space="preserve"> </w:t>
      </w:r>
      <w:r w:rsidR="00265E0F" w:rsidRPr="00265E0F">
        <w:rPr>
          <w:color w:val="000000" w:themeColor="text1"/>
          <w:sz w:val="24"/>
          <w:szCs w:val="24"/>
          <w:lang w:val="en-GB"/>
        </w:rPr>
        <w:t>The tailored Personal Development Plan serves as a roadmap for an individual's growth, addressing specific areas for improvement. It symbolizes the importance of structured, personalized development plans in achieving professional goals. Through the combination of these elements, Unilever fosters a culture of continuous learning and improvement, creating a win-win situation for both the organization and its employees.</w:t>
      </w:r>
    </w:p>
    <w:p w14:paraId="34E80F9B" w14:textId="77777777" w:rsidR="00265E0F" w:rsidRDefault="00265E0F">
      <w:pPr>
        <w:rPr>
          <w:color w:val="000000" w:themeColor="text1"/>
          <w:sz w:val="24"/>
          <w:szCs w:val="24"/>
          <w:lang w:val="en-GB"/>
        </w:rPr>
      </w:pPr>
      <w:r>
        <w:rPr>
          <w:color w:val="000000" w:themeColor="text1"/>
          <w:sz w:val="24"/>
          <w:szCs w:val="24"/>
          <w:lang w:val="en-GB"/>
        </w:rPr>
        <w:br w:type="page"/>
      </w:r>
    </w:p>
    <w:p w14:paraId="12E5BE28" w14:textId="77777777" w:rsidR="00853F9E" w:rsidRPr="00853F9E" w:rsidRDefault="00853F9E" w:rsidP="00853F9E">
      <w:pPr>
        <w:pStyle w:val="Heading1"/>
        <w:rPr>
          <w:b/>
          <w:bCs/>
          <w:lang w:val="en-GB"/>
        </w:rPr>
      </w:pPr>
      <w:bookmarkStart w:id="11" w:name="_Toc138472573"/>
      <w:r w:rsidRPr="00853F9E">
        <w:rPr>
          <w:b/>
          <w:bCs/>
          <w:lang w:val="en-GB"/>
        </w:rPr>
        <w:t>References</w:t>
      </w:r>
      <w:bookmarkEnd w:id="11"/>
    </w:p>
    <w:p w14:paraId="2E40DCA2" w14:textId="77777777" w:rsidR="00416BB0" w:rsidRDefault="00416BB0" w:rsidP="00416BB0">
      <w:pPr>
        <w:autoSpaceDE w:val="0"/>
        <w:autoSpaceDN w:val="0"/>
        <w:adjustRightInd w:val="0"/>
        <w:spacing w:line="360" w:lineRule="auto"/>
        <w:jc w:val="both"/>
        <w:rPr>
          <w:rFonts w:ascii="Calibri" w:hAnsi="Calibri" w:cs="Calibri"/>
          <w:sz w:val="24"/>
          <w:szCs w:val="24"/>
          <w:lang w:val="en-GB"/>
        </w:rPr>
      </w:pPr>
      <w:r>
        <w:rPr>
          <w:rFonts w:ascii="Calibri" w:hAnsi="Calibri" w:cs="Calibri"/>
          <w:sz w:val="24"/>
          <w:szCs w:val="24"/>
          <w:lang w:val="en-GB"/>
        </w:rPr>
        <w:t xml:space="preserve">Unilever Plc., (2022). </w:t>
      </w:r>
      <w:r>
        <w:rPr>
          <w:rFonts w:ascii="Calibri" w:hAnsi="Calibri" w:cs="Calibri"/>
          <w:i/>
          <w:iCs/>
          <w:sz w:val="24"/>
          <w:szCs w:val="24"/>
          <w:lang w:val="en-GB"/>
        </w:rPr>
        <w:t>2021 Annual Report on Form 20-F</w:t>
      </w:r>
      <w:r>
        <w:rPr>
          <w:rFonts w:ascii="Calibri" w:hAnsi="Calibri" w:cs="Calibri"/>
          <w:sz w:val="24"/>
          <w:szCs w:val="24"/>
          <w:lang w:val="en-GB"/>
        </w:rPr>
        <w:t xml:space="preserve">. [Online] Available at </w:t>
      </w:r>
      <w:hyperlink r:id="rId7" w:history="1">
        <w:r>
          <w:rPr>
            <w:rFonts w:ascii="Calibri" w:hAnsi="Calibri" w:cs="Calibri"/>
            <w:sz w:val="24"/>
            <w:szCs w:val="24"/>
            <w:lang w:val="en-GB"/>
          </w:rPr>
          <w:t>https://www.unilever.com/files/92ui5egz/production/5e5eba8c5179bfcad19c3775a7f58db428bcaf91.pdf</w:t>
        </w:r>
      </w:hyperlink>
      <w:r>
        <w:rPr>
          <w:rFonts w:ascii="Calibri" w:hAnsi="Calibri" w:cs="Calibri"/>
          <w:sz w:val="24"/>
          <w:szCs w:val="24"/>
          <w:lang w:val="en-GB"/>
        </w:rPr>
        <w:t xml:space="preserve"> [Assessed on 21 June 2023]</w:t>
      </w:r>
    </w:p>
    <w:p w14:paraId="095CF372" w14:textId="77777777" w:rsidR="00416BB0" w:rsidRPr="00FE076B" w:rsidRDefault="00416BB0" w:rsidP="00416BB0">
      <w:pPr>
        <w:spacing w:line="360" w:lineRule="auto"/>
        <w:jc w:val="both"/>
        <w:rPr>
          <w:rFonts w:cstheme="minorHAnsi"/>
          <w:color w:val="000000" w:themeColor="text1"/>
          <w:sz w:val="24"/>
          <w:szCs w:val="24"/>
          <w:shd w:val="clear" w:color="auto" w:fill="FFFFFF"/>
        </w:rPr>
      </w:pPr>
      <w:r w:rsidRPr="00FE076B">
        <w:rPr>
          <w:rFonts w:cstheme="minorHAnsi"/>
          <w:color w:val="000000" w:themeColor="text1"/>
          <w:sz w:val="24"/>
          <w:szCs w:val="24"/>
          <w:shd w:val="clear" w:color="auto" w:fill="FFFFFF"/>
        </w:rPr>
        <w:t>Mazur, B. (2014). Sustainable Human Resource Management in theory and practice. </w:t>
      </w:r>
      <w:proofErr w:type="spellStart"/>
      <w:r w:rsidRPr="00FE076B">
        <w:rPr>
          <w:rFonts w:cstheme="minorHAnsi"/>
          <w:i/>
          <w:iCs/>
          <w:color w:val="000000" w:themeColor="text1"/>
          <w:sz w:val="24"/>
          <w:szCs w:val="24"/>
          <w:shd w:val="clear" w:color="auto" w:fill="FFFFFF"/>
        </w:rPr>
        <w:t>Ekonomia</w:t>
      </w:r>
      <w:proofErr w:type="spellEnd"/>
      <w:r w:rsidRPr="00FE076B">
        <w:rPr>
          <w:rFonts w:cstheme="minorHAnsi"/>
          <w:i/>
          <w:iCs/>
          <w:color w:val="000000" w:themeColor="text1"/>
          <w:sz w:val="24"/>
          <w:szCs w:val="24"/>
          <w:shd w:val="clear" w:color="auto" w:fill="FFFFFF"/>
        </w:rPr>
        <w:t xml:space="preserve"> i </w:t>
      </w:r>
      <w:proofErr w:type="spellStart"/>
      <w:r w:rsidRPr="00FE076B">
        <w:rPr>
          <w:rFonts w:cstheme="minorHAnsi"/>
          <w:i/>
          <w:iCs/>
          <w:color w:val="000000" w:themeColor="text1"/>
          <w:sz w:val="24"/>
          <w:szCs w:val="24"/>
          <w:shd w:val="clear" w:color="auto" w:fill="FFFFFF"/>
        </w:rPr>
        <w:t>Zarządzanie</w:t>
      </w:r>
      <w:proofErr w:type="spellEnd"/>
      <w:r w:rsidRPr="00FE076B">
        <w:rPr>
          <w:rFonts w:cstheme="minorHAnsi"/>
          <w:color w:val="000000" w:themeColor="text1"/>
          <w:sz w:val="24"/>
          <w:szCs w:val="24"/>
          <w:shd w:val="clear" w:color="auto" w:fill="FFFFFF"/>
        </w:rPr>
        <w:t>, </w:t>
      </w:r>
      <w:r w:rsidRPr="00FE076B">
        <w:rPr>
          <w:rFonts w:cstheme="minorHAnsi"/>
          <w:i/>
          <w:iCs/>
          <w:color w:val="000000" w:themeColor="text1"/>
          <w:sz w:val="24"/>
          <w:szCs w:val="24"/>
          <w:shd w:val="clear" w:color="auto" w:fill="FFFFFF"/>
        </w:rPr>
        <w:t>6</w:t>
      </w:r>
      <w:r w:rsidRPr="00FE076B">
        <w:rPr>
          <w:rFonts w:cstheme="minorHAnsi"/>
          <w:color w:val="000000" w:themeColor="text1"/>
          <w:sz w:val="24"/>
          <w:szCs w:val="24"/>
          <w:shd w:val="clear" w:color="auto" w:fill="FFFFFF"/>
        </w:rPr>
        <w:t>(1).</w:t>
      </w:r>
    </w:p>
    <w:p w14:paraId="4DF3FF8E" w14:textId="77777777" w:rsidR="00416BB0" w:rsidRPr="00FE076B" w:rsidRDefault="00416BB0" w:rsidP="00416BB0">
      <w:pPr>
        <w:spacing w:line="360" w:lineRule="auto"/>
        <w:jc w:val="both"/>
        <w:rPr>
          <w:rFonts w:cstheme="minorHAnsi"/>
          <w:color w:val="000000" w:themeColor="text1"/>
          <w:sz w:val="24"/>
          <w:szCs w:val="24"/>
          <w:shd w:val="clear" w:color="auto" w:fill="FFFFFF"/>
        </w:rPr>
      </w:pPr>
      <w:proofErr w:type="spellStart"/>
      <w:r w:rsidRPr="00FE076B">
        <w:rPr>
          <w:rFonts w:cstheme="minorHAnsi"/>
          <w:color w:val="000000" w:themeColor="text1"/>
          <w:sz w:val="24"/>
          <w:szCs w:val="24"/>
          <w:shd w:val="clear" w:color="auto" w:fill="FFFFFF"/>
        </w:rPr>
        <w:t>Cherono</w:t>
      </w:r>
      <w:proofErr w:type="spellEnd"/>
      <w:r w:rsidRPr="00FE076B">
        <w:rPr>
          <w:rFonts w:cstheme="minorHAnsi"/>
          <w:color w:val="000000" w:themeColor="text1"/>
          <w:sz w:val="24"/>
          <w:szCs w:val="24"/>
          <w:shd w:val="clear" w:color="auto" w:fill="FFFFFF"/>
        </w:rPr>
        <w:t>, J. O. A. N. (2017). Employee development and organizational performance of Unilever Tea Kenya LTD in Kericho County. </w:t>
      </w:r>
      <w:r w:rsidRPr="00FE076B">
        <w:rPr>
          <w:rFonts w:cstheme="minorHAnsi"/>
          <w:i/>
          <w:iCs/>
          <w:color w:val="000000" w:themeColor="text1"/>
          <w:sz w:val="24"/>
          <w:szCs w:val="24"/>
          <w:shd w:val="clear" w:color="auto" w:fill="FFFFFF"/>
        </w:rPr>
        <w:t>Kenyatta University, Kenya</w:t>
      </w:r>
      <w:r w:rsidRPr="00FE076B">
        <w:rPr>
          <w:rFonts w:cstheme="minorHAnsi"/>
          <w:color w:val="000000" w:themeColor="text1"/>
          <w:sz w:val="24"/>
          <w:szCs w:val="24"/>
          <w:shd w:val="clear" w:color="auto" w:fill="FFFFFF"/>
        </w:rPr>
        <w:t>.</w:t>
      </w:r>
    </w:p>
    <w:p w14:paraId="249FCBB2" w14:textId="77777777" w:rsidR="00416BB0" w:rsidRPr="00FE076B" w:rsidRDefault="00416BB0" w:rsidP="00416BB0">
      <w:pPr>
        <w:spacing w:line="360" w:lineRule="auto"/>
        <w:jc w:val="both"/>
        <w:rPr>
          <w:rFonts w:cstheme="minorHAnsi"/>
          <w:color w:val="000000" w:themeColor="text1"/>
          <w:sz w:val="24"/>
          <w:szCs w:val="24"/>
          <w:shd w:val="clear" w:color="auto" w:fill="FFFFFF"/>
        </w:rPr>
      </w:pPr>
      <w:r w:rsidRPr="00FE076B">
        <w:rPr>
          <w:rFonts w:cstheme="minorHAnsi"/>
          <w:color w:val="000000" w:themeColor="text1"/>
          <w:sz w:val="24"/>
          <w:szCs w:val="24"/>
          <w:shd w:val="clear" w:color="auto" w:fill="FFFFFF"/>
        </w:rPr>
        <w:t>Aust, I., Muller-</w:t>
      </w:r>
      <w:proofErr w:type="spellStart"/>
      <w:r w:rsidRPr="00FE076B">
        <w:rPr>
          <w:rFonts w:cstheme="minorHAnsi"/>
          <w:color w:val="000000" w:themeColor="text1"/>
          <w:sz w:val="24"/>
          <w:szCs w:val="24"/>
          <w:shd w:val="clear" w:color="auto" w:fill="FFFFFF"/>
        </w:rPr>
        <w:t>Camen</w:t>
      </w:r>
      <w:proofErr w:type="spellEnd"/>
      <w:r w:rsidRPr="00FE076B">
        <w:rPr>
          <w:rFonts w:cstheme="minorHAnsi"/>
          <w:color w:val="000000" w:themeColor="text1"/>
          <w:sz w:val="24"/>
          <w:szCs w:val="24"/>
          <w:shd w:val="clear" w:color="auto" w:fill="FFFFFF"/>
        </w:rPr>
        <w:t xml:space="preserve">, M., </w:t>
      </w:r>
      <w:r>
        <w:rPr>
          <w:rFonts w:cstheme="minorHAnsi"/>
          <w:color w:val="000000" w:themeColor="text1"/>
          <w:sz w:val="24"/>
          <w:szCs w:val="24"/>
          <w:shd w:val="clear" w:color="auto" w:fill="FFFFFF"/>
        </w:rPr>
        <w:t>and</w:t>
      </w:r>
      <w:r w:rsidRPr="00FE076B">
        <w:rPr>
          <w:rFonts w:cstheme="minorHAnsi"/>
          <w:color w:val="000000" w:themeColor="text1"/>
          <w:sz w:val="24"/>
          <w:szCs w:val="24"/>
          <w:shd w:val="clear" w:color="auto" w:fill="FFFFFF"/>
        </w:rPr>
        <w:t xml:space="preserve"> </w:t>
      </w:r>
      <w:proofErr w:type="spellStart"/>
      <w:r w:rsidRPr="00FE076B">
        <w:rPr>
          <w:rFonts w:cstheme="minorHAnsi"/>
          <w:color w:val="000000" w:themeColor="text1"/>
          <w:sz w:val="24"/>
          <w:szCs w:val="24"/>
          <w:shd w:val="clear" w:color="auto" w:fill="FFFFFF"/>
        </w:rPr>
        <w:t>Poutsma</w:t>
      </w:r>
      <w:proofErr w:type="spellEnd"/>
      <w:r w:rsidRPr="00FE076B">
        <w:rPr>
          <w:rFonts w:cstheme="minorHAnsi"/>
          <w:color w:val="000000" w:themeColor="text1"/>
          <w:sz w:val="24"/>
          <w:szCs w:val="24"/>
          <w:shd w:val="clear" w:color="auto" w:fill="FFFFFF"/>
        </w:rPr>
        <w:t>, E. (2018). Sustainable HRM: A comparative and international perspective. In </w:t>
      </w:r>
      <w:r w:rsidRPr="00FE076B">
        <w:rPr>
          <w:rFonts w:cstheme="minorHAnsi"/>
          <w:i/>
          <w:iCs/>
          <w:color w:val="000000" w:themeColor="text1"/>
          <w:sz w:val="24"/>
          <w:szCs w:val="24"/>
          <w:shd w:val="clear" w:color="auto" w:fill="FFFFFF"/>
        </w:rPr>
        <w:t>Handbook of research on comparative human resource management</w:t>
      </w:r>
      <w:r w:rsidRPr="00FE076B">
        <w:rPr>
          <w:rFonts w:cstheme="minorHAnsi"/>
          <w:color w:val="000000" w:themeColor="text1"/>
          <w:sz w:val="24"/>
          <w:szCs w:val="24"/>
          <w:shd w:val="clear" w:color="auto" w:fill="FFFFFF"/>
        </w:rPr>
        <w:t> (pp. 358-370). Edward Elgar Publishing.</w:t>
      </w:r>
    </w:p>
    <w:p w14:paraId="21562EBA" w14:textId="77777777" w:rsidR="00416BB0" w:rsidRPr="00FE076B" w:rsidRDefault="00416BB0" w:rsidP="00416BB0">
      <w:pPr>
        <w:spacing w:line="360" w:lineRule="auto"/>
        <w:jc w:val="both"/>
        <w:rPr>
          <w:rFonts w:cstheme="minorHAnsi"/>
          <w:color w:val="000000" w:themeColor="text1"/>
          <w:sz w:val="24"/>
          <w:szCs w:val="24"/>
          <w:shd w:val="clear" w:color="auto" w:fill="FFFFFF"/>
        </w:rPr>
      </w:pPr>
      <w:r w:rsidRPr="00FE076B">
        <w:rPr>
          <w:rFonts w:cstheme="minorHAnsi"/>
          <w:color w:val="000000" w:themeColor="text1"/>
          <w:sz w:val="24"/>
          <w:szCs w:val="24"/>
          <w:shd w:val="clear" w:color="auto" w:fill="FFFFFF"/>
        </w:rPr>
        <w:t xml:space="preserve">Tien, N. H., </w:t>
      </w:r>
      <w:r>
        <w:rPr>
          <w:rFonts w:cstheme="minorHAnsi"/>
          <w:color w:val="000000" w:themeColor="text1"/>
          <w:sz w:val="24"/>
          <w:szCs w:val="24"/>
          <w:shd w:val="clear" w:color="auto" w:fill="FFFFFF"/>
        </w:rPr>
        <w:t>and</w:t>
      </w:r>
      <w:r w:rsidRPr="00FE076B">
        <w:rPr>
          <w:rFonts w:cstheme="minorHAnsi"/>
          <w:color w:val="000000" w:themeColor="text1"/>
          <w:sz w:val="24"/>
          <w:szCs w:val="24"/>
          <w:shd w:val="clear" w:color="auto" w:fill="FFFFFF"/>
        </w:rPr>
        <w:t xml:space="preserve"> Nhi, D. T. Y. (2019). Comparative Analysis of Knowledge Management Software Application at </w:t>
      </w:r>
      <w:proofErr w:type="spellStart"/>
      <w:r w:rsidRPr="00FE076B">
        <w:rPr>
          <w:rFonts w:cstheme="minorHAnsi"/>
          <w:color w:val="000000" w:themeColor="text1"/>
          <w:sz w:val="24"/>
          <w:szCs w:val="24"/>
          <w:shd w:val="clear" w:color="auto" w:fill="FFFFFF"/>
        </w:rPr>
        <w:t>E</w:t>
      </w:r>
      <w:r>
        <w:rPr>
          <w:rFonts w:cstheme="minorHAnsi"/>
          <w:color w:val="000000" w:themeColor="text1"/>
          <w:sz w:val="24"/>
          <w:szCs w:val="24"/>
          <w:shd w:val="clear" w:color="auto" w:fill="FFFFFF"/>
        </w:rPr>
        <w:t>and</w:t>
      </w:r>
      <w:r w:rsidRPr="00FE076B">
        <w:rPr>
          <w:rFonts w:cstheme="minorHAnsi"/>
          <w:color w:val="000000" w:themeColor="text1"/>
          <w:sz w:val="24"/>
          <w:szCs w:val="24"/>
          <w:shd w:val="clear" w:color="auto" w:fill="FFFFFF"/>
        </w:rPr>
        <w:t>Y</w:t>
      </w:r>
      <w:proofErr w:type="spellEnd"/>
      <w:r w:rsidRPr="00FE076B">
        <w:rPr>
          <w:rFonts w:cstheme="minorHAnsi"/>
          <w:color w:val="000000" w:themeColor="text1"/>
          <w:sz w:val="24"/>
          <w:szCs w:val="24"/>
          <w:shd w:val="clear" w:color="auto" w:fill="FFFFFF"/>
        </w:rPr>
        <w:t xml:space="preserve"> and Unilever Vietnam. </w:t>
      </w:r>
      <w:r w:rsidRPr="00FE076B">
        <w:rPr>
          <w:rFonts w:cstheme="minorHAnsi"/>
          <w:i/>
          <w:iCs/>
          <w:color w:val="000000" w:themeColor="text1"/>
          <w:sz w:val="24"/>
          <w:szCs w:val="24"/>
          <w:shd w:val="clear" w:color="auto" w:fill="FFFFFF"/>
        </w:rPr>
        <w:t>International journal of multidisciplinary research and development</w:t>
      </w:r>
      <w:r w:rsidRPr="00FE076B">
        <w:rPr>
          <w:rFonts w:cstheme="minorHAnsi"/>
          <w:color w:val="000000" w:themeColor="text1"/>
          <w:sz w:val="24"/>
          <w:szCs w:val="24"/>
          <w:shd w:val="clear" w:color="auto" w:fill="FFFFFF"/>
        </w:rPr>
        <w:t>, </w:t>
      </w:r>
      <w:r w:rsidRPr="00FE076B">
        <w:rPr>
          <w:rFonts w:cstheme="minorHAnsi"/>
          <w:i/>
          <w:iCs/>
          <w:color w:val="000000" w:themeColor="text1"/>
          <w:sz w:val="24"/>
          <w:szCs w:val="24"/>
          <w:shd w:val="clear" w:color="auto" w:fill="FFFFFF"/>
        </w:rPr>
        <w:t>6</w:t>
      </w:r>
      <w:r w:rsidRPr="00FE076B">
        <w:rPr>
          <w:rFonts w:cstheme="minorHAnsi"/>
          <w:color w:val="000000" w:themeColor="text1"/>
          <w:sz w:val="24"/>
          <w:szCs w:val="24"/>
          <w:shd w:val="clear" w:color="auto" w:fill="FFFFFF"/>
        </w:rPr>
        <w:t>(10), 22-27.</w:t>
      </w:r>
    </w:p>
    <w:p w14:paraId="024B5EDB" w14:textId="77777777" w:rsidR="00416BB0" w:rsidRPr="00FE076B" w:rsidRDefault="00416BB0" w:rsidP="00416BB0">
      <w:pPr>
        <w:spacing w:line="360" w:lineRule="auto"/>
        <w:jc w:val="both"/>
        <w:rPr>
          <w:rFonts w:cstheme="minorHAnsi"/>
          <w:color w:val="000000" w:themeColor="text1"/>
          <w:sz w:val="24"/>
          <w:szCs w:val="24"/>
          <w:shd w:val="clear" w:color="auto" w:fill="FFFFFF"/>
        </w:rPr>
      </w:pPr>
      <w:proofErr w:type="spellStart"/>
      <w:r w:rsidRPr="00FE076B">
        <w:rPr>
          <w:rFonts w:cstheme="minorHAnsi"/>
          <w:color w:val="000000" w:themeColor="text1"/>
          <w:sz w:val="24"/>
          <w:szCs w:val="24"/>
          <w:shd w:val="clear" w:color="auto" w:fill="FFFFFF"/>
        </w:rPr>
        <w:t>Nocker</w:t>
      </w:r>
      <w:proofErr w:type="spellEnd"/>
      <w:r w:rsidRPr="00FE076B">
        <w:rPr>
          <w:rFonts w:cstheme="minorHAnsi"/>
          <w:color w:val="000000" w:themeColor="text1"/>
          <w:sz w:val="24"/>
          <w:szCs w:val="24"/>
          <w:shd w:val="clear" w:color="auto" w:fill="FFFFFF"/>
        </w:rPr>
        <w:t xml:space="preserve">, M., </w:t>
      </w:r>
      <w:r>
        <w:rPr>
          <w:rFonts w:cstheme="minorHAnsi"/>
          <w:color w:val="000000" w:themeColor="text1"/>
          <w:sz w:val="24"/>
          <w:szCs w:val="24"/>
          <w:shd w:val="clear" w:color="auto" w:fill="FFFFFF"/>
        </w:rPr>
        <w:t>and</w:t>
      </w:r>
      <w:r w:rsidRPr="00FE076B">
        <w:rPr>
          <w:rFonts w:cstheme="minorHAnsi"/>
          <w:color w:val="000000" w:themeColor="text1"/>
          <w:sz w:val="24"/>
          <w:szCs w:val="24"/>
          <w:shd w:val="clear" w:color="auto" w:fill="FFFFFF"/>
        </w:rPr>
        <w:t xml:space="preserve"> </w:t>
      </w:r>
      <w:proofErr w:type="spellStart"/>
      <w:r w:rsidRPr="00FE076B">
        <w:rPr>
          <w:rFonts w:cstheme="minorHAnsi"/>
          <w:color w:val="000000" w:themeColor="text1"/>
          <w:sz w:val="24"/>
          <w:szCs w:val="24"/>
          <w:shd w:val="clear" w:color="auto" w:fill="FFFFFF"/>
        </w:rPr>
        <w:t>Sena</w:t>
      </w:r>
      <w:proofErr w:type="spellEnd"/>
      <w:r w:rsidRPr="00FE076B">
        <w:rPr>
          <w:rFonts w:cstheme="minorHAnsi"/>
          <w:color w:val="000000" w:themeColor="text1"/>
          <w:sz w:val="24"/>
          <w:szCs w:val="24"/>
          <w:shd w:val="clear" w:color="auto" w:fill="FFFFFF"/>
        </w:rPr>
        <w:t>, V. (2019). Big data and human resources management: The rise of talent analytics. </w:t>
      </w:r>
      <w:r w:rsidRPr="00FE076B">
        <w:rPr>
          <w:rFonts w:cstheme="minorHAnsi"/>
          <w:i/>
          <w:iCs/>
          <w:color w:val="000000" w:themeColor="text1"/>
          <w:sz w:val="24"/>
          <w:szCs w:val="24"/>
          <w:shd w:val="clear" w:color="auto" w:fill="FFFFFF"/>
        </w:rPr>
        <w:t>Social Sciences</w:t>
      </w:r>
      <w:r w:rsidRPr="00FE076B">
        <w:rPr>
          <w:rFonts w:cstheme="minorHAnsi"/>
          <w:color w:val="000000" w:themeColor="text1"/>
          <w:sz w:val="24"/>
          <w:szCs w:val="24"/>
          <w:shd w:val="clear" w:color="auto" w:fill="FFFFFF"/>
        </w:rPr>
        <w:t>, </w:t>
      </w:r>
      <w:r w:rsidRPr="00FE076B">
        <w:rPr>
          <w:rFonts w:cstheme="minorHAnsi"/>
          <w:i/>
          <w:iCs/>
          <w:color w:val="000000" w:themeColor="text1"/>
          <w:sz w:val="24"/>
          <w:szCs w:val="24"/>
          <w:shd w:val="clear" w:color="auto" w:fill="FFFFFF"/>
        </w:rPr>
        <w:t>8</w:t>
      </w:r>
      <w:r w:rsidRPr="00FE076B">
        <w:rPr>
          <w:rFonts w:cstheme="minorHAnsi"/>
          <w:color w:val="000000" w:themeColor="text1"/>
          <w:sz w:val="24"/>
          <w:szCs w:val="24"/>
          <w:shd w:val="clear" w:color="auto" w:fill="FFFFFF"/>
        </w:rPr>
        <w:t>(10), 273.</w:t>
      </w:r>
    </w:p>
    <w:p w14:paraId="20829D66" w14:textId="77777777" w:rsidR="00416BB0" w:rsidRPr="00FE076B" w:rsidRDefault="00416BB0" w:rsidP="00416BB0">
      <w:pPr>
        <w:spacing w:line="360" w:lineRule="auto"/>
        <w:jc w:val="both"/>
        <w:rPr>
          <w:rFonts w:cstheme="minorHAnsi"/>
          <w:color w:val="000000" w:themeColor="text1"/>
          <w:sz w:val="24"/>
          <w:szCs w:val="24"/>
          <w:shd w:val="clear" w:color="auto" w:fill="FFFFFF"/>
        </w:rPr>
      </w:pPr>
      <w:proofErr w:type="spellStart"/>
      <w:r w:rsidRPr="00FE076B">
        <w:rPr>
          <w:rFonts w:cstheme="minorHAnsi"/>
          <w:color w:val="000000" w:themeColor="text1"/>
          <w:sz w:val="24"/>
          <w:szCs w:val="24"/>
          <w:shd w:val="clear" w:color="auto" w:fill="FFFFFF"/>
        </w:rPr>
        <w:t>Kowo</w:t>
      </w:r>
      <w:proofErr w:type="spellEnd"/>
      <w:r w:rsidRPr="00FE076B">
        <w:rPr>
          <w:rFonts w:cstheme="minorHAnsi"/>
          <w:color w:val="000000" w:themeColor="text1"/>
          <w:sz w:val="24"/>
          <w:szCs w:val="24"/>
          <w:shd w:val="clear" w:color="auto" w:fill="FFFFFF"/>
        </w:rPr>
        <w:t xml:space="preserve">, S. A., </w:t>
      </w:r>
      <w:proofErr w:type="spellStart"/>
      <w:r w:rsidRPr="00FE076B">
        <w:rPr>
          <w:rFonts w:cstheme="minorHAnsi"/>
          <w:color w:val="000000" w:themeColor="text1"/>
          <w:sz w:val="24"/>
          <w:szCs w:val="24"/>
          <w:shd w:val="clear" w:color="auto" w:fill="FFFFFF"/>
        </w:rPr>
        <w:t>ObaAdenuga</w:t>
      </w:r>
      <w:proofErr w:type="spellEnd"/>
      <w:r w:rsidRPr="00FE076B">
        <w:rPr>
          <w:rFonts w:cstheme="minorHAnsi"/>
          <w:color w:val="000000" w:themeColor="text1"/>
          <w:sz w:val="24"/>
          <w:szCs w:val="24"/>
          <w:shd w:val="clear" w:color="auto" w:fill="FFFFFF"/>
        </w:rPr>
        <w:t xml:space="preserve">, O. A., </w:t>
      </w:r>
      <w:r>
        <w:rPr>
          <w:rFonts w:cstheme="minorHAnsi"/>
          <w:color w:val="000000" w:themeColor="text1"/>
          <w:sz w:val="24"/>
          <w:szCs w:val="24"/>
          <w:shd w:val="clear" w:color="auto" w:fill="FFFFFF"/>
        </w:rPr>
        <w:t>and</w:t>
      </w:r>
      <w:r w:rsidRPr="00FE076B">
        <w:rPr>
          <w:rFonts w:cstheme="minorHAnsi"/>
          <w:color w:val="000000" w:themeColor="text1"/>
          <w:sz w:val="24"/>
          <w:szCs w:val="24"/>
          <w:shd w:val="clear" w:color="auto" w:fill="FFFFFF"/>
        </w:rPr>
        <w:t xml:space="preserve"> </w:t>
      </w:r>
      <w:proofErr w:type="spellStart"/>
      <w:r w:rsidRPr="00FE076B">
        <w:rPr>
          <w:rFonts w:cstheme="minorHAnsi"/>
          <w:color w:val="000000" w:themeColor="text1"/>
          <w:sz w:val="24"/>
          <w:szCs w:val="24"/>
          <w:shd w:val="clear" w:color="auto" w:fill="FFFFFF"/>
        </w:rPr>
        <w:t>owotutu</w:t>
      </w:r>
      <w:proofErr w:type="spellEnd"/>
      <w:r w:rsidRPr="00FE076B">
        <w:rPr>
          <w:rFonts w:cstheme="minorHAnsi"/>
          <w:color w:val="000000" w:themeColor="text1"/>
          <w:sz w:val="24"/>
          <w:szCs w:val="24"/>
          <w:shd w:val="clear" w:color="auto" w:fill="FFFFFF"/>
        </w:rPr>
        <w:t xml:space="preserve"> </w:t>
      </w:r>
      <w:proofErr w:type="spellStart"/>
      <w:r w:rsidRPr="00FE076B">
        <w:rPr>
          <w:rFonts w:cstheme="minorHAnsi"/>
          <w:color w:val="000000" w:themeColor="text1"/>
          <w:sz w:val="24"/>
          <w:szCs w:val="24"/>
          <w:shd w:val="clear" w:color="auto" w:fill="FFFFFF"/>
        </w:rPr>
        <w:t>Sabitu</w:t>
      </w:r>
      <w:proofErr w:type="spellEnd"/>
      <w:r w:rsidRPr="00FE076B">
        <w:rPr>
          <w:rFonts w:cstheme="minorHAnsi"/>
          <w:color w:val="000000" w:themeColor="text1"/>
          <w:sz w:val="24"/>
          <w:szCs w:val="24"/>
          <w:shd w:val="clear" w:color="auto" w:fill="FFFFFF"/>
        </w:rPr>
        <w:t>, O. (2019). Efficacy of e-recruitment practices on employee retention in multinational corporations. </w:t>
      </w:r>
      <w:r w:rsidRPr="00FE076B">
        <w:rPr>
          <w:rFonts w:cstheme="minorHAnsi"/>
          <w:i/>
          <w:iCs/>
          <w:color w:val="000000" w:themeColor="text1"/>
          <w:sz w:val="24"/>
          <w:szCs w:val="24"/>
          <w:shd w:val="clear" w:color="auto" w:fill="FFFFFF"/>
        </w:rPr>
        <w:t>Economics and Culture</w:t>
      </w:r>
      <w:r w:rsidRPr="00FE076B">
        <w:rPr>
          <w:rFonts w:cstheme="minorHAnsi"/>
          <w:color w:val="000000" w:themeColor="text1"/>
          <w:sz w:val="24"/>
          <w:szCs w:val="24"/>
          <w:shd w:val="clear" w:color="auto" w:fill="FFFFFF"/>
        </w:rPr>
        <w:t>, </w:t>
      </w:r>
      <w:r w:rsidRPr="00FE076B">
        <w:rPr>
          <w:rFonts w:cstheme="minorHAnsi"/>
          <w:i/>
          <w:iCs/>
          <w:color w:val="000000" w:themeColor="text1"/>
          <w:sz w:val="24"/>
          <w:szCs w:val="24"/>
          <w:shd w:val="clear" w:color="auto" w:fill="FFFFFF"/>
        </w:rPr>
        <w:t>16</w:t>
      </w:r>
      <w:r w:rsidRPr="00FE076B">
        <w:rPr>
          <w:rFonts w:cstheme="minorHAnsi"/>
          <w:color w:val="000000" w:themeColor="text1"/>
          <w:sz w:val="24"/>
          <w:szCs w:val="24"/>
          <w:shd w:val="clear" w:color="auto" w:fill="FFFFFF"/>
        </w:rPr>
        <w:t>(1), 161-171.</w:t>
      </w:r>
    </w:p>
    <w:p w14:paraId="4DDD217B" w14:textId="77777777" w:rsidR="00416BB0" w:rsidRPr="00FE076B" w:rsidRDefault="00416BB0" w:rsidP="00416BB0">
      <w:pPr>
        <w:spacing w:line="360" w:lineRule="auto"/>
        <w:jc w:val="both"/>
        <w:rPr>
          <w:rFonts w:cstheme="minorHAnsi"/>
          <w:color w:val="000000" w:themeColor="text1"/>
          <w:sz w:val="24"/>
          <w:szCs w:val="24"/>
          <w:shd w:val="clear" w:color="auto" w:fill="FFFFFF"/>
        </w:rPr>
      </w:pPr>
      <w:proofErr w:type="spellStart"/>
      <w:r w:rsidRPr="00FE076B">
        <w:rPr>
          <w:rFonts w:cstheme="minorHAnsi"/>
          <w:color w:val="000000" w:themeColor="text1"/>
          <w:sz w:val="24"/>
          <w:szCs w:val="24"/>
          <w:shd w:val="clear" w:color="auto" w:fill="FFFFFF"/>
        </w:rPr>
        <w:t>Halid</w:t>
      </w:r>
      <w:proofErr w:type="spellEnd"/>
      <w:r w:rsidRPr="00FE076B">
        <w:rPr>
          <w:rFonts w:cstheme="minorHAnsi"/>
          <w:color w:val="000000" w:themeColor="text1"/>
          <w:sz w:val="24"/>
          <w:szCs w:val="24"/>
          <w:shd w:val="clear" w:color="auto" w:fill="FFFFFF"/>
        </w:rPr>
        <w:t xml:space="preserve">, H., </w:t>
      </w:r>
      <w:proofErr w:type="spellStart"/>
      <w:r w:rsidRPr="00FE076B">
        <w:rPr>
          <w:rFonts w:cstheme="minorHAnsi"/>
          <w:color w:val="000000" w:themeColor="text1"/>
          <w:sz w:val="24"/>
          <w:szCs w:val="24"/>
          <w:shd w:val="clear" w:color="auto" w:fill="FFFFFF"/>
        </w:rPr>
        <w:t>Yusoff</w:t>
      </w:r>
      <w:proofErr w:type="spellEnd"/>
      <w:r w:rsidRPr="00FE076B">
        <w:rPr>
          <w:rFonts w:cstheme="minorHAnsi"/>
          <w:color w:val="000000" w:themeColor="text1"/>
          <w:sz w:val="24"/>
          <w:szCs w:val="24"/>
          <w:shd w:val="clear" w:color="auto" w:fill="FFFFFF"/>
        </w:rPr>
        <w:t xml:space="preserve">, Y. M., </w:t>
      </w:r>
      <w:r>
        <w:rPr>
          <w:rFonts w:cstheme="minorHAnsi"/>
          <w:color w:val="000000" w:themeColor="text1"/>
          <w:sz w:val="24"/>
          <w:szCs w:val="24"/>
          <w:shd w:val="clear" w:color="auto" w:fill="FFFFFF"/>
        </w:rPr>
        <w:t>and</w:t>
      </w:r>
      <w:r w:rsidRPr="00FE076B">
        <w:rPr>
          <w:rFonts w:cstheme="minorHAnsi"/>
          <w:color w:val="000000" w:themeColor="text1"/>
          <w:sz w:val="24"/>
          <w:szCs w:val="24"/>
          <w:shd w:val="clear" w:color="auto" w:fill="FFFFFF"/>
        </w:rPr>
        <w:t xml:space="preserve"> Somu, H. (2020, May). The relationship between digital human resource management and organizational performance. In </w:t>
      </w:r>
      <w:r w:rsidRPr="00FE076B">
        <w:rPr>
          <w:rFonts w:cstheme="minorHAnsi"/>
          <w:i/>
          <w:iCs/>
          <w:color w:val="000000" w:themeColor="text1"/>
          <w:sz w:val="24"/>
          <w:szCs w:val="24"/>
          <w:shd w:val="clear" w:color="auto" w:fill="FFFFFF"/>
        </w:rPr>
        <w:t>First ASEAN Business, Environment, and Technology Symposium (ABEATS 2019)</w:t>
      </w:r>
      <w:r w:rsidRPr="00FE076B">
        <w:rPr>
          <w:rFonts w:cstheme="minorHAnsi"/>
          <w:color w:val="000000" w:themeColor="text1"/>
          <w:sz w:val="24"/>
          <w:szCs w:val="24"/>
          <w:shd w:val="clear" w:color="auto" w:fill="FFFFFF"/>
        </w:rPr>
        <w:t> (pp. 96-99). Atlantis Press.</w:t>
      </w:r>
    </w:p>
    <w:p w14:paraId="375A4AD8" w14:textId="77777777" w:rsidR="00416BB0" w:rsidRPr="00FE076B" w:rsidRDefault="00416BB0" w:rsidP="00416BB0">
      <w:pPr>
        <w:spacing w:line="360" w:lineRule="auto"/>
        <w:jc w:val="both"/>
        <w:rPr>
          <w:rFonts w:cstheme="minorHAnsi"/>
          <w:color w:val="000000" w:themeColor="text1"/>
          <w:sz w:val="24"/>
          <w:szCs w:val="24"/>
          <w:shd w:val="clear" w:color="auto" w:fill="FFFFFF"/>
        </w:rPr>
      </w:pPr>
      <w:r w:rsidRPr="00FE076B">
        <w:rPr>
          <w:rFonts w:cstheme="minorHAnsi"/>
          <w:color w:val="000000" w:themeColor="text1"/>
          <w:sz w:val="24"/>
          <w:szCs w:val="24"/>
          <w:shd w:val="clear" w:color="auto" w:fill="FFFFFF"/>
        </w:rPr>
        <w:t xml:space="preserve">Gowan, M., </w:t>
      </w:r>
      <w:proofErr w:type="spellStart"/>
      <w:r w:rsidRPr="00FE076B">
        <w:rPr>
          <w:rFonts w:cstheme="minorHAnsi"/>
          <w:color w:val="000000" w:themeColor="text1"/>
          <w:sz w:val="24"/>
          <w:szCs w:val="24"/>
          <w:shd w:val="clear" w:color="auto" w:fill="FFFFFF"/>
        </w:rPr>
        <w:t>DeMarr</w:t>
      </w:r>
      <w:proofErr w:type="spellEnd"/>
      <w:r w:rsidRPr="00FE076B">
        <w:rPr>
          <w:rFonts w:cstheme="minorHAnsi"/>
          <w:color w:val="000000" w:themeColor="text1"/>
          <w:sz w:val="24"/>
          <w:szCs w:val="24"/>
          <w:shd w:val="clear" w:color="auto" w:fill="FFFFFF"/>
        </w:rPr>
        <w:t xml:space="preserve">, B. J., </w:t>
      </w:r>
      <w:r>
        <w:rPr>
          <w:rFonts w:cstheme="minorHAnsi"/>
          <w:color w:val="000000" w:themeColor="text1"/>
          <w:sz w:val="24"/>
          <w:szCs w:val="24"/>
          <w:shd w:val="clear" w:color="auto" w:fill="FFFFFF"/>
        </w:rPr>
        <w:t>and</w:t>
      </w:r>
      <w:r w:rsidRPr="00FE076B">
        <w:rPr>
          <w:rFonts w:cstheme="minorHAnsi"/>
          <w:color w:val="000000" w:themeColor="text1"/>
          <w:sz w:val="24"/>
          <w:szCs w:val="24"/>
          <w:shd w:val="clear" w:color="auto" w:fill="FFFFFF"/>
        </w:rPr>
        <w:t xml:space="preserve"> David, J. (2022). </w:t>
      </w:r>
      <w:r w:rsidRPr="00FE076B">
        <w:rPr>
          <w:rFonts w:cstheme="minorHAnsi"/>
          <w:i/>
          <w:iCs/>
          <w:color w:val="000000" w:themeColor="text1"/>
          <w:sz w:val="24"/>
          <w:szCs w:val="24"/>
          <w:shd w:val="clear" w:color="auto" w:fill="FFFFFF"/>
        </w:rPr>
        <w:t>Human resource management: Managing employees for competitive advantage</w:t>
      </w:r>
      <w:r w:rsidRPr="00FE076B">
        <w:rPr>
          <w:rFonts w:cstheme="minorHAnsi"/>
          <w:color w:val="000000" w:themeColor="text1"/>
          <w:sz w:val="24"/>
          <w:szCs w:val="24"/>
          <w:shd w:val="clear" w:color="auto" w:fill="FFFFFF"/>
        </w:rPr>
        <w:t>. SAGE Publications.</w:t>
      </w:r>
    </w:p>
    <w:p w14:paraId="1DF60E2C" w14:textId="77777777" w:rsidR="00416BB0" w:rsidRPr="00A70D79" w:rsidRDefault="00416BB0" w:rsidP="00416BB0">
      <w:pPr>
        <w:spacing w:line="360" w:lineRule="auto"/>
        <w:jc w:val="both"/>
        <w:rPr>
          <w:rFonts w:cstheme="minorHAnsi"/>
          <w:sz w:val="24"/>
          <w:szCs w:val="24"/>
          <w:shd w:val="clear" w:color="auto" w:fill="FFFFFF"/>
        </w:rPr>
      </w:pPr>
      <w:bookmarkStart w:id="12" w:name="_Hlk138460073"/>
      <w:r w:rsidRPr="00A70D79">
        <w:rPr>
          <w:rFonts w:cstheme="minorHAnsi"/>
          <w:sz w:val="24"/>
          <w:szCs w:val="24"/>
          <w:shd w:val="clear" w:color="auto" w:fill="FFFFFF"/>
        </w:rPr>
        <w:t xml:space="preserve">Mathis, R. L., Jackson, J. H., Valentine, S. R., and </w:t>
      </w:r>
      <w:proofErr w:type="spellStart"/>
      <w:r w:rsidRPr="00A70D79">
        <w:rPr>
          <w:rFonts w:cstheme="minorHAnsi"/>
          <w:sz w:val="24"/>
          <w:szCs w:val="24"/>
          <w:shd w:val="clear" w:color="auto" w:fill="FFFFFF"/>
        </w:rPr>
        <w:t>Meglich</w:t>
      </w:r>
      <w:proofErr w:type="spellEnd"/>
      <w:r w:rsidRPr="00A70D79">
        <w:rPr>
          <w:rFonts w:cstheme="minorHAnsi"/>
          <w:sz w:val="24"/>
          <w:szCs w:val="24"/>
          <w:shd w:val="clear" w:color="auto" w:fill="FFFFFF"/>
        </w:rPr>
        <w:t>, P. (2016). </w:t>
      </w:r>
      <w:r w:rsidRPr="00A70D79">
        <w:rPr>
          <w:rFonts w:cstheme="minorHAnsi"/>
          <w:i/>
          <w:iCs/>
          <w:sz w:val="24"/>
          <w:szCs w:val="24"/>
          <w:shd w:val="clear" w:color="auto" w:fill="FFFFFF"/>
        </w:rPr>
        <w:t>Human resource management</w:t>
      </w:r>
      <w:r w:rsidRPr="00A70D79">
        <w:rPr>
          <w:rFonts w:cstheme="minorHAnsi"/>
          <w:sz w:val="24"/>
          <w:szCs w:val="24"/>
          <w:shd w:val="clear" w:color="auto" w:fill="FFFFFF"/>
        </w:rPr>
        <w:t>. Cengage Learning.</w:t>
      </w:r>
    </w:p>
    <w:p w14:paraId="038A6F53" w14:textId="77777777" w:rsidR="00416BB0" w:rsidRPr="00A70D79" w:rsidRDefault="00416BB0" w:rsidP="00416BB0">
      <w:pPr>
        <w:spacing w:line="360" w:lineRule="auto"/>
        <w:jc w:val="both"/>
        <w:rPr>
          <w:rFonts w:cstheme="minorHAnsi"/>
          <w:sz w:val="24"/>
          <w:szCs w:val="24"/>
          <w:shd w:val="clear" w:color="auto" w:fill="FFFFFF"/>
        </w:rPr>
      </w:pPr>
      <w:r w:rsidRPr="00A70D79">
        <w:rPr>
          <w:rFonts w:cstheme="minorHAnsi"/>
          <w:sz w:val="24"/>
          <w:szCs w:val="24"/>
          <w:shd w:val="clear" w:color="auto" w:fill="FFFFFF"/>
        </w:rPr>
        <w:t>Stone, R. J., Cox, A., and Gavin, M. (2020). </w:t>
      </w:r>
      <w:r w:rsidRPr="00A70D79">
        <w:rPr>
          <w:rFonts w:cstheme="minorHAnsi"/>
          <w:i/>
          <w:iCs/>
          <w:sz w:val="24"/>
          <w:szCs w:val="24"/>
          <w:shd w:val="clear" w:color="auto" w:fill="FFFFFF"/>
        </w:rPr>
        <w:t>Human resource management</w:t>
      </w:r>
      <w:r w:rsidRPr="00A70D79">
        <w:rPr>
          <w:rFonts w:cstheme="minorHAnsi"/>
          <w:sz w:val="24"/>
          <w:szCs w:val="24"/>
          <w:shd w:val="clear" w:color="auto" w:fill="FFFFFF"/>
        </w:rPr>
        <w:t>. John Wiley and Sons.</w:t>
      </w:r>
    </w:p>
    <w:p w14:paraId="70DD859C" w14:textId="77777777" w:rsidR="00416BB0" w:rsidRPr="00A70D79" w:rsidRDefault="00416BB0" w:rsidP="00416BB0">
      <w:pPr>
        <w:spacing w:line="360" w:lineRule="auto"/>
        <w:jc w:val="both"/>
        <w:rPr>
          <w:rFonts w:cstheme="minorHAnsi"/>
          <w:sz w:val="24"/>
          <w:szCs w:val="24"/>
          <w:shd w:val="clear" w:color="auto" w:fill="FFFFFF"/>
        </w:rPr>
      </w:pPr>
      <w:r w:rsidRPr="00A70D79">
        <w:rPr>
          <w:rFonts w:cstheme="minorHAnsi"/>
          <w:sz w:val="24"/>
          <w:szCs w:val="24"/>
          <w:shd w:val="clear" w:color="auto" w:fill="FFFFFF"/>
        </w:rPr>
        <w:t>Stewart, G. L., and Brown, K. G. (2019). </w:t>
      </w:r>
      <w:r w:rsidRPr="00A70D79">
        <w:rPr>
          <w:rFonts w:cstheme="minorHAnsi"/>
          <w:i/>
          <w:iCs/>
          <w:sz w:val="24"/>
          <w:szCs w:val="24"/>
          <w:shd w:val="clear" w:color="auto" w:fill="FFFFFF"/>
        </w:rPr>
        <w:t>Human resource management</w:t>
      </w:r>
      <w:r w:rsidRPr="00A70D79">
        <w:rPr>
          <w:rFonts w:cstheme="minorHAnsi"/>
          <w:sz w:val="24"/>
          <w:szCs w:val="24"/>
          <w:shd w:val="clear" w:color="auto" w:fill="FFFFFF"/>
        </w:rPr>
        <w:t>. John Wiley and Sons.</w:t>
      </w:r>
    </w:p>
    <w:p w14:paraId="7D5BB64B" w14:textId="77777777" w:rsidR="00416BB0" w:rsidRPr="00A70D79" w:rsidRDefault="00416BB0" w:rsidP="00416BB0">
      <w:pPr>
        <w:spacing w:line="360" w:lineRule="auto"/>
        <w:jc w:val="both"/>
        <w:rPr>
          <w:rFonts w:cstheme="minorHAnsi"/>
          <w:sz w:val="24"/>
          <w:szCs w:val="24"/>
          <w:shd w:val="clear" w:color="auto" w:fill="FFFFFF"/>
        </w:rPr>
      </w:pPr>
      <w:r w:rsidRPr="00A70D79">
        <w:rPr>
          <w:rFonts w:cstheme="minorHAnsi"/>
          <w:sz w:val="24"/>
          <w:szCs w:val="24"/>
          <w:shd w:val="clear" w:color="auto" w:fill="FFFFFF"/>
        </w:rPr>
        <w:t>Stone, D. L., and Deadrick, D. L. (2015). Challenges and opportunities affecting the future of human resource management. </w:t>
      </w:r>
      <w:r w:rsidRPr="00A70D79">
        <w:rPr>
          <w:rFonts w:cstheme="minorHAnsi"/>
          <w:i/>
          <w:iCs/>
          <w:sz w:val="24"/>
          <w:szCs w:val="24"/>
          <w:shd w:val="clear" w:color="auto" w:fill="FFFFFF"/>
        </w:rPr>
        <w:t>Human Resource Management Review</w:t>
      </w:r>
      <w:r w:rsidRPr="00A70D79">
        <w:rPr>
          <w:rFonts w:cstheme="minorHAnsi"/>
          <w:sz w:val="24"/>
          <w:szCs w:val="24"/>
          <w:shd w:val="clear" w:color="auto" w:fill="FFFFFF"/>
        </w:rPr>
        <w:t>, </w:t>
      </w:r>
      <w:r w:rsidRPr="00A70D79">
        <w:rPr>
          <w:rFonts w:cstheme="minorHAnsi"/>
          <w:i/>
          <w:iCs/>
          <w:sz w:val="24"/>
          <w:szCs w:val="24"/>
          <w:shd w:val="clear" w:color="auto" w:fill="FFFFFF"/>
        </w:rPr>
        <w:t>25</w:t>
      </w:r>
      <w:r w:rsidRPr="00A70D79">
        <w:rPr>
          <w:rFonts w:cstheme="minorHAnsi"/>
          <w:sz w:val="24"/>
          <w:szCs w:val="24"/>
          <w:shd w:val="clear" w:color="auto" w:fill="FFFFFF"/>
        </w:rPr>
        <w:t>(2), 139-145.</w:t>
      </w:r>
    </w:p>
    <w:p w14:paraId="426D4891" w14:textId="77777777" w:rsidR="00416BB0" w:rsidRPr="00A70D79" w:rsidRDefault="00416BB0" w:rsidP="00416BB0">
      <w:pPr>
        <w:spacing w:line="360" w:lineRule="auto"/>
        <w:jc w:val="both"/>
        <w:rPr>
          <w:rFonts w:cstheme="minorHAnsi"/>
          <w:sz w:val="24"/>
          <w:szCs w:val="24"/>
          <w:shd w:val="clear" w:color="auto" w:fill="FFFFFF"/>
        </w:rPr>
      </w:pPr>
      <w:r w:rsidRPr="00A70D79">
        <w:rPr>
          <w:rFonts w:cstheme="minorHAnsi"/>
          <w:sz w:val="24"/>
          <w:szCs w:val="24"/>
          <w:shd w:val="clear" w:color="auto" w:fill="FFFFFF"/>
        </w:rPr>
        <w:t>DeCenzo, D. A., Robbins, S. P., and Verhulst, S. L. (2016). </w:t>
      </w:r>
      <w:r w:rsidRPr="00A70D79">
        <w:rPr>
          <w:rFonts w:cstheme="minorHAnsi"/>
          <w:i/>
          <w:iCs/>
          <w:sz w:val="24"/>
          <w:szCs w:val="24"/>
          <w:shd w:val="clear" w:color="auto" w:fill="FFFFFF"/>
        </w:rPr>
        <w:t>Fundamentals of human resource management</w:t>
      </w:r>
      <w:r w:rsidRPr="00A70D79">
        <w:rPr>
          <w:rFonts w:cstheme="minorHAnsi"/>
          <w:sz w:val="24"/>
          <w:szCs w:val="24"/>
          <w:shd w:val="clear" w:color="auto" w:fill="FFFFFF"/>
        </w:rPr>
        <w:t>. John Wiley and Sons.</w:t>
      </w:r>
    </w:p>
    <w:p w14:paraId="7585BD1C" w14:textId="77777777" w:rsidR="00416BB0" w:rsidRPr="00A70D79" w:rsidRDefault="00416BB0" w:rsidP="00416BB0">
      <w:pPr>
        <w:spacing w:line="360" w:lineRule="auto"/>
        <w:jc w:val="both"/>
        <w:rPr>
          <w:rFonts w:cstheme="minorHAnsi"/>
          <w:sz w:val="24"/>
          <w:szCs w:val="24"/>
          <w:shd w:val="clear" w:color="auto" w:fill="FFFFFF"/>
        </w:rPr>
      </w:pPr>
      <w:r w:rsidRPr="00A70D79">
        <w:rPr>
          <w:rFonts w:cstheme="minorHAnsi"/>
          <w:sz w:val="24"/>
          <w:szCs w:val="24"/>
          <w:shd w:val="clear" w:color="auto" w:fill="FFFFFF"/>
        </w:rPr>
        <w:t>Ivanovic, T., and Ivancevic, S. (2022). Human resource management. In </w:t>
      </w:r>
      <w:r w:rsidRPr="00A70D79">
        <w:rPr>
          <w:rFonts w:cstheme="minorHAnsi"/>
          <w:i/>
          <w:iCs/>
          <w:sz w:val="24"/>
          <w:szCs w:val="24"/>
          <w:shd w:val="clear" w:color="auto" w:fill="FFFFFF"/>
        </w:rPr>
        <w:t>Encyclopedia of Tourism Management and Marketing</w:t>
      </w:r>
      <w:r w:rsidRPr="00A70D79">
        <w:rPr>
          <w:rFonts w:cstheme="minorHAnsi"/>
          <w:sz w:val="24"/>
          <w:szCs w:val="24"/>
          <w:shd w:val="clear" w:color="auto" w:fill="FFFFFF"/>
        </w:rPr>
        <w:t> (pp. 621-624). Edward Elgar Publishing.</w:t>
      </w:r>
    </w:p>
    <w:p w14:paraId="26B4E498" w14:textId="77777777" w:rsidR="00416BB0" w:rsidRPr="00A70D79" w:rsidRDefault="00416BB0" w:rsidP="00416BB0">
      <w:pPr>
        <w:spacing w:line="360" w:lineRule="auto"/>
        <w:jc w:val="both"/>
        <w:rPr>
          <w:rFonts w:cstheme="minorHAnsi"/>
          <w:sz w:val="24"/>
          <w:szCs w:val="24"/>
          <w:shd w:val="clear" w:color="auto" w:fill="FFFFFF"/>
        </w:rPr>
      </w:pPr>
      <w:r w:rsidRPr="00A70D79">
        <w:rPr>
          <w:rFonts w:cstheme="minorHAnsi"/>
          <w:sz w:val="24"/>
          <w:szCs w:val="24"/>
          <w:shd w:val="clear" w:color="auto" w:fill="FFFFFF"/>
        </w:rPr>
        <w:t>Wilton, N. (2022). An introduction to human resource management. </w:t>
      </w:r>
      <w:r w:rsidRPr="00A70D79">
        <w:rPr>
          <w:rFonts w:cstheme="minorHAnsi"/>
          <w:i/>
          <w:iCs/>
          <w:sz w:val="24"/>
          <w:szCs w:val="24"/>
          <w:shd w:val="clear" w:color="auto" w:fill="FFFFFF"/>
        </w:rPr>
        <w:t>An Introduction to Human Resource Management</w:t>
      </w:r>
      <w:r w:rsidRPr="00A70D79">
        <w:rPr>
          <w:rFonts w:cstheme="minorHAnsi"/>
          <w:sz w:val="24"/>
          <w:szCs w:val="24"/>
          <w:shd w:val="clear" w:color="auto" w:fill="FFFFFF"/>
        </w:rPr>
        <w:t>, 1-100.</w:t>
      </w:r>
    </w:p>
    <w:p w14:paraId="04B253CB" w14:textId="77777777" w:rsidR="00416BB0" w:rsidRPr="00A70D79" w:rsidRDefault="00416BB0" w:rsidP="00416BB0">
      <w:pPr>
        <w:spacing w:line="360" w:lineRule="auto"/>
        <w:jc w:val="both"/>
        <w:rPr>
          <w:rFonts w:cstheme="minorHAnsi"/>
          <w:sz w:val="24"/>
          <w:szCs w:val="24"/>
          <w:shd w:val="clear" w:color="auto" w:fill="FFFFFF"/>
        </w:rPr>
      </w:pPr>
      <w:proofErr w:type="spellStart"/>
      <w:r w:rsidRPr="00A70D79">
        <w:rPr>
          <w:rFonts w:cstheme="minorHAnsi"/>
          <w:sz w:val="24"/>
          <w:szCs w:val="24"/>
          <w:shd w:val="clear" w:color="auto" w:fill="FFFFFF"/>
        </w:rPr>
        <w:t>Pattanayak</w:t>
      </w:r>
      <w:proofErr w:type="spellEnd"/>
      <w:r w:rsidRPr="00A70D79">
        <w:rPr>
          <w:rFonts w:cstheme="minorHAnsi"/>
          <w:sz w:val="24"/>
          <w:szCs w:val="24"/>
          <w:shd w:val="clear" w:color="auto" w:fill="FFFFFF"/>
        </w:rPr>
        <w:t>, B. (2020). </w:t>
      </w:r>
      <w:r w:rsidRPr="00A70D79">
        <w:rPr>
          <w:rFonts w:cstheme="minorHAnsi"/>
          <w:i/>
          <w:iCs/>
          <w:sz w:val="24"/>
          <w:szCs w:val="24"/>
          <w:shd w:val="clear" w:color="auto" w:fill="FFFFFF"/>
        </w:rPr>
        <w:t>Human resource management</w:t>
      </w:r>
      <w:r w:rsidRPr="00A70D79">
        <w:rPr>
          <w:rFonts w:cstheme="minorHAnsi"/>
          <w:sz w:val="24"/>
          <w:szCs w:val="24"/>
          <w:shd w:val="clear" w:color="auto" w:fill="FFFFFF"/>
        </w:rPr>
        <w:t xml:space="preserve">. PHI Learning Pvt. </w:t>
      </w:r>
      <w:proofErr w:type="gramStart"/>
      <w:r w:rsidRPr="00A70D79">
        <w:rPr>
          <w:rFonts w:cstheme="minorHAnsi"/>
          <w:sz w:val="24"/>
          <w:szCs w:val="24"/>
          <w:shd w:val="clear" w:color="auto" w:fill="FFFFFF"/>
        </w:rPr>
        <w:t>Ltd..</w:t>
      </w:r>
      <w:proofErr w:type="gramEnd"/>
    </w:p>
    <w:p w14:paraId="48454B8B" w14:textId="77777777" w:rsidR="00416BB0" w:rsidRPr="00A70D79" w:rsidRDefault="00416BB0" w:rsidP="00416BB0">
      <w:pPr>
        <w:spacing w:line="360" w:lineRule="auto"/>
        <w:jc w:val="both"/>
        <w:rPr>
          <w:rFonts w:cstheme="minorHAnsi"/>
          <w:sz w:val="24"/>
          <w:szCs w:val="24"/>
          <w:shd w:val="clear" w:color="auto" w:fill="FFFFFF"/>
        </w:rPr>
      </w:pPr>
      <w:r w:rsidRPr="00A70D79">
        <w:rPr>
          <w:rFonts w:cstheme="minorHAnsi"/>
          <w:sz w:val="24"/>
          <w:szCs w:val="24"/>
          <w:shd w:val="clear" w:color="auto" w:fill="FFFFFF"/>
        </w:rPr>
        <w:t>Bratton, J., Gold, J., Bratton, A., and Steele, L. (2021). </w:t>
      </w:r>
      <w:r w:rsidRPr="00A70D79">
        <w:rPr>
          <w:rFonts w:cstheme="minorHAnsi"/>
          <w:i/>
          <w:iCs/>
          <w:sz w:val="24"/>
          <w:szCs w:val="24"/>
          <w:shd w:val="clear" w:color="auto" w:fill="FFFFFF"/>
        </w:rPr>
        <w:t>Human resource management</w:t>
      </w:r>
      <w:r w:rsidRPr="00A70D79">
        <w:rPr>
          <w:rFonts w:cstheme="minorHAnsi"/>
          <w:sz w:val="24"/>
          <w:szCs w:val="24"/>
          <w:shd w:val="clear" w:color="auto" w:fill="FFFFFF"/>
        </w:rPr>
        <w:t>. Bloomsbury Publishing.</w:t>
      </w:r>
    </w:p>
    <w:p w14:paraId="256FE133" w14:textId="77777777" w:rsidR="00416BB0" w:rsidRPr="00A70D79" w:rsidRDefault="00416BB0" w:rsidP="00416BB0">
      <w:pPr>
        <w:spacing w:line="360" w:lineRule="auto"/>
        <w:jc w:val="both"/>
        <w:rPr>
          <w:rFonts w:cstheme="minorHAnsi"/>
          <w:sz w:val="24"/>
          <w:szCs w:val="24"/>
          <w:shd w:val="clear" w:color="auto" w:fill="FFFFFF"/>
        </w:rPr>
      </w:pPr>
      <w:r w:rsidRPr="00A70D79">
        <w:rPr>
          <w:rFonts w:cstheme="minorHAnsi"/>
          <w:sz w:val="24"/>
          <w:szCs w:val="24"/>
          <w:shd w:val="clear" w:color="auto" w:fill="FFFFFF"/>
        </w:rPr>
        <w:t>Boxall, P., and Purcell, J. (2022). </w:t>
      </w:r>
      <w:r w:rsidRPr="00A70D79">
        <w:rPr>
          <w:rFonts w:cstheme="minorHAnsi"/>
          <w:i/>
          <w:iCs/>
          <w:sz w:val="24"/>
          <w:szCs w:val="24"/>
          <w:shd w:val="clear" w:color="auto" w:fill="FFFFFF"/>
        </w:rPr>
        <w:t>Strategy and human resource management</w:t>
      </w:r>
      <w:r w:rsidRPr="00A70D79">
        <w:rPr>
          <w:rFonts w:cstheme="minorHAnsi"/>
          <w:sz w:val="24"/>
          <w:szCs w:val="24"/>
          <w:shd w:val="clear" w:color="auto" w:fill="FFFFFF"/>
        </w:rPr>
        <w:t>. Bloomsbury Publishing.</w:t>
      </w:r>
    </w:p>
    <w:p w14:paraId="501F22DD" w14:textId="77777777" w:rsidR="00416BB0" w:rsidRPr="00A70D79" w:rsidRDefault="00416BB0" w:rsidP="00416BB0">
      <w:pPr>
        <w:spacing w:line="360" w:lineRule="auto"/>
        <w:jc w:val="both"/>
        <w:rPr>
          <w:rFonts w:cstheme="minorHAnsi"/>
          <w:sz w:val="24"/>
          <w:szCs w:val="24"/>
          <w:shd w:val="clear" w:color="auto" w:fill="FFFFFF"/>
        </w:rPr>
      </w:pPr>
      <w:r w:rsidRPr="00A70D79">
        <w:rPr>
          <w:rFonts w:cstheme="minorHAnsi"/>
          <w:sz w:val="24"/>
          <w:szCs w:val="24"/>
          <w:shd w:val="clear" w:color="auto" w:fill="FFFFFF"/>
        </w:rPr>
        <w:t>Armstrong, M., and Taylor, S. (2020). </w:t>
      </w:r>
      <w:r w:rsidRPr="00A70D79">
        <w:rPr>
          <w:rFonts w:cstheme="minorHAnsi"/>
          <w:i/>
          <w:iCs/>
          <w:sz w:val="24"/>
          <w:szCs w:val="24"/>
          <w:shd w:val="clear" w:color="auto" w:fill="FFFFFF"/>
        </w:rPr>
        <w:t>Armstrong's handbook of human resource management practice</w:t>
      </w:r>
      <w:r w:rsidRPr="00A70D79">
        <w:rPr>
          <w:rFonts w:cstheme="minorHAnsi"/>
          <w:sz w:val="24"/>
          <w:szCs w:val="24"/>
          <w:shd w:val="clear" w:color="auto" w:fill="FFFFFF"/>
        </w:rPr>
        <w:t>. Kogan Page Publishers.</w:t>
      </w:r>
    </w:p>
    <w:bookmarkEnd w:id="12"/>
    <w:p w14:paraId="5589611C" w14:textId="77777777" w:rsidR="00416BB0" w:rsidRPr="00A70D79" w:rsidRDefault="00416BB0" w:rsidP="00416BB0">
      <w:pPr>
        <w:spacing w:line="360" w:lineRule="auto"/>
        <w:jc w:val="both"/>
        <w:rPr>
          <w:rFonts w:cstheme="minorHAnsi"/>
          <w:sz w:val="24"/>
          <w:szCs w:val="24"/>
          <w:shd w:val="clear" w:color="auto" w:fill="FFFFFF"/>
        </w:rPr>
      </w:pPr>
      <w:r w:rsidRPr="00A70D79">
        <w:rPr>
          <w:rFonts w:cstheme="minorHAnsi"/>
          <w:sz w:val="24"/>
          <w:szCs w:val="24"/>
          <w:shd w:val="clear" w:color="auto" w:fill="FFFFFF"/>
        </w:rPr>
        <w:t xml:space="preserve">Stone, D. L., Deadrick, D. L., </w:t>
      </w:r>
      <w:proofErr w:type="spellStart"/>
      <w:r w:rsidRPr="00A70D79">
        <w:rPr>
          <w:rFonts w:cstheme="minorHAnsi"/>
          <w:sz w:val="24"/>
          <w:szCs w:val="24"/>
          <w:shd w:val="clear" w:color="auto" w:fill="FFFFFF"/>
        </w:rPr>
        <w:t>Lukaszewski</w:t>
      </w:r>
      <w:proofErr w:type="spellEnd"/>
      <w:r w:rsidRPr="00A70D79">
        <w:rPr>
          <w:rFonts w:cstheme="minorHAnsi"/>
          <w:sz w:val="24"/>
          <w:szCs w:val="24"/>
          <w:shd w:val="clear" w:color="auto" w:fill="FFFFFF"/>
        </w:rPr>
        <w:t>, K. M., and Johnson, R. (2015). The influence of technology on the future of human resource management. </w:t>
      </w:r>
      <w:r w:rsidRPr="00A70D79">
        <w:rPr>
          <w:rFonts w:cstheme="minorHAnsi"/>
          <w:i/>
          <w:iCs/>
          <w:sz w:val="24"/>
          <w:szCs w:val="24"/>
          <w:shd w:val="clear" w:color="auto" w:fill="FFFFFF"/>
        </w:rPr>
        <w:t>Human resource management review</w:t>
      </w:r>
      <w:r w:rsidRPr="00A70D79">
        <w:rPr>
          <w:rFonts w:cstheme="minorHAnsi"/>
          <w:sz w:val="24"/>
          <w:szCs w:val="24"/>
          <w:shd w:val="clear" w:color="auto" w:fill="FFFFFF"/>
        </w:rPr>
        <w:t>, </w:t>
      </w:r>
      <w:r w:rsidRPr="00A70D79">
        <w:rPr>
          <w:rFonts w:cstheme="minorHAnsi"/>
          <w:i/>
          <w:iCs/>
          <w:sz w:val="24"/>
          <w:szCs w:val="24"/>
          <w:shd w:val="clear" w:color="auto" w:fill="FFFFFF"/>
        </w:rPr>
        <w:t>25</w:t>
      </w:r>
      <w:r w:rsidRPr="00A70D79">
        <w:rPr>
          <w:rFonts w:cstheme="minorHAnsi"/>
          <w:sz w:val="24"/>
          <w:szCs w:val="24"/>
          <w:shd w:val="clear" w:color="auto" w:fill="FFFFFF"/>
        </w:rPr>
        <w:t>(2), 216-231.</w:t>
      </w:r>
    </w:p>
    <w:p w14:paraId="125F4D6F" w14:textId="77777777" w:rsidR="00416BB0" w:rsidRPr="00A70D79" w:rsidRDefault="00416BB0" w:rsidP="00416BB0">
      <w:pPr>
        <w:spacing w:line="360" w:lineRule="auto"/>
        <w:jc w:val="both"/>
        <w:rPr>
          <w:rFonts w:cstheme="minorHAnsi"/>
          <w:sz w:val="24"/>
          <w:szCs w:val="24"/>
          <w:shd w:val="clear" w:color="auto" w:fill="FFFFFF"/>
        </w:rPr>
      </w:pPr>
      <w:r w:rsidRPr="00A70D79">
        <w:rPr>
          <w:rFonts w:cstheme="minorHAnsi"/>
          <w:sz w:val="24"/>
          <w:szCs w:val="24"/>
          <w:shd w:val="clear" w:color="auto" w:fill="FFFFFF"/>
        </w:rPr>
        <w:t>Torrington, D. (2014). </w:t>
      </w:r>
      <w:r w:rsidRPr="00A70D79">
        <w:rPr>
          <w:rFonts w:cstheme="minorHAnsi"/>
          <w:i/>
          <w:iCs/>
          <w:sz w:val="24"/>
          <w:szCs w:val="24"/>
          <w:shd w:val="clear" w:color="auto" w:fill="FFFFFF"/>
        </w:rPr>
        <w:t>Human resource management</w:t>
      </w:r>
      <w:r w:rsidRPr="00A70D79">
        <w:rPr>
          <w:rFonts w:cstheme="minorHAnsi"/>
          <w:sz w:val="24"/>
          <w:szCs w:val="24"/>
          <w:shd w:val="clear" w:color="auto" w:fill="FFFFFF"/>
        </w:rPr>
        <w:t>. Trans-Atlantic Publications.</w:t>
      </w:r>
    </w:p>
    <w:p w14:paraId="6D2A6221" w14:textId="77777777" w:rsidR="00416BB0" w:rsidRPr="00A70D79" w:rsidRDefault="00416BB0" w:rsidP="00416BB0">
      <w:pPr>
        <w:spacing w:line="360" w:lineRule="auto"/>
        <w:jc w:val="both"/>
        <w:rPr>
          <w:rFonts w:cstheme="minorHAnsi"/>
          <w:sz w:val="24"/>
          <w:szCs w:val="24"/>
          <w:shd w:val="clear" w:color="auto" w:fill="FFFFFF"/>
        </w:rPr>
      </w:pPr>
      <w:r w:rsidRPr="00A70D79">
        <w:rPr>
          <w:rFonts w:cstheme="minorHAnsi"/>
          <w:sz w:val="24"/>
          <w:szCs w:val="24"/>
          <w:shd w:val="clear" w:color="auto" w:fill="FFFFFF"/>
        </w:rPr>
        <w:t>Brewster, C., Houldsworth, E., Sparrow, P., and Vernon, G. (2016). </w:t>
      </w:r>
      <w:r w:rsidRPr="00A70D79">
        <w:rPr>
          <w:rFonts w:cstheme="minorHAnsi"/>
          <w:i/>
          <w:iCs/>
          <w:sz w:val="24"/>
          <w:szCs w:val="24"/>
          <w:shd w:val="clear" w:color="auto" w:fill="FFFFFF"/>
        </w:rPr>
        <w:t>International human resource management</w:t>
      </w:r>
      <w:r w:rsidRPr="00A70D79">
        <w:rPr>
          <w:rFonts w:cstheme="minorHAnsi"/>
          <w:sz w:val="24"/>
          <w:szCs w:val="24"/>
          <w:shd w:val="clear" w:color="auto" w:fill="FFFFFF"/>
        </w:rPr>
        <w:t>. Kogan Page Publishers.</w:t>
      </w:r>
    </w:p>
    <w:p w14:paraId="0E037EC8" w14:textId="77777777" w:rsidR="00416BB0" w:rsidRPr="00A70D79" w:rsidRDefault="00416BB0" w:rsidP="00416BB0">
      <w:pPr>
        <w:spacing w:line="360" w:lineRule="auto"/>
        <w:jc w:val="both"/>
        <w:rPr>
          <w:rFonts w:cstheme="minorHAnsi"/>
          <w:sz w:val="24"/>
          <w:szCs w:val="24"/>
          <w:shd w:val="clear" w:color="auto" w:fill="FFFFFF"/>
        </w:rPr>
      </w:pPr>
      <w:r w:rsidRPr="00A70D79">
        <w:rPr>
          <w:rFonts w:cstheme="minorHAnsi"/>
          <w:sz w:val="24"/>
          <w:szCs w:val="24"/>
          <w:shd w:val="clear" w:color="auto" w:fill="FFFFFF"/>
        </w:rPr>
        <w:t xml:space="preserve">Marchington, M., Wilkinson, A., Donnelly, R., and </w:t>
      </w:r>
      <w:proofErr w:type="spellStart"/>
      <w:r w:rsidRPr="00A70D79">
        <w:rPr>
          <w:rFonts w:cstheme="minorHAnsi"/>
          <w:sz w:val="24"/>
          <w:szCs w:val="24"/>
          <w:shd w:val="clear" w:color="auto" w:fill="FFFFFF"/>
        </w:rPr>
        <w:t>Kynighou</w:t>
      </w:r>
      <w:proofErr w:type="spellEnd"/>
      <w:r w:rsidRPr="00A70D79">
        <w:rPr>
          <w:rFonts w:cstheme="minorHAnsi"/>
          <w:sz w:val="24"/>
          <w:szCs w:val="24"/>
          <w:shd w:val="clear" w:color="auto" w:fill="FFFFFF"/>
        </w:rPr>
        <w:t>, A. (2016). </w:t>
      </w:r>
      <w:r w:rsidRPr="00A70D79">
        <w:rPr>
          <w:rFonts w:cstheme="minorHAnsi"/>
          <w:i/>
          <w:iCs/>
          <w:sz w:val="24"/>
          <w:szCs w:val="24"/>
          <w:shd w:val="clear" w:color="auto" w:fill="FFFFFF"/>
        </w:rPr>
        <w:t>Human resource management at work</w:t>
      </w:r>
      <w:r w:rsidRPr="00A70D79">
        <w:rPr>
          <w:rFonts w:cstheme="minorHAnsi"/>
          <w:sz w:val="24"/>
          <w:szCs w:val="24"/>
          <w:shd w:val="clear" w:color="auto" w:fill="FFFFFF"/>
        </w:rPr>
        <w:t>. Kogan Page Publishers.</w:t>
      </w:r>
    </w:p>
    <w:p w14:paraId="37237C9F" w14:textId="77777777" w:rsidR="00416BB0" w:rsidRPr="00A70D79" w:rsidRDefault="00416BB0" w:rsidP="00416BB0">
      <w:pPr>
        <w:spacing w:line="360" w:lineRule="auto"/>
        <w:jc w:val="both"/>
        <w:rPr>
          <w:rFonts w:cstheme="minorHAnsi"/>
          <w:sz w:val="24"/>
          <w:szCs w:val="24"/>
          <w:shd w:val="clear" w:color="auto" w:fill="FFFFFF"/>
        </w:rPr>
      </w:pPr>
      <w:r w:rsidRPr="00A70D79">
        <w:rPr>
          <w:rFonts w:cstheme="minorHAnsi"/>
          <w:sz w:val="24"/>
          <w:szCs w:val="24"/>
          <w:shd w:val="clear" w:color="auto" w:fill="FFFFFF"/>
        </w:rPr>
        <w:t>Tyson, S. (2014). </w:t>
      </w:r>
      <w:r w:rsidRPr="00A70D79">
        <w:rPr>
          <w:rFonts w:cstheme="minorHAnsi"/>
          <w:i/>
          <w:iCs/>
          <w:sz w:val="24"/>
          <w:szCs w:val="24"/>
          <w:shd w:val="clear" w:color="auto" w:fill="FFFFFF"/>
        </w:rPr>
        <w:t>Essentials of human resource management</w:t>
      </w:r>
      <w:r w:rsidRPr="00A70D79">
        <w:rPr>
          <w:rFonts w:cstheme="minorHAnsi"/>
          <w:sz w:val="24"/>
          <w:szCs w:val="24"/>
          <w:shd w:val="clear" w:color="auto" w:fill="FFFFFF"/>
        </w:rPr>
        <w:t>. Routledge.</w:t>
      </w:r>
    </w:p>
    <w:p w14:paraId="6770C1EA" w14:textId="77777777" w:rsidR="00416BB0" w:rsidRPr="00A70D79" w:rsidRDefault="00416BB0" w:rsidP="00416BB0">
      <w:pPr>
        <w:spacing w:line="360" w:lineRule="auto"/>
        <w:jc w:val="both"/>
        <w:rPr>
          <w:rFonts w:cstheme="minorHAnsi"/>
          <w:sz w:val="24"/>
          <w:szCs w:val="24"/>
          <w:shd w:val="clear" w:color="auto" w:fill="FFFFFF"/>
        </w:rPr>
      </w:pPr>
      <w:proofErr w:type="spellStart"/>
      <w:r w:rsidRPr="00A70D79">
        <w:rPr>
          <w:rFonts w:cstheme="minorHAnsi"/>
          <w:sz w:val="24"/>
          <w:szCs w:val="24"/>
          <w:shd w:val="clear" w:color="auto" w:fill="FFFFFF"/>
        </w:rPr>
        <w:t>Hecklau</w:t>
      </w:r>
      <w:proofErr w:type="spellEnd"/>
      <w:r w:rsidRPr="00A70D79">
        <w:rPr>
          <w:rFonts w:cstheme="minorHAnsi"/>
          <w:sz w:val="24"/>
          <w:szCs w:val="24"/>
          <w:shd w:val="clear" w:color="auto" w:fill="FFFFFF"/>
        </w:rPr>
        <w:t xml:space="preserve">, F., </w:t>
      </w:r>
      <w:proofErr w:type="spellStart"/>
      <w:r w:rsidRPr="00A70D79">
        <w:rPr>
          <w:rFonts w:cstheme="minorHAnsi"/>
          <w:sz w:val="24"/>
          <w:szCs w:val="24"/>
          <w:shd w:val="clear" w:color="auto" w:fill="FFFFFF"/>
        </w:rPr>
        <w:t>Galeitzke</w:t>
      </w:r>
      <w:proofErr w:type="spellEnd"/>
      <w:r w:rsidRPr="00A70D79">
        <w:rPr>
          <w:rFonts w:cstheme="minorHAnsi"/>
          <w:sz w:val="24"/>
          <w:szCs w:val="24"/>
          <w:shd w:val="clear" w:color="auto" w:fill="FFFFFF"/>
        </w:rPr>
        <w:t xml:space="preserve">, M., </w:t>
      </w:r>
      <w:proofErr w:type="spellStart"/>
      <w:r w:rsidRPr="00A70D79">
        <w:rPr>
          <w:rFonts w:cstheme="minorHAnsi"/>
          <w:sz w:val="24"/>
          <w:szCs w:val="24"/>
          <w:shd w:val="clear" w:color="auto" w:fill="FFFFFF"/>
        </w:rPr>
        <w:t>Flachs</w:t>
      </w:r>
      <w:proofErr w:type="spellEnd"/>
      <w:r w:rsidRPr="00A70D79">
        <w:rPr>
          <w:rFonts w:cstheme="minorHAnsi"/>
          <w:sz w:val="24"/>
          <w:szCs w:val="24"/>
          <w:shd w:val="clear" w:color="auto" w:fill="FFFFFF"/>
        </w:rPr>
        <w:t>, S., and Kohl, H. (2016). Holistic approach for human resource management in Industry 4.0. </w:t>
      </w:r>
      <w:r w:rsidRPr="00A70D79">
        <w:rPr>
          <w:rFonts w:cstheme="minorHAnsi"/>
          <w:i/>
          <w:iCs/>
          <w:sz w:val="24"/>
          <w:szCs w:val="24"/>
          <w:shd w:val="clear" w:color="auto" w:fill="FFFFFF"/>
        </w:rPr>
        <w:t xml:space="preserve">Procedia </w:t>
      </w:r>
      <w:proofErr w:type="spellStart"/>
      <w:r w:rsidRPr="00A70D79">
        <w:rPr>
          <w:rFonts w:cstheme="minorHAnsi"/>
          <w:i/>
          <w:iCs/>
          <w:sz w:val="24"/>
          <w:szCs w:val="24"/>
          <w:shd w:val="clear" w:color="auto" w:fill="FFFFFF"/>
        </w:rPr>
        <w:t>Cirp</w:t>
      </w:r>
      <w:proofErr w:type="spellEnd"/>
      <w:r w:rsidRPr="00A70D79">
        <w:rPr>
          <w:rFonts w:cstheme="minorHAnsi"/>
          <w:sz w:val="24"/>
          <w:szCs w:val="24"/>
          <w:shd w:val="clear" w:color="auto" w:fill="FFFFFF"/>
        </w:rPr>
        <w:t>, </w:t>
      </w:r>
      <w:r w:rsidRPr="00A70D79">
        <w:rPr>
          <w:rFonts w:cstheme="minorHAnsi"/>
          <w:i/>
          <w:iCs/>
          <w:sz w:val="24"/>
          <w:szCs w:val="24"/>
          <w:shd w:val="clear" w:color="auto" w:fill="FFFFFF"/>
        </w:rPr>
        <w:t>54</w:t>
      </w:r>
      <w:r w:rsidRPr="00A70D79">
        <w:rPr>
          <w:rFonts w:cstheme="minorHAnsi"/>
          <w:sz w:val="24"/>
          <w:szCs w:val="24"/>
          <w:shd w:val="clear" w:color="auto" w:fill="FFFFFF"/>
        </w:rPr>
        <w:t>, 1-6.</w:t>
      </w:r>
    </w:p>
    <w:p w14:paraId="6BCC2C42" w14:textId="77777777" w:rsidR="00416BB0" w:rsidRPr="00A70D79" w:rsidRDefault="00416BB0" w:rsidP="00416BB0">
      <w:pPr>
        <w:spacing w:line="360" w:lineRule="auto"/>
        <w:jc w:val="both"/>
        <w:rPr>
          <w:rFonts w:cstheme="minorHAnsi"/>
          <w:sz w:val="24"/>
          <w:szCs w:val="24"/>
          <w:shd w:val="clear" w:color="auto" w:fill="FFFFFF"/>
        </w:rPr>
      </w:pPr>
      <w:r w:rsidRPr="00A70D79">
        <w:rPr>
          <w:rFonts w:cstheme="minorHAnsi"/>
          <w:sz w:val="24"/>
          <w:szCs w:val="24"/>
          <w:shd w:val="clear" w:color="auto" w:fill="FFFFFF"/>
        </w:rPr>
        <w:t>Sparrow, P., Brewster, C., and Chung, C. (2016). </w:t>
      </w:r>
      <w:r w:rsidRPr="00A70D79">
        <w:rPr>
          <w:rFonts w:cstheme="minorHAnsi"/>
          <w:i/>
          <w:iCs/>
          <w:sz w:val="24"/>
          <w:szCs w:val="24"/>
          <w:shd w:val="clear" w:color="auto" w:fill="FFFFFF"/>
        </w:rPr>
        <w:t>Globalizing human resource management</w:t>
      </w:r>
      <w:r w:rsidRPr="00A70D79">
        <w:rPr>
          <w:rFonts w:cstheme="minorHAnsi"/>
          <w:sz w:val="24"/>
          <w:szCs w:val="24"/>
          <w:shd w:val="clear" w:color="auto" w:fill="FFFFFF"/>
        </w:rPr>
        <w:t>. Routledge.</w:t>
      </w:r>
    </w:p>
    <w:p w14:paraId="12CAE2A8" w14:textId="77777777" w:rsidR="00416BB0" w:rsidRPr="00A70D79" w:rsidRDefault="00416BB0" w:rsidP="00416BB0">
      <w:pPr>
        <w:spacing w:line="360" w:lineRule="auto"/>
        <w:jc w:val="both"/>
        <w:rPr>
          <w:rFonts w:cstheme="minorHAnsi"/>
          <w:sz w:val="24"/>
          <w:szCs w:val="24"/>
        </w:rPr>
      </w:pPr>
      <w:r w:rsidRPr="00A70D79">
        <w:rPr>
          <w:rFonts w:cstheme="minorHAnsi"/>
          <w:sz w:val="24"/>
          <w:szCs w:val="24"/>
          <w:shd w:val="clear" w:color="auto" w:fill="FFFFFF"/>
        </w:rPr>
        <w:t>Becker, K., and Smidt, M. (2016). A risk perspective on human resource management: A review and directions for future research. </w:t>
      </w:r>
      <w:r w:rsidRPr="00A70D79">
        <w:rPr>
          <w:rFonts w:cstheme="minorHAnsi"/>
          <w:i/>
          <w:iCs/>
          <w:sz w:val="24"/>
          <w:szCs w:val="24"/>
          <w:shd w:val="clear" w:color="auto" w:fill="FFFFFF"/>
        </w:rPr>
        <w:t>Human Resource Management Review</w:t>
      </w:r>
      <w:r w:rsidRPr="00A70D79">
        <w:rPr>
          <w:rFonts w:cstheme="minorHAnsi"/>
          <w:sz w:val="24"/>
          <w:szCs w:val="24"/>
          <w:shd w:val="clear" w:color="auto" w:fill="FFFFFF"/>
        </w:rPr>
        <w:t>, </w:t>
      </w:r>
      <w:r w:rsidRPr="00A70D79">
        <w:rPr>
          <w:rFonts w:cstheme="minorHAnsi"/>
          <w:i/>
          <w:iCs/>
          <w:sz w:val="24"/>
          <w:szCs w:val="24"/>
          <w:shd w:val="clear" w:color="auto" w:fill="FFFFFF"/>
        </w:rPr>
        <w:t>26</w:t>
      </w:r>
      <w:r w:rsidRPr="00A70D79">
        <w:rPr>
          <w:rFonts w:cstheme="minorHAnsi"/>
          <w:sz w:val="24"/>
          <w:szCs w:val="24"/>
          <w:shd w:val="clear" w:color="auto" w:fill="FFFFFF"/>
        </w:rPr>
        <w:t>(2), 149-165.</w:t>
      </w:r>
    </w:p>
    <w:p w14:paraId="0C65F21E" w14:textId="77777777" w:rsidR="00416BB0" w:rsidRDefault="00416BB0" w:rsidP="00416BB0">
      <w:pPr>
        <w:spacing w:line="360" w:lineRule="auto"/>
        <w:jc w:val="both"/>
        <w:rPr>
          <w:rFonts w:cstheme="minorHAnsi"/>
          <w:sz w:val="24"/>
          <w:szCs w:val="24"/>
          <w:shd w:val="clear" w:color="auto" w:fill="FFFFFF"/>
        </w:rPr>
      </w:pPr>
      <w:r w:rsidRPr="00A70D79">
        <w:rPr>
          <w:rFonts w:cstheme="minorHAnsi"/>
          <w:sz w:val="24"/>
          <w:szCs w:val="24"/>
          <w:shd w:val="clear" w:color="auto" w:fill="FFFFFF"/>
        </w:rPr>
        <w:t>Torrington, D., Hall, L., Atkinson, C., and Taylor, S. (2020). </w:t>
      </w:r>
      <w:r w:rsidRPr="00A70D79">
        <w:rPr>
          <w:rFonts w:cstheme="minorHAnsi"/>
          <w:i/>
          <w:iCs/>
          <w:sz w:val="24"/>
          <w:szCs w:val="24"/>
          <w:shd w:val="clear" w:color="auto" w:fill="FFFFFF"/>
        </w:rPr>
        <w:t>Human resource management</w:t>
      </w:r>
      <w:r w:rsidRPr="00A70D79">
        <w:rPr>
          <w:rFonts w:cstheme="minorHAnsi"/>
          <w:sz w:val="24"/>
          <w:szCs w:val="24"/>
          <w:shd w:val="clear" w:color="auto" w:fill="FFFFFF"/>
        </w:rPr>
        <w:t>. Pearson UK.</w:t>
      </w:r>
    </w:p>
    <w:p w14:paraId="3E062D62" w14:textId="77777777" w:rsidR="00416BB0" w:rsidRPr="005C6283" w:rsidRDefault="00416BB0" w:rsidP="00416BB0">
      <w:pPr>
        <w:spacing w:line="360" w:lineRule="auto"/>
        <w:jc w:val="both"/>
        <w:rPr>
          <w:rFonts w:cstheme="minorHAnsi"/>
          <w:sz w:val="24"/>
          <w:szCs w:val="24"/>
        </w:rPr>
      </w:pPr>
      <w:r w:rsidRPr="005C6283">
        <w:rPr>
          <w:rFonts w:cstheme="minorHAnsi"/>
          <w:sz w:val="24"/>
          <w:szCs w:val="24"/>
          <w:shd w:val="clear" w:color="auto" w:fill="FFFFFF"/>
        </w:rPr>
        <w:t xml:space="preserve">Hewett, R., Shantz, A., Mundy, J., and </w:t>
      </w:r>
      <w:proofErr w:type="spellStart"/>
      <w:r w:rsidRPr="005C6283">
        <w:rPr>
          <w:rFonts w:cstheme="minorHAnsi"/>
          <w:sz w:val="24"/>
          <w:szCs w:val="24"/>
          <w:shd w:val="clear" w:color="auto" w:fill="FFFFFF"/>
        </w:rPr>
        <w:t>Alfes</w:t>
      </w:r>
      <w:proofErr w:type="spellEnd"/>
      <w:r w:rsidRPr="005C6283">
        <w:rPr>
          <w:rFonts w:cstheme="minorHAnsi"/>
          <w:sz w:val="24"/>
          <w:szCs w:val="24"/>
          <w:shd w:val="clear" w:color="auto" w:fill="FFFFFF"/>
        </w:rPr>
        <w:t>, K. (2018). Attribution theories in human resource management research: A review and research agenda. </w:t>
      </w:r>
      <w:r w:rsidRPr="005C6283">
        <w:rPr>
          <w:rFonts w:cstheme="minorHAnsi"/>
          <w:i/>
          <w:iCs/>
          <w:sz w:val="24"/>
          <w:szCs w:val="24"/>
          <w:shd w:val="clear" w:color="auto" w:fill="FFFFFF"/>
        </w:rPr>
        <w:t>The International Journal of Human Resource Management</w:t>
      </w:r>
      <w:r w:rsidRPr="005C6283">
        <w:rPr>
          <w:rFonts w:cstheme="minorHAnsi"/>
          <w:sz w:val="24"/>
          <w:szCs w:val="24"/>
          <w:shd w:val="clear" w:color="auto" w:fill="FFFFFF"/>
        </w:rPr>
        <w:t>, </w:t>
      </w:r>
      <w:r w:rsidRPr="005C6283">
        <w:rPr>
          <w:rFonts w:cstheme="minorHAnsi"/>
          <w:i/>
          <w:iCs/>
          <w:sz w:val="24"/>
          <w:szCs w:val="24"/>
          <w:shd w:val="clear" w:color="auto" w:fill="FFFFFF"/>
        </w:rPr>
        <w:t>29</w:t>
      </w:r>
      <w:r w:rsidRPr="005C6283">
        <w:rPr>
          <w:rFonts w:cstheme="minorHAnsi"/>
          <w:sz w:val="24"/>
          <w:szCs w:val="24"/>
          <w:shd w:val="clear" w:color="auto" w:fill="FFFFFF"/>
        </w:rPr>
        <w:t>(1), 87-126.</w:t>
      </w:r>
    </w:p>
    <w:p w14:paraId="0E07E331" w14:textId="77777777" w:rsidR="00416BB0" w:rsidRPr="005C6283" w:rsidRDefault="00416BB0" w:rsidP="00416BB0">
      <w:pPr>
        <w:spacing w:line="360" w:lineRule="auto"/>
        <w:jc w:val="both"/>
        <w:rPr>
          <w:rFonts w:cstheme="minorHAnsi"/>
          <w:sz w:val="24"/>
          <w:szCs w:val="24"/>
          <w:shd w:val="clear" w:color="auto" w:fill="FFFFFF"/>
        </w:rPr>
      </w:pPr>
      <w:proofErr w:type="spellStart"/>
      <w:r w:rsidRPr="005C6283">
        <w:rPr>
          <w:rFonts w:cstheme="minorHAnsi"/>
          <w:sz w:val="24"/>
          <w:szCs w:val="24"/>
          <w:shd w:val="clear" w:color="auto" w:fill="FFFFFF"/>
        </w:rPr>
        <w:t>Andalib</w:t>
      </w:r>
      <w:proofErr w:type="spellEnd"/>
      <w:r w:rsidRPr="005C6283">
        <w:rPr>
          <w:rFonts w:cstheme="minorHAnsi"/>
          <w:sz w:val="24"/>
          <w:szCs w:val="24"/>
          <w:shd w:val="clear" w:color="auto" w:fill="FFFFFF"/>
        </w:rPr>
        <w:t xml:space="preserve">, T. W., </w:t>
      </w:r>
      <w:proofErr w:type="spellStart"/>
      <w:r w:rsidRPr="005C6283">
        <w:rPr>
          <w:rFonts w:cstheme="minorHAnsi"/>
          <w:sz w:val="24"/>
          <w:szCs w:val="24"/>
          <w:shd w:val="clear" w:color="auto" w:fill="FFFFFF"/>
        </w:rPr>
        <w:t>Darun</w:t>
      </w:r>
      <w:proofErr w:type="spellEnd"/>
      <w:r w:rsidRPr="005C6283">
        <w:rPr>
          <w:rFonts w:cstheme="minorHAnsi"/>
          <w:sz w:val="24"/>
          <w:szCs w:val="24"/>
          <w:shd w:val="clear" w:color="auto" w:fill="FFFFFF"/>
        </w:rPr>
        <w:t xml:space="preserve">, M. R., and </w:t>
      </w:r>
      <w:proofErr w:type="spellStart"/>
      <w:r w:rsidRPr="005C6283">
        <w:rPr>
          <w:rFonts w:cstheme="minorHAnsi"/>
          <w:sz w:val="24"/>
          <w:szCs w:val="24"/>
          <w:shd w:val="clear" w:color="auto" w:fill="FFFFFF"/>
        </w:rPr>
        <w:t>Azizan</w:t>
      </w:r>
      <w:proofErr w:type="spellEnd"/>
      <w:r w:rsidRPr="005C6283">
        <w:rPr>
          <w:rFonts w:cstheme="minorHAnsi"/>
          <w:sz w:val="24"/>
          <w:szCs w:val="24"/>
          <w:shd w:val="clear" w:color="auto" w:fill="FFFFFF"/>
        </w:rPr>
        <w:t>, N. A. (2019). East Asian trends of human resource management: theories and practices. </w:t>
      </w:r>
      <w:r w:rsidRPr="005C6283">
        <w:rPr>
          <w:rFonts w:cstheme="minorHAnsi"/>
          <w:i/>
          <w:iCs/>
          <w:sz w:val="24"/>
          <w:szCs w:val="24"/>
          <w:shd w:val="clear" w:color="auto" w:fill="FFFFFF"/>
        </w:rPr>
        <w:t>International Journal of Human Resources Development and Management</w:t>
      </w:r>
      <w:r w:rsidRPr="005C6283">
        <w:rPr>
          <w:rFonts w:cstheme="minorHAnsi"/>
          <w:sz w:val="24"/>
          <w:szCs w:val="24"/>
          <w:shd w:val="clear" w:color="auto" w:fill="FFFFFF"/>
        </w:rPr>
        <w:t>, </w:t>
      </w:r>
      <w:r w:rsidRPr="005C6283">
        <w:rPr>
          <w:rFonts w:cstheme="minorHAnsi"/>
          <w:i/>
          <w:iCs/>
          <w:sz w:val="24"/>
          <w:szCs w:val="24"/>
          <w:shd w:val="clear" w:color="auto" w:fill="FFFFFF"/>
        </w:rPr>
        <w:t>19</w:t>
      </w:r>
      <w:r w:rsidRPr="005C6283">
        <w:rPr>
          <w:rFonts w:cstheme="minorHAnsi"/>
          <w:sz w:val="24"/>
          <w:szCs w:val="24"/>
          <w:shd w:val="clear" w:color="auto" w:fill="FFFFFF"/>
        </w:rPr>
        <w:t>(2), 135-149.</w:t>
      </w:r>
    </w:p>
    <w:p w14:paraId="5FA3996E" w14:textId="77777777" w:rsidR="00416BB0" w:rsidRPr="005C6283" w:rsidRDefault="00416BB0" w:rsidP="00416BB0">
      <w:pPr>
        <w:spacing w:line="360" w:lineRule="auto"/>
        <w:jc w:val="both"/>
        <w:rPr>
          <w:rFonts w:cstheme="minorHAnsi"/>
          <w:sz w:val="24"/>
          <w:szCs w:val="24"/>
          <w:shd w:val="clear" w:color="auto" w:fill="FFFFFF"/>
        </w:rPr>
      </w:pPr>
      <w:r w:rsidRPr="005C6283">
        <w:rPr>
          <w:rFonts w:cstheme="minorHAnsi"/>
          <w:sz w:val="24"/>
          <w:szCs w:val="24"/>
          <w:shd w:val="clear" w:color="auto" w:fill="FFFFFF"/>
        </w:rPr>
        <w:t xml:space="preserve">Guest, D. E., Sanders, K., Rodrigues, R., and Oliveira, T. (2021). </w:t>
      </w:r>
      <w:proofErr w:type="spellStart"/>
      <w:r w:rsidRPr="005C6283">
        <w:rPr>
          <w:rFonts w:cstheme="minorHAnsi"/>
          <w:sz w:val="24"/>
          <w:szCs w:val="24"/>
          <w:shd w:val="clear" w:color="auto" w:fill="FFFFFF"/>
        </w:rPr>
        <w:t>Signalling</w:t>
      </w:r>
      <w:proofErr w:type="spellEnd"/>
      <w:r w:rsidRPr="005C6283">
        <w:rPr>
          <w:rFonts w:cstheme="minorHAnsi"/>
          <w:sz w:val="24"/>
          <w:szCs w:val="24"/>
          <w:shd w:val="clear" w:color="auto" w:fill="FFFFFF"/>
        </w:rPr>
        <w:t xml:space="preserve"> theory as a framework for </w:t>
      </w:r>
      <w:proofErr w:type="spellStart"/>
      <w:r w:rsidRPr="005C6283">
        <w:rPr>
          <w:rFonts w:cstheme="minorHAnsi"/>
          <w:sz w:val="24"/>
          <w:szCs w:val="24"/>
          <w:shd w:val="clear" w:color="auto" w:fill="FFFFFF"/>
        </w:rPr>
        <w:t>analysing</w:t>
      </w:r>
      <w:proofErr w:type="spellEnd"/>
      <w:r w:rsidRPr="005C6283">
        <w:rPr>
          <w:rFonts w:cstheme="minorHAnsi"/>
          <w:sz w:val="24"/>
          <w:szCs w:val="24"/>
          <w:shd w:val="clear" w:color="auto" w:fill="FFFFFF"/>
        </w:rPr>
        <w:t xml:space="preserve"> human resource management processes and integrating human resource attribution theories: A conceptual analysis and empirical exploration. </w:t>
      </w:r>
      <w:r w:rsidRPr="005C6283">
        <w:rPr>
          <w:rFonts w:cstheme="minorHAnsi"/>
          <w:i/>
          <w:iCs/>
          <w:sz w:val="24"/>
          <w:szCs w:val="24"/>
          <w:shd w:val="clear" w:color="auto" w:fill="FFFFFF"/>
        </w:rPr>
        <w:t>Human Resource Management Journal</w:t>
      </w:r>
      <w:r w:rsidRPr="005C6283">
        <w:rPr>
          <w:rFonts w:cstheme="minorHAnsi"/>
          <w:sz w:val="24"/>
          <w:szCs w:val="24"/>
          <w:shd w:val="clear" w:color="auto" w:fill="FFFFFF"/>
        </w:rPr>
        <w:t>, </w:t>
      </w:r>
      <w:r w:rsidRPr="005C6283">
        <w:rPr>
          <w:rFonts w:cstheme="minorHAnsi"/>
          <w:i/>
          <w:iCs/>
          <w:sz w:val="24"/>
          <w:szCs w:val="24"/>
          <w:shd w:val="clear" w:color="auto" w:fill="FFFFFF"/>
        </w:rPr>
        <w:t>31</w:t>
      </w:r>
      <w:r w:rsidRPr="005C6283">
        <w:rPr>
          <w:rFonts w:cstheme="minorHAnsi"/>
          <w:sz w:val="24"/>
          <w:szCs w:val="24"/>
          <w:shd w:val="clear" w:color="auto" w:fill="FFFFFF"/>
        </w:rPr>
        <w:t>(3), 796-818.</w:t>
      </w:r>
    </w:p>
    <w:p w14:paraId="2241E781" w14:textId="77777777" w:rsidR="00416BB0" w:rsidRPr="005C6283" w:rsidRDefault="00416BB0" w:rsidP="00416BB0">
      <w:pPr>
        <w:spacing w:line="360" w:lineRule="auto"/>
        <w:jc w:val="both"/>
        <w:rPr>
          <w:rFonts w:cstheme="minorHAnsi"/>
          <w:sz w:val="24"/>
          <w:szCs w:val="24"/>
          <w:shd w:val="clear" w:color="auto" w:fill="FFFFFF"/>
        </w:rPr>
      </w:pPr>
      <w:r w:rsidRPr="005C6283">
        <w:rPr>
          <w:rFonts w:cstheme="minorHAnsi"/>
          <w:sz w:val="24"/>
          <w:szCs w:val="24"/>
          <w:shd w:val="clear" w:color="auto" w:fill="FFFFFF"/>
        </w:rPr>
        <w:t>Ellinger, A. D., and Kim, S. (2014). Coaching and human resource development: Examining relevant theories, coaching genres, and scales to advance research and practice. </w:t>
      </w:r>
      <w:r w:rsidRPr="005C6283">
        <w:rPr>
          <w:rFonts w:cstheme="minorHAnsi"/>
          <w:i/>
          <w:iCs/>
          <w:sz w:val="24"/>
          <w:szCs w:val="24"/>
          <w:shd w:val="clear" w:color="auto" w:fill="FFFFFF"/>
        </w:rPr>
        <w:t>Advances in Developing Human Resources</w:t>
      </w:r>
      <w:r w:rsidRPr="005C6283">
        <w:rPr>
          <w:rFonts w:cstheme="minorHAnsi"/>
          <w:sz w:val="24"/>
          <w:szCs w:val="24"/>
          <w:shd w:val="clear" w:color="auto" w:fill="FFFFFF"/>
        </w:rPr>
        <w:t>, </w:t>
      </w:r>
      <w:r w:rsidRPr="005C6283">
        <w:rPr>
          <w:rFonts w:cstheme="minorHAnsi"/>
          <w:i/>
          <w:iCs/>
          <w:sz w:val="24"/>
          <w:szCs w:val="24"/>
          <w:shd w:val="clear" w:color="auto" w:fill="FFFFFF"/>
        </w:rPr>
        <w:t>16</w:t>
      </w:r>
      <w:r w:rsidRPr="005C6283">
        <w:rPr>
          <w:rFonts w:cstheme="minorHAnsi"/>
          <w:sz w:val="24"/>
          <w:szCs w:val="24"/>
          <w:shd w:val="clear" w:color="auto" w:fill="FFFFFF"/>
        </w:rPr>
        <w:t>(2), 127-138.</w:t>
      </w:r>
    </w:p>
    <w:p w14:paraId="555B11D5" w14:textId="77777777" w:rsidR="00416BB0" w:rsidRPr="005C6283" w:rsidRDefault="00416BB0" w:rsidP="00416BB0">
      <w:pPr>
        <w:spacing w:line="360" w:lineRule="auto"/>
        <w:jc w:val="both"/>
        <w:rPr>
          <w:rFonts w:cstheme="minorHAnsi"/>
          <w:sz w:val="24"/>
          <w:szCs w:val="24"/>
          <w:shd w:val="clear" w:color="auto" w:fill="FFFFFF"/>
        </w:rPr>
      </w:pPr>
      <w:proofErr w:type="spellStart"/>
      <w:r w:rsidRPr="005C6283">
        <w:rPr>
          <w:rFonts w:cstheme="minorHAnsi"/>
          <w:sz w:val="24"/>
          <w:szCs w:val="24"/>
          <w:shd w:val="clear" w:color="auto" w:fill="FFFFFF"/>
        </w:rPr>
        <w:t>Kantola</w:t>
      </w:r>
      <w:proofErr w:type="spellEnd"/>
      <w:r w:rsidRPr="005C6283">
        <w:rPr>
          <w:rFonts w:cstheme="minorHAnsi"/>
          <w:sz w:val="24"/>
          <w:szCs w:val="24"/>
          <w:shd w:val="clear" w:color="auto" w:fill="FFFFFF"/>
        </w:rPr>
        <w:t>, J. (2015). </w:t>
      </w:r>
      <w:r w:rsidRPr="005C6283">
        <w:rPr>
          <w:rFonts w:cstheme="minorHAnsi"/>
          <w:i/>
          <w:iCs/>
          <w:sz w:val="24"/>
          <w:szCs w:val="24"/>
          <w:shd w:val="clear" w:color="auto" w:fill="FFFFFF"/>
        </w:rPr>
        <w:t>Organizational resource management: theories, methodologies, and applications</w:t>
      </w:r>
      <w:r w:rsidRPr="005C6283">
        <w:rPr>
          <w:rFonts w:cstheme="minorHAnsi"/>
          <w:sz w:val="24"/>
          <w:szCs w:val="24"/>
          <w:shd w:val="clear" w:color="auto" w:fill="FFFFFF"/>
        </w:rPr>
        <w:t>. CRC Press.</w:t>
      </w:r>
    </w:p>
    <w:p w14:paraId="48B77590" w14:textId="12C030AF" w:rsidR="00265E0F" w:rsidRPr="00265E0F" w:rsidRDefault="00416BB0" w:rsidP="00265E0F">
      <w:pPr>
        <w:spacing w:line="360" w:lineRule="auto"/>
        <w:jc w:val="both"/>
        <w:rPr>
          <w:vanish/>
          <w:color w:val="000000" w:themeColor="text1"/>
          <w:sz w:val="24"/>
          <w:szCs w:val="24"/>
          <w:lang w:val="en-GB"/>
        </w:rPr>
      </w:pPr>
      <w:r w:rsidRPr="005C6283">
        <w:rPr>
          <w:rFonts w:cstheme="minorHAnsi"/>
          <w:sz w:val="24"/>
          <w:szCs w:val="24"/>
          <w:shd w:val="clear" w:color="auto" w:fill="FFFFFF"/>
        </w:rPr>
        <w:t>Armstrong, M., and Taylor, S. (2020). </w:t>
      </w:r>
      <w:r w:rsidRPr="005C6283">
        <w:rPr>
          <w:rFonts w:cstheme="minorHAnsi"/>
          <w:i/>
          <w:iCs/>
          <w:sz w:val="24"/>
          <w:szCs w:val="24"/>
          <w:shd w:val="clear" w:color="auto" w:fill="FFFFFF"/>
        </w:rPr>
        <w:t>Armstrong's handbook of human resource management practice</w:t>
      </w:r>
      <w:r w:rsidRPr="005C6283">
        <w:rPr>
          <w:rFonts w:cstheme="minorHAnsi"/>
          <w:sz w:val="24"/>
          <w:szCs w:val="24"/>
          <w:shd w:val="clear" w:color="auto" w:fill="FFFFFF"/>
        </w:rPr>
        <w:t>. Kogan Page Publishers.</w:t>
      </w:r>
      <w:r w:rsidR="00265E0F" w:rsidRPr="00265E0F">
        <w:rPr>
          <w:vanish/>
          <w:color w:val="000000" w:themeColor="text1"/>
          <w:sz w:val="24"/>
          <w:szCs w:val="24"/>
          <w:lang w:val="en-GB"/>
        </w:rPr>
        <w:t>Top of Form</w:t>
      </w:r>
    </w:p>
    <w:p w14:paraId="0561DD27" w14:textId="77777777" w:rsidR="007D3ACC" w:rsidRPr="007D3ACC" w:rsidRDefault="007D3ACC" w:rsidP="007D3ACC">
      <w:pPr>
        <w:spacing w:line="360" w:lineRule="auto"/>
        <w:jc w:val="both"/>
        <w:rPr>
          <w:color w:val="000000" w:themeColor="text1"/>
          <w:sz w:val="24"/>
          <w:szCs w:val="24"/>
        </w:rPr>
      </w:pPr>
    </w:p>
    <w:sectPr w:rsidR="007D3ACC" w:rsidRPr="007D3AC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93C30" w14:textId="77777777" w:rsidR="00F34185" w:rsidRDefault="00F34185" w:rsidP="007F1150">
      <w:pPr>
        <w:spacing w:after="0" w:line="240" w:lineRule="auto"/>
      </w:pPr>
      <w:r>
        <w:separator/>
      </w:r>
    </w:p>
  </w:endnote>
  <w:endnote w:type="continuationSeparator" w:id="0">
    <w:p w14:paraId="34AA2E11" w14:textId="77777777" w:rsidR="00F34185" w:rsidRDefault="00F34185" w:rsidP="007F1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4133546"/>
      <w:docPartObj>
        <w:docPartGallery w:val="Page Numbers (Bottom of Page)"/>
        <w:docPartUnique/>
      </w:docPartObj>
    </w:sdtPr>
    <w:sdtEndPr/>
    <w:sdtContent>
      <w:p w14:paraId="0492726E" w14:textId="0C671468" w:rsidR="007F1150" w:rsidRDefault="007F1150">
        <w:pPr>
          <w:pStyle w:val="Footer"/>
          <w:jc w:val="center"/>
        </w:pPr>
        <w:r>
          <w:fldChar w:fldCharType="begin"/>
        </w:r>
        <w:r>
          <w:instrText>PAGE   \* MERGEFORMAT</w:instrText>
        </w:r>
        <w:r>
          <w:fldChar w:fldCharType="separate"/>
        </w:r>
        <w:r>
          <w:rPr>
            <w:lang w:val="en-GB"/>
          </w:rPr>
          <w:t>2</w:t>
        </w:r>
        <w:r>
          <w:fldChar w:fldCharType="end"/>
        </w:r>
      </w:p>
    </w:sdtContent>
  </w:sdt>
  <w:p w14:paraId="7C519B37" w14:textId="77777777" w:rsidR="007F1150" w:rsidRDefault="007F1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0EC49" w14:textId="77777777" w:rsidR="00F34185" w:rsidRDefault="00F34185" w:rsidP="007F1150">
      <w:pPr>
        <w:spacing w:after="0" w:line="240" w:lineRule="auto"/>
      </w:pPr>
      <w:r>
        <w:separator/>
      </w:r>
    </w:p>
  </w:footnote>
  <w:footnote w:type="continuationSeparator" w:id="0">
    <w:p w14:paraId="3618B2CB" w14:textId="77777777" w:rsidR="00F34185" w:rsidRDefault="00F34185" w:rsidP="007F11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3FEB1" w14:textId="1405CE32" w:rsidR="00C803E0" w:rsidRDefault="00C803E0">
    <w:pPr>
      <w:pStyle w:val="Header"/>
      <w:rPr>
        <w:lang w:val="en-GB"/>
      </w:rPr>
    </w:pPr>
    <w:proofErr w:type="spellStart"/>
    <w:r>
      <w:rPr>
        <w:lang w:val="en-GB"/>
      </w:rPr>
      <w:t>Touqir</w:t>
    </w:r>
    <w:proofErr w:type="spellEnd"/>
    <w:r>
      <w:rPr>
        <w:lang w:val="en-GB"/>
      </w:rPr>
      <w:t xml:space="preserve"> Hanif</w:t>
    </w:r>
  </w:p>
  <w:p w14:paraId="3DC41773" w14:textId="642A479A" w:rsidR="00C803E0" w:rsidRPr="00C803E0" w:rsidRDefault="00C803E0">
    <w:pPr>
      <w:pStyle w:val="Header"/>
      <w:rPr>
        <w:lang w:val="en-GB"/>
      </w:rPr>
    </w:pPr>
    <w:r>
      <w:rPr>
        <w:lang w:val="en-GB"/>
      </w:rPr>
      <w:t>2107037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152"/>
    <w:rsid w:val="00004CE0"/>
    <w:rsid w:val="00005D8F"/>
    <w:rsid w:val="00026A1D"/>
    <w:rsid w:val="0003178A"/>
    <w:rsid w:val="0004399E"/>
    <w:rsid w:val="001154C2"/>
    <w:rsid w:val="00194492"/>
    <w:rsid w:val="002103CF"/>
    <w:rsid w:val="00265E0F"/>
    <w:rsid w:val="002C2BD0"/>
    <w:rsid w:val="003415FB"/>
    <w:rsid w:val="00394615"/>
    <w:rsid w:val="003E0DB2"/>
    <w:rsid w:val="00410E66"/>
    <w:rsid w:val="004119B8"/>
    <w:rsid w:val="00416BB0"/>
    <w:rsid w:val="00432FC6"/>
    <w:rsid w:val="00510A97"/>
    <w:rsid w:val="00565DD6"/>
    <w:rsid w:val="005A4643"/>
    <w:rsid w:val="005A58B1"/>
    <w:rsid w:val="006D26D2"/>
    <w:rsid w:val="00734A6F"/>
    <w:rsid w:val="007425CF"/>
    <w:rsid w:val="0078181B"/>
    <w:rsid w:val="007D3ACC"/>
    <w:rsid w:val="007E2759"/>
    <w:rsid w:val="007F1150"/>
    <w:rsid w:val="00853F9E"/>
    <w:rsid w:val="008B51BD"/>
    <w:rsid w:val="008C50C9"/>
    <w:rsid w:val="009136EA"/>
    <w:rsid w:val="009163FA"/>
    <w:rsid w:val="00916C47"/>
    <w:rsid w:val="0095254F"/>
    <w:rsid w:val="0096649E"/>
    <w:rsid w:val="00977652"/>
    <w:rsid w:val="00986E0A"/>
    <w:rsid w:val="009D1B06"/>
    <w:rsid w:val="009E7078"/>
    <w:rsid w:val="00A166B6"/>
    <w:rsid w:val="00AE4609"/>
    <w:rsid w:val="00B270ED"/>
    <w:rsid w:val="00B97A19"/>
    <w:rsid w:val="00BD2928"/>
    <w:rsid w:val="00BD52A4"/>
    <w:rsid w:val="00C14E1C"/>
    <w:rsid w:val="00C15FB2"/>
    <w:rsid w:val="00C803E0"/>
    <w:rsid w:val="00CC36A3"/>
    <w:rsid w:val="00CC67D4"/>
    <w:rsid w:val="00D053D4"/>
    <w:rsid w:val="00D15F6F"/>
    <w:rsid w:val="00D20583"/>
    <w:rsid w:val="00DE7152"/>
    <w:rsid w:val="00E52145"/>
    <w:rsid w:val="00E54468"/>
    <w:rsid w:val="00ED745D"/>
    <w:rsid w:val="00EE73E4"/>
    <w:rsid w:val="00F0252C"/>
    <w:rsid w:val="00F34185"/>
    <w:rsid w:val="00F855A1"/>
    <w:rsid w:val="00FB55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60780"/>
  <w15:chartTrackingRefBased/>
  <w15:docId w15:val="{C84EDCA1-8784-4D19-B757-507054499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63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4E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63F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14E1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855A1"/>
    <w:pPr>
      <w:outlineLvl w:val="9"/>
    </w:pPr>
    <w:rPr>
      <w:lang w:val="en-GB" w:eastAsia="en-GB"/>
    </w:rPr>
  </w:style>
  <w:style w:type="paragraph" w:styleId="TOC1">
    <w:name w:val="toc 1"/>
    <w:basedOn w:val="Normal"/>
    <w:next w:val="Normal"/>
    <w:autoRedefine/>
    <w:uiPriority w:val="39"/>
    <w:unhideWhenUsed/>
    <w:rsid w:val="00F855A1"/>
    <w:pPr>
      <w:spacing w:after="100"/>
    </w:pPr>
  </w:style>
  <w:style w:type="paragraph" w:styleId="TOC2">
    <w:name w:val="toc 2"/>
    <w:basedOn w:val="Normal"/>
    <w:next w:val="Normal"/>
    <w:autoRedefine/>
    <w:uiPriority w:val="39"/>
    <w:unhideWhenUsed/>
    <w:rsid w:val="00F855A1"/>
    <w:pPr>
      <w:spacing w:after="100"/>
      <w:ind w:left="220"/>
    </w:pPr>
  </w:style>
  <w:style w:type="character" w:styleId="Hyperlink">
    <w:name w:val="Hyperlink"/>
    <w:basedOn w:val="DefaultParagraphFont"/>
    <w:uiPriority w:val="99"/>
    <w:unhideWhenUsed/>
    <w:rsid w:val="00F855A1"/>
    <w:rPr>
      <w:color w:val="0563C1" w:themeColor="hyperlink"/>
      <w:u w:val="single"/>
    </w:rPr>
  </w:style>
  <w:style w:type="paragraph" w:styleId="Header">
    <w:name w:val="header"/>
    <w:basedOn w:val="Normal"/>
    <w:link w:val="HeaderChar"/>
    <w:uiPriority w:val="99"/>
    <w:unhideWhenUsed/>
    <w:rsid w:val="007F11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1150"/>
  </w:style>
  <w:style w:type="paragraph" w:styleId="Footer">
    <w:name w:val="footer"/>
    <w:basedOn w:val="Normal"/>
    <w:link w:val="FooterChar"/>
    <w:uiPriority w:val="99"/>
    <w:unhideWhenUsed/>
    <w:rsid w:val="007F11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11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6394">
      <w:bodyDiv w:val="1"/>
      <w:marLeft w:val="0"/>
      <w:marRight w:val="0"/>
      <w:marTop w:val="0"/>
      <w:marBottom w:val="0"/>
      <w:divBdr>
        <w:top w:val="none" w:sz="0" w:space="0" w:color="auto"/>
        <w:left w:val="none" w:sz="0" w:space="0" w:color="auto"/>
        <w:bottom w:val="none" w:sz="0" w:space="0" w:color="auto"/>
        <w:right w:val="none" w:sz="0" w:space="0" w:color="auto"/>
      </w:divBdr>
      <w:divsChild>
        <w:div w:id="1394502679">
          <w:marLeft w:val="0"/>
          <w:marRight w:val="0"/>
          <w:marTop w:val="0"/>
          <w:marBottom w:val="0"/>
          <w:divBdr>
            <w:top w:val="single" w:sz="2" w:space="0" w:color="D9D9E3"/>
            <w:left w:val="single" w:sz="2" w:space="0" w:color="D9D9E3"/>
            <w:bottom w:val="single" w:sz="2" w:space="0" w:color="D9D9E3"/>
            <w:right w:val="single" w:sz="2" w:space="0" w:color="D9D9E3"/>
          </w:divBdr>
          <w:divsChild>
            <w:div w:id="2059012819">
              <w:marLeft w:val="0"/>
              <w:marRight w:val="0"/>
              <w:marTop w:val="0"/>
              <w:marBottom w:val="0"/>
              <w:divBdr>
                <w:top w:val="single" w:sz="2" w:space="0" w:color="D9D9E3"/>
                <w:left w:val="single" w:sz="2" w:space="0" w:color="D9D9E3"/>
                <w:bottom w:val="single" w:sz="2" w:space="0" w:color="D9D9E3"/>
                <w:right w:val="single" w:sz="2" w:space="0" w:color="D9D9E3"/>
              </w:divBdr>
              <w:divsChild>
                <w:div w:id="886256954">
                  <w:marLeft w:val="0"/>
                  <w:marRight w:val="0"/>
                  <w:marTop w:val="0"/>
                  <w:marBottom w:val="0"/>
                  <w:divBdr>
                    <w:top w:val="single" w:sz="2" w:space="0" w:color="D9D9E3"/>
                    <w:left w:val="single" w:sz="2" w:space="0" w:color="D9D9E3"/>
                    <w:bottom w:val="single" w:sz="2" w:space="0" w:color="D9D9E3"/>
                    <w:right w:val="single" w:sz="2" w:space="0" w:color="D9D9E3"/>
                  </w:divBdr>
                  <w:divsChild>
                    <w:div w:id="1658144080">
                      <w:marLeft w:val="0"/>
                      <w:marRight w:val="0"/>
                      <w:marTop w:val="0"/>
                      <w:marBottom w:val="0"/>
                      <w:divBdr>
                        <w:top w:val="single" w:sz="2" w:space="0" w:color="D9D9E3"/>
                        <w:left w:val="single" w:sz="2" w:space="0" w:color="D9D9E3"/>
                        <w:bottom w:val="single" w:sz="2" w:space="0" w:color="D9D9E3"/>
                        <w:right w:val="single" w:sz="2" w:space="0" w:color="D9D9E3"/>
                      </w:divBdr>
                      <w:divsChild>
                        <w:div w:id="590234431">
                          <w:marLeft w:val="0"/>
                          <w:marRight w:val="0"/>
                          <w:marTop w:val="0"/>
                          <w:marBottom w:val="0"/>
                          <w:divBdr>
                            <w:top w:val="single" w:sz="2" w:space="0" w:color="auto"/>
                            <w:left w:val="single" w:sz="2" w:space="0" w:color="auto"/>
                            <w:bottom w:val="single" w:sz="6" w:space="0" w:color="auto"/>
                            <w:right w:val="single" w:sz="2" w:space="0" w:color="auto"/>
                          </w:divBdr>
                          <w:divsChild>
                            <w:div w:id="205083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713042023">
                                  <w:marLeft w:val="0"/>
                                  <w:marRight w:val="0"/>
                                  <w:marTop w:val="0"/>
                                  <w:marBottom w:val="0"/>
                                  <w:divBdr>
                                    <w:top w:val="single" w:sz="2" w:space="0" w:color="D9D9E3"/>
                                    <w:left w:val="single" w:sz="2" w:space="0" w:color="D9D9E3"/>
                                    <w:bottom w:val="single" w:sz="2" w:space="0" w:color="D9D9E3"/>
                                    <w:right w:val="single" w:sz="2" w:space="0" w:color="D9D9E3"/>
                                  </w:divBdr>
                                  <w:divsChild>
                                    <w:div w:id="1644844142">
                                      <w:marLeft w:val="0"/>
                                      <w:marRight w:val="0"/>
                                      <w:marTop w:val="0"/>
                                      <w:marBottom w:val="0"/>
                                      <w:divBdr>
                                        <w:top w:val="single" w:sz="2" w:space="0" w:color="D9D9E3"/>
                                        <w:left w:val="single" w:sz="2" w:space="0" w:color="D9D9E3"/>
                                        <w:bottom w:val="single" w:sz="2" w:space="0" w:color="D9D9E3"/>
                                        <w:right w:val="single" w:sz="2" w:space="0" w:color="D9D9E3"/>
                                      </w:divBdr>
                                      <w:divsChild>
                                        <w:div w:id="314452517">
                                          <w:marLeft w:val="0"/>
                                          <w:marRight w:val="0"/>
                                          <w:marTop w:val="0"/>
                                          <w:marBottom w:val="0"/>
                                          <w:divBdr>
                                            <w:top w:val="single" w:sz="2" w:space="0" w:color="D9D9E3"/>
                                            <w:left w:val="single" w:sz="2" w:space="0" w:color="D9D9E3"/>
                                            <w:bottom w:val="single" w:sz="2" w:space="0" w:color="D9D9E3"/>
                                            <w:right w:val="single" w:sz="2" w:space="0" w:color="D9D9E3"/>
                                          </w:divBdr>
                                          <w:divsChild>
                                            <w:div w:id="5528875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77682950">
          <w:marLeft w:val="0"/>
          <w:marRight w:val="0"/>
          <w:marTop w:val="0"/>
          <w:marBottom w:val="0"/>
          <w:divBdr>
            <w:top w:val="none" w:sz="0" w:space="0" w:color="auto"/>
            <w:left w:val="none" w:sz="0" w:space="0" w:color="auto"/>
            <w:bottom w:val="none" w:sz="0" w:space="0" w:color="auto"/>
            <w:right w:val="none" w:sz="0" w:space="0" w:color="auto"/>
          </w:divBdr>
        </w:div>
      </w:divsChild>
    </w:div>
    <w:div w:id="77950868">
      <w:bodyDiv w:val="1"/>
      <w:marLeft w:val="0"/>
      <w:marRight w:val="0"/>
      <w:marTop w:val="0"/>
      <w:marBottom w:val="0"/>
      <w:divBdr>
        <w:top w:val="none" w:sz="0" w:space="0" w:color="auto"/>
        <w:left w:val="none" w:sz="0" w:space="0" w:color="auto"/>
        <w:bottom w:val="none" w:sz="0" w:space="0" w:color="auto"/>
        <w:right w:val="none" w:sz="0" w:space="0" w:color="auto"/>
      </w:divBdr>
    </w:div>
    <w:div w:id="116720729">
      <w:bodyDiv w:val="1"/>
      <w:marLeft w:val="0"/>
      <w:marRight w:val="0"/>
      <w:marTop w:val="0"/>
      <w:marBottom w:val="0"/>
      <w:divBdr>
        <w:top w:val="none" w:sz="0" w:space="0" w:color="auto"/>
        <w:left w:val="none" w:sz="0" w:space="0" w:color="auto"/>
        <w:bottom w:val="none" w:sz="0" w:space="0" w:color="auto"/>
        <w:right w:val="none" w:sz="0" w:space="0" w:color="auto"/>
      </w:divBdr>
    </w:div>
    <w:div w:id="428547952">
      <w:bodyDiv w:val="1"/>
      <w:marLeft w:val="0"/>
      <w:marRight w:val="0"/>
      <w:marTop w:val="0"/>
      <w:marBottom w:val="0"/>
      <w:divBdr>
        <w:top w:val="none" w:sz="0" w:space="0" w:color="auto"/>
        <w:left w:val="none" w:sz="0" w:space="0" w:color="auto"/>
        <w:bottom w:val="none" w:sz="0" w:space="0" w:color="auto"/>
        <w:right w:val="none" w:sz="0" w:space="0" w:color="auto"/>
      </w:divBdr>
      <w:divsChild>
        <w:div w:id="1249922218">
          <w:marLeft w:val="0"/>
          <w:marRight w:val="0"/>
          <w:marTop w:val="0"/>
          <w:marBottom w:val="0"/>
          <w:divBdr>
            <w:top w:val="single" w:sz="2" w:space="0" w:color="D9D9E3"/>
            <w:left w:val="single" w:sz="2" w:space="0" w:color="D9D9E3"/>
            <w:bottom w:val="single" w:sz="2" w:space="0" w:color="D9D9E3"/>
            <w:right w:val="single" w:sz="2" w:space="0" w:color="D9D9E3"/>
          </w:divBdr>
          <w:divsChild>
            <w:div w:id="1851601315">
              <w:marLeft w:val="0"/>
              <w:marRight w:val="0"/>
              <w:marTop w:val="0"/>
              <w:marBottom w:val="0"/>
              <w:divBdr>
                <w:top w:val="single" w:sz="2" w:space="0" w:color="D9D9E3"/>
                <w:left w:val="single" w:sz="2" w:space="0" w:color="D9D9E3"/>
                <w:bottom w:val="single" w:sz="2" w:space="0" w:color="D9D9E3"/>
                <w:right w:val="single" w:sz="2" w:space="0" w:color="D9D9E3"/>
              </w:divBdr>
              <w:divsChild>
                <w:div w:id="1735204182">
                  <w:marLeft w:val="0"/>
                  <w:marRight w:val="0"/>
                  <w:marTop w:val="0"/>
                  <w:marBottom w:val="0"/>
                  <w:divBdr>
                    <w:top w:val="single" w:sz="2" w:space="0" w:color="D9D9E3"/>
                    <w:left w:val="single" w:sz="2" w:space="0" w:color="D9D9E3"/>
                    <w:bottom w:val="single" w:sz="2" w:space="0" w:color="D9D9E3"/>
                    <w:right w:val="single" w:sz="2" w:space="0" w:color="D9D9E3"/>
                  </w:divBdr>
                  <w:divsChild>
                    <w:div w:id="482430604">
                      <w:marLeft w:val="0"/>
                      <w:marRight w:val="0"/>
                      <w:marTop w:val="0"/>
                      <w:marBottom w:val="0"/>
                      <w:divBdr>
                        <w:top w:val="single" w:sz="2" w:space="0" w:color="D9D9E3"/>
                        <w:left w:val="single" w:sz="2" w:space="0" w:color="D9D9E3"/>
                        <w:bottom w:val="single" w:sz="2" w:space="0" w:color="D9D9E3"/>
                        <w:right w:val="single" w:sz="2" w:space="0" w:color="D9D9E3"/>
                      </w:divBdr>
                      <w:divsChild>
                        <w:div w:id="2086608532">
                          <w:marLeft w:val="0"/>
                          <w:marRight w:val="0"/>
                          <w:marTop w:val="0"/>
                          <w:marBottom w:val="0"/>
                          <w:divBdr>
                            <w:top w:val="single" w:sz="2" w:space="0" w:color="auto"/>
                            <w:left w:val="single" w:sz="2" w:space="0" w:color="auto"/>
                            <w:bottom w:val="single" w:sz="6" w:space="0" w:color="auto"/>
                            <w:right w:val="single" w:sz="2" w:space="0" w:color="auto"/>
                          </w:divBdr>
                          <w:divsChild>
                            <w:div w:id="918100073">
                              <w:marLeft w:val="0"/>
                              <w:marRight w:val="0"/>
                              <w:marTop w:val="100"/>
                              <w:marBottom w:val="100"/>
                              <w:divBdr>
                                <w:top w:val="single" w:sz="2" w:space="0" w:color="D9D9E3"/>
                                <w:left w:val="single" w:sz="2" w:space="0" w:color="D9D9E3"/>
                                <w:bottom w:val="single" w:sz="2" w:space="0" w:color="D9D9E3"/>
                                <w:right w:val="single" w:sz="2" w:space="0" w:color="D9D9E3"/>
                              </w:divBdr>
                              <w:divsChild>
                                <w:div w:id="939218404">
                                  <w:marLeft w:val="0"/>
                                  <w:marRight w:val="0"/>
                                  <w:marTop w:val="0"/>
                                  <w:marBottom w:val="0"/>
                                  <w:divBdr>
                                    <w:top w:val="single" w:sz="2" w:space="0" w:color="D9D9E3"/>
                                    <w:left w:val="single" w:sz="2" w:space="0" w:color="D9D9E3"/>
                                    <w:bottom w:val="single" w:sz="2" w:space="0" w:color="D9D9E3"/>
                                    <w:right w:val="single" w:sz="2" w:space="0" w:color="D9D9E3"/>
                                  </w:divBdr>
                                  <w:divsChild>
                                    <w:div w:id="2052536098">
                                      <w:marLeft w:val="0"/>
                                      <w:marRight w:val="0"/>
                                      <w:marTop w:val="0"/>
                                      <w:marBottom w:val="0"/>
                                      <w:divBdr>
                                        <w:top w:val="single" w:sz="2" w:space="0" w:color="D9D9E3"/>
                                        <w:left w:val="single" w:sz="2" w:space="0" w:color="D9D9E3"/>
                                        <w:bottom w:val="single" w:sz="2" w:space="0" w:color="D9D9E3"/>
                                        <w:right w:val="single" w:sz="2" w:space="0" w:color="D9D9E3"/>
                                      </w:divBdr>
                                      <w:divsChild>
                                        <w:div w:id="1996452131">
                                          <w:marLeft w:val="0"/>
                                          <w:marRight w:val="0"/>
                                          <w:marTop w:val="0"/>
                                          <w:marBottom w:val="0"/>
                                          <w:divBdr>
                                            <w:top w:val="single" w:sz="2" w:space="0" w:color="D9D9E3"/>
                                            <w:left w:val="single" w:sz="2" w:space="0" w:color="D9D9E3"/>
                                            <w:bottom w:val="single" w:sz="2" w:space="0" w:color="D9D9E3"/>
                                            <w:right w:val="single" w:sz="2" w:space="0" w:color="D9D9E3"/>
                                          </w:divBdr>
                                          <w:divsChild>
                                            <w:div w:id="17312247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55383085">
          <w:marLeft w:val="0"/>
          <w:marRight w:val="0"/>
          <w:marTop w:val="0"/>
          <w:marBottom w:val="0"/>
          <w:divBdr>
            <w:top w:val="none" w:sz="0" w:space="0" w:color="auto"/>
            <w:left w:val="none" w:sz="0" w:space="0" w:color="auto"/>
            <w:bottom w:val="none" w:sz="0" w:space="0" w:color="auto"/>
            <w:right w:val="none" w:sz="0" w:space="0" w:color="auto"/>
          </w:divBdr>
        </w:div>
      </w:divsChild>
    </w:div>
    <w:div w:id="850340688">
      <w:bodyDiv w:val="1"/>
      <w:marLeft w:val="0"/>
      <w:marRight w:val="0"/>
      <w:marTop w:val="0"/>
      <w:marBottom w:val="0"/>
      <w:divBdr>
        <w:top w:val="none" w:sz="0" w:space="0" w:color="auto"/>
        <w:left w:val="none" w:sz="0" w:space="0" w:color="auto"/>
        <w:bottom w:val="none" w:sz="0" w:space="0" w:color="auto"/>
        <w:right w:val="none" w:sz="0" w:space="0" w:color="auto"/>
      </w:divBdr>
    </w:div>
    <w:div w:id="1485314956">
      <w:bodyDiv w:val="1"/>
      <w:marLeft w:val="0"/>
      <w:marRight w:val="0"/>
      <w:marTop w:val="0"/>
      <w:marBottom w:val="0"/>
      <w:divBdr>
        <w:top w:val="none" w:sz="0" w:space="0" w:color="auto"/>
        <w:left w:val="none" w:sz="0" w:space="0" w:color="auto"/>
        <w:bottom w:val="none" w:sz="0" w:space="0" w:color="auto"/>
        <w:right w:val="none" w:sz="0" w:space="0" w:color="auto"/>
      </w:divBdr>
    </w:div>
    <w:div w:id="1606577665">
      <w:bodyDiv w:val="1"/>
      <w:marLeft w:val="0"/>
      <w:marRight w:val="0"/>
      <w:marTop w:val="0"/>
      <w:marBottom w:val="0"/>
      <w:divBdr>
        <w:top w:val="none" w:sz="0" w:space="0" w:color="auto"/>
        <w:left w:val="none" w:sz="0" w:space="0" w:color="auto"/>
        <w:bottom w:val="none" w:sz="0" w:space="0" w:color="auto"/>
        <w:right w:val="none" w:sz="0" w:space="0" w:color="auto"/>
      </w:divBdr>
    </w:div>
    <w:div w:id="1680767030">
      <w:bodyDiv w:val="1"/>
      <w:marLeft w:val="0"/>
      <w:marRight w:val="0"/>
      <w:marTop w:val="0"/>
      <w:marBottom w:val="0"/>
      <w:divBdr>
        <w:top w:val="none" w:sz="0" w:space="0" w:color="auto"/>
        <w:left w:val="none" w:sz="0" w:space="0" w:color="auto"/>
        <w:bottom w:val="none" w:sz="0" w:space="0" w:color="auto"/>
        <w:right w:val="none" w:sz="0" w:space="0" w:color="auto"/>
      </w:divBdr>
      <w:divsChild>
        <w:div w:id="799420396">
          <w:marLeft w:val="0"/>
          <w:marRight w:val="0"/>
          <w:marTop w:val="0"/>
          <w:marBottom w:val="0"/>
          <w:divBdr>
            <w:top w:val="single" w:sz="2" w:space="0" w:color="D9D9E3"/>
            <w:left w:val="single" w:sz="2" w:space="0" w:color="D9D9E3"/>
            <w:bottom w:val="single" w:sz="2" w:space="0" w:color="D9D9E3"/>
            <w:right w:val="single" w:sz="2" w:space="0" w:color="D9D9E3"/>
          </w:divBdr>
          <w:divsChild>
            <w:div w:id="1270509951">
              <w:marLeft w:val="0"/>
              <w:marRight w:val="0"/>
              <w:marTop w:val="0"/>
              <w:marBottom w:val="0"/>
              <w:divBdr>
                <w:top w:val="single" w:sz="2" w:space="0" w:color="D9D9E3"/>
                <w:left w:val="single" w:sz="2" w:space="0" w:color="D9D9E3"/>
                <w:bottom w:val="single" w:sz="2" w:space="0" w:color="D9D9E3"/>
                <w:right w:val="single" w:sz="2" w:space="0" w:color="D9D9E3"/>
              </w:divBdr>
              <w:divsChild>
                <w:div w:id="1249534915">
                  <w:marLeft w:val="0"/>
                  <w:marRight w:val="0"/>
                  <w:marTop w:val="0"/>
                  <w:marBottom w:val="0"/>
                  <w:divBdr>
                    <w:top w:val="single" w:sz="2" w:space="0" w:color="D9D9E3"/>
                    <w:left w:val="single" w:sz="2" w:space="0" w:color="D9D9E3"/>
                    <w:bottom w:val="single" w:sz="2" w:space="0" w:color="D9D9E3"/>
                    <w:right w:val="single" w:sz="2" w:space="0" w:color="D9D9E3"/>
                  </w:divBdr>
                  <w:divsChild>
                    <w:div w:id="785779494">
                      <w:marLeft w:val="0"/>
                      <w:marRight w:val="0"/>
                      <w:marTop w:val="0"/>
                      <w:marBottom w:val="0"/>
                      <w:divBdr>
                        <w:top w:val="single" w:sz="2" w:space="0" w:color="D9D9E3"/>
                        <w:left w:val="single" w:sz="2" w:space="0" w:color="D9D9E3"/>
                        <w:bottom w:val="single" w:sz="2" w:space="0" w:color="D9D9E3"/>
                        <w:right w:val="single" w:sz="2" w:space="0" w:color="D9D9E3"/>
                      </w:divBdr>
                      <w:divsChild>
                        <w:div w:id="2056736881">
                          <w:marLeft w:val="0"/>
                          <w:marRight w:val="0"/>
                          <w:marTop w:val="0"/>
                          <w:marBottom w:val="0"/>
                          <w:divBdr>
                            <w:top w:val="single" w:sz="2" w:space="0" w:color="auto"/>
                            <w:left w:val="single" w:sz="2" w:space="0" w:color="auto"/>
                            <w:bottom w:val="single" w:sz="6" w:space="0" w:color="auto"/>
                            <w:right w:val="single" w:sz="2" w:space="0" w:color="auto"/>
                          </w:divBdr>
                          <w:divsChild>
                            <w:div w:id="59839199">
                              <w:marLeft w:val="0"/>
                              <w:marRight w:val="0"/>
                              <w:marTop w:val="100"/>
                              <w:marBottom w:val="100"/>
                              <w:divBdr>
                                <w:top w:val="single" w:sz="2" w:space="0" w:color="D9D9E3"/>
                                <w:left w:val="single" w:sz="2" w:space="0" w:color="D9D9E3"/>
                                <w:bottom w:val="single" w:sz="2" w:space="0" w:color="D9D9E3"/>
                                <w:right w:val="single" w:sz="2" w:space="0" w:color="D9D9E3"/>
                              </w:divBdr>
                              <w:divsChild>
                                <w:div w:id="890919802">
                                  <w:marLeft w:val="0"/>
                                  <w:marRight w:val="0"/>
                                  <w:marTop w:val="0"/>
                                  <w:marBottom w:val="0"/>
                                  <w:divBdr>
                                    <w:top w:val="single" w:sz="2" w:space="0" w:color="D9D9E3"/>
                                    <w:left w:val="single" w:sz="2" w:space="0" w:color="D9D9E3"/>
                                    <w:bottom w:val="single" w:sz="2" w:space="0" w:color="D9D9E3"/>
                                    <w:right w:val="single" w:sz="2" w:space="0" w:color="D9D9E3"/>
                                  </w:divBdr>
                                  <w:divsChild>
                                    <w:div w:id="308168600">
                                      <w:marLeft w:val="0"/>
                                      <w:marRight w:val="0"/>
                                      <w:marTop w:val="0"/>
                                      <w:marBottom w:val="0"/>
                                      <w:divBdr>
                                        <w:top w:val="single" w:sz="2" w:space="0" w:color="D9D9E3"/>
                                        <w:left w:val="single" w:sz="2" w:space="0" w:color="D9D9E3"/>
                                        <w:bottom w:val="single" w:sz="2" w:space="0" w:color="D9D9E3"/>
                                        <w:right w:val="single" w:sz="2" w:space="0" w:color="D9D9E3"/>
                                      </w:divBdr>
                                      <w:divsChild>
                                        <w:div w:id="1464158897">
                                          <w:marLeft w:val="0"/>
                                          <w:marRight w:val="0"/>
                                          <w:marTop w:val="0"/>
                                          <w:marBottom w:val="0"/>
                                          <w:divBdr>
                                            <w:top w:val="single" w:sz="2" w:space="0" w:color="D9D9E3"/>
                                            <w:left w:val="single" w:sz="2" w:space="0" w:color="D9D9E3"/>
                                            <w:bottom w:val="single" w:sz="2" w:space="0" w:color="D9D9E3"/>
                                            <w:right w:val="single" w:sz="2" w:space="0" w:color="D9D9E3"/>
                                          </w:divBdr>
                                          <w:divsChild>
                                            <w:div w:id="281109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0030845">
          <w:marLeft w:val="0"/>
          <w:marRight w:val="0"/>
          <w:marTop w:val="0"/>
          <w:marBottom w:val="0"/>
          <w:divBdr>
            <w:top w:val="none" w:sz="0" w:space="0" w:color="auto"/>
            <w:left w:val="none" w:sz="0" w:space="0" w:color="auto"/>
            <w:bottom w:val="none" w:sz="0" w:space="0" w:color="auto"/>
            <w:right w:val="none" w:sz="0" w:space="0" w:color="auto"/>
          </w:divBdr>
        </w:div>
      </w:divsChild>
    </w:div>
    <w:div w:id="1841192349">
      <w:bodyDiv w:val="1"/>
      <w:marLeft w:val="0"/>
      <w:marRight w:val="0"/>
      <w:marTop w:val="0"/>
      <w:marBottom w:val="0"/>
      <w:divBdr>
        <w:top w:val="none" w:sz="0" w:space="0" w:color="auto"/>
        <w:left w:val="none" w:sz="0" w:space="0" w:color="auto"/>
        <w:bottom w:val="none" w:sz="0" w:space="0" w:color="auto"/>
        <w:right w:val="none" w:sz="0" w:space="0" w:color="auto"/>
      </w:divBdr>
    </w:div>
    <w:div w:id="1976833249">
      <w:bodyDiv w:val="1"/>
      <w:marLeft w:val="0"/>
      <w:marRight w:val="0"/>
      <w:marTop w:val="0"/>
      <w:marBottom w:val="0"/>
      <w:divBdr>
        <w:top w:val="none" w:sz="0" w:space="0" w:color="auto"/>
        <w:left w:val="none" w:sz="0" w:space="0" w:color="auto"/>
        <w:bottom w:val="none" w:sz="0" w:space="0" w:color="auto"/>
        <w:right w:val="none" w:sz="0" w:space="0" w:color="auto"/>
      </w:divBdr>
      <w:divsChild>
        <w:div w:id="1951551647">
          <w:marLeft w:val="0"/>
          <w:marRight w:val="0"/>
          <w:marTop w:val="0"/>
          <w:marBottom w:val="0"/>
          <w:divBdr>
            <w:top w:val="single" w:sz="2" w:space="0" w:color="D9D9E3"/>
            <w:left w:val="single" w:sz="2" w:space="0" w:color="D9D9E3"/>
            <w:bottom w:val="single" w:sz="2" w:space="0" w:color="D9D9E3"/>
            <w:right w:val="single" w:sz="2" w:space="0" w:color="D9D9E3"/>
          </w:divBdr>
          <w:divsChild>
            <w:div w:id="189413323">
              <w:marLeft w:val="0"/>
              <w:marRight w:val="0"/>
              <w:marTop w:val="0"/>
              <w:marBottom w:val="0"/>
              <w:divBdr>
                <w:top w:val="single" w:sz="2" w:space="0" w:color="D9D9E3"/>
                <w:left w:val="single" w:sz="2" w:space="0" w:color="D9D9E3"/>
                <w:bottom w:val="single" w:sz="2" w:space="0" w:color="D9D9E3"/>
                <w:right w:val="single" w:sz="2" w:space="0" w:color="D9D9E3"/>
              </w:divBdr>
              <w:divsChild>
                <w:div w:id="17972005">
                  <w:marLeft w:val="0"/>
                  <w:marRight w:val="0"/>
                  <w:marTop w:val="0"/>
                  <w:marBottom w:val="0"/>
                  <w:divBdr>
                    <w:top w:val="single" w:sz="2" w:space="0" w:color="D9D9E3"/>
                    <w:left w:val="single" w:sz="2" w:space="0" w:color="D9D9E3"/>
                    <w:bottom w:val="single" w:sz="2" w:space="0" w:color="D9D9E3"/>
                    <w:right w:val="single" w:sz="2" w:space="0" w:color="D9D9E3"/>
                  </w:divBdr>
                  <w:divsChild>
                    <w:div w:id="1984189209">
                      <w:marLeft w:val="0"/>
                      <w:marRight w:val="0"/>
                      <w:marTop w:val="0"/>
                      <w:marBottom w:val="0"/>
                      <w:divBdr>
                        <w:top w:val="single" w:sz="2" w:space="0" w:color="D9D9E3"/>
                        <w:left w:val="single" w:sz="2" w:space="0" w:color="D9D9E3"/>
                        <w:bottom w:val="single" w:sz="2" w:space="0" w:color="D9D9E3"/>
                        <w:right w:val="single" w:sz="2" w:space="0" w:color="D9D9E3"/>
                      </w:divBdr>
                      <w:divsChild>
                        <w:div w:id="1734505119">
                          <w:marLeft w:val="0"/>
                          <w:marRight w:val="0"/>
                          <w:marTop w:val="0"/>
                          <w:marBottom w:val="0"/>
                          <w:divBdr>
                            <w:top w:val="single" w:sz="2" w:space="0" w:color="auto"/>
                            <w:left w:val="single" w:sz="2" w:space="0" w:color="auto"/>
                            <w:bottom w:val="single" w:sz="6" w:space="0" w:color="auto"/>
                            <w:right w:val="single" w:sz="2" w:space="0" w:color="auto"/>
                          </w:divBdr>
                          <w:divsChild>
                            <w:div w:id="1542475227">
                              <w:marLeft w:val="0"/>
                              <w:marRight w:val="0"/>
                              <w:marTop w:val="100"/>
                              <w:marBottom w:val="100"/>
                              <w:divBdr>
                                <w:top w:val="single" w:sz="2" w:space="0" w:color="D9D9E3"/>
                                <w:left w:val="single" w:sz="2" w:space="0" w:color="D9D9E3"/>
                                <w:bottom w:val="single" w:sz="2" w:space="0" w:color="D9D9E3"/>
                                <w:right w:val="single" w:sz="2" w:space="0" w:color="D9D9E3"/>
                              </w:divBdr>
                              <w:divsChild>
                                <w:div w:id="481241650">
                                  <w:marLeft w:val="0"/>
                                  <w:marRight w:val="0"/>
                                  <w:marTop w:val="0"/>
                                  <w:marBottom w:val="0"/>
                                  <w:divBdr>
                                    <w:top w:val="single" w:sz="2" w:space="0" w:color="D9D9E3"/>
                                    <w:left w:val="single" w:sz="2" w:space="0" w:color="D9D9E3"/>
                                    <w:bottom w:val="single" w:sz="2" w:space="0" w:color="D9D9E3"/>
                                    <w:right w:val="single" w:sz="2" w:space="0" w:color="D9D9E3"/>
                                  </w:divBdr>
                                  <w:divsChild>
                                    <w:div w:id="1151942968">
                                      <w:marLeft w:val="0"/>
                                      <w:marRight w:val="0"/>
                                      <w:marTop w:val="0"/>
                                      <w:marBottom w:val="0"/>
                                      <w:divBdr>
                                        <w:top w:val="single" w:sz="2" w:space="0" w:color="D9D9E3"/>
                                        <w:left w:val="single" w:sz="2" w:space="0" w:color="D9D9E3"/>
                                        <w:bottom w:val="single" w:sz="2" w:space="0" w:color="D9D9E3"/>
                                        <w:right w:val="single" w:sz="2" w:space="0" w:color="D9D9E3"/>
                                      </w:divBdr>
                                      <w:divsChild>
                                        <w:div w:id="1050426030">
                                          <w:marLeft w:val="0"/>
                                          <w:marRight w:val="0"/>
                                          <w:marTop w:val="0"/>
                                          <w:marBottom w:val="0"/>
                                          <w:divBdr>
                                            <w:top w:val="single" w:sz="2" w:space="0" w:color="D9D9E3"/>
                                            <w:left w:val="single" w:sz="2" w:space="0" w:color="D9D9E3"/>
                                            <w:bottom w:val="single" w:sz="2" w:space="0" w:color="D9D9E3"/>
                                            <w:right w:val="single" w:sz="2" w:space="0" w:color="D9D9E3"/>
                                          </w:divBdr>
                                          <w:divsChild>
                                            <w:div w:id="12598243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96199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A4028-3C4B-4931-9275-5F0E08DF5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Pages>
  <Words>3740</Words>
  <Characters>21318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Touqir</dc:creator>
  <cp:keywords/>
  <dc:description/>
  <cp:lastModifiedBy>Mohammad Musharaf (MSc Advanced Mech Eng FT)</cp:lastModifiedBy>
  <cp:revision>2</cp:revision>
  <dcterms:created xsi:type="dcterms:W3CDTF">2022-08-28T10:15:00Z</dcterms:created>
  <dcterms:modified xsi:type="dcterms:W3CDTF">2023-07-18T20:57:00Z</dcterms:modified>
</cp:coreProperties>
</file>