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2B388" w14:textId="77777777" w:rsidR="00B8462F" w:rsidRDefault="00B8462F">
      <w:pPr>
        <w:jc w:val="center"/>
        <w:rPr>
          <w:b/>
          <w:sz w:val="30"/>
        </w:rPr>
      </w:pPr>
    </w:p>
    <w:p w14:paraId="5BC69E09" w14:textId="77777777" w:rsidR="00B8462F" w:rsidRDefault="00B8462F">
      <w:pPr>
        <w:jc w:val="center"/>
        <w:rPr>
          <w:b/>
          <w:sz w:val="30"/>
        </w:rPr>
      </w:pPr>
    </w:p>
    <w:p w14:paraId="220CAEB0" w14:textId="77777777" w:rsidR="00B8462F" w:rsidRDefault="00B8462F">
      <w:pPr>
        <w:jc w:val="center"/>
        <w:rPr>
          <w:b/>
          <w:sz w:val="30"/>
        </w:rPr>
      </w:pPr>
    </w:p>
    <w:p w14:paraId="2F5D3B40" w14:textId="77777777" w:rsidR="00B8462F" w:rsidRDefault="00B8462F">
      <w:pPr>
        <w:jc w:val="center"/>
        <w:rPr>
          <w:b/>
          <w:sz w:val="30"/>
        </w:rPr>
      </w:pPr>
    </w:p>
    <w:p w14:paraId="4F10776D" w14:textId="77777777" w:rsidR="00B8462F" w:rsidRDefault="00B8462F">
      <w:pPr>
        <w:jc w:val="center"/>
        <w:rPr>
          <w:b/>
          <w:sz w:val="30"/>
        </w:rPr>
      </w:pPr>
    </w:p>
    <w:p w14:paraId="4F0F95A2" w14:textId="77777777" w:rsidR="00B8462F" w:rsidRDefault="00B8462F">
      <w:pPr>
        <w:jc w:val="center"/>
        <w:rPr>
          <w:b/>
          <w:sz w:val="30"/>
        </w:rPr>
      </w:pPr>
    </w:p>
    <w:p w14:paraId="1231F211" w14:textId="45C26E55" w:rsidR="000D5CF6" w:rsidRDefault="00000000">
      <w:pPr>
        <w:jc w:val="center"/>
      </w:pPr>
      <w:r>
        <w:rPr>
          <w:b/>
          <w:sz w:val="30"/>
        </w:rPr>
        <w:t>BSc (Hons) Health and Social Care</w:t>
      </w:r>
    </w:p>
    <w:p w14:paraId="21204347" w14:textId="77777777" w:rsidR="000D5CF6" w:rsidRDefault="00000000">
      <w:pPr>
        <w:jc w:val="center"/>
      </w:pPr>
      <w:r>
        <w:rPr>
          <w:b/>
          <w:sz w:val="28"/>
        </w:rPr>
        <w:t>Independent Project (BMHP6020_BIRM)</w:t>
      </w:r>
    </w:p>
    <w:p w14:paraId="6DC1D11C" w14:textId="77777777" w:rsidR="000D5CF6" w:rsidRDefault="00000000">
      <w:pPr>
        <w:jc w:val="center"/>
      </w:pPr>
      <w:r>
        <w:rPr>
          <w:sz w:val="26"/>
        </w:rPr>
        <w:t>Chapters 1 and 2 Draft</w:t>
      </w:r>
    </w:p>
    <w:p w14:paraId="3F80029A" w14:textId="77777777" w:rsidR="000D5CF6" w:rsidRDefault="00000000">
      <w:pPr>
        <w:jc w:val="center"/>
        <w:rPr>
          <w:b/>
          <w:color w:val="005C78"/>
          <w:sz w:val="36"/>
        </w:rPr>
      </w:pPr>
      <w:r>
        <w:rPr>
          <w:b/>
          <w:color w:val="005C78"/>
          <w:sz w:val="36"/>
        </w:rPr>
        <w:t>The Impact of the COVID-19 Pandemic on Care Homes in the UK</w:t>
      </w:r>
    </w:p>
    <w:p w14:paraId="7BC1DFDC" w14:textId="1ACECA7B" w:rsidR="00B8462F" w:rsidRDefault="00B8462F" w:rsidP="00B8462F">
      <w:pPr>
        <w:jc w:val="center"/>
      </w:pPr>
      <w:r>
        <w:t>Course</w:t>
      </w:r>
      <w:r>
        <w:tab/>
      </w:r>
      <w:r>
        <w:t xml:space="preserve">: </w:t>
      </w:r>
      <w:r>
        <w:t>BSc (Hons) Health and Social Care</w:t>
      </w:r>
    </w:p>
    <w:p w14:paraId="57B5E984" w14:textId="5CD9BFE3" w:rsidR="00B8462F" w:rsidRDefault="00B8462F" w:rsidP="00B8462F">
      <w:pPr>
        <w:jc w:val="center"/>
      </w:pPr>
      <w:r>
        <w:t>Module</w:t>
      </w:r>
      <w:r>
        <w:t xml:space="preserve">: </w:t>
      </w:r>
      <w:r>
        <w:t>Independent Project (BMHP6020_BIRM)</w:t>
      </w:r>
    </w:p>
    <w:p w14:paraId="505A24B1" w14:textId="19B48D24" w:rsidR="00B8462F" w:rsidRDefault="00B8462F" w:rsidP="00B8462F">
      <w:pPr>
        <w:jc w:val="center"/>
      </w:pPr>
      <w:r>
        <w:t>Instructor Name</w:t>
      </w:r>
      <w:r>
        <w:t xml:space="preserve">: </w:t>
      </w:r>
      <w:r>
        <w:t>Joanne Davies</w:t>
      </w:r>
    </w:p>
    <w:p w14:paraId="2D3E83BA" w14:textId="69C33A68" w:rsidR="00B8462F" w:rsidRDefault="00B8462F" w:rsidP="00B8462F">
      <w:pPr>
        <w:jc w:val="center"/>
      </w:pPr>
      <w:r>
        <w:t>Student ID</w:t>
      </w:r>
      <w:r>
        <w:t xml:space="preserve">: </w:t>
      </w:r>
      <w:r>
        <w:t>2220772</w:t>
      </w:r>
    </w:p>
    <w:p w14:paraId="3BF11A55" w14:textId="02DF13D9" w:rsidR="00B8462F" w:rsidRDefault="00B8462F" w:rsidP="00B8462F">
      <w:pPr>
        <w:jc w:val="center"/>
      </w:pPr>
      <w:r>
        <w:t>Student Name</w:t>
      </w:r>
      <w:r>
        <w:t xml:space="preserve">: </w:t>
      </w:r>
      <w:r>
        <w:t>Anourah Sonahar</w:t>
      </w:r>
    </w:p>
    <w:p w14:paraId="2CF0A949" w14:textId="77777777" w:rsidR="000D5CF6" w:rsidRDefault="000D5CF6"/>
    <w:p w14:paraId="732CA4F1" w14:textId="53204A3A" w:rsidR="000D5CF6" w:rsidRDefault="00000000">
      <w:r>
        <w:br w:type="page"/>
      </w:r>
    </w:p>
    <w:sdt>
      <w:sdtPr>
        <w:id w:val="305602413"/>
        <w:docPartObj>
          <w:docPartGallery w:val="Table of Contents"/>
          <w:docPartUnique/>
        </w:docPartObj>
      </w:sdtPr>
      <w:sdtEndPr>
        <w:rPr>
          <w:rFonts w:ascii="Arial" w:eastAsia="Arial" w:hAnsi="Arial" w:cstheme="minorBidi"/>
          <w:noProof/>
          <w:color w:val="auto"/>
          <w:sz w:val="22"/>
          <w:szCs w:val="22"/>
        </w:rPr>
      </w:sdtEndPr>
      <w:sdtContent>
        <w:p w14:paraId="2F02CE8F" w14:textId="38434E34" w:rsidR="00B8462F" w:rsidRDefault="00B8462F">
          <w:pPr>
            <w:pStyle w:val="TOCHeading"/>
          </w:pPr>
          <w:r>
            <w:t>Table of Contents</w:t>
          </w:r>
        </w:p>
        <w:p w14:paraId="43FD8777" w14:textId="30FBAF84" w:rsidR="00B8462F" w:rsidRDefault="00B8462F">
          <w:pPr>
            <w:pStyle w:val="TOC1"/>
            <w:tabs>
              <w:tab w:val="right" w:leader="dot" w:pos="9638"/>
            </w:tabs>
            <w:rPr>
              <w:noProof/>
            </w:rPr>
          </w:pPr>
          <w:r>
            <w:fldChar w:fldCharType="begin"/>
          </w:r>
          <w:r>
            <w:instrText xml:space="preserve"> TOC \o "1-3" \h \z \u </w:instrText>
          </w:r>
          <w:r>
            <w:fldChar w:fldCharType="separate"/>
          </w:r>
          <w:hyperlink w:anchor="_Toc234006757" w:history="1">
            <w:r w:rsidRPr="00B056C6">
              <w:rPr>
                <w:rStyle w:val="Hyperlink"/>
                <w:noProof/>
              </w:rPr>
              <w:t>Chapter 1: Introduction</w:t>
            </w:r>
            <w:r>
              <w:rPr>
                <w:noProof/>
                <w:webHidden/>
              </w:rPr>
              <w:tab/>
            </w:r>
            <w:r>
              <w:rPr>
                <w:noProof/>
                <w:webHidden/>
              </w:rPr>
              <w:fldChar w:fldCharType="begin"/>
            </w:r>
            <w:r>
              <w:rPr>
                <w:noProof/>
                <w:webHidden/>
              </w:rPr>
              <w:instrText xml:space="preserve"> PAGEREF _Toc234006757 \h </w:instrText>
            </w:r>
            <w:r>
              <w:rPr>
                <w:noProof/>
                <w:webHidden/>
              </w:rPr>
            </w:r>
            <w:r>
              <w:rPr>
                <w:noProof/>
                <w:webHidden/>
              </w:rPr>
              <w:fldChar w:fldCharType="separate"/>
            </w:r>
            <w:r>
              <w:rPr>
                <w:noProof/>
                <w:webHidden/>
              </w:rPr>
              <w:t>3</w:t>
            </w:r>
            <w:r>
              <w:rPr>
                <w:noProof/>
                <w:webHidden/>
              </w:rPr>
              <w:fldChar w:fldCharType="end"/>
            </w:r>
          </w:hyperlink>
        </w:p>
        <w:p w14:paraId="7042BE90" w14:textId="20DB6E0A" w:rsidR="00B8462F" w:rsidRDefault="00B8462F">
          <w:pPr>
            <w:pStyle w:val="TOC2"/>
            <w:tabs>
              <w:tab w:val="right" w:leader="dot" w:pos="9638"/>
            </w:tabs>
            <w:rPr>
              <w:noProof/>
            </w:rPr>
          </w:pPr>
          <w:hyperlink w:anchor="_Toc234006758" w:history="1">
            <w:r w:rsidRPr="00B056C6">
              <w:rPr>
                <w:rStyle w:val="Hyperlink"/>
                <w:noProof/>
              </w:rPr>
              <w:t>1.1 Introduction to the Dissertation</w:t>
            </w:r>
            <w:r>
              <w:rPr>
                <w:noProof/>
                <w:webHidden/>
              </w:rPr>
              <w:tab/>
            </w:r>
            <w:r>
              <w:rPr>
                <w:noProof/>
                <w:webHidden/>
              </w:rPr>
              <w:fldChar w:fldCharType="begin"/>
            </w:r>
            <w:r>
              <w:rPr>
                <w:noProof/>
                <w:webHidden/>
              </w:rPr>
              <w:instrText xml:space="preserve"> PAGEREF _Toc234006758 \h </w:instrText>
            </w:r>
            <w:r>
              <w:rPr>
                <w:noProof/>
                <w:webHidden/>
              </w:rPr>
            </w:r>
            <w:r>
              <w:rPr>
                <w:noProof/>
                <w:webHidden/>
              </w:rPr>
              <w:fldChar w:fldCharType="separate"/>
            </w:r>
            <w:r>
              <w:rPr>
                <w:noProof/>
                <w:webHidden/>
              </w:rPr>
              <w:t>3</w:t>
            </w:r>
            <w:r>
              <w:rPr>
                <w:noProof/>
                <w:webHidden/>
              </w:rPr>
              <w:fldChar w:fldCharType="end"/>
            </w:r>
          </w:hyperlink>
        </w:p>
        <w:p w14:paraId="4B958E73" w14:textId="6992C59C" w:rsidR="00B8462F" w:rsidRDefault="00B8462F">
          <w:pPr>
            <w:pStyle w:val="TOC2"/>
            <w:tabs>
              <w:tab w:val="right" w:leader="dot" w:pos="9638"/>
            </w:tabs>
            <w:rPr>
              <w:noProof/>
            </w:rPr>
          </w:pPr>
          <w:hyperlink w:anchor="_Toc234006759" w:history="1">
            <w:r w:rsidRPr="00B056C6">
              <w:rPr>
                <w:rStyle w:val="Hyperlink"/>
                <w:noProof/>
              </w:rPr>
              <w:t>1.2 Key Definitions</w:t>
            </w:r>
            <w:r>
              <w:rPr>
                <w:noProof/>
                <w:webHidden/>
              </w:rPr>
              <w:tab/>
            </w:r>
            <w:r>
              <w:rPr>
                <w:noProof/>
                <w:webHidden/>
              </w:rPr>
              <w:fldChar w:fldCharType="begin"/>
            </w:r>
            <w:r>
              <w:rPr>
                <w:noProof/>
                <w:webHidden/>
              </w:rPr>
              <w:instrText xml:space="preserve"> PAGEREF _Toc234006759 \h </w:instrText>
            </w:r>
            <w:r>
              <w:rPr>
                <w:noProof/>
                <w:webHidden/>
              </w:rPr>
            </w:r>
            <w:r>
              <w:rPr>
                <w:noProof/>
                <w:webHidden/>
              </w:rPr>
              <w:fldChar w:fldCharType="separate"/>
            </w:r>
            <w:r>
              <w:rPr>
                <w:noProof/>
                <w:webHidden/>
              </w:rPr>
              <w:t>3</w:t>
            </w:r>
            <w:r>
              <w:rPr>
                <w:noProof/>
                <w:webHidden/>
              </w:rPr>
              <w:fldChar w:fldCharType="end"/>
            </w:r>
          </w:hyperlink>
        </w:p>
        <w:p w14:paraId="4386C099" w14:textId="1450BE38" w:rsidR="00B8462F" w:rsidRDefault="00B8462F">
          <w:pPr>
            <w:pStyle w:val="TOC2"/>
            <w:tabs>
              <w:tab w:val="right" w:leader="dot" w:pos="9638"/>
            </w:tabs>
            <w:rPr>
              <w:noProof/>
            </w:rPr>
          </w:pPr>
          <w:hyperlink w:anchor="_Toc234006760" w:history="1">
            <w:r w:rsidRPr="00B056C6">
              <w:rPr>
                <w:rStyle w:val="Hyperlink"/>
                <w:noProof/>
              </w:rPr>
              <w:t>1.3 Background and Current Context</w:t>
            </w:r>
            <w:r>
              <w:rPr>
                <w:noProof/>
                <w:webHidden/>
              </w:rPr>
              <w:tab/>
            </w:r>
            <w:r>
              <w:rPr>
                <w:noProof/>
                <w:webHidden/>
              </w:rPr>
              <w:fldChar w:fldCharType="begin"/>
            </w:r>
            <w:r>
              <w:rPr>
                <w:noProof/>
                <w:webHidden/>
              </w:rPr>
              <w:instrText xml:space="preserve"> PAGEREF _Toc234006760 \h </w:instrText>
            </w:r>
            <w:r>
              <w:rPr>
                <w:noProof/>
                <w:webHidden/>
              </w:rPr>
            </w:r>
            <w:r>
              <w:rPr>
                <w:noProof/>
                <w:webHidden/>
              </w:rPr>
              <w:fldChar w:fldCharType="separate"/>
            </w:r>
            <w:r>
              <w:rPr>
                <w:noProof/>
                <w:webHidden/>
              </w:rPr>
              <w:t>3</w:t>
            </w:r>
            <w:r>
              <w:rPr>
                <w:noProof/>
                <w:webHidden/>
              </w:rPr>
              <w:fldChar w:fldCharType="end"/>
            </w:r>
          </w:hyperlink>
        </w:p>
        <w:p w14:paraId="239779DC" w14:textId="66DC1C96" w:rsidR="00B8462F" w:rsidRDefault="00B8462F">
          <w:pPr>
            <w:pStyle w:val="TOC2"/>
            <w:tabs>
              <w:tab w:val="right" w:leader="dot" w:pos="9638"/>
            </w:tabs>
            <w:rPr>
              <w:noProof/>
            </w:rPr>
          </w:pPr>
          <w:hyperlink w:anchor="_Toc234006761" w:history="1">
            <w:r w:rsidRPr="00B056C6">
              <w:rPr>
                <w:rStyle w:val="Hyperlink"/>
                <w:noProof/>
              </w:rPr>
              <w:t>1.4 Rationale for Research and Problem Statement</w:t>
            </w:r>
            <w:r>
              <w:rPr>
                <w:noProof/>
                <w:webHidden/>
              </w:rPr>
              <w:tab/>
            </w:r>
            <w:r>
              <w:rPr>
                <w:noProof/>
                <w:webHidden/>
              </w:rPr>
              <w:fldChar w:fldCharType="begin"/>
            </w:r>
            <w:r>
              <w:rPr>
                <w:noProof/>
                <w:webHidden/>
              </w:rPr>
              <w:instrText xml:space="preserve"> PAGEREF _Toc234006761 \h </w:instrText>
            </w:r>
            <w:r>
              <w:rPr>
                <w:noProof/>
                <w:webHidden/>
              </w:rPr>
            </w:r>
            <w:r>
              <w:rPr>
                <w:noProof/>
                <w:webHidden/>
              </w:rPr>
              <w:fldChar w:fldCharType="separate"/>
            </w:r>
            <w:r>
              <w:rPr>
                <w:noProof/>
                <w:webHidden/>
              </w:rPr>
              <w:t>4</w:t>
            </w:r>
            <w:r>
              <w:rPr>
                <w:noProof/>
                <w:webHidden/>
              </w:rPr>
              <w:fldChar w:fldCharType="end"/>
            </w:r>
          </w:hyperlink>
        </w:p>
        <w:p w14:paraId="052AC351" w14:textId="5F3AF3A6" w:rsidR="00B8462F" w:rsidRDefault="00B8462F">
          <w:pPr>
            <w:pStyle w:val="TOC2"/>
            <w:tabs>
              <w:tab w:val="right" w:leader="dot" w:pos="9638"/>
            </w:tabs>
            <w:rPr>
              <w:noProof/>
            </w:rPr>
          </w:pPr>
          <w:hyperlink w:anchor="_Toc234006762" w:history="1">
            <w:r w:rsidRPr="00B056C6">
              <w:rPr>
                <w:rStyle w:val="Hyperlink"/>
                <w:noProof/>
              </w:rPr>
              <w:t>1.5 Research Aim and Objectives</w:t>
            </w:r>
            <w:r>
              <w:rPr>
                <w:noProof/>
                <w:webHidden/>
              </w:rPr>
              <w:tab/>
            </w:r>
            <w:r>
              <w:rPr>
                <w:noProof/>
                <w:webHidden/>
              </w:rPr>
              <w:fldChar w:fldCharType="begin"/>
            </w:r>
            <w:r>
              <w:rPr>
                <w:noProof/>
                <w:webHidden/>
              </w:rPr>
              <w:instrText xml:space="preserve"> PAGEREF _Toc234006762 \h </w:instrText>
            </w:r>
            <w:r>
              <w:rPr>
                <w:noProof/>
                <w:webHidden/>
              </w:rPr>
            </w:r>
            <w:r>
              <w:rPr>
                <w:noProof/>
                <w:webHidden/>
              </w:rPr>
              <w:fldChar w:fldCharType="separate"/>
            </w:r>
            <w:r>
              <w:rPr>
                <w:noProof/>
                <w:webHidden/>
              </w:rPr>
              <w:t>4</w:t>
            </w:r>
            <w:r>
              <w:rPr>
                <w:noProof/>
                <w:webHidden/>
              </w:rPr>
              <w:fldChar w:fldCharType="end"/>
            </w:r>
          </w:hyperlink>
        </w:p>
        <w:p w14:paraId="5493BE76" w14:textId="2CC74F70" w:rsidR="00B8462F" w:rsidRDefault="00B8462F">
          <w:pPr>
            <w:pStyle w:val="TOC2"/>
            <w:tabs>
              <w:tab w:val="right" w:leader="dot" w:pos="9638"/>
            </w:tabs>
            <w:rPr>
              <w:noProof/>
            </w:rPr>
          </w:pPr>
          <w:hyperlink w:anchor="_Toc234006763" w:history="1">
            <w:r w:rsidRPr="00B056C6">
              <w:rPr>
                <w:rStyle w:val="Hyperlink"/>
                <w:noProof/>
              </w:rPr>
              <w:t>1.6 Chapter Conclusion</w:t>
            </w:r>
            <w:r>
              <w:rPr>
                <w:noProof/>
                <w:webHidden/>
              </w:rPr>
              <w:tab/>
            </w:r>
            <w:r>
              <w:rPr>
                <w:noProof/>
                <w:webHidden/>
              </w:rPr>
              <w:fldChar w:fldCharType="begin"/>
            </w:r>
            <w:r>
              <w:rPr>
                <w:noProof/>
                <w:webHidden/>
              </w:rPr>
              <w:instrText xml:space="preserve"> PAGEREF _Toc234006763 \h </w:instrText>
            </w:r>
            <w:r>
              <w:rPr>
                <w:noProof/>
                <w:webHidden/>
              </w:rPr>
            </w:r>
            <w:r>
              <w:rPr>
                <w:noProof/>
                <w:webHidden/>
              </w:rPr>
              <w:fldChar w:fldCharType="separate"/>
            </w:r>
            <w:r>
              <w:rPr>
                <w:noProof/>
                <w:webHidden/>
              </w:rPr>
              <w:t>5</w:t>
            </w:r>
            <w:r>
              <w:rPr>
                <w:noProof/>
                <w:webHidden/>
              </w:rPr>
              <w:fldChar w:fldCharType="end"/>
            </w:r>
          </w:hyperlink>
        </w:p>
        <w:p w14:paraId="42FE8C02" w14:textId="171A8C3D" w:rsidR="00B8462F" w:rsidRDefault="00B8462F">
          <w:pPr>
            <w:pStyle w:val="TOC1"/>
            <w:tabs>
              <w:tab w:val="right" w:leader="dot" w:pos="9638"/>
            </w:tabs>
            <w:rPr>
              <w:noProof/>
            </w:rPr>
          </w:pPr>
          <w:hyperlink w:anchor="_Toc234006764" w:history="1">
            <w:r w:rsidRPr="00B056C6">
              <w:rPr>
                <w:rStyle w:val="Hyperlink"/>
                <w:noProof/>
              </w:rPr>
              <w:t>Chapter 2: Background Information and Analysis</w:t>
            </w:r>
            <w:r>
              <w:rPr>
                <w:noProof/>
                <w:webHidden/>
              </w:rPr>
              <w:tab/>
            </w:r>
            <w:r>
              <w:rPr>
                <w:noProof/>
                <w:webHidden/>
              </w:rPr>
              <w:fldChar w:fldCharType="begin"/>
            </w:r>
            <w:r>
              <w:rPr>
                <w:noProof/>
                <w:webHidden/>
              </w:rPr>
              <w:instrText xml:space="preserve"> PAGEREF _Toc234006764 \h </w:instrText>
            </w:r>
            <w:r>
              <w:rPr>
                <w:noProof/>
                <w:webHidden/>
              </w:rPr>
            </w:r>
            <w:r>
              <w:rPr>
                <w:noProof/>
                <w:webHidden/>
              </w:rPr>
              <w:fldChar w:fldCharType="separate"/>
            </w:r>
            <w:r>
              <w:rPr>
                <w:noProof/>
                <w:webHidden/>
              </w:rPr>
              <w:t>6</w:t>
            </w:r>
            <w:r>
              <w:rPr>
                <w:noProof/>
                <w:webHidden/>
              </w:rPr>
              <w:fldChar w:fldCharType="end"/>
            </w:r>
          </w:hyperlink>
        </w:p>
        <w:p w14:paraId="3A4E0C15" w14:textId="632C2F20" w:rsidR="00B8462F" w:rsidRDefault="00B8462F">
          <w:pPr>
            <w:pStyle w:val="TOC2"/>
            <w:tabs>
              <w:tab w:val="right" w:leader="dot" w:pos="9638"/>
            </w:tabs>
            <w:rPr>
              <w:noProof/>
            </w:rPr>
          </w:pPr>
          <w:hyperlink w:anchor="_Toc234006765" w:history="1">
            <w:r w:rsidRPr="00B056C6">
              <w:rPr>
                <w:rStyle w:val="Hyperlink"/>
                <w:noProof/>
              </w:rPr>
              <w:t>2.1 Introduction</w:t>
            </w:r>
            <w:r>
              <w:rPr>
                <w:noProof/>
                <w:webHidden/>
              </w:rPr>
              <w:tab/>
            </w:r>
            <w:r>
              <w:rPr>
                <w:noProof/>
                <w:webHidden/>
              </w:rPr>
              <w:fldChar w:fldCharType="begin"/>
            </w:r>
            <w:r>
              <w:rPr>
                <w:noProof/>
                <w:webHidden/>
              </w:rPr>
              <w:instrText xml:space="preserve"> PAGEREF _Toc234006765 \h </w:instrText>
            </w:r>
            <w:r>
              <w:rPr>
                <w:noProof/>
                <w:webHidden/>
              </w:rPr>
            </w:r>
            <w:r>
              <w:rPr>
                <w:noProof/>
                <w:webHidden/>
              </w:rPr>
              <w:fldChar w:fldCharType="separate"/>
            </w:r>
            <w:r>
              <w:rPr>
                <w:noProof/>
                <w:webHidden/>
              </w:rPr>
              <w:t>6</w:t>
            </w:r>
            <w:r>
              <w:rPr>
                <w:noProof/>
                <w:webHidden/>
              </w:rPr>
              <w:fldChar w:fldCharType="end"/>
            </w:r>
          </w:hyperlink>
        </w:p>
        <w:p w14:paraId="5F3255EC" w14:textId="1CE7F937" w:rsidR="00B8462F" w:rsidRDefault="00B8462F">
          <w:pPr>
            <w:pStyle w:val="TOC2"/>
            <w:tabs>
              <w:tab w:val="right" w:leader="dot" w:pos="9638"/>
            </w:tabs>
            <w:rPr>
              <w:noProof/>
            </w:rPr>
          </w:pPr>
          <w:hyperlink w:anchor="_Toc234006766" w:history="1">
            <w:r w:rsidRPr="00B056C6">
              <w:rPr>
                <w:rStyle w:val="Hyperlink"/>
                <w:noProof/>
              </w:rPr>
              <w:t>2.2 Historical Background</w:t>
            </w:r>
            <w:r>
              <w:rPr>
                <w:noProof/>
                <w:webHidden/>
              </w:rPr>
              <w:tab/>
            </w:r>
            <w:r>
              <w:rPr>
                <w:noProof/>
                <w:webHidden/>
              </w:rPr>
              <w:fldChar w:fldCharType="begin"/>
            </w:r>
            <w:r>
              <w:rPr>
                <w:noProof/>
                <w:webHidden/>
              </w:rPr>
              <w:instrText xml:space="preserve"> PAGEREF _Toc234006766 \h </w:instrText>
            </w:r>
            <w:r>
              <w:rPr>
                <w:noProof/>
                <w:webHidden/>
              </w:rPr>
            </w:r>
            <w:r>
              <w:rPr>
                <w:noProof/>
                <w:webHidden/>
              </w:rPr>
              <w:fldChar w:fldCharType="separate"/>
            </w:r>
            <w:r>
              <w:rPr>
                <w:noProof/>
                <w:webHidden/>
              </w:rPr>
              <w:t>6</w:t>
            </w:r>
            <w:r>
              <w:rPr>
                <w:noProof/>
                <w:webHidden/>
              </w:rPr>
              <w:fldChar w:fldCharType="end"/>
            </w:r>
          </w:hyperlink>
        </w:p>
        <w:p w14:paraId="291725D6" w14:textId="4AF896D9" w:rsidR="00B8462F" w:rsidRDefault="00B8462F">
          <w:pPr>
            <w:pStyle w:val="TOC2"/>
            <w:tabs>
              <w:tab w:val="right" w:leader="dot" w:pos="9638"/>
            </w:tabs>
            <w:rPr>
              <w:noProof/>
            </w:rPr>
          </w:pPr>
          <w:hyperlink w:anchor="_Toc234006767" w:history="1">
            <w:r w:rsidRPr="00B056C6">
              <w:rPr>
                <w:rStyle w:val="Hyperlink"/>
                <w:noProof/>
              </w:rPr>
              <w:t>2.3 Theoretical Background</w:t>
            </w:r>
            <w:r>
              <w:rPr>
                <w:noProof/>
                <w:webHidden/>
              </w:rPr>
              <w:tab/>
            </w:r>
            <w:r>
              <w:rPr>
                <w:noProof/>
                <w:webHidden/>
              </w:rPr>
              <w:fldChar w:fldCharType="begin"/>
            </w:r>
            <w:r>
              <w:rPr>
                <w:noProof/>
                <w:webHidden/>
              </w:rPr>
              <w:instrText xml:space="preserve"> PAGEREF _Toc234006767 \h </w:instrText>
            </w:r>
            <w:r>
              <w:rPr>
                <w:noProof/>
                <w:webHidden/>
              </w:rPr>
            </w:r>
            <w:r>
              <w:rPr>
                <w:noProof/>
                <w:webHidden/>
              </w:rPr>
              <w:fldChar w:fldCharType="separate"/>
            </w:r>
            <w:r>
              <w:rPr>
                <w:noProof/>
                <w:webHidden/>
              </w:rPr>
              <w:t>7</w:t>
            </w:r>
            <w:r>
              <w:rPr>
                <w:noProof/>
                <w:webHidden/>
              </w:rPr>
              <w:fldChar w:fldCharType="end"/>
            </w:r>
          </w:hyperlink>
        </w:p>
        <w:p w14:paraId="78135A2E" w14:textId="022B9F0F" w:rsidR="00B8462F" w:rsidRDefault="00B8462F">
          <w:pPr>
            <w:pStyle w:val="TOC2"/>
            <w:tabs>
              <w:tab w:val="right" w:leader="dot" w:pos="9638"/>
            </w:tabs>
            <w:rPr>
              <w:noProof/>
            </w:rPr>
          </w:pPr>
          <w:hyperlink w:anchor="_Toc234006768" w:history="1">
            <w:r w:rsidRPr="00B056C6">
              <w:rPr>
                <w:rStyle w:val="Hyperlink"/>
                <w:noProof/>
              </w:rPr>
              <w:t>2.4 International Context</w:t>
            </w:r>
            <w:r>
              <w:rPr>
                <w:noProof/>
                <w:webHidden/>
              </w:rPr>
              <w:tab/>
            </w:r>
            <w:r>
              <w:rPr>
                <w:noProof/>
                <w:webHidden/>
              </w:rPr>
              <w:fldChar w:fldCharType="begin"/>
            </w:r>
            <w:r>
              <w:rPr>
                <w:noProof/>
                <w:webHidden/>
              </w:rPr>
              <w:instrText xml:space="preserve"> PAGEREF _Toc234006768 \h </w:instrText>
            </w:r>
            <w:r>
              <w:rPr>
                <w:noProof/>
                <w:webHidden/>
              </w:rPr>
            </w:r>
            <w:r>
              <w:rPr>
                <w:noProof/>
                <w:webHidden/>
              </w:rPr>
              <w:fldChar w:fldCharType="separate"/>
            </w:r>
            <w:r>
              <w:rPr>
                <w:noProof/>
                <w:webHidden/>
              </w:rPr>
              <w:t>8</w:t>
            </w:r>
            <w:r>
              <w:rPr>
                <w:noProof/>
                <w:webHidden/>
              </w:rPr>
              <w:fldChar w:fldCharType="end"/>
            </w:r>
          </w:hyperlink>
        </w:p>
        <w:p w14:paraId="197795F1" w14:textId="3315C0CA" w:rsidR="00B8462F" w:rsidRDefault="00B8462F">
          <w:pPr>
            <w:pStyle w:val="TOC2"/>
            <w:tabs>
              <w:tab w:val="right" w:leader="dot" w:pos="9638"/>
            </w:tabs>
            <w:rPr>
              <w:noProof/>
            </w:rPr>
          </w:pPr>
          <w:hyperlink w:anchor="_Toc234006769" w:history="1">
            <w:r w:rsidRPr="00B056C6">
              <w:rPr>
                <w:rStyle w:val="Hyperlink"/>
                <w:noProof/>
              </w:rPr>
              <w:t>2.5 National and Local UK Context</w:t>
            </w:r>
            <w:r>
              <w:rPr>
                <w:noProof/>
                <w:webHidden/>
              </w:rPr>
              <w:tab/>
            </w:r>
            <w:r>
              <w:rPr>
                <w:noProof/>
                <w:webHidden/>
              </w:rPr>
              <w:fldChar w:fldCharType="begin"/>
            </w:r>
            <w:r>
              <w:rPr>
                <w:noProof/>
                <w:webHidden/>
              </w:rPr>
              <w:instrText xml:space="preserve"> PAGEREF _Toc234006769 \h </w:instrText>
            </w:r>
            <w:r>
              <w:rPr>
                <w:noProof/>
                <w:webHidden/>
              </w:rPr>
            </w:r>
            <w:r>
              <w:rPr>
                <w:noProof/>
                <w:webHidden/>
              </w:rPr>
              <w:fldChar w:fldCharType="separate"/>
            </w:r>
            <w:r>
              <w:rPr>
                <w:noProof/>
                <w:webHidden/>
              </w:rPr>
              <w:t>8</w:t>
            </w:r>
            <w:r>
              <w:rPr>
                <w:noProof/>
                <w:webHidden/>
              </w:rPr>
              <w:fldChar w:fldCharType="end"/>
            </w:r>
          </w:hyperlink>
        </w:p>
        <w:p w14:paraId="1BC00283" w14:textId="474DABFF" w:rsidR="00B8462F" w:rsidRDefault="00B8462F">
          <w:pPr>
            <w:pStyle w:val="TOC2"/>
            <w:tabs>
              <w:tab w:val="right" w:leader="dot" w:pos="9638"/>
            </w:tabs>
            <w:rPr>
              <w:noProof/>
            </w:rPr>
          </w:pPr>
          <w:hyperlink w:anchor="_Toc234006770" w:history="1">
            <w:r w:rsidRPr="00B056C6">
              <w:rPr>
                <w:rStyle w:val="Hyperlink"/>
                <w:noProof/>
              </w:rPr>
              <w:t>2.6 Chapter Conclusion</w:t>
            </w:r>
            <w:r>
              <w:rPr>
                <w:noProof/>
                <w:webHidden/>
              </w:rPr>
              <w:tab/>
            </w:r>
            <w:r>
              <w:rPr>
                <w:noProof/>
                <w:webHidden/>
              </w:rPr>
              <w:fldChar w:fldCharType="begin"/>
            </w:r>
            <w:r>
              <w:rPr>
                <w:noProof/>
                <w:webHidden/>
              </w:rPr>
              <w:instrText xml:space="preserve"> PAGEREF _Toc234006770 \h </w:instrText>
            </w:r>
            <w:r>
              <w:rPr>
                <w:noProof/>
                <w:webHidden/>
              </w:rPr>
            </w:r>
            <w:r>
              <w:rPr>
                <w:noProof/>
                <w:webHidden/>
              </w:rPr>
              <w:fldChar w:fldCharType="separate"/>
            </w:r>
            <w:r>
              <w:rPr>
                <w:noProof/>
                <w:webHidden/>
              </w:rPr>
              <w:t>9</w:t>
            </w:r>
            <w:r>
              <w:rPr>
                <w:noProof/>
                <w:webHidden/>
              </w:rPr>
              <w:fldChar w:fldCharType="end"/>
            </w:r>
          </w:hyperlink>
        </w:p>
        <w:p w14:paraId="302D2BC4" w14:textId="798E09C1" w:rsidR="00B8462F" w:rsidRDefault="00B8462F">
          <w:pPr>
            <w:pStyle w:val="TOC1"/>
            <w:tabs>
              <w:tab w:val="right" w:leader="dot" w:pos="9638"/>
            </w:tabs>
            <w:rPr>
              <w:noProof/>
            </w:rPr>
          </w:pPr>
          <w:hyperlink w:anchor="_Toc234006771" w:history="1">
            <w:r w:rsidRPr="00B056C6">
              <w:rPr>
                <w:rStyle w:val="Hyperlink"/>
                <w:noProof/>
              </w:rPr>
              <w:t>References</w:t>
            </w:r>
            <w:r>
              <w:rPr>
                <w:noProof/>
                <w:webHidden/>
              </w:rPr>
              <w:tab/>
            </w:r>
            <w:r>
              <w:rPr>
                <w:noProof/>
                <w:webHidden/>
              </w:rPr>
              <w:fldChar w:fldCharType="begin"/>
            </w:r>
            <w:r>
              <w:rPr>
                <w:noProof/>
                <w:webHidden/>
              </w:rPr>
              <w:instrText xml:space="preserve"> PAGEREF _Toc234006771 \h </w:instrText>
            </w:r>
            <w:r>
              <w:rPr>
                <w:noProof/>
                <w:webHidden/>
              </w:rPr>
            </w:r>
            <w:r>
              <w:rPr>
                <w:noProof/>
                <w:webHidden/>
              </w:rPr>
              <w:fldChar w:fldCharType="separate"/>
            </w:r>
            <w:r>
              <w:rPr>
                <w:noProof/>
                <w:webHidden/>
              </w:rPr>
              <w:t>10</w:t>
            </w:r>
            <w:r>
              <w:rPr>
                <w:noProof/>
                <w:webHidden/>
              </w:rPr>
              <w:fldChar w:fldCharType="end"/>
            </w:r>
          </w:hyperlink>
        </w:p>
        <w:p w14:paraId="19BB0F1B" w14:textId="59193CEE" w:rsidR="00B8462F" w:rsidRDefault="00B8462F">
          <w:r>
            <w:rPr>
              <w:b/>
              <w:bCs/>
              <w:noProof/>
            </w:rPr>
            <w:fldChar w:fldCharType="end"/>
          </w:r>
        </w:p>
      </w:sdtContent>
    </w:sdt>
    <w:p w14:paraId="5505813B" w14:textId="77777777" w:rsidR="00DE027B" w:rsidRDefault="00DE027B">
      <w:pPr>
        <w:pStyle w:val="Heading1"/>
      </w:pPr>
      <w:bookmarkStart w:id="0" w:name="_Toc234006757"/>
    </w:p>
    <w:p w14:paraId="39A5D26C" w14:textId="77777777" w:rsidR="00DE027B" w:rsidRDefault="00DE027B" w:rsidP="00DE027B"/>
    <w:p w14:paraId="217B6E16" w14:textId="77777777" w:rsidR="00DE027B" w:rsidRDefault="00DE027B" w:rsidP="00DE027B"/>
    <w:p w14:paraId="4C692872" w14:textId="77777777" w:rsidR="00DE027B" w:rsidRDefault="00DE027B" w:rsidP="00DE027B"/>
    <w:p w14:paraId="606BE011" w14:textId="77777777" w:rsidR="00DE027B" w:rsidRDefault="00DE027B" w:rsidP="00DE027B"/>
    <w:p w14:paraId="34C1F7C3" w14:textId="77777777" w:rsidR="00DE027B" w:rsidRDefault="00DE027B" w:rsidP="00DE027B"/>
    <w:p w14:paraId="1C940DFF" w14:textId="77777777" w:rsidR="00DE027B" w:rsidRDefault="00DE027B" w:rsidP="00DE027B"/>
    <w:p w14:paraId="7BD8A491" w14:textId="77777777" w:rsidR="00DE027B" w:rsidRDefault="00DE027B" w:rsidP="00DE027B"/>
    <w:p w14:paraId="2752EDF9" w14:textId="77777777" w:rsidR="00DE027B" w:rsidRDefault="00DE027B" w:rsidP="00DE027B"/>
    <w:p w14:paraId="560AE12D" w14:textId="77777777" w:rsidR="00DE027B" w:rsidRDefault="00DE027B" w:rsidP="00DE027B"/>
    <w:p w14:paraId="4EF9C927" w14:textId="77777777" w:rsidR="00DE027B" w:rsidRDefault="00DE027B" w:rsidP="00DE027B"/>
    <w:p w14:paraId="1AD00D81" w14:textId="77777777" w:rsidR="00DE027B" w:rsidRDefault="00DE027B" w:rsidP="00DE027B"/>
    <w:p w14:paraId="117B314C" w14:textId="77777777" w:rsidR="00DE027B" w:rsidRPr="00DE027B" w:rsidRDefault="00DE027B" w:rsidP="00DE027B"/>
    <w:p w14:paraId="12C0A8C4" w14:textId="560D3DB7" w:rsidR="000D5CF6" w:rsidRDefault="00000000">
      <w:pPr>
        <w:pStyle w:val="Heading1"/>
      </w:pPr>
      <w:r>
        <w:lastRenderedPageBreak/>
        <w:t>Chapter 1: Introduction</w:t>
      </w:r>
      <w:bookmarkEnd w:id="0"/>
    </w:p>
    <w:p w14:paraId="04171A62" w14:textId="77777777" w:rsidR="000D5CF6" w:rsidRDefault="00000000">
      <w:pPr>
        <w:pStyle w:val="Heading2"/>
      </w:pPr>
      <w:bookmarkStart w:id="1" w:name="_Toc234006758"/>
      <w:r>
        <w:t>1.1 Introduction to the Dissertation</w:t>
      </w:r>
      <w:bookmarkEnd w:id="1"/>
    </w:p>
    <w:p w14:paraId="75C7247B" w14:textId="77777777" w:rsidR="00BA536F" w:rsidRDefault="00BA536F" w:rsidP="00BA536F">
      <w:pPr>
        <w:jc w:val="both"/>
      </w:pPr>
      <w:r>
        <w:t>The COVID-19 pandemic put care homes in a challenging situation since the people in them were elderly, weak, either with dementia, or had long-term health issues. COVID-19 is a contagious condition caused by the SARS-CoV-2 virus, and individuals with underlying conditions and older adults have a higher risk of falling ill (World Health Organisation, 2023). Care homes have thus been among the worst environments for the infliction of harm in health and social care. This does not imply that all poor outcomes were due to the care home staff or an individual policy. There was more to the problem. Care homes were forced to balance the risks of infection, staffing shortages, personal protection, testing, isolation, hospital discharge, communication with family, and the emotional needs of residents simultaneously (Gordon et al., 2020; Moore et al., 2024).</w:t>
      </w:r>
    </w:p>
    <w:p w14:paraId="15DC9200" w14:textId="73CF81FC" w:rsidR="00BA536F" w:rsidRDefault="00BA536F" w:rsidP="00BA536F">
      <w:pPr>
        <w:jc w:val="both"/>
      </w:pPr>
      <w:r>
        <w:t>This dissertation focuses on the impact of the COVID-19 pandemic on care homes in the UK, with attention to residents, staff and family contact. It is significant as care homes do not necessarily represent clinical risk environments. They are also residential areas for people. The pandemic posed a painful tension between the residents' safety from contracting the virus and safeguarding their dignity, relationships, and emotional well-being. This chapter provides an introduction to the topic, defines the key terms, describes the background and current situation, explains the rationale for the research, and outlines the aim and objectives. Wider background information and analysis are then provided in the succeeding chapter.</w:t>
      </w:r>
    </w:p>
    <w:p w14:paraId="0FB17031" w14:textId="77777777" w:rsidR="000D5CF6" w:rsidRDefault="00000000">
      <w:pPr>
        <w:pStyle w:val="Heading2"/>
      </w:pPr>
      <w:bookmarkStart w:id="2" w:name="_Toc234006759"/>
      <w:r>
        <w:t>1.2 Key Definitions</w:t>
      </w:r>
      <w:bookmarkEnd w:id="2"/>
    </w:p>
    <w:p w14:paraId="216530C8" w14:textId="77777777" w:rsidR="00BA536F" w:rsidRDefault="00BA536F" w:rsidP="00BA536F">
      <w:pPr>
        <w:jc w:val="both"/>
      </w:pPr>
      <w:r>
        <w:t>A care home is a house where individuals are provided with accommodation with either personal care, nursing care, or both. According to the NHS, two primary types of care homes exist: residential and nursing homes, though some offer both (NHS, 2023). The term "care home" in this dissertation will be used to refer to residential and nursing care homes that assist older adults and adults with care needs.</w:t>
      </w:r>
    </w:p>
    <w:p w14:paraId="420D2486" w14:textId="77777777" w:rsidR="00BA536F" w:rsidRDefault="00BA536F" w:rsidP="00BA536F">
      <w:pPr>
        <w:jc w:val="both"/>
      </w:pPr>
      <w:r>
        <w:t>COVID-19 is the coronavirus disease caused by SARS-CoV-2. It is very contagious and may result in grave diseases, particularly in the elderly and individuals with underlying health problems (World Health Organisation, 2023). Infection prevention and control refers to measures taken to minimise the spread of infection. This involves hand hygiene, PPE, cleaning, testing where necessary, isolation, staff training, and risk assessment/outbreak planning in care homes (Care Quality Commission, 2025).</w:t>
      </w:r>
    </w:p>
    <w:p w14:paraId="6276D15C" w14:textId="0D3F078B" w:rsidR="00BA536F" w:rsidRDefault="00BA536F" w:rsidP="00BA536F">
      <w:pPr>
        <w:jc w:val="both"/>
      </w:pPr>
      <w:r>
        <w:t>Visiting restrictions are measures instituted on visits by family members and friends during the pandemic. To minimise transmission, these restrictions were put in place, although they minimised face-to-face contact. Staff well-being refers to the mental, emotional and physical well-being of care home workers. Family contact refers to how family members and friends can remain connected with residents, such as by visiting, making phone calls, and video calls.</w:t>
      </w:r>
    </w:p>
    <w:p w14:paraId="59D25BFC" w14:textId="77777777" w:rsidR="000D5CF6" w:rsidRDefault="00000000">
      <w:pPr>
        <w:pStyle w:val="Heading2"/>
      </w:pPr>
      <w:bookmarkStart w:id="3" w:name="_Toc234006760"/>
      <w:r>
        <w:t>1.3 Background and Current Context</w:t>
      </w:r>
      <w:bookmarkEnd w:id="3"/>
    </w:p>
    <w:p w14:paraId="35E71D1F" w14:textId="77777777" w:rsidR="00BA536F" w:rsidRDefault="00BA536F" w:rsidP="00BA536F">
      <w:pPr>
        <w:jc w:val="both"/>
      </w:pPr>
      <w:r>
        <w:t xml:space="preserve">Prior to COVID-19, the care home sector had been experiencing stress. Social care for adults in the UK has been affected by workforce shortages, inadequate pay, disjointed funding, and disparities between health care and social care. These weak points were important during the pandemic since the care homes would require rapid access to testing, PPE, clinical guidance, and safe staffing. The National Audit Office stated that the historic differences and divisions between </w:t>
      </w:r>
      <w:r>
        <w:lastRenderedPageBreak/>
        <w:t>the NHS and adult social care complicated the preparation of care homes to cope with COVID-19 (National Audit Office, 2020). This is crucial since not all the issues in care homes were caused by the pandemic. It revealed and aggravated issues which already existed.</w:t>
      </w:r>
    </w:p>
    <w:p w14:paraId="7E54F0A5" w14:textId="77777777" w:rsidR="00BA536F" w:rsidRDefault="00BA536F" w:rsidP="00BA536F">
      <w:pPr>
        <w:jc w:val="both"/>
      </w:pPr>
      <w:r>
        <w:t>The amount of damage was great. In the week ending 20 March 2020 to the week ending 21 January 2022, 274,063 registered deaths of care home residents in England and Wales occurred, of which 45,632 were related to COVID-19. COVID-19 was mentioned in 43,256 death certificates of care home residents in England, out of a total of 16.6% of care home resident deaths during the waves analysed (Office for National Statistics, 2022). These figures should be read keenly since they depict the death of care home residents, regardless of the place of death, not just in care homes. Despite such a warning, they indicate that there was an extremely high loss burden among care home residents.</w:t>
      </w:r>
    </w:p>
    <w:p w14:paraId="0014639E" w14:textId="1BA0E799" w:rsidR="00BA536F" w:rsidRDefault="00BA536F" w:rsidP="00BA536F">
      <w:pPr>
        <w:jc w:val="both"/>
      </w:pPr>
      <w:r>
        <w:t>The situation is no longer the same as in 2020, and the problem is still significant. All COVID-19 is now addressed as an aspect of broader infection prevention practice within care homes, but the CQC continues to anticipate that providers should facilitate visits where possible, control infection risks, provide personal protective equipment, assist with isolation where required and avoid harm to the staff and residents (Care Quality Commission, 2025). This implies that the topic remains relevant to future outbreaks, winter pressures and emergency planning.</w:t>
      </w:r>
    </w:p>
    <w:p w14:paraId="49AD32F9" w14:textId="77777777" w:rsidR="000D5CF6" w:rsidRDefault="00000000">
      <w:pPr>
        <w:pStyle w:val="Heading2"/>
      </w:pPr>
      <w:bookmarkStart w:id="4" w:name="_Toc234006761"/>
      <w:r>
        <w:t>1.4 Rationale for Research and Problem Statement</w:t>
      </w:r>
      <w:bookmarkEnd w:id="4"/>
    </w:p>
    <w:p w14:paraId="18BDD1BE" w14:textId="77777777" w:rsidR="00BA536F" w:rsidRDefault="00BA536F" w:rsidP="00BA536F">
      <w:pPr>
        <w:jc w:val="both"/>
      </w:pPr>
      <w:r>
        <w:t>This study is needed since people were talking about COVID-19 in care homes early and primarily talked about the number of deaths and infection control. Those are critical issues, yet they are not quite able to describe the experienced pandemic effect. Studies indicate that the emotional health of care home residents was impacted by restrictions, with guilt, sadness, tears and burnout being reported throughout the care home experience (Giebel et al., 2022). Other significant alterations in the working practice were also reported by staff when working with individuals living with dementia, such as workload increase, anxiety about being infected, and making difficult decisions regarding safety (Hanna et al., 2022).</w:t>
      </w:r>
    </w:p>
    <w:p w14:paraId="57E66D47" w14:textId="45243167" w:rsidR="00BA536F" w:rsidRDefault="00BA536F" w:rsidP="00BA536F">
      <w:pPr>
        <w:jc w:val="both"/>
      </w:pPr>
      <w:r>
        <w:t>The key issue is that there were two types of harm that care homes had to misrepresent. One of them was infection damage, which might result in epidemics and fatalities. The other was relational and emotional damage, which occurred when the residents were divorced from their families and usual routines. There is a risk of a narrow approach to infection control that would result in more physical safety of residents, but at the same time, a lonelier and less person-centred life. This study thus looks into safety and quality of life. It is aware of a weakness as well. Secondary research is employed in the project, so it relies on the quality and the focus of the available sources instead of data being gathered among the residents, family members or employees.</w:t>
      </w:r>
    </w:p>
    <w:p w14:paraId="37EF2EB2" w14:textId="77777777" w:rsidR="000D5CF6" w:rsidRDefault="00000000">
      <w:pPr>
        <w:pStyle w:val="Heading2"/>
      </w:pPr>
      <w:bookmarkStart w:id="5" w:name="_Toc234006762"/>
      <w:r>
        <w:t>1.5 Research Aim and Objectives</w:t>
      </w:r>
      <w:bookmarkEnd w:id="5"/>
    </w:p>
    <w:p w14:paraId="6DDF3F7F" w14:textId="77777777" w:rsidR="000D5CF6" w:rsidRDefault="00000000">
      <w:pPr>
        <w:jc w:val="both"/>
      </w:pPr>
      <w:r>
        <w:t>The aim of this project is to investigate the impact of the COVID-19 pandemic on residents, staff and family contact in care homes in the UK. The project concentrates on infection risk, visiting restrictions, pressure on staff, emotional health and what can be learned to help care homes prepare for future health emergencies.</w:t>
      </w:r>
    </w:p>
    <w:p w14:paraId="4D96D220" w14:textId="1E5C7A4C" w:rsidR="00217E7F" w:rsidRDefault="00245DE0" w:rsidP="00245DE0">
      <w:pPr>
        <w:pStyle w:val="ListParagraph"/>
        <w:numPr>
          <w:ilvl w:val="0"/>
          <w:numId w:val="10"/>
        </w:numPr>
        <w:jc w:val="both"/>
      </w:pPr>
      <w:r>
        <w:t>T</w:t>
      </w:r>
      <w:r w:rsidR="00000000">
        <w:t xml:space="preserve">o define and examine the main effects of COVID-19 on care home residents in the UK. </w:t>
      </w:r>
    </w:p>
    <w:p w14:paraId="007AA56B" w14:textId="42AA9232" w:rsidR="00217E7F" w:rsidRDefault="00245DE0" w:rsidP="00245DE0">
      <w:pPr>
        <w:pStyle w:val="ListParagraph"/>
        <w:numPr>
          <w:ilvl w:val="0"/>
          <w:numId w:val="10"/>
        </w:numPr>
        <w:jc w:val="both"/>
      </w:pPr>
      <w:r>
        <w:t>T</w:t>
      </w:r>
      <w:r w:rsidR="00000000">
        <w:t xml:space="preserve">o analyse how infection control, testing, PPE and visiting restrictions changed daily care. </w:t>
      </w:r>
    </w:p>
    <w:p w14:paraId="3CF6FEE1" w14:textId="020DB810" w:rsidR="00217E7F" w:rsidRDefault="00245DE0" w:rsidP="00245DE0">
      <w:pPr>
        <w:pStyle w:val="ListParagraph"/>
        <w:numPr>
          <w:ilvl w:val="0"/>
          <w:numId w:val="10"/>
        </w:numPr>
        <w:jc w:val="both"/>
      </w:pPr>
      <w:r>
        <w:t>To</w:t>
      </w:r>
      <w:r w:rsidR="00000000">
        <w:t xml:space="preserve"> evaluate the impact of the pandemic on care home staff workload, stress and well-being. </w:t>
      </w:r>
    </w:p>
    <w:p w14:paraId="2893ED5D" w14:textId="5F4C94F4" w:rsidR="000D5CF6" w:rsidRDefault="00245DE0" w:rsidP="00245DE0">
      <w:pPr>
        <w:pStyle w:val="ListParagraph"/>
        <w:numPr>
          <w:ilvl w:val="0"/>
          <w:numId w:val="10"/>
        </w:numPr>
        <w:jc w:val="both"/>
      </w:pPr>
      <w:r>
        <w:lastRenderedPageBreak/>
        <w:t>To</w:t>
      </w:r>
      <w:r w:rsidR="00000000">
        <w:t xml:space="preserve"> provide recommendations to improve safety, communication and emotional support during future outbreaks.</w:t>
      </w:r>
    </w:p>
    <w:p w14:paraId="4E05D6EF" w14:textId="77777777" w:rsidR="000D5CF6" w:rsidRDefault="00000000">
      <w:pPr>
        <w:pStyle w:val="Heading2"/>
      </w:pPr>
      <w:bookmarkStart w:id="6" w:name="_Toc234006763"/>
      <w:r>
        <w:t>1.6 Chapter Conclusion</w:t>
      </w:r>
      <w:bookmarkEnd w:id="6"/>
    </w:p>
    <w:p w14:paraId="79A7E909" w14:textId="13D1EE4A" w:rsidR="00BA536F" w:rsidRDefault="00BA536F">
      <w:pPr>
        <w:jc w:val="both"/>
      </w:pPr>
      <w:r w:rsidRPr="00BA536F">
        <w:t xml:space="preserve">This chapter has </w:t>
      </w:r>
      <w:r w:rsidR="00A97688">
        <w:t>introduced</w:t>
      </w:r>
      <w:r w:rsidRPr="00BA536F">
        <w:t xml:space="preserve"> the topic of the research and discussed why the effect of COVID-19 on care homes is an important issue to be studied. It has demonstrated that nursing homes were exposed to a grave danger of infection, yet there is a grave danger of loneliness, stress and strain among the workers. The objectives and purpose give the project a sense of purpose. The following chapter presents some background information and analysis by delving into the historical, theoretical, international, national and local context of COVID-19 and care homes.</w:t>
      </w:r>
    </w:p>
    <w:p w14:paraId="733B158D" w14:textId="77777777" w:rsidR="000D5CF6" w:rsidRDefault="00000000">
      <w:r>
        <w:br w:type="page"/>
      </w:r>
    </w:p>
    <w:p w14:paraId="3CB6C918" w14:textId="77777777" w:rsidR="000D5CF6" w:rsidRDefault="00000000">
      <w:pPr>
        <w:pStyle w:val="Heading1"/>
      </w:pPr>
      <w:bookmarkStart w:id="7" w:name="_Toc234006764"/>
      <w:r>
        <w:lastRenderedPageBreak/>
        <w:t>Chapter 2: Background Information and Analysis</w:t>
      </w:r>
      <w:bookmarkEnd w:id="7"/>
    </w:p>
    <w:p w14:paraId="4B4D75C2" w14:textId="77777777" w:rsidR="000D5CF6" w:rsidRDefault="00000000">
      <w:pPr>
        <w:pStyle w:val="Heading2"/>
      </w:pPr>
      <w:bookmarkStart w:id="8" w:name="_Toc234006765"/>
      <w:r>
        <w:t>2.1 Introduction</w:t>
      </w:r>
      <w:bookmarkEnd w:id="8"/>
    </w:p>
    <w:p w14:paraId="075D6419" w14:textId="1BA21924" w:rsidR="00850DD2" w:rsidRDefault="00850DD2">
      <w:pPr>
        <w:jc w:val="both"/>
      </w:pPr>
      <w:r w:rsidRPr="00850DD2">
        <w:t xml:space="preserve">This chapter </w:t>
      </w:r>
      <w:r>
        <w:t>provides</w:t>
      </w:r>
      <w:r w:rsidRPr="00850DD2">
        <w:t xml:space="preserve"> background knowledge and research that will help you appreciate the impact of COVID-19 on care homes.</w:t>
      </w:r>
      <w:r>
        <w:t xml:space="preserve"> I</w:t>
      </w:r>
      <w:r w:rsidRPr="00850DD2">
        <w:t xml:space="preserve">t </w:t>
      </w:r>
      <w:r w:rsidR="008E228A">
        <w:t>has discussed</w:t>
      </w:r>
      <w:r w:rsidRPr="00850DD2">
        <w:t xml:space="preserve"> how the problem of care homes evolved, the theory and concepts that can be used to explain the problem, the international evidence as compared to the UK and how national and local policy informed practice.</w:t>
      </w:r>
      <w:r w:rsidR="0031186D">
        <w:t xml:space="preserve"> It </w:t>
      </w:r>
      <w:r w:rsidRPr="00850DD2">
        <w:t>takes care homes as caring and risky areas and how policy decisions impacted residents, staff and relatives.</w:t>
      </w:r>
    </w:p>
    <w:p w14:paraId="4F0311C6" w14:textId="77777777" w:rsidR="000D5CF6" w:rsidRDefault="00000000">
      <w:pPr>
        <w:pStyle w:val="Heading2"/>
      </w:pPr>
      <w:bookmarkStart w:id="9" w:name="_Toc234006766"/>
      <w:r>
        <w:t>2.2 Historical Background</w:t>
      </w:r>
      <w:bookmarkEnd w:id="9"/>
    </w:p>
    <w:p w14:paraId="5636FD0E" w14:textId="77777777" w:rsidR="000C4F51" w:rsidRDefault="000C4F51" w:rsidP="000C4F51">
      <w:pPr>
        <w:jc w:val="both"/>
      </w:pPr>
      <w:r>
        <w:t>The history of COVID-19 in the care homes cannot be perceived as a sudden health crisis in 2020. There were already care homes that were providing care to individuals who needed high levels of care. There were a large number of residents who were dementia, frail and disabled or had multiple health conditions. The ONS later published that dementia and Alzheimer's disease were the largest cause of death among care home residents during all waves of the study (except male care home residents in England during the first wave of the study), and COVID-19 became the most common cause of death (Office for National Statistics, 2022). This is important in that it demonstrates that the entry of COVID-19 into an environment with already clinically vulnerable residents took place.</w:t>
      </w:r>
    </w:p>
    <w:p w14:paraId="1696D722" w14:textId="77777777" w:rsidR="000C4F51" w:rsidRDefault="000C4F51" w:rsidP="000C4F51">
      <w:pPr>
        <w:jc w:val="both"/>
      </w:pPr>
      <w:r>
        <w:t>The initial significant historical agenda was the disconnection between the NHS and adult social care. Hospitals played a key role in the initial response to the emergency, but care homes had to receive the same consideration as they were treating individuals who are at very high risk. The National Audit Office discovered that the planning of both sectors (adult social care and the NHS) to address COVID-19 was complicated by historical separations between the two (National Audit Office, 2020). The vulnerability was manifested via issues of hospital discharge, PPE, testing and clinical support. At the beginning of the pandemic, Gordon et al. (2020) claimed that care homes were struggling with major difficulties due to the constantly evolving guidelines, lack of testing, wearing personal protective equipment, seclusion, and health services support. Their article was helpful as it cautioned that care facilities could not be considered a continuation of the hospital system. They were diverse in terms of the environment, staffing models and needs of the resident.</w:t>
      </w:r>
    </w:p>
    <w:p w14:paraId="33C7ED0C" w14:textId="77777777" w:rsidR="000C4F51" w:rsidRDefault="000C4F51" w:rsidP="000C4F51">
      <w:pPr>
        <w:jc w:val="both"/>
      </w:pPr>
      <w:r>
        <w:t>One of the most controversial historical points was the topic of hospital discharge. This necessitated a quick transfer into care facilities due to the necessity of preserving hospital capacity, yet the test and isolation facilities were insecure during the initial phases. Dyer (2022) has said that the policy of releasing vulnerable patients to care homes without advising them on proper isolation was later termed irrational by judges. This matters when it comes to critical analysis since it implies that it was not only an unpredictable virus that led to the care home crisis. It was also influenced by the choices regarding the visibility of the risks of whom. The pressure in hospitals was seen as an emergency, whereas the danger in care homes was not addressed with the same vigour.</w:t>
      </w:r>
    </w:p>
    <w:p w14:paraId="17DDB9F5" w14:textId="77777777" w:rsidR="000C4F51" w:rsidRDefault="000C4F51" w:rsidP="000C4F51">
      <w:pPr>
        <w:jc w:val="both"/>
      </w:pPr>
      <w:r>
        <w:t xml:space="preserve">The visiting restrictions were another turning point in history. Limiting visits was reasonable as there were scarce vaccines, testing and treatment opportunities. But it also transformed the definition of life in care homes. Those residents who had been used to seeing family on a regular basis were now deprived of this contact with their family; relatives were unable to observe changes and offer comfort, and staff had to become their carers, as well as emotional substitutes. Giebel et </w:t>
      </w:r>
      <w:r>
        <w:lastRenderedPageBreak/>
        <w:t>al. (2022) demonstrate that restrictions had an emotional impact on the residents, relatives and staff, as it has been reported that people experience guilt, tears and burnout. This fact baffles a naive safety story. It demonstrates that even a care home can be closed and still not meet some significant social and emotional needs to minimise risks of infection.</w:t>
      </w:r>
    </w:p>
    <w:p w14:paraId="39EFCE15" w14:textId="3033A241" w:rsidR="000C4F51" w:rsidRDefault="000C4F51" w:rsidP="000C4F51">
      <w:pPr>
        <w:jc w:val="both"/>
      </w:pPr>
      <w:r>
        <w:t>This harm started to be better acknowledged by policy by 2022 and beyond. The guidance on visiting provided by the government indicated that visiting its care homes was not directly restricted nationally and outlined visiting as a crucial activity to health, well-being and quality of life (Department of Health and Social Care, 2022). Such a change in history is important as it demonstrates lessons learned during the initial period of the pandemic. It also poses a challenging question in case of emergencies in the future. Infection control is required in care homes, yet the emergency regulations should not consider family contact an option.</w:t>
      </w:r>
    </w:p>
    <w:p w14:paraId="080B551F" w14:textId="77777777" w:rsidR="000D5CF6" w:rsidRDefault="00000000">
      <w:pPr>
        <w:pStyle w:val="Heading2"/>
      </w:pPr>
      <w:bookmarkStart w:id="10" w:name="_Toc234006767"/>
      <w:r>
        <w:t>2.3 Theoretical Background</w:t>
      </w:r>
      <w:bookmarkEnd w:id="10"/>
    </w:p>
    <w:p w14:paraId="0ED3CEC3" w14:textId="77777777" w:rsidR="000C4F51" w:rsidRDefault="000C4F51" w:rsidP="000C4F51">
      <w:pPr>
        <w:jc w:val="both"/>
      </w:pPr>
      <w:r>
        <w:t>The experience of the care home during COVID-19 can be explained by two key concepts. The initial one is the biomedical infection control strategy. This strategy emphasises preventing transmission by testing, PPE, isolation, cleaning, vaccination, staff cohorting, as well as outbreak management. This was necessary at the time of the pandemic since the care homes are a communal place where the infection can spread rapidly. In their study, Shallcross et al. (2021) discovered that lower staff-to-patient transmission was associated with workforce practices that were found to be practical, including ample sick pay, the utilisation of fewer agency staff, increased staff-to-bed ratios and staff cohorting. This renders the theory handy since it demonstrates that infection control does not solely relate to masks and handwashing. It is also regarding working conditions and personnel security.</w:t>
      </w:r>
    </w:p>
    <w:p w14:paraId="6EAFC217" w14:textId="77777777" w:rsidR="000C4F51" w:rsidRDefault="000C4F51" w:rsidP="000C4F51">
      <w:pPr>
        <w:jc w:val="both"/>
      </w:pPr>
      <w:r>
        <w:t>The limits of using the infection control approach alone are, however, limited. Provided that the primary outcome of success is reduced infections, the emotional and relational life of residents may be disregarded. General isolation and visiting restrictions can help minimise certain risks of contact, but can also limit mobility, social affiliation, family control and quality of life. Both the study by Giebel et al. (2022) and the one by Hanna et al. (2022) demonstrate that the restrictions in the care home were an emotional burden and altered the everyday work. This implies that wider outcomes must be used to evaluate infection control as opposed to the number of outbreaks. A technically protective policy can bring loneliness, distress or unwarranted decline, and thus be harmful.</w:t>
      </w:r>
    </w:p>
    <w:p w14:paraId="67B5CF7C" w14:textId="77777777" w:rsidR="000C4F51" w:rsidRDefault="000C4F51" w:rsidP="000C4F51">
      <w:pPr>
        <w:jc w:val="both"/>
      </w:pPr>
      <w:r>
        <w:t>The second concept is person-centred care. Person-centred care in care homes entails seeing the residents as individuals with individual histories, relationships, preferences and emotional needs. It is applicable as care homes are locations where individuals reside and not just locations where health hazards can be controlled. The balance of the current CQC infection prevention guidance is reflected in the statement about the need to enable visits wherever possible, to conduct individual risk assessments, and to incorporate visitor plans in care plans to ensure that the needs related to social contact are fulfilled (Care Quality Commission, 2025). It is a more vigorous strategy than the initial blanket prohibitions since it acknowledges that safety and relations are to be dealt with concurrently.</w:t>
      </w:r>
    </w:p>
    <w:p w14:paraId="44E5ADE0" w14:textId="77777777" w:rsidR="000C4F51" w:rsidRDefault="000C4F51" w:rsidP="000C4F51">
      <w:pPr>
        <w:jc w:val="both"/>
      </w:pPr>
      <w:r>
        <w:t xml:space="preserve">It is also important whether it is a rights-based approach. The following government action in regard to visiting consultation added that no one needs to be deprived of any reasonable access to visitors when staying in a care home, hospital or hospice (Department of Health and Social Care, 2023). This is significant as it rebrands visiting as an element of care, rather than an additional </w:t>
      </w:r>
      <w:r>
        <w:lastRenderedPageBreak/>
        <w:t>advantage. This development, as critically observed, reveals a weakness in the early pandemic thought. Family contact was usually considered a risk entering the house; however, family relatives also assist with identity, advocacy, comfort and protection. The elimination of that contact will help diminish one risk and augment the other.</w:t>
      </w:r>
    </w:p>
    <w:p w14:paraId="1F0CE168" w14:textId="3A4C3E72" w:rsidR="000C4F51" w:rsidRDefault="000C4F51" w:rsidP="000C4F51">
      <w:pPr>
        <w:jc w:val="both"/>
      </w:pPr>
      <w:r>
        <w:t>There are also systems perspectives. The staffing, payment, policy direction, clinical associations, local infection rates, building planning and social care financing influenced the care home outcomes. Schultze et al. (2022) have also determined that the age-standardised risks of mortality in care home residents were already much higher than those of older individuals in private housing, even in the pre-COVID-19 period and indicate that resident vulnerability existed prior to the pandemic. But this does not imply that there were no deaths that could have been avoided. Shallcross et al. (2021) are able to conclude that transmission was influenced by staffing and admission practices. Theoretical analysis must thus not tend to two extremes. It must not fault individual care homes for all the results, but neither may it absolve system failures along the lines of residents being already frail. Person-centred care and system responsibility should be linked to infection science and good care home pandemic planning.</w:t>
      </w:r>
    </w:p>
    <w:p w14:paraId="28E74E9D" w14:textId="77777777" w:rsidR="000D5CF6" w:rsidRDefault="00000000">
      <w:pPr>
        <w:pStyle w:val="Heading2"/>
      </w:pPr>
      <w:bookmarkStart w:id="11" w:name="_Toc234006768"/>
      <w:r>
        <w:t>2.4 International Context</w:t>
      </w:r>
      <w:bookmarkEnd w:id="11"/>
    </w:p>
    <w:p w14:paraId="3EBC4976" w14:textId="77777777" w:rsidR="000C4F51" w:rsidRDefault="000C4F51" w:rsidP="000C4F51">
      <w:pPr>
        <w:jc w:val="both"/>
      </w:pPr>
      <w:r>
        <w:t>The experience in the UK was a greater problem on a global basis. The long-term care homes suffered greatly in most countries as they congregated the elderly people, coexistence, close intimate personal care and movement of personnel. According to the OECD, the long-term care sector was especially hard hit by COVID-19, as the number of care recipients became significantly ill, and the number of care workers exposed to the virus was high (OECD, 2021). This evidence is international in nature as it demonstrates that the UK was not alone. But this should not be applied to absolve the UK policy. Risk could be best explained by a global trend; however, national choices still influenced the results.</w:t>
      </w:r>
    </w:p>
    <w:p w14:paraId="585B1B6B" w14:textId="77777777" w:rsidR="000C4F51" w:rsidRDefault="000C4F51" w:rsidP="000C4F51">
      <w:pPr>
        <w:jc w:val="both"/>
      </w:pPr>
      <w:r>
        <w:t>The global analysis shows that similar widespread stress was observed in most of the countries, such as a short supply of PPE, slow testing, workforce shortage, isolation and balancing safety and living standards. Lessons in OECD policy work involved testing strategies, lessening isolation, labour protection and enhanced coordination with health care services (OECD, 2021). Henriques et al. (2023) also discovered that long-term care outbreak measures had to incorporate infection control measures with staff, visitor and resident factors. This is important since infection control measures will not be effective when they do not take into consideration the individuals who will implement them.</w:t>
      </w:r>
    </w:p>
    <w:p w14:paraId="3A37B2C3" w14:textId="77777777" w:rsidR="000C4F51" w:rsidRDefault="000C4F51" w:rsidP="000C4F51">
      <w:pPr>
        <w:jc w:val="both"/>
      </w:pPr>
      <w:r>
        <w:t>An example of why straightforward comparisons may be deceptive is also found in the international setting. Countries varied in the definition of a care home, various ways of counting deaths and varied social care systems. Countries tend to have more publicly funded long-term care than those that rely more on that provided by a family or even private care. Thus, a direct juxtaposition of death rates may mask disparities in reporting, as well as in the fabric of care systems. It is more productive to compare what has been learned by countries. The more powerful teachings are similar across the international literature. Early testing, adequate PPE, generous sick pay, consistent staffing, clear instructions, prompt clinical care and safe visiting strategies are needed in care homes.</w:t>
      </w:r>
    </w:p>
    <w:p w14:paraId="31E1CBED" w14:textId="05D1A2FB" w:rsidR="000C4F51" w:rsidRDefault="000C4F51" w:rsidP="000C4F51">
      <w:pPr>
        <w:jc w:val="both"/>
      </w:pPr>
      <w:r>
        <w:t xml:space="preserve">This broader evidence can inform the UK, but it needs to implement lessons in its own social care environment. In England, Scotland, Wales and Northern Ireland, there is devolution and variation in how social care is organised for adults. The bulk of the best published evidence is directed towards </w:t>
      </w:r>
      <w:r>
        <w:lastRenderedPageBreak/>
        <w:t>England. This leaves a loophole to a study that was written in the UK, as it is not a singular system of care home policy in the UK. In this dissertation, international evidence would argue that care homes are structurally vulnerable in the case of a pandemic. The key thing is that the critical vulnerability must result in protection earlier, rather than later.</w:t>
      </w:r>
    </w:p>
    <w:p w14:paraId="5161185E" w14:textId="77777777" w:rsidR="000D5CF6" w:rsidRDefault="00000000">
      <w:pPr>
        <w:pStyle w:val="Heading2"/>
      </w:pPr>
      <w:bookmarkStart w:id="12" w:name="_Toc234006769"/>
      <w:r>
        <w:t>2.5 National and Local UK Context</w:t>
      </w:r>
      <w:bookmarkEnd w:id="12"/>
    </w:p>
    <w:p w14:paraId="2194CB95" w14:textId="77777777" w:rsidR="000C4F51" w:rsidRDefault="000C4F51" w:rsidP="000C4F51">
      <w:pPr>
        <w:jc w:val="both"/>
      </w:pPr>
      <w:r>
        <w:t>The situation in the UK is not easy, as adult social care is devolved. Each region, England, Scotland, Wales and Northern Ireland, was at various times guided by its unique rules. The majority of evidence utilised in this dissertation is based in England due to the greater number of publications that the ONS, CQC, Skills for Care and government guidelines have issued in England. It is a weakness, but it is a strength in that England boasts a substantial sector of care homes and much of the public discussion on discharge, testing and visiting has taken place in that sector.</w:t>
      </w:r>
    </w:p>
    <w:p w14:paraId="6452DC68" w14:textId="77777777" w:rsidR="000C4F51" w:rsidRDefault="000C4F51" w:rsidP="000C4F51">
      <w:pPr>
        <w:jc w:val="both"/>
      </w:pPr>
      <w:r>
        <w:t>The ONS has notified 45,632 deaths involving COVID-19 in the care homes between March 2020 and January 2022 in England and Wales (Office for National Statistics, 2022). COVID-19 was mentioned on the care home resident death certificates 43,256 times in England alone. These numbers demonstrate the amount of the loss, yet they are not able to describe the entire experience. Death statistics do not include the survivors who were unable to move, lost confidence or connection with relatives. Nor does it record staff trauma, fatigue or moral distress. Such is the importance of qualitative studies. Hanna et al. (2022) demonstrated altered working practices and huge pressure on care home staff. Giebel et al. (2022) demonstrated that the limitations and recurring uncertainty emotionally impacted the residents, family carers and staff.</w:t>
      </w:r>
    </w:p>
    <w:p w14:paraId="59DE7458" w14:textId="77777777" w:rsidR="000C4F51" w:rsidRDefault="000C4F51" w:rsidP="000C4F51">
      <w:pPr>
        <w:jc w:val="both"/>
      </w:pPr>
      <w:r>
        <w:t>The current national and local practice has changed towards risk-managed living with COVID-19. According to the CQC, COVID-19 is no longer an active pandemic management task but a general practice of infection prevention and control; however, the risk of spreading an infection is still present, and providers should still identify risks and practice good use (Care Quality Commission, 2025). This is an improved standpoint than blanket restrictions since it offers an opportunity to make a more personal judgment of risk. Nevertheless, it puts a lot of responsibility on local providers and managers, as well. Care homes are required to make inferences, regulate visitors, provide staff assistance, deal with outbreaks and contact families, frequently under workforce strains.</w:t>
      </w:r>
    </w:p>
    <w:p w14:paraId="462249C2" w14:textId="77777777" w:rsidR="000C4F51" w:rsidRDefault="000C4F51" w:rsidP="000C4F51">
      <w:pPr>
        <w:jc w:val="both"/>
      </w:pPr>
      <w:r>
        <w:t>One of the largest local issues is workforce pressure. According to Skills for Care, the total number of adult social care posts in England was 1.71 million in 2024/25, 111,000 of which were vacant, and the vacancy rate was 7.0%. It also announced a turnover rate of 23.1%, which is approximately 335,000 leavers in one year (Skills for Care, 2025). This represents an improvement to the high vacancy rate of 10.5% in 2021/22, though it is indicative of a weak workforce. This is important to pandemic preparedness since people are important in controlling infections. When employees are exhausted, undercompensated, moving out of the job or working in a variety of environments, mentoring will not safeguard the patients.</w:t>
      </w:r>
    </w:p>
    <w:p w14:paraId="278D00FD" w14:textId="2C745FA2" w:rsidR="000C4F51" w:rsidRDefault="000C4F51" w:rsidP="000C4F51">
      <w:pPr>
        <w:jc w:val="both"/>
      </w:pPr>
      <w:r>
        <w:t xml:space="preserve">The relationship among care homes, families, GPs, hospitals, local authorities and infection control teams also constitutes the local context. In the case of an outbreak in the future, a care home will require more than the written instructions. It will require expedited testing guidance, good communication, the provision of PPE, staff sickness support, and feasible visiting strategies. Providers are now required by the CQC to maintain visitor plans in care plans, utilise outbreak plans and support staff wellness (Care Quality Commission, 2025). This is good, but it depends on </w:t>
      </w:r>
      <w:r>
        <w:lastRenderedPageBreak/>
        <w:t>local capability. The most important message is that care home safety is not something that care homes can provide. It demands that health and social care systems put care homes at the heart of their partnership and not as an add-on.</w:t>
      </w:r>
    </w:p>
    <w:p w14:paraId="75727B37" w14:textId="77777777" w:rsidR="000D5CF6" w:rsidRDefault="00000000">
      <w:pPr>
        <w:pStyle w:val="Heading2"/>
      </w:pPr>
      <w:bookmarkStart w:id="13" w:name="_Toc234006770"/>
      <w:r>
        <w:t>2.6 Chapter Conclusion</w:t>
      </w:r>
      <w:bookmarkEnd w:id="13"/>
    </w:p>
    <w:p w14:paraId="2BB79A9C" w14:textId="04902330" w:rsidR="000C4F51" w:rsidRDefault="000C4F51">
      <w:pPr>
        <w:jc w:val="both"/>
      </w:pPr>
      <w:r w:rsidRPr="000C4F51">
        <w:t>This chapter has demonstrated that the influence of COVID-19 on care homes was mediated by the historical, theoretical, international trends, and the UK policy. The pandemic has revealed the long-standing vulnerabilities of adult social care, such as staffing pressure, the lack of integration with health services and a lack of understanding of the balance between infection control and person-centred care. Safety cannot be defined solely as the absence of infection, as well, which is also evidenced. Dignity, family connectedness, emotional support and effective communication are also part of the safety of the residents. The second chapter will outline the method of secondary research that was employed to select and critically analyse sources in this dissertation.</w:t>
      </w:r>
    </w:p>
    <w:p w14:paraId="1A0731F2" w14:textId="77777777" w:rsidR="000D5CF6" w:rsidRDefault="00000000">
      <w:pPr>
        <w:pStyle w:val="Heading1"/>
        <w:pageBreakBefore/>
      </w:pPr>
      <w:bookmarkStart w:id="14" w:name="_Toc234006771"/>
      <w:r>
        <w:lastRenderedPageBreak/>
        <w:t>References</w:t>
      </w:r>
      <w:bookmarkEnd w:id="14"/>
    </w:p>
    <w:p w14:paraId="17FD39C4" w14:textId="77777777" w:rsidR="0048677A" w:rsidRPr="0048677A" w:rsidRDefault="0048677A" w:rsidP="0048677A">
      <w:pPr>
        <w:ind w:left="360" w:hanging="360"/>
        <w:jc w:val="both"/>
      </w:pPr>
      <w:r w:rsidRPr="0048677A">
        <w:t xml:space="preserve">Care Quality Commission (2025) </w:t>
      </w:r>
      <w:r w:rsidRPr="0048677A">
        <w:rPr>
          <w:i/>
          <w:iCs/>
        </w:rPr>
        <w:t>Infection prevention and control in care homes</w:t>
      </w:r>
      <w:r w:rsidRPr="0048677A">
        <w:t xml:space="preserve">. Available at: </w:t>
      </w:r>
      <w:hyperlink r:id="rId8" w:tgtFrame="_new" w:history="1">
        <w:r w:rsidRPr="0048677A">
          <w:rPr>
            <w:rStyle w:val="Hyperlink"/>
          </w:rPr>
          <w:t>https://www.cqc.org.uk/guidance-regulation/providers/adult-social-care/infection-prevention-control-care-homes</w:t>
        </w:r>
      </w:hyperlink>
      <w:r w:rsidRPr="0048677A">
        <w:t xml:space="preserve"> (Accessed: 29 June 2026).</w:t>
      </w:r>
    </w:p>
    <w:p w14:paraId="689DDC82" w14:textId="77777777" w:rsidR="0048677A" w:rsidRPr="0048677A" w:rsidRDefault="0048677A" w:rsidP="0048677A">
      <w:pPr>
        <w:ind w:left="360" w:hanging="360"/>
        <w:jc w:val="both"/>
      </w:pPr>
      <w:r w:rsidRPr="0048677A">
        <w:t xml:space="preserve">Department of Health and Social Care (2022) </w:t>
      </w:r>
      <w:r w:rsidRPr="0048677A">
        <w:rPr>
          <w:i/>
          <w:iCs/>
        </w:rPr>
        <w:t>Guidance on care home visiting</w:t>
      </w:r>
      <w:r w:rsidRPr="0048677A">
        <w:t xml:space="preserve">. Available at: </w:t>
      </w:r>
      <w:hyperlink r:id="rId9" w:tgtFrame="_new" w:history="1">
        <w:r w:rsidRPr="0048677A">
          <w:rPr>
            <w:rStyle w:val="Hyperlink"/>
          </w:rPr>
          <w:t>https://www.gov.uk/government/publications/visiting-care-homes-during-coronavirus/update-on-policies-for-visiting-arrangements-in-care-homes</w:t>
        </w:r>
      </w:hyperlink>
      <w:r w:rsidRPr="0048677A">
        <w:t xml:space="preserve"> (Accessed: 21 June 2026).</w:t>
      </w:r>
    </w:p>
    <w:p w14:paraId="0B214BEF" w14:textId="77777777" w:rsidR="0048677A" w:rsidRPr="0048677A" w:rsidRDefault="0048677A" w:rsidP="0048677A">
      <w:pPr>
        <w:ind w:left="360" w:hanging="360"/>
        <w:jc w:val="both"/>
      </w:pPr>
      <w:r w:rsidRPr="0048677A">
        <w:t xml:space="preserve">Department of Health and Social Care (2023) </w:t>
      </w:r>
      <w:r w:rsidRPr="0048677A">
        <w:rPr>
          <w:i/>
          <w:iCs/>
        </w:rPr>
        <w:t>Government response to the consultation on visiting in care homes, hospitals and hospices</w:t>
      </w:r>
      <w:r w:rsidRPr="0048677A">
        <w:t xml:space="preserve">. Available at: </w:t>
      </w:r>
      <w:hyperlink r:id="rId10" w:tgtFrame="_new" w:history="1">
        <w:r w:rsidRPr="0048677A">
          <w:rPr>
            <w:rStyle w:val="Hyperlink"/>
          </w:rPr>
          <w:t>https://assets.publishing.service.gov.uk/media/656db0d29462260705c56826/Government-response-to-the-consultation-on-visiting-in-care-homes-hospitals-and-hospices-print-ready.pdf</w:t>
        </w:r>
      </w:hyperlink>
      <w:r w:rsidRPr="0048677A">
        <w:t xml:space="preserve"> (Accessed: 1 July 2026).</w:t>
      </w:r>
    </w:p>
    <w:p w14:paraId="176AC819" w14:textId="77777777" w:rsidR="0048677A" w:rsidRPr="0048677A" w:rsidRDefault="0048677A" w:rsidP="0048677A">
      <w:pPr>
        <w:ind w:left="360" w:hanging="360"/>
        <w:jc w:val="both"/>
      </w:pPr>
      <w:r w:rsidRPr="0048677A">
        <w:t xml:space="preserve">Dyer, C. (2022) ‘Covid-19: Policy to discharge vulnerable patients to care homes was irrational, say judges’, </w:t>
      </w:r>
      <w:r w:rsidRPr="0048677A">
        <w:rPr>
          <w:i/>
          <w:iCs/>
        </w:rPr>
        <w:t>BMJ</w:t>
      </w:r>
      <w:r w:rsidRPr="0048677A">
        <w:t xml:space="preserve">, 377, o1098. Available at: </w:t>
      </w:r>
      <w:hyperlink r:id="rId11" w:tgtFrame="_new" w:history="1">
        <w:r w:rsidRPr="0048677A">
          <w:rPr>
            <w:rStyle w:val="Hyperlink"/>
          </w:rPr>
          <w:t>https://doi.org/10.1136/bmj.o1098</w:t>
        </w:r>
      </w:hyperlink>
      <w:r w:rsidRPr="0048677A">
        <w:t>.</w:t>
      </w:r>
    </w:p>
    <w:p w14:paraId="768B2A5D" w14:textId="77777777" w:rsidR="0048677A" w:rsidRPr="0048677A" w:rsidRDefault="0048677A" w:rsidP="0048677A">
      <w:pPr>
        <w:ind w:left="360" w:hanging="360"/>
        <w:jc w:val="both"/>
      </w:pPr>
      <w:r w:rsidRPr="0048677A">
        <w:t xml:space="preserve">Giebel, C., Hanna, K., Marlow, P., Cannon, J., Tetlow, H., Shenton, J., Faulkner, T., Rajagopal, M., Mason, S. and Gabbay, M. (2022) ‘Guilt, tears and burnout: Impact of UK care home restrictions on the mental wellbeing of staff, families and residents’, </w:t>
      </w:r>
      <w:r w:rsidRPr="0048677A">
        <w:rPr>
          <w:i/>
          <w:iCs/>
        </w:rPr>
        <w:t>Journal of Advanced Nursing</w:t>
      </w:r>
      <w:r w:rsidRPr="0048677A">
        <w:t xml:space="preserve">, 78(7), pp. 2191–2202. Available at: </w:t>
      </w:r>
      <w:hyperlink r:id="rId12" w:tgtFrame="_new" w:history="1">
        <w:r w:rsidRPr="0048677A">
          <w:rPr>
            <w:rStyle w:val="Hyperlink"/>
          </w:rPr>
          <w:t>https://doi.org/10.1111/jan.15181</w:t>
        </w:r>
      </w:hyperlink>
      <w:r w:rsidRPr="0048677A">
        <w:t>.</w:t>
      </w:r>
    </w:p>
    <w:p w14:paraId="53E53655" w14:textId="77777777" w:rsidR="0048677A" w:rsidRPr="0048677A" w:rsidRDefault="0048677A" w:rsidP="0048677A">
      <w:pPr>
        <w:ind w:left="360" w:hanging="360"/>
        <w:jc w:val="both"/>
      </w:pPr>
      <w:r w:rsidRPr="0048677A">
        <w:t xml:space="preserve">Gordon, A.L., Goodman, C., Achterberg, W., Barker, R.O., Burns, E., Hanratty, B., Martin, F.C., Meyer, J., O’Neill, D., Schols, J.M.G.A. and Spilsbury, K. (2020) ‘Commentary: COVID in care homes: challenges and dilemmas in healthcare delivery’, </w:t>
      </w:r>
      <w:r w:rsidRPr="0048677A">
        <w:rPr>
          <w:i/>
          <w:iCs/>
        </w:rPr>
        <w:t>Age and Ageing</w:t>
      </w:r>
      <w:r w:rsidRPr="0048677A">
        <w:t xml:space="preserve">, 49(5), pp. 701–705. Available at: </w:t>
      </w:r>
      <w:hyperlink r:id="rId13" w:tgtFrame="_new" w:history="1">
        <w:r w:rsidRPr="0048677A">
          <w:rPr>
            <w:rStyle w:val="Hyperlink"/>
          </w:rPr>
          <w:t>https://doi.org/10.1093/ageing/afaa113</w:t>
        </w:r>
      </w:hyperlink>
      <w:r w:rsidRPr="0048677A">
        <w:t>.</w:t>
      </w:r>
    </w:p>
    <w:p w14:paraId="1B624129" w14:textId="77777777" w:rsidR="0048677A" w:rsidRPr="0048677A" w:rsidRDefault="0048677A" w:rsidP="0048677A">
      <w:pPr>
        <w:ind w:left="360" w:hanging="360"/>
        <w:jc w:val="both"/>
      </w:pPr>
      <w:r w:rsidRPr="0048677A">
        <w:t xml:space="preserve">Hanna, K., Giebel, C., Cannon, J., Shenton, J., Mason, S., Tetlow, H., Marlow, P., Rajagopal, M. and Gabbay, M. (2022) ‘Working in a care home during the COVID-19 pandemic: How has the pandemic changed working practices? A qualitative study’, </w:t>
      </w:r>
      <w:r w:rsidRPr="0048677A">
        <w:rPr>
          <w:i/>
          <w:iCs/>
        </w:rPr>
        <w:t>BMC Geriatrics</w:t>
      </w:r>
      <w:r w:rsidRPr="0048677A">
        <w:t xml:space="preserve">, 22, 129. Available at: </w:t>
      </w:r>
      <w:hyperlink r:id="rId14" w:tgtFrame="_new" w:history="1">
        <w:r w:rsidRPr="0048677A">
          <w:rPr>
            <w:rStyle w:val="Hyperlink"/>
          </w:rPr>
          <w:t>https://doi.org/10.1186/s12877-022-02822-0</w:t>
        </w:r>
      </w:hyperlink>
      <w:r w:rsidRPr="0048677A">
        <w:t>.</w:t>
      </w:r>
    </w:p>
    <w:p w14:paraId="236A730D" w14:textId="77777777" w:rsidR="0048677A" w:rsidRPr="0048677A" w:rsidRDefault="0048677A" w:rsidP="0048677A">
      <w:pPr>
        <w:ind w:left="360" w:hanging="360"/>
        <w:jc w:val="both"/>
      </w:pPr>
      <w:r w:rsidRPr="0048677A">
        <w:t xml:space="preserve">Henriques, H.R., Sousa, A., Barros, H. and Fronteira, I. (2023) ‘Learning from the COVID-19 outbreaks in long-term care facilities: A systematic review’, </w:t>
      </w:r>
      <w:r w:rsidRPr="0048677A">
        <w:rPr>
          <w:i/>
          <w:iCs/>
        </w:rPr>
        <w:t>BMC Geriatrics</w:t>
      </w:r>
      <w:r w:rsidRPr="0048677A">
        <w:t xml:space="preserve">, 23, 618. Available at: </w:t>
      </w:r>
      <w:hyperlink r:id="rId15" w:tgtFrame="_new" w:history="1">
        <w:r w:rsidRPr="0048677A">
          <w:rPr>
            <w:rStyle w:val="Hyperlink"/>
          </w:rPr>
          <w:t>https://doi.org/10.1186/s12877-023-04319-w</w:t>
        </w:r>
      </w:hyperlink>
      <w:r w:rsidRPr="0048677A">
        <w:t>.</w:t>
      </w:r>
    </w:p>
    <w:p w14:paraId="45CC7331" w14:textId="77777777" w:rsidR="0048677A" w:rsidRPr="0048677A" w:rsidRDefault="0048677A" w:rsidP="0048677A">
      <w:pPr>
        <w:ind w:left="360" w:hanging="360"/>
        <w:jc w:val="both"/>
      </w:pPr>
      <w:r w:rsidRPr="0048677A">
        <w:t xml:space="preserve">Moore, D.C., Garner, A., Cotterell, N., Davies, N., Vickerstaff, V., Sampson, E.L. and Candy, B. (2024) ‘Long-term care facilities in England during the COVID-19 pandemic: A scoping review of guidelines, policy and recommendations’, </w:t>
      </w:r>
      <w:r w:rsidRPr="0048677A">
        <w:rPr>
          <w:i/>
          <w:iCs/>
        </w:rPr>
        <w:t>BMC Geriatrics</w:t>
      </w:r>
      <w:r w:rsidRPr="0048677A">
        <w:t xml:space="preserve">, 24, 394. Available at: </w:t>
      </w:r>
      <w:hyperlink r:id="rId16" w:tgtFrame="_new" w:history="1">
        <w:r w:rsidRPr="0048677A">
          <w:rPr>
            <w:rStyle w:val="Hyperlink"/>
          </w:rPr>
          <w:t>https://doi.org/10.1186/s12877-024-04867-9</w:t>
        </w:r>
      </w:hyperlink>
      <w:r w:rsidRPr="0048677A">
        <w:t>.</w:t>
      </w:r>
    </w:p>
    <w:p w14:paraId="4F6C04DA" w14:textId="77777777" w:rsidR="0048677A" w:rsidRPr="0048677A" w:rsidRDefault="0048677A" w:rsidP="0048677A">
      <w:pPr>
        <w:ind w:left="360" w:hanging="360"/>
        <w:jc w:val="both"/>
      </w:pPr>
      <w:r w:rsidRPr="0048677A">
        <w:t xml:space="preserve">National Audit Office (2020) </w:t>
      </w:r>
      <w:r w:rsidRPr="0048677A">
        <w:rPr>
          <w:i/>
          <w:iCs/>
        </w:rPr>
        <w:t>Readying the NHS and adult social care in England for COVID-19</w:t>
      </w:r>
      <w:r w:rsidRPr="0048677A">
        <w:t xml:space="preserve">. Available at: </w:t>
      </w:r>
      <w:hyperlink r:id="rId17" w:tgtFrame="_new" w:history="1">
        <w:r w:rsidRPr="0048677A">
          <w:rPr>
            <w:rStyle w:val="Hyperlink"/>
          </w:rPr>
          <w:t>https://www.nao.org.uk/reports/readying-the-nhs-and-adult-social-care-in-england-for-covid-19/</w:t>
        </w:r>
      </w:hyperlink>
      <w:r w:rsidRPr="0048677A">
        <w:t xml:space="preserve"> (Accessed: 26 June 2026).</w:t>
      </w:r>
    </w:p>
    <w:p w14:paraId="7E03082B" w14:textId="77777777" w:rsidR="0048677A" w:rsidRPr="0048677A" w:rsidRDefault="0048677A" w:rsidP="0048677A">
      <w:pPr>
        <w:ind w:left="360" w:hanging="360"/>
        <w:jc w:val="both"/>
      </w:pPr>
      <w:r w:rsidRPr="0048677A">
        <w:t xml:space="preserve">NHS (2023) </w:t>
      </w:r>
      <w:r w:rsidRPr="0048677A">
        <w:rPr>
          <w:i/>
          <w:iCs/>
        </w:rPr>
        <w:t>Care homes</w:t>
      </w:r>
      <w:r w:rsidRPr="0048677A">
        <w:t xml:space="preserve">. Available at: </w:t>
      </w:r>
      <w:hyperlink r:id="rId18" w:tgtFrame="_new" w:history="1">
        <w:r w:rsidRPr="0048677A">
          <w:rPr>
            <w:rStyle w:val="Hyperlink"/>
          </w:rPr>
          <w:t>https://www.nhs.uk/social-care-and-support/care-services-equipment-and-care-homes/care-homes/</w:t>
        </w:r>
      </w:hyperlink>
      <w:r w:rsidRPr="0048677A">
        <w:t xml:space="preserve"> (Accessed: 2 July 2026).</w:t>
      </w:r>
    </w:p>
    <w:p w14:paraId="555D45D1" w14:textId="77777777" w:rsidR="0048677A" w:rsidRPr="0048677A" w:rsidRDefault="0048677A" w:rsidP="0048677A">
      <w:pPr>
        <w:ind w:left="360" w:hanging="360"/>
        <w:jc w:val="both"/>
      </w:pPr>
      <w:r w:rsidRPr="0048677A">
        <w:t xml:space="preserve">Office for National Statistics (2022) </w:t>
      </w:r>
      <w:r w:rsidRPr="0048677A">
        <w:rPr>
          <w:i/>
          <w:iCs/>
        </w:rPr>
        <w:t xml:space="preserve">Deaths involving COVID-19 in the care sector, England and Wales: Deaths registered between week ending 20 March 2020 and week ending 21 January </w:t>
      </w:r>
      <w:r w:rsidRPr="0048677A">
        <w:rPr>
          <w:i/>
          <w:iCs/>
        </w:rPr>
        <w:lastRenderedPageBreak/>
        <w:t>2022</w:t>
      </w:r>
      <w:r w:rsidRPr="0048677A">
        <w:t xml:space="preserve">. Available at: </w:t>
      </w:r>
      <w:hyperlink r:id="rId19" w:tgtFrame="_new" w:history="1">
        <w:r w:rsidRPr="0048677A">
          <w:rPr>
            <w:rStyle w:val="Hyperlink"/>
          </w:rPr>
          <w:t>https://www.ons.gov.uk/peoplepopulationandcommunity/birthsdeathsandmarriages/deaths/articles/deathsinvolvingcovid19inthecaresectorenglandandwales/deathsregisteredbetweenweekending20march2020andweekending21january2022</w:t>
        </w:r>
      </w:hyperlink>
      <w:r w:rsidRPr="0048677A">
        <w:t xml:space="preserve"> (Accessed: 21 June 2026).</w:t>
      </w:r>
    </w:p>
    <w:p w14:paraId="764C47DA" w14:textId="77777777" w:rsidR="0048677A" w:rsidRPr="0048677A" w:rsidRDefault="0048677A" w:rsidP="0048677A">
      <w:pPr>
        <w:ind w:left="360" w:hanging="360"/>
        <w:jc w:val="both"/>
      </w:pPr>
      <w:r w:rsidRPr="0048677A">
        <w:t xml:space="preserve">Organisation for Economic Co-operation and Development (2021) </w:t>
      </w:r>
      <w:r w:rsidRPr="0048677A">
        <w:rPr>
          <w:i/>
          <w:iCs/>
        </w:rPr>
        <w:t>COVID-19 in long-term care: Impact, policy responses and challenges</w:t>
      </w:r>
      <w:r w:rsidRPr="0048677A">
        <w:t xml:space="preserve">. Available at: </w:t>
      </w:r>
      <w:hyperlink r:id="rId20" w:tgtFrame="_new" w:history="1">
        <w:r w:rsidRPr="0048677A">
          <w:rPr>
            <w:rStyle w:val="Hyperlink"/>
          </w:rPr>
          <w:t>https://doi.org/10.1787/b966f837-en</w:t>
        </w:r>
      </w:hyperlink>
      <w:r w:rsidRPr="0048677A">
        <w:t>.</w:t>
      </w:r>
    </w:p>
    <w:p w14:paraId="676D69BC" w14:textId="77777777" w:rsidR="0048677A" w:rsidRPr="0048677A" w:rsidRDefault="0048677A" w:rsidP="0048677A">
      <w:pPr>
        <w:ind w:left="360" w:hanging="360"/>
        <w:jc w:val="both"/>
      </w:pPr>
      <w:r w:rsidRPr="0048677A">
        <w:t xml:space="preserve">Schultze, A., Nightingale, E., Evans, D., Hulme, W., Rosello, A., Bates, C. and Leon, D.A. (2022) ‘Mortality among care home residents in England during the first and second waves of the COVID-19 pandemic: An observational study of 4.3 million adults over the age of 65’, </w:t>
      </w:r>
      <w:r w:rsidRPr="0048677A">
        <w:rPr>
          <w:i/>
          <w:iCs/>
        </w:rPr>
        <w:t>The Lancet Regional Health Europe</w:t>
      </w:r>
      <w:r w:rsidRPr="0048677A">
        <w:t xml:space="preserve">, 14, 100295. Available at: </w:t>
      </w:r>
      <w:hyperlink r:id="rId21" w:tgtFrame="_new" w:history="1">
        <w:r w:rsidRPr="0048677A">
          <w:rPr>
            <w:rStyle w:val="Hyperlink"/>
          </w:rPr>
          <w:t>https://doi.org/10.1016/j.lanepe.2021.100295</w:t>
        </w:r>
      </w:hyperlink>
      <w:r w:rsidRPr="0048677A">
        <w:t>.</w:t>
      </w:r>
    </w:p>
    <w:p w14:paraId="6B7E2EBB" w14:textId="77777777" w:rsidR="0048677A" w:rsidRPr="0048677A" w:rsidRDefault="0048677A" w:rsidP="0048677A">
      <w:pPr>
        <w:ind w:left="360" w:hanging="360"/>
        <w:jc w:val="both"/>
      </w:pPr>
      <w:r w:rsidRPr="0048677A">
        <w:t xml:space="preserve">Shallcross, L., Burke, D., Abbott, O., Donaldson, A., Hallatt, G., Hayward, A., Hopkins, S., Krutikov, M., Sharp, K., Wardman, L. and Thorne, S. (2021) ‘Factors associated with SARS-CoV-2 infection and outbreaks in long-term care facilities in England: A national cross-sectional survey’, </w:t>
      </w:r>
      <w:r w:rsidRPr="0048677A">
        <w:rPr>
          <w:i/>
          <w:iCs/>
        </w:rPr>
        <w:t>The Lancet Healthy Longevity</w:t>
      </w:r>
      <w:r w:rsidRPr="0048677A">
        <w:t xml:space="preserve">, 2(3), pp. e129–e142. Available at: </w:t>
      </w:r>
      <w:hyperlink r:id="rId22" w:tgtFrame="_new" w:history="1">
        <w:r w:rsidRPr="0048677A">
          <w:rPr>
            <w:rStyle w:val="Hyperlink"/>
          </w:rPr>
          <w:t>https://doi.org/10.1016/S2666-7568(20)30065-9</w:t>
        </w:r>
      </w:hyperlink>
      <w:r w:rsidRPr="0048677A">
        <w:t>.</w:t>
      </w:r>
    </w:p>
    <w:p w14:paraId="62D3A92D" w14:textId="77777777" w:rsidR="0048677A" w:rsidRPr="0048677A" w:rsidRDefault="0048677A" w:rsidP="0048677A">
      <w:pPr>
        <w:ind w:left="360" w:hanging="360"/>
        <w:jc w:val="both"/>
      </w:pPr>
      <w:r w:rsidRPr="0048677A">
        <w:t xml:space="preserve">Skills for Care (2025) </w:t>
      </w:r>
      <w:r w:rsidRPr="0048677A">
        <w:rPr>
          <w:i/>
          <w:iCs/>
        </w:rPr>
        <w:t>The state of the adult social care sector and workforce in England, 2025: Executive summary</w:t>
      </w:r>
      <w:r w:rsidRPr="0048677A">
        <w:t xml:space="preserve">. Available at: </w:t>
      </w:r>
      <w:hyperlink r:id="rId23" w:tgtFrame="_new" w:history="1">
        <w:r w:rsidRPr="0048677A">
          <w:rPr>
            <w:rStyle w:val="Hyperlink"/>
          </w:rPr>
          <w:t>https://www.skillsforcare.org.uk/Adult-Social-Care-Workforce-Data/workforceintelligence/resources/Reports/National/The-state-of-the-adult-social-care-sector-and-workforce-in-England-2025-Executive-Summary.pdf</w:t>
        </w:r>
      </w:hyperlink>
      <w:r w:rsidRPr="0048677A">
        <w:t xml:space="preserve"> (Accessed: 29 June 2026).</w:t>
      </w:r>
    </w:p>
    <w:p w14:paraId="466AE193" w14:textId="34A924A8" w:rsidR="000D5CF6" w:rsidRDefault="0048677A" w:rsidP="0048677A">
      <w:pPr>
        <w:ind w:left="360" w:hanging="360"/>
        <w:jc w:val="both"/>
      </w:pPr>
      <w:r w:rsidRPr="0048677A">
        <w:t xml:space="preserve">World Health Organization (2023) </w:t>
      </w:r>
      <w:r w:rsidRPr="0048677A">
        <w:rPr>
          <w:i/>
          <w:iCs/>
        </w:rPr>
        <w:t>Coronavirus disease (COVID-19)</w:t>
      </w:r>
      <w:r w:rsidRPr="0048677A">
        <w:t xml:space="preserve">. Available at: </w:t>
      </w:r>
      <w:hyperlink r:id="rId24" w:tgtFrame="_new" w:history="1">
        <w:r w:rsidRPr="0048677A">
          <w:rPr>
            <w:rStyle w:val="Hyperlink"/>
          </w:rPr>
          <w:t>https://www.who.int/health-topics/coronavirus</w:t>
        </w:r>
      </w:hyperlink>
      <w:r w:rsidRPr="0048677A">
        <w:t xml:space="preserve"> (Accessed: 26 June 2026).</w:t>
      </w:r>
    </w:p>
    <w:sectPr w:rsidR="000D5CF6" w:rsidSect="00034616">
      <w:headerReference w:type="default" r:id="rId25"/>
      <w:footerReference w:type="default" r:id="rId26"/>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3E5F2" w14:textId="77777777" w:rsidR="00200016" w:rsidRDefault="00200016">
      <w:pPr>
        <w:spacing w:after="0" w:line="240" w:lineRule="auto"/>
      </w:pPr>
      <w:r>
        <w:separator/>
      </w:r>
    </w:p>
  </w:endnote>
  <w:endnote w:type="continuationSeparator" w:id="0">
    <w:p w14:paraId="199115DB" w14:textId="77777777" w:rsidR="00200016" w:rsidRDefault="00200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F70CB" w14:textId="77777777" w:rsidR="000D5CF6" w:rsidRDefault="00000000">
    <w:pPr>
      <w:pStyle w:val="Footer"/>
      <w:jc w:val="center"/>
    </w:pPr>
    <w: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2C257" w14:textId="77777777" w:rsidR="00200016" w:rsidRDefault="00200016">
      <w:pPr>
        <w:spacing w:after="0" w:line="240" w:lineRule="auto"/>
      </w:pPr>
      <w:r>
        <w:separator/>
      </w:r>
    </w:p>
  </w:footnote>
  <w:footnote w:type="continuationSeparator" w:id="0">
    <w:p w14:paraId="034CDBEB" w14:textId="77777777" w:rsidR="00200016" w:rsidRDefault="00200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8986B" w14:textId="549D0B9A" w:rsidR="000D5CF6" w:rsidRDefault="000D5CF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B077288"/>
    <w:multiLevelType w:val="hybridMultilevel"/>
    <w:tmpl w:val="5896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7537924">
    <w:abstractNumId w:val="8"/>
  </w:num>
  <w:num w:numId="2" w16cid:durableId="595672044">
    <w:abstractNumId w:val="6"/>
  </w:num>
  <w:num w:numId="3" w16cid:durableId="2141721570">
    <w:abstractNumId w:val="5"/>
  </w:num>
  <w:num w:numId="4" w16cid:durableId="1639217832">
    <w:abstractNumId w:val="4"/>
  </w:num>
  <w:num w:numId="5" w16cid:durableId="942422213">
    <w:abstractNumId w:val="7"/>
  </w:num>
  <w:num w:numId="6" w16cid:durableId="1190415452">
    <w:abstractNumId w:val="3"/>
  </w:num>
  <w:num w:numId="7" w16cid:durableId="1820150619">
    <w:abstractNumId w:val="2"/>
  </w:num>
  <w:num w:numId="8" w16cid:durableId="358554295">
    <w:abstractNumId w:val="1"/>
  </w:num>
  <w:num w:numId="9" w16cid:durableId="1664695896">
    <w:abstractNumId w:val="0"/>
  </w:num>
  <w:num w:numId="10" w16cid:durableId="13532614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4F51"/>
    <w:rsid w:val="000D5CF6"/>
    <w:rsid w:val="0010094E"/>
    <w:rsid w:val="0015074B"/>
    <w:rsid w:val="00200016"/>
    <w:rsid w:val="00217E7F"/>
    <w:rsid w:val="00245DE0"/>
    <w:rsid w:val="0029639D"/>
    <w:rsid w:val="0031186D"/>
    <w:rsid w:val="00326F90"/>
    <w:rsid w:val="0048677A"/>
    <w:rsid w:val="00777060"/>
    <w:rsid w:val="00850DD2"/>
    <w:rsid w:val="008E228A"/>
    <w:rsid w:val="00A97688"/>
    <w:rsid w:val="00AA1D8D"/>
    <w:rsid w:val="00B47730"/>
    <w:rsid w:val="00B8462F"/>
    <w:rsid w:val="00BA536F"/>
    <w:rsid w:val="00CB0664"/>
    <w:rsid w:val="00DE027B"/>
    <w:rsid w:val="00E8698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94DBDC"/>
  <w14:defaultImageDpi w14:val="300"/>
  <w15:docId w15:val="{519DBD85-3045-42C8-AEAA-A1A64027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5C78"/>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5C78"/>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8677A"/>
    <w:rPr>
      <w:color w:val="0000FF" w:themeColor="hyperlink"/>
      <w:u w:val="single"/>
    </w:rPr>
  </w:style>
  <w:style w:type="character" w:styleId="UnresolvedMention">
    <w:name w:val="Unresolved Mention"/>
    <w:basedOn w:val="DefaultParagraphFont"/>
    <w:uiPriority w:val="99"/>
    <w:semiHidden/>
    <w:unhideWhenUsed/>
    <w:rsid w:val="0048677A"/>
    <w:rPr>
      <w:color w:val="605E5C"/>
      <w:shd w:val="clear" w:color="auto" w:fill="E1DFDD"/>
    </w:rPr>
  </w:style>
  <w:style w:type="character" w:styleId="FollowedHyperlink">
    <w:name w:val="FollowedHyperlink"/>
    <w:basedOn w:val="DefaultParagraphFont"/>
    <w:uiPriority w:val="99"/>
    <w:semiHidden/>
    <w:unhideWhenUsed/>
    <w:rsid w:val="0010094E"/>
    <w:rPr>
      <w:color w:val="800080" w:themeColor="followedHyperlink"/>
      <w:u w:val="single"/>
    </w:rPr>
  </w:style>
  <w:style w:type="paragraph" w:styleId="TOC1">
    <w:name w:val="toc 1"/>
    <w:basedOn w:val="Normal"/>
    <w:next w:val="Normal"/>
    <w:autoRedefine/>
    <w:uiPriority w:val="39"/>
    <w:unhideWhenUsed/>
    <w:rsid w:val="00B8462F"/>
    <w:pPr>
      <w:spacing w:after="100"/>
    </w:pPr>
  </w:style>
  <w:style w:type="paragraph" w:styleId="TOC2">
    <w:name w:val="toc 2"/>
    <w:basedOn w:val="Normal"/>
    <w:next w:val="Normal"/>
    <w:autoRedefine/>
    <w:uiPriority w:val="39"/>
    <w:unhideWhenUsed/>
    <w:rsid w:val="00B846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adult-social-care/infection-prevention-control-care-homes?utm_source=chatgpt.com" TargetMode="External"/><Relationship Id="rId13" Type="http://schemas.openxmlformats.org/officeDocument/2006/relationships/hyperlink" Target="https://doi.org/10.1093/ageing/afaa113" TargetMode="External"/><Relationship Id="rId18" Type="http://schemas.openxmlformats.org/officeDocument/2006/relationships/hyperlink" Target="https://www.nhs.uk/social-care-and-support/care-services-equipment-and-care-homes/care-homes/?utm_source=chatgpt.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lanepe.2021.100295" TargetMode="External"/><Relationship Id="rId7" Type="http://schemas.openxmlformats.org/officeDocument/2006/relationships/endnotes" Target="endnotes.xml"/><Relationship Id="rId12" Type="http://schemas.openxmlformats.org/officeDocument/2006/relationships/hyperlink" Target="https://doi.org/10.1111/jan.15181" TargetMode="External"/><Relationship Id="rId17" Type="http://schemas.openxmlformats.org/officeDocument/2006/relationships/hyperlink" Target="https://www.nao.org.uk/reports/readying-the-nhs-and-adult-social-care-in-england-for-covid-19/?utm_source=chatgpt.c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86/s12877-024-04867-9" TargetMode="External"/><Relationship Id="rId20" Type="http://schemas.openxmlformats.org/officeDocument/2006/relationships/hyperlink" Target="https://doi.org/10.1787/b966f837-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1098" TargetMode="External"/><Relationship Id="rId24" Type="http://schemas.openxmlformats.org/officeDocument/2006/relationships/hyperlink" Target="https://www.who.int/health-topics/coronavirus?utm_source=chatgpt.com" TargetMode="External"/><Relationship Id="rId5" Type="http://schemas.openxmlformats.org/officeDocument/2006/relationships/webSettings" Target="webSettings.xml"/><Relationship Id="rId15" Type="http://schemas.openxmlformats.org/officeDocument/2006/relationships/hyperlink" Target="https://doi.org/10.1186/s12877-023-04319-w" TargetMode="External"/><Relationship Id="rId23" Type="http://schemas.openxmlformats.org/officeDocument/2006/relationships/hyperlink" Target="https://www.skillsforcare.org.uk/Adult-Social-Care-Workforce-Data/workforceintelligence/resources/Reports/National/The-state-of-the-adult-social-care-sector-and-workforce-in-England-2025-Executive-Summary.pdf?utm_source=chatgpt.com" TargetMode="External"/><Relationship Id="rId28" Type="http://schemas.openxmlformats.org/officeDocument/2006/relationships/theme" Target="theme/theme1.xml"/><Relationship Id="rId10" Type="http://schemas.openxmlformats.org/officeDocument/2006/relationships/hyperlink" Target="https://assets.publishing.service.gov.uk/media/656db0d29462260705c56826/Government-response-to-the-consultation-on-visiting-in-care-homes-hospitals-and-hospices-print-ready.pdf?utm_source=chatgpt.com" TargetMode="External"/><Relationship Id="rId19" Type="http://schemas.openxmlformats.org/officeDocument/2006/relationships/hyperlink" Target="https://www.ons.gov.uk/peoplepopulationandcommunity/birthsdeathsandmarriages/deaths/articles/deathsinvolvingcovid19inthecaresectorenglandandwales/deathsregisteredbetweenweekending20march2020andweekending21january2022?utm_source=chatgpt.com" TargetMode="External"/><Relationship Id="rId4" Type="http://schemas.openxmlformats.org/officeDocument/2006/relationships/settings" Target="settings.xml"/><Relationship Id="rId9" Type="http://schemas.openxmlformats.org/officeDocument/2006/relationships/hyperlink" Target="https://www.gov.uk/government/publications/visiting-care-homes-during-coronavirus/update-on-policies-for-visiting-arrangements-in-care-homes?utm_source=chatgpt.com" TargetMode="External"/><Relationship Id="rId14" Type="http://schemas.openxmlformats.org/officeDocument/2006/relationships/hyperlink" Target="https://doi.org/10.1186/s12877-022-02822-0" TargetMode="External"/><Relationship Id="rId22" Type="http://schemas.openxmlformats.org/officeDocument/2006/relationships/hyperlink" Target="https://doi.org/10.1016/S2666-7568(20)30065-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4944</Words>
  <Characters>28183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33061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ayeshakhaaan111@gmail.com</cp:lastModifiedBy>
  <cp:revision>14</cp:revision>
  <dcterms:created xsi:type="dcterms:W3CDTF">2013-12-23T23:15:00Z</dcterms:created>
  <dcterms:modified xsi:type="dcterms:W3CDTF">2026-07-03T16:59:00Z</dcterms:modified>
  <cp:category/>
</cp:coreProperties>
</file>