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02B4D" w14:textId="77777777" w:rsidR="009D712E" w:rsidRPr="00F758B9" w:rsidRDefault="00000000">
      <w:pPr>
        <w:spacing w:line="360" w:lineRule="auto"/>
        <w:rPr>
          <w:rFonts w:ascii="Times New Roman" w:eastAsia="Times New Roman" w:hAnsi="Times New Roman" w:cs="Times New Roman"/>
          <w:b/>
          <w:bCs/>
          <w:sz w:val="24"/>
          <w:szCs w:val="24"/>
        </w:rPr>
      </w:pPr>
      <w:r w:rsidRPr="00F758B9">
        <w:rPr>
          <w:rFonts w:ascii="Times New Roman" w:eastAsia="Times New Roman" w:hAnsi="Times New Roman" w:cs="Times New Roman"/>
          <w:b/>
          <w:bCs/>
          <w:noProof/>
          <w:sz w:val="24"/>
          <w:szCs w:val="24"/>
        </w:rPr>
        <w:drawing>
          <wp:inline distT="114300" distB="114300" distL="114300" distR="114300" wp14:anchorId="01614B8D" wp14:editId="0C9C2250">
            <wp:extent cx="2190750" cy="828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90750" cy="828675"/>
                    </a:xfrm>
                    <a:prstGeom prst="rect">
                      <a:avLst/>
                    </a:prstGeom>
                    <a:ln/>
                  </pic:spPr>
                </pic:pic>
              </a:graphicData>
            </a:graphic>
          </wp:inline>
        </w:drawing>
      </w:r>
    </w:p>
    <w:p w14:paraId="4539D721" w14:textId="77777777" w:rsidR="009D712E" w:rsidRPr="00F758B9" w:rsidRDefault="009D712E">
      <w:pPr>
        <w:spacing w:line="360" w:lineRule="auto"/>
        <w:rPr>
          <w:rFonts w:ascii="Times New Roman" w:eastAsia="Times New Roman" w:hAnsi="Times New Roman" w:cs="Times New Roman"/>
          <w:b/>
          <w:bCs/>
          <w:sz w:val="24"/>
          <w:szCs w:val="24"/>
        </w:rPr>
      </w:pPr>
    </w:p>
    <w:p w14:paraId="56FEE2A1" w14:textId="77777777" w:rsidR="009D712E" w:rsidRPr="00F758B9" w:rsidRDefault="009D712E">
      <w:pPr>
        <w:spacing w:line="360" w:lineRule="auto"/>
        <w:rPr>
          <w:rFonts w:ascii="Times New Roman" w:eastAsia="Times New Roman" w:hAnsi="Times New Roman" w:cs="Times New Roman"/>
          <w:b/>
          <w:bCs/>
          <w:sz w:val="24"/>
          <w:szCs w:val="24"/>
        </w:rPr>
      </w:pPr>
    </w:p>
    <w:p w14:paraId="0B492BEF" w14:textId="77777777" w:rsidR="009D712E" w:rsidRPr="00F758B9" w:rsidRDefault="009D712E">
      <w:pPr>
        <w:spacing w:line="360" w:lineRule="auto"/>
        <w:jc w:val="center"/>
        <w:rPr>
          <w:rFonts w:ascii="Times New Roman" w:eastAsia="Times New Roman" w:hAnsi="Times New Roman" w:cs="Times New Roman"/>
          <w:b/>
          <w:bCs/>
          <w:sz w:val="24"/>
          <w:szCs w:val="24"/>
        </w:rPr>
      </w:pPr>
    </w:p>
    <w:p w14:paraId="11272374" w14:textId="77777777" w:rsidR="009D712E" w:rsidRPr="00F758B9" w:rsidRDefault="009D712E">
      <w:pPr>
        <w:spacing w:line="360" w:lineRule="auto"/>
        <w:jc w:val="center"/>
        <w:rPr>
          <w:rFonts w:ascii="Times New Roman" w:eastAsia="Times New Roman" w:hAnsi="Times New Roman" w:cs="Times New Roman"/>
          <w:b/>
          <w:bCs/>
          <w:sz w:val="24"/>
          <w:szCs w:val="24"/>
        </w:rPr>
      </w:pPr>
    </w:p>
    <w:p w14:paraId="2587D263" w14:textId="77777777" w:rsidR="009D712E" w:rsidRPr="00F758B9" w:rsidRDefault="00000000">
      <w:pPr>
        <w:spacing w:line="360" w:lineRule="auto"/>
        <w:jc w:val="center"/>
        <w:rPr>
          <w:rFonts w:ascii="Times New Roman" w:eastAsia="Times New Roman" w:hAnsi="Times New Roman" w:cs="Times New Roman"/>
          <w:b/>
          <w:bCs/>
          <w:sz w:val="24"/>
          <w:szCs w:val="24"/>
        </w:rPr>
      </w:pPr>
      <w:r w:rsidRPr="00F758B9">
        <w:rPr>
          <w:rFonts w:ascii="Times New Roman" w:eastAsia="Times New Roman" w:hAnsi="Times New Roman" w:cs="Times New Roman"/>
          <w:b/>
          <w:bCs/>
          <w:sz w:val="24"/>
          <w:szCs w:val="24"/>
        </w:rPr>
        <w:t>Programme: BA (Hons) Leadership and Management Skills for the Workplace</w:t>
      </w:r>
    </w:p>
    <w:p w14:paraId="669EF11C" w14:textId="77777777" w:rsidR="009D712E" w:rsidRPr="00F758B9" w:rsidRDefault="00000000">
      <w:pPr>
        <w:spacing w:line="360" w:lineRule="auto"/>
        <w:jc w:val="center"/>
        <w:rPr>
          <w:rFonts w:ascii="Times New Roman" w:eastAsia="Times New Roman" w:hAnsi="Times New Roman" w:cs="Times New Roman"/>
          <w:b/>
          <w:bCs/>
          <w:sz w:val="24"/>
          <w:szCs w:val="24"/>
        </w:rPr>
      </w:pPr>
      <w:r w:rsidRPr="00F758B9">
        <w:rPr>
          <w:rFonts w:ascii="Times New Roman" w:eastAsia="Times New Roman" w:hAnsi="Times New Roman" w:cs="Times New Roman"/>
          <w:b/>
          <w:bCs/>
          <w:sz w:val="24"/>
          <w:szCs w:val="24"/>
        </w:rPr>
        <w:t>Module: Understanding and Engaging Stakeholders</w:t>
      </w:r>
    </w:p>
    <w:p w14:paraId="7A94B482" w14:textId="77777777" w:rsidR="009D712E" w:rsidRPr="00F758B9" w:rsidRDefault="00000000">
      <w:pPr>
        <w:spacing w:line="360" w:lineRule="auto"/>
        <w:jc w:val="center"/>
        <w:rPr>
          <w:rFonts w:ascii="Times New Roman" w:eastAsia="Times New Roman" w:hAnsi="Times New Roman" w:cs="Times New Roman"/>
          <w:b/>
          <w:bCs/>
          <w:sz w:val="24"/>
          <w:szCs w:val="24"/>
        </w:rPr>
      </w:pPr>
      <w:r w:rsidRPr="00F758B9">
        <w:rPr>
          <w:rFonts w:ascii="Times New Roman" w:eastAsia="Times New Roman" w:hAnsi="Times New Roman" w:cs="Times New Roman"/>
          <w:b/>
          <w:bCs/>
          <w:sz w:val="24"/>
          <w:szCs w:val="24"/>
        </w:rPr>
        <w:t>Module code: LCLM5001</w:t>
      </w:r>
    </w:p>
    <w:p w14:paraId="35DDCA4D" w14:textId="77777777" w:rsidR="009D712E" w:rsidRDefault="00000000">
      <w:pPr>
        <w:spacing w:line="360" w:lineRule="auto"/>
        <w:jc w:val="center"/>
        <w:rPr>
          <w:rFonts w:ascii="Times New Roman" w:eastAsia="Times New Roman" w:hAnsi="Times New Roman" w:cs="Times New Roman"/>
          <w:b/>
          <w:bCs/>
          <w:sz w:val="24"/>
          <w:szCs w:val="24"/>
        </w:rPr>
      </w:pPr>
      <w:r w:rsidRPr="00F758B9">
        <w:rPr>
          <w:rFonts w:ascii="Times New Roman" w:eastAsia="Times New Roman" w:hAnsi="Times New Roman" w:cs="Times New Roman"/>
          <w:b/>
          <w:bCs/>
          <w:sz w:val="24"/>
          <w:szCs w:val="24"/>
        </w:rPr>
        <w:t>Assignment Title: Understanding the importance of Stakeholder Engagement in successful commencement and completion of project.</w:t>
      </w:r>
    </w:p>
    <w:p w14:paraId="1250D22E" w14:textId="77777777" w:rsidR="002921D4" w:rsidRPr="002921D4" w:rsidRDefault="002921D4" w:rsidP="002921D4">
      <w:pPr>
        <w:spacing w:line="360" w:lineRule="auto"/>
        <w:jc w:val="center"/>
        <w:rPr>
          <w:rFonts w:ascii="Times New Roman" w:eastAsia="Times New Roman" w:hAnsi="Times New Roman" w:cs="Times New Roman"/>
          <w:b/>
          <w:bCs/>
          <w:sz w:val="24"/>
          <w:szCs w:val="24"/>
          <w:lang w:val="en-IN"/>
        </w:rPr>
      </w:pPr>
      <w:r w:rsidRPr="002921D4">
        <w:rPr>
          <w:rFonts w:ascii="Times New Roman" w:eastAsia="Times New Roman" w:hAnsi="Times New Roman" w:cs="Times New Roman"/>
          <w:b/>
          <w:bCs/>
          <w:sz w:val="24"/>
          <w:szCs w:val="24"/>
          <w:lang w:val="en-IN"/>
        </w:rPr>
        <w:t>Student Oleg Bublyk  2417174</w:t>
      </w:r>
    </w:p>
    <w:p w14:paraId="419BEF60" w14:textId="77777777" w:rsidR="002921D4" w:rsidRPr="002921D4" w:rsidRDefault="002921D4" w:rsidP="002921D4">
      <w:pPr>
        <w:spacing w:line="360" w:lineRule="auto"/>
        <w:jc w:val="center"/>
        <w:rPr>
          <w:rFonts w:ascii="Times New Roman" w:eastAsia="Times New Roman" w:hAnsi="Times New Roman" w:cs="Times New Roman"/>
          <w:b/>
          <w:bCs/>
          <w:sz w:val="24"/>
          <w:szCs w:val="24"/>
          <w:lang w:val="en-IN"/>
        </w:rPr>
      </w:pPr>
      <w:r w:rsidRPr="002921D4">
        <w:rPr>
          <w:rFonts w:ascii="Times New Roman" w:eastAsia="Times New Roman" w:hAnsi="Times New Roman" w:cs="Times New Roman"/>
          <w:b/>
          <w:bCs/>
          <w:sz w:val="24"/>
          <w:szCs w:val="24"/>
          <w:lang w:val="en-IN"/>
        </w:rPr>
        <w:t>Understanding and Engaging Stakeholders (LCLM5001_LON)</w:t>
      </w:r>
    </w:p>
    <w:p w14:paraId="163B065A" w14:textId="77777777" w:rsidR="002921D4" w:rsidRPr="002921D4" w:rsidRDefault="002921D4" w:rsidP="002921D4">
      <w:pPr>
        <w:spacing w:line="360" w:lineRule="auto"/>
        <w:jc w:val="center"/>
        <w:rPr>
          <w:rFonts w:ascii="Times New Roman" w:eastAsia="Times New Roman" w:hAnsi="Times New Roman" w:cs="Times New Roman"/>
          <w:b/>
          <w:bCs/>
          <w:sz w:val="24"/>
          <w:szCs w:val="24"/>
          <w:lang w:val="en-IN"/>
        </w:rPr>
      </w:pPr>
      <w:r w:rsidRPr="002921D4">
        <w:rPr>
          <w:rFonts w:ascii="Times New Roman" w:eastAsia="Times New Roman" w:hAnsi="Times New Roman" w:cs="Times New Roman"/>
          <w:b/>
          <w:bCs/>
          <w:sz w:val="24"/>
          <w:szCs w:val="24"/>
          <w:lang w:val="en-IN"/>
        </w:rPr>
        <w:t>Lecture Sukhpreet Grewal</w:t>
      </w:r>
    </w:p>
    <w:p w14:paraId="121484EB" w14:textId="77777777" w:rsidR="002921D4" w:rsidRPr="00F758B9" w:rsidRDefault="002921D4">
      <w:pPr>
        <w:spacing w:line="360" w:lineRule="auto"/>
        <w:jc w:val="center"/>
        <w:rPr>
          <w:rFonts w:ascii="Times New Roman" w:eastAsia="Times New Roman" w:hAnsi="Times New Roman" w:cs="Times New Roman"/>
          <w:b/>
          <w:bCs/>
          <w:sz w:val="24"/>
          <w:szCs w:val="24"/>
        </w:rPr>
      </w:pPr>
    </w:p>
    <w:p w14:paraId="18A6B52E" w14:textId="77777777" w:rsidR="009D712E" w:rsidRPr="00F758B9" w:rsidRDefault="009D712E">
      <w:pPr>
        <w:spacing w:line="360" w:lineRule="auto"/>
        <w:rPr>
          <w:rFonts w:ascii="Times New Roman" w:eastAsia="Times New Roman" w:hAnsi="Times New Roman" w:cs="Times New Roman"/>
          <w:b/>
          <w:bCs/>
          <w:sz w:val="24"/>
          <w:szCs w:val="24"/>
        </w:rPr>
      </w:pPr>
    </w:p>
    <w:p w14:paraId="4E816AF2" w14:textId="77777777" w:rsidR="009D712E" w:rsidRPr="00F758B9" w:rsidRDefault="00000000">
      <w:pPr>
        <w:spacing w:line="360" w:lineRule="auto"/>
        <w:rPr>
          <w:rFonts w:ascii="Times New Roman" w:eastAsia="Times New Roman" w:hAnsi="Times New Roman" w:cs="Times New Roman"/>
          <w:b/>
          <w:bCs/>
          <w:sz w:val="24"/>
          <w:szCs w:val="24"/>
        </w:rPr>
      </w:pPr>
      <w:r w:rsidRPr="00F758B9">
        <w:rPr>
          <w:sz w:val="24"/>
          <w:szCs w:val="24"/>
        </w:rPr>
        <w:br w:type="page"/>
      </w:r>
    </w:p>
    <w:p w14:paraId="55F09975" w14:textId="77777777" w:rsidR="009D712E" w:rsidRPr="00F758B9" w:rsidRDefault="00000000">
      <w:pPr>
        <w:spacing w:line="360" w:lineRule="auto"/>
        <w:rPr>
          <w:rFonts w:ascii="Times New Roman" w:eastAsia="Times New Roman" w:hAnsi="Times New Roman" w:cs="Times New Roman"/>
          <w:b/>
          <w:bCs/>
          <w:sz w:val="24"/>
          <w:szCs w:val="24"/>
        </w:rPr>
      </w:pPr>
      <w:r w:rsidRPr="00F758B9">
        <w:rPr>
          <w:rFonts w:ascii="Times New Roman" w:eastAsia="Times New Roman" w:hAnsi="Times New Roman" w:cs="Times New Roman"/>
          <w:b/>
          <w:bCs/>
          <w:sz w:val="24"/>
          <w:szCs w:val="24"/>
        </w:rPr>
        <w:lastRenderedPageBreak/>
        <w:t>Executive Summary</w:t>
      </w:r>
    </w:p>
    <w:p w14:paraId="0A3C0BA7"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In this report, the researchers investigate the role of stakeholder interaction in the management of the project at Bupa UK to design and introduce a new wearable health device to track the heart rates, oxygen levels and sleep patterns. The analysis uses various strategic tools such as SWOT, PESTLE, SMART goals, stakeholder mapping, the salience model, RACI, and PMI Stakeholder Engagement Framework to assess the organisation readiness and major internal and external stakeholders. The report points out that effective engagement has led to better quality in the innovation, regulatory adherence, customer adoption, and risk management. The report relies on the 4Cs model, which is communication, coordination, cooperation and collaboration to explain how the project manager can improve relationships and reduce conflict. Digital health case studies evidence also confirms the advantage of organized engagement. The recommendations provided at the end of the report include setting up of a dedicated engagement office, increasing regulatory collaboration, creation of data-driven dashboards, and customer co-creation labs to make sure that stakeholder management is long-term and sustainable and that business performance is improved.</w:t>
      </w:r>
      <w:r w:rsidRPr="00F758B9">
        <w:rPr>
          <w:sz w:val="24"/>
          <w:szCs w:val="24"/>
        </w:rPr>
        <w:br w:type="page"/>
      </w:r>
    </w:p>
    <w:p w14:paraId="0C714E3A" w14:textId="77777777" w:rsidR="0079713B" w:rsidRPr="00F758B9" w:rsidRDefault="00000000">
      <w:pPr>
        <w:spacing w:line="360" w:lineRule="auto"/>
        <w:jc w:val="center"/>
        <w:rPr>
          <w:rFonts w:ascii="Times New Roman" w:eastAsia="Times New Roman" w:hAnsi="Times New Roman" w:cs="Times New Roman"/>
          <w:b/>
          <w:bCs/>
          <w:sz w:val="24"/>
          <w:szCs w:val="24"/>
        </w:rPr>
      </w:pPr>
      <w:r w:rsidRPr="00F758B9">
        <w:rPr>
          <w:rFonts w:ascii="Times New Roman" w:eastAsia="Times New Roman" w:hAnsi="Times New Roman" w:cs="Times New Roman"/>
          <w:b/>
          <w:bCs/>
          <w:sz w:val="24"/>
          <w:szCs w:val="24"/>
        </w:rPr>
        <w:lastRenderedPageBreak/>
        <w:t>Table Of Contents</w:t>
      </w:r>
    </w:p>
    <w:sdt>
      <w:sdtPr>
        <w:rPr>
          <w:rFonts w:ascii="Arial" w:eastAsia="Arial" w:hAnsi="Arial" w:cs="Arial"/>
          <w:b w:val="0"/>
          <w:color w:val="auto"/>
          <w:sz w:val="24"/>
          <w:szCs w:val="24"/>
          <w:lang w:val="en-GB" w:eastAsia="en-GB"/>
        </w:rPr>
        <w:id w:val="430628442"/>
        <w:docPartObj>
          <w:docPartGallery w:val="Table of Contents"/>
          <w:docPartUnique/>
        </w:docPartObj>
      </w:sdtPr>
      <w:sdtEndPr>
        <w:rPr>
          <w:bCs/>
        </w:rPr>
      </w:sdtEndPr>
      <w:sdtContent>
        <w:p w14:paraId="71D2AF01" w14:textId="503C93EB" w:rsidR="0079713B" w:rsidRPr="00F758B9" w:rsidRDefault="0079713B">
          <w:pPr>
            <w:pStyle w:val="TOCHeading"/>
            <w:rPr>
              <w:sz w:val="24"/>
              <w:szCs w:val="24"/>
              <w:lang w:val="en-GB"/>
            </w:rPr>
          </w:pPr>
        </w:p>
        <w:p w14:paraId="107517AA" w14:textId="3B4EE70B" w:rsidR="0079713B" w:rsidRPr="00F758B9" w:rsidRDefault="0079713B" w:rsidP="0079713B">
          <w:pPr>
            <w:pStyle w:val="TOC1"/>
            <w:tabs>
              <w:tab w:val="right" w:leader="dot" w:pos="9350"/>
            </w:tabs>
            <w:spacing w:line="240" w:lineRule="auto"/>
            <w:rPr>
              <w:rFonts w:ascii="Times New Roman" w:hAnsi="Times New Roman" w:cs="Times New Roman"/>
              <w:sz w:val="24"/>
              <w:szCs w:val="24"/>
            </w:rPr>
          </w:pPr>
          <w:r w:rsidRPr="00F758B9">
            <w:rPr>
              <w:sz w:val="24"/>
              <w:szCs w:val="24"/>
            </w:rPr>
            <w:fldChar w:fldCharType="begin"/>
          </w:r>
          <w:r w:rsidRPr="00F758B9">
            <w:rPr>
              <w:sz w:val="24"/>
              <w:szCs w:val="24"/>
            </w:rPr>
            <w:instrText xml:space="preserve"> TOC \o "1-3" \h \z \u </w:instrText>
          </w:r>
          <w:r w:rsidRPr="00F758B9">
            <w:rPr>
              <w:sz w:val="24"/>
              <w:szCs w:val="24"/>
            </w:rPr>
            <w:fldChar w:fldCharType="separate"/>
          </w:r>
          <w:hyperlink w:anchor="_Toc216740713" w:history="1">
            <w:r w:rsidRPr="00F758B9">
              <w:rPr>
                <w:rStyle w:val="Hyperlink"/>
                <w:rFonts w:ascii="Times New Roman" w:eastAsia="Times New Roman" w:hAnsi="Times New Roman" w:cs="Times New Roman"/>
                <w:b/>
                <w:bCs/>
                <w:sz w:val="24"/>
                <w:szCs w:val="24"/>
              </w:rPr>
              <w:t>1. Introduction</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_Toc216740713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4</w:t>
            </w:r>
            <w:r w:rsidRPr="00F758B9">
              <w:rPr>
                <w:rFonts w:ascii="Times New Roman" w:hAnsi="Times New Roman" w:cs="Times New Roman"/>
                <w:webHidden/>
                <w:sz w:val="24"/>
                <w:szCs w:val="24"/>
              </w:rPr>
              <w:fldChar w:fldCharType="end"/>
            </w:r>
          </w:hyperlink>
        </w:p>
        <w:p w14:paraId="77199964" w14:textId="3DA1A9C1"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14" w:history="1">
            <w:r w:rsidRPr="00F758B9">
              <w:rPr>
                <w:rStyle w:val="Hyperlink"/>
                <w:rFonts w:ascii="Times New Roman" w:hAnsi="Times New Roman" w:cs="Times New Roman"/>
                <w:sz w:val="24"/>
                <w:szCs w:val="24"/>
              </w:rPr>
              <w:t>1.1 Overview of Bupa UK</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_Toc216740714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4</w:t>
            </w:r>
            <w:r w:rsidRPr="00F758B9">
              <w:rPr>
                <w:rFonts w:ascii="Times New Roman" w:hAnsi="Times New Roman" w:cs="Times New Roman"/>
                <w:webHidden/>
                <w:sz w:val="24"/>
                <w:szCs w:val="24"/>
              </w:rPr>
              <w:fldChar w:fldCharType="end"/>
            </w:r>
          </w:hyperlink>
        </w:p>
        <w:p w14:paraId="2C1E79DB" w14:textId="024E78CE"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15" w:history="1">
            <w:r w:rsidRPr="00F758B9">
              <w:rPr>
                <w:rStyle w:val="Hyperlink"/>
                <w:rFonts w:ascii="Times New Roman" w:hAnsi="Times New Roman" w:cs="Times New Roman"/>
                <w:sz w:val="24"/>
                <w:szCs w:val="24"/>
              </w:rPr>
              <w:t>1.2 Presentation of the Planned Project</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_Toc216740715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4</w:t>
            </w:r>
            <w:r w:rsidRPr="00F758B9">
              <w:rPr>
                <w:rFonts w:ascii="Times New Roman" w:hAnsi="Times New Roman" w:cs="Times New Roman"/>
                <w:webHidden/>
                <w:sz w:val="24"/>
                <w:szCs w:val="24"/>
              </w:rPr>
              <w:fldChar w:fldCharType="end"/>
            </w:r>
          </w:hyperlink>
        </w:p>
        <w:p w14:paraId="28358906" w14:textId="3A457449" w:rsidR="0079713B" w:rsidRPr="00F758B9" w:rsidRDefault="0079713B" w:rsidP="0079713B">
          <w:pPr>
            <w:pStyle w:val="TOC1"/>
            <w:tabs>
              <w:tab w:val="right" w:leader="dot" w:pos="9350"/>
            </w:tabs>
            <w:spacing w:line="240" w:lineRule="auto"/>
            <w:rPr>
              <w:rFonts w:ascii="Times New Roman" w:hAnsi="Times New Roman" w:cs="Times New Roman"/>
              <w:sz w:val="24"/>
              <w:szCs w:val="24"/>
            </w:rPr>
          </w:pPr>
          <w:hyperlink w:anchor="_Toc216740716" w:history="1">
            <w:r w:rsidRPr="00F758B9">
              <w:rPr>
                <w:rStyle w:val="Hyperlink"/>
                <w:rFonts w:ascii="Times New Roman" w:eastAsia="Times New Roman" w:hAnsi="Times New Roman" w:cs="Times New Roman"/>
                <w:b/>
                <w:bCs/>
                <w:sz w:val="24"/>
                <w:szCs w:val="24"/>
              </w:rPr>
              <w:t>2. Situational Analysis of Bupa</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_Toc216740716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5</w:t>
            </w:r>
            <w:r w:rsidRPr="00F758B9">
              <w:rPr>
                <w:rFonts w:ascii="Times New Roman" w:hAnsi="Times New Roman" w:cs="Times New Roman"/>
                <w:webHidden/>
                <w:sz w:val="24"/>
                <w:szCs w:val="24"/>
              </w:rPr>
              <w:fldChar w:fldCharType="end"/>
            </w:r>
          </w:hyperlink>
        </w:p>
        <w:p w14:paraId="28D66314" w14:textId="0DA4F412"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17" w:history="1">
            <w:r w:rsidRPr="00F758B9">
              <w:rPr>
                <w:rStyle w:val="Hyperlink"/>
                <w:rFonts w:ascii="Times New Roman" w:hAnsi="Times New Roman" w:cs="Times New Roman"/>
                <w:sz w:val="24"/>
                <w:szCs w:val="24"/>
              </w:rPr>
              <w:t>2.1 SWOT Analysis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_Toc216740717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5</w:t>
            </w:r>
            <w:r w:rsidRPr="00F758B9">
              <w:rPr>
                <w:rFonts w:ascii="Times New Roman" w:hAnsi="Times New Roman" w:cs="Times New Roman"/>
                <w:webHidden/>
                <w:sz w:val="24"/>
                <w:szCs w:val="24"/>
              </w:rPr>
              <w:fldChar w:fldCharType="end"/>
            </w:r>
          </w:hyperlink>
        </w:p>
        <w:p w14:paraId="43A3BD13" w14:textId="46148EBC"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18" w:history="1">
            <w:r w:rsidRPr="00F758B9">
              <w:rPr>
                <w:rStyle w:val="Hyperlink"/>
                <w:rFonts w:ascii="Times New Roman" w:hAnsi="Times New Roman" w:cs="Times New Roman"/>
                <w:sz w:val="24"/>
                <w:szCs w:val="24"/>
              </w:rPr>
              <w:t>2.2 PESTLE Analysis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_Toc216740718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5</w:t>
            </w:r>
            <w:r w:rsidRPr="00F758B9">
              <w:rPr>
                <w:rFonts w:ascii="Times New Roman" w:hAnsi="Times New Roman" w:cs="Times New Roman"/>
                <w:webHidden/>
                <w:sz w:val="24"/>
                <w:szCs w:val="24"/>
              </w:rPr>
              <w:fldChar w:fldCharType="end"/>
            </w:r>
          </w:hyperlink>
        </w:p>
        <w:p w14:paraId="7B994E53" w14:textId="335E2D54"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19" w:history="1">
            <w:r w:rsidRPr="00F758B9">
              <w:rPr>
                <w:rStyle w:val="Hyperlink"/>
                <w:rFonts w:ascii="Times New Roman" w:hAnsi="Times New Roman" w:cs="Times New Roman"/>
                <w:sz w:val="24"/>
                <w:szCs w:val="24"/>
              </w:rPr>
              <w:t>2.3 SMART Project Objectives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_Toc216740719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6</w:t>
            </w:r>
            <w:r w:rsidRPr="00F758B9">
              <w:rPr>
                <w:rFonts w:ascii="Times New Roman" w:hAnsi="Times New Roman" w:cs="Times New Roman"/>
                <w:webHidden/>
                <w:sz w:val="24"/>
                <w:szCs w:val="24"/>
              </w:rPr>
              <w:fldChar w:fldCharType="end"/>
            </w:r>
          </w:hyperlink>
        </w:p>
        <w:p w14:paraId="435ED0D8" w14:textId="297B95B9" w:rsidR="0079713B" w:rsidRPr="00F758B9" w:rsidRDefault="0079713B" w:rsidP="0079713B">
          <w:pPr>
            <w:pStyle w:val="TOC1"/>
            <w:tabs>
              <w:tab w:val="right" w:leader="dot" w:pos="9350"/>
            </w:tabs>
            <w:spacing w:line="240" w:lineRule="auto"/>
            <w:rPr>
              <w:rFonts w:ascii="Times New Roman" w:hAnsi="Times New Roman" w:cs="Times New Roman"/>
              <w:sz w:val="24"/>
              <w:szCs w:val="24"/>
            </w:rPr>
          </w:pPr>
          <w:hyperlink w:anchor="_Toc216740720" w:history="1">
            <w:r w:rsidRPr="00F758B9">
              <w:rPr>
                <w:rStyle w:val="Hyperlink"/>
                <w:rFonts w:ascii="Times New Roman" w:eastAsia="Times New Roman" w:hAnsi="Times New Roman" w:cs="Times New Roman"/>
                <w:b/>
                <w:bCs/>
                <w:sz w:val="24"/>
                <w:szCs w:val="24"/>
              </w:rPr>
              <w:t>3. Identification of Key Internal &amp; External Stakeholders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_Toc216740720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6</w:t>
            </w:r>
            <w:r w:rsidRPr="00F758B9">
              <w:rPr>
                <w:rFonts w:ascii="Times New Roman" w:hAnsi="Times New Roman" w:cs="Times New Roman"/>
                <w:webHidden/>
                <w:sz w:val="24"/>
                <w:szCs w:val="24"/>
              </w:rPr>
              <w:fldChar w:fldCharType="end"/>
            </w:r>
          </w:hyperlink>
        </w:p>
        <w:p w14:paraId="277ED0B4" w14:textId="76AFF8A9"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21" w:history="1">
            <w:r w:rsidRPr="00F758B9">
              <w:rPr>
                <w:rStyle w:val="Hyperlink"/>
                <w:rFonts w:ascii="Times New Roman" w:hAnsi="Times New Roman" w:cs="Times New Roman"/>
                <w:sz w:val="24"/>
                <w:szCs w:val="24"/>
              </w:rPr>
              <w:t>3.1 Internal Stakeholders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_Toc216740721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7</w:t>
            </w:r>
            <w:r w:rsidRPr="00F758B9">
              <w:rPr>
                <w:rFonts w:ascii="Times New Roman" w:hAnsi="Times New Roman" w:cs="Times New Roman"/>
                <w:webHidden/>
                <w:sz w:val="24"/>
                <w:szCs w:val="24"/>
              </w:rPr>
              <w:fldChar w:fldCharType="end"/>
            </w:r>
          </w:hyperlink>
        </w:p>
        <w:p w14:paraId="471941E3" w14:textId="496A4C80"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22" w:history="1">
            <w:r w:rsidRPr="00F758B9">
              <w:rPr>
                <w:rStyle w:val="Hyperlink"/>
                <w:rFonts w:ascii="Times New Roman" w:hAnsi="Times New Roman" w:cs="Times New Roman"/>
                <w:sz w:val="24"/>
                <w:szCs w:val="24"/>
              </w:rPr>
              <w:t>3.2 External Stakeholders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_Toc216740722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7</w:t>
            </w:r>
            <w:r w:rsidRPr="00F758B9">
              <w:rPr>
                <w:rFonts w:ascii="Times New Roman" w:hAnsi="Times New Roman" w:cs="Times New Roman"/>
                <w:webHidden/>
                <w:sz w:val="24"/>
                <w:szCs w:val="24"/>
              </w:rPr>
              <w:fldChar w:fldCharType="end"/>
            </w:r>
          </w:hyperlink>
        </w:p>
        <w:p w14:paraId="2F0179A8" w14:textId="09D78B46"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23" w:history="1">
            <w:r w:rsidRPr="00F758B9">
              <w:rPr>
                <w:rStyle w:val="Hyperlink"/>
                <w:rFonts w:ascii="Times New Roman" w:hAnsi="Times New Roman" w:cs="Times New Roman"/>
                <w:sz w:val="24"/>
                <w:szCs w:val="24"/>
              </w:rPr>
              <w:t>3.3 Tools &amp; Concepts: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_Toc216740723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8</w:t>
            </w:r>
            <w:r w:rsidRPr="00F758B9">
              <w:rPr>
                <w:rFonts w:ascii="Times New Roman" w:hAnsi="Times New Roman" w:cs="Times New Roman"/>
                <w:webHidden/>
                <w:sz w:val="24"/>
                <w:szCs w:val="24"/>
              </w:rPr>
              <w:fldChar w:fldCharType="end"/>
            </w:r>
          </w:hyperlink>
        </w:p>
        <w:p w14:paraId="66A4F3DA" w14:textId="72A01F95" w:rsidR="0079713B" w:rsidRPr="00F758B9" w:rsidRDefault="0079713B" w:rsidP="0079713B">
          <w:pPr>
            <w:pStyle w:val="TOC1"/>
            <w:tabs>
              <w:tab w:val="right" w:leader="dot" w:pos="9350"/>
            </w:tabs>
            <w:spacing w:line="240" w:lineRule="auto"/>
            <w:rPr>
              <w:rFonts w:ascii="Times New Roman" w:hAnsi="Times New Roman" w:cs="Times New Roman"/>
              <w:sz w:val="24"/>
              <w:szCs w:val="24"/>
            </w:rPr>
          </w:pPr>
          <w:hyperlink w:anchor="_Toc216740724" w:history="1">
            <w:r w:rsidRPr="00F758B9">
              <w:rPr>
                <w:rStyle w:val="Hyperlink"/>
                <w:rFonts w:ascii="Times New Roman" w:eastAsia="Times New Roman" w:hAnsi="Times New Roman" w:cs="Times New Roman"/>
                <w:b/>
                <w:bCs/>
                <w:sz w:val="24"/>
                <w:szCs w:val="24"/>
              </w:rPr>
              <w:t>4. Roles, Responsibilities, Benefits &amp; Challenges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_Toc216740724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9</w:t>
            </w:r>
            <w:r w:rsidRPr="00F758B9">
              <w:rPr>
                <w:rFonts w:ascii="Times New Roman" w:hAnsi="Times New Roman" w:cs="Times New Roman"/>
                <w:webHidden/>
                <w:sz w:val="24"/>
                <w:szCs w:val="24"/>
              </w:rPr>
              <w:fldChar w:fldCharType="end"/>
            </w:r>
          </w:hyperlink>
        </w:p>
        <w:p w14:paraId="612BD985" w14:textId="0BC917CD"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25" w:history="1">
            <w:r w:rsidRPr="00F758B9">
              <w:rPr>
                <w:rStyle w:val="Hyperlink"/>
                <w:rFonts w:ascii="Times New Roman" w:hAnsi="Times New Roman" w:cs="Times New Roman"/>
                <w:sz w:val="24"/>
                <w:szCs w:val="24"/>
              </w:rPr>
              <w:t>4.1 Use RACI Matrix</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_Toc216740725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9</w:t>
            </w:r>
            <w:r w:rsidRPr="00F758B9">
              <w:rPr>
                <w:rFonts w:ascii="Times New Roman" w:hAnsi="Times New Roman" w:cs="Times New Roman"/>
                <w:webHidden/>
                <w:sz w:val="24"/>
                <w:szCs w:val="24"/>
              </w:rPr>
              <w:fldChar w:fldCharType="end"/>
            </w:r>
          </w:hyperlink>
        </w:p>
        <w:p w14:paraId="6A44AFA9" w14:textId="4C1045F1"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26" w:history="1">
            <w:r w:rsidRPr="00F758B9">
              <w:rPr>
                <w:rStyle w:val="Hyperlink"/>
                <w:rFonts w:ascii="Times New Roman" w:hAnsi="Times New Roman" w:cs="Times New Roman"/>
                <w:sz w:val="24"/>
                <w:szCs w:val="24"/>
              </w:rPr>
              <w:t>4.2 Benefits Stakeholders Bring</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_Toc216740726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10</w:t>
            </w:r>
            <w:r w:rsidRPr="00F758B9">
              <w:rPr>
                <w:rFonts w:ascii="Times New Roman" w:hAnsi="Times New Roman" w:cs="Times New Roman"/>
                <w:webHidden/>
                <w:sz w:val="24"/>
                <w:szCs w:val="24"/>
              </w:rPr>
              <w:fldChar w:fldCharType="end"/>
            </w:r>
          </w:hyperlink>
        </w:p>
        <w:p w14:paraId="6813D942" w14:textId="754FACA1"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27" w:history="1">
            <w:r w:rsidRPr="00F758B9">
              <w:rPr>
                <w:rStyle w:val="Hyperlink"/>
                <w:rFonts w:ascii="Times New Roman" w:hAnsi="Times New Roman" w:cs="Times New Roman"/>
                <w:sz w:val="24"/>
                <w:szCs w:val="24"/>
              </w:rPr>
              <w:t>4.3 Challenges Faced</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_Toc216740727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11</w:t>
            </w:r>
            <w:r w:rsidRPr="00F758B9">
              <w:rPr>
                <w:rFonts w:ascii="Times New Roman" w:hAnsi="Times New Roman" w:cs="Times New Roman"/>
                <w:webHidden/>
                <w:sz w:val="24"/>
                <w:szCs w:val="24"/>
              </w:rPr>
              <w:fldChar w:fldCharType="end"/>
            </w:r>
          </w:hyperlink>
        </w:p>
        <w:p w14:paraId="5C82A446" w14:textId="3AB4B238"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28" w:history="1">
            <w:r w:rsidRPr="00F758B9">
              <w:rPr>
                <w:rStyle w:val="Hyperlink"/>
                <w:rFonts w:ascii="Times New Roman" w:hAnsi="Times New Roman" w:cs="Times New Roman"/>
                <w:sz w:val="24"/>
                <w:szCs w:val="24"/>
              </w:rPr>
              <w:t>4.4 Supporting Theories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_Toc216740728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11</w:t>
            </w:r>
            <w:r w:rsidRPr="00F758B9">
              <w:rPr>
                <w:rFonts w:ascii="Times New Roman" w:hAnsi="Times New Roman" w:cs="Times New Roman"/>
                <w:webHidden/>
                <w:sz w:val="24"/>
                <w:szCs w:val="24"/>
              </w:rPr>
              <w:fldChar w:fldCharType="end"/>
            </w:r>
          </w:hyperlink>
        </w:p>
        <w:p w14:paraId="1AE4EF78" w14:textId="66A240BC" w:rsidR="0079713B" w:rsidRPr="00F758B9" w:rsidRDefault="0079713B" w:rsidP="0079713B">
          <w:pPr>
            <w:pStyle w:val="TOC1"/>
            <w:tabs>
              <w:tab w:val="right" w:leader="dot" w:pos="9350"/>
            </w:tabs>
            <w:spacing w:line="240" w:lineRule="auto"/>
            <w:rPr>
              <w:rFonts w:ascii="Times New Roman" w:hAnsi="Times New Roman" w:cs="Times New Roman"/>
              <w:sz w:val="24"/>
              <w:szCs w:val="24"/>
            </w:rPr>
          </w:pPr>
          <w:hyperlink w:anchor="_Toc216740729" w:history="1">
            <w:r w:rsidRPr="00F758B9">
              <w:rPr>
                <w:rStyle w:val="Hyperlink"/>
                <w:rFonts w:ascii="Times New Roman" w:eastAsia="Times New Roman" w:hAnsi="Times New Roman" w:cs="Times New Roman"/>
                <w:b/>
                <w:bCs/>
                <w:sz w:val="24"/>
                <w:szCs w:val="24"/>
              </w:rPr>
              <w:t>5. Stakeholder Engagement Mechanisms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_Toc216740729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11</w:t>
            </w:r>
            <w:r w:rsidRPr="00F758B9">
              <w:rPr>
                <w:rFonts w:ascii="Times New Roman" w:hAnsi="Times New Roman" w:cs="Times New Roman"/>
                <w:webHidden/>
                <w:sz w:val="24"/>
                <w:szCs w:val="24"/>
              </w:rPr>
              <w:fldChar w:fldCharType="end"/>
            </w:r>
          </w:hyperlink>
        </w:p>
        <w:p w14:paraId="5BC3807F" w14:textId="324A32CE"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30" w:history="1">
            <w:r w:rsidRPr="00F758B9">
              <w:rPr>
                <w:rStyle w:val="Hyperlink"/>
                <w:rFonts w:ascii="Times New Roman" w:hAnsi="Times New Roman" w:cs="Times New Roman"/>
                <w:sz w:val="24"/>
                <w:szCs w:val="24"/>
              </w:rPr>
              <w:t>5.1 Stakeholder Mapping / Salience Theory</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_Toc216740730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12</w:t>
            </w:r>
            <w:r w:rsidRPr="00F758B9">
              <w:rPr>
                <w:rFonts w:ascii="Times New Roman" w:hAnsi="Times New Roman" w:cs="Times New Roman"/>
                <w:webHidden/>
                <w:sz w:val="24"/>
                <w:szCs w:val="24"/>
              </w:rPr>
              <w:fldChar w:fldCharType="end"/>
            </w:r>
          </w:hyperlink>
        </w:p>
        <w:p w14:paraId="762560EC" w14:textId="074D667E"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31" w:history="1">
            <w:r w:rsidRPr="00F758B9">
              <w:rPr>
                <w:rStyle w:val="Hyperlink"/>
                <w:rFonts w:ascii="Times New Roman" w:hAnsi="Times New Roman" w:cs="Times New Roman"/>
                <w:sz w:val="24"/>
                <w:szCs w:val="24"/>
              </w:rPr>
              <w:t>5.2 Stakeholder Engagement Plan</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_Toc216740731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12</w:t>
            </w:r>
            <w:r w:rsidRPr="00F758B9">
              <w:rPr>
                <w:rFonts w:ascii="Times New Roman" w:hAnsi="Times New Roman" w:cs="Times New Roman"/>
                <w:webHidden/>
                <w:sz w:val="24"/>
                <w:szCs w:val="24"/>
              </w:rPr>
              <w:fldChar w:fldCharType="end"/>
            </w:r>
          </w:hyperlink>
        </w:p>
        <w:p w14:paraId="1304474E" w14:textId="1D64FB15"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32" w:history="1">
            <w:r w:rsidRPr="00F758B9">
              <w:rPr>
                <w:rStyle w:val="Hyperlink"/>
                <w:rFonts w:ascii="Times New Roman" w:hAnsi="Times New Roman" w:cs="Times New Roman"/>
                <w:sz w:val="24"/>
                <w:szCs w:val="24"/>
              </w:rPr>
              <w:t>5.3 Communication Plan</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_Toc216740732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12</w:t>
            </w:r>
            <w:r w:rsidRPr="00F758B9">
              <w:rPr>
                <w:rFonts w:ascii="Times New Roman" w:hAnsi="Times New Roman" w:cs="Times New Roman"/>
                <w:webHidden/>
                <w:sz w:val="24"/>
                <w:szCs w:val="24"/>
              </w:rPr>
              <w:fldChar w:fldCharType="end"/>
            </w:r>
          </w:hyperlink>
        </w:p>
        <w:p w14:paraId="263041B2" w14:textId="33C5A145" w:rsidR="0079713B" w:rsidRPr="00F758B9" w:rsidRDefault="0079713B" w:rsidP="0079713B">
          <w:pPr>
            <w:pStyle w:val="TOC1"/>
            <w:tabs>
              <w:tab w:val="right" w:leader="dot" w:pos="9350"/>
            </w:tabs>
            <w:spacing w:line="240" w:lineRule="auto"/>
            <w:rPr>
              <w:rFonts w:ascii="Times New Roman" w:hAnsi="Times New Roman" w:cs="Times New Roman"/>
              <w:sz w:val="24"/>
              <w:szCs w:val="24"/>
            </w:rPr>
          </w:pPr>
          <w:hyperlink w:anchor="_Toc216740733" w:history="1">
            <w:r w:rsidRPr="00F758B9">
              <w:rPr>
                <w:rStyle w:val="Hyperlink"/>
                <w:rFonts w:ascii="Times New Roman" w:eastAsia="Times New Roman" w:hAnsi="Times New Roman" w:cs="Times New Roman"/>
                <w:b/>
                <w:bCs/>
                <w:sz w:val="24"/>
                <w:szCs w:val="24"/>
              </w:rPr>
              <w:t>6. Critical Explanation of Engagement Process &amp; Conflict Management</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_Toc216740733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12</w:t>
            </w:r>
            <w:r w:rsidRPr="00F758B9">
              <w:rPr>
                <w:rFonts w:ascii="Times New Roman" w:hAnsi="Times New Roman" w:cs="Times New Roman"/>
                <w:webHidden/>
                <w:sz w:val="24"/>
                <w:szCs w:val="24"/>
              </w:rPr>
              <w:fldChar w:fldCharType="end"/>
            </w:r>
          </w:hyperlink>
        </w:p>
        <w:p w14:paraId="245512A5" w14:textId="104034E8"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34" w:history="1">
            <w:r w:rsidRPr="00F758B9">
              <w:rPr>
                <w:rStyle w:val="Hyperlink"/>
                <w:rFonts w:ascii="Times New Roman" w:hAnsi="Times New Roman" w:cs="Times New Roman"/>
                <w:sz w:val="24"/>
                <w:szCs w:val="24"/>
              </w:rPr>
              <w:t>6.1 As Project Manager, what engagement process will you adopt?</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_Toc216740734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13</w:t>
            </w:r>
            <w:r w:rsidRPr="00F758B9">
              <w:rPr>
                <w:rFonts w:ascii="Times New Roman" w:hAnsi="Times New Roman" w:cs="Times New Roman"/>
                <w:webHidden/>
                <w:sz w:val="24"/>
                <w:szCs w:val="24"/>
              </w:rPr>
              <w:fldChar w:fldCharType="end"/>
            </w:r>
          </w:hyperlink>
        </w:p>
        <w:p w14:paraId="6EB91AA2" w14:textId="7B7777CD"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35" w:history="1">
            <w:r w:rsidRPr="00F758B9">
              <w:rPr>
                <w:rStyle w:val="Hyperlink"/>
                <w:rFonts w:ascii="Times New Roman" w:hAnsi="Times New Roman" w:cs="Times New Roman"/>
                <w:sz w:val="24"/>
                <w:szCs w:val="24"/>
              </w:rPr>
              <w:t>6.2 Application of the 4Cs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_Toc216740735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13</w:t>
            </w:r>
            <w:r w:rsidRPr="00F758B9">
              <w:rPr>
                <w:rFonts w:ascii="Times New Roman" w:hAnsi="Times New Roman" w:cs="Times New Roman"/>
                <w:webHidden/>
                <w:sz w:val="24"/>
                <w:szCs w:val="24"/>
              </w:rPr>
              <w:fldChar w:fldCharType="end"/>
            </w:r>
          </w:hyperlink>
        </w:p>
        <w:p w14:paraId="4E3F98C2" w14:textId="632B4F2A"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36" w:history="1">
            <w:r w:rsidRPr="00F758B9">
              <w:rPr>
                <w:rStyle w:val="Hyperlink"/>
                <w:rFonts w:ascii="Times New Roman" w:hAnsi="Times New Roman" w:cs="Times New Roman"/>
                <w:sz w:val="24"/>
                <w:szCs w:val="24"/>
              </w:rPr>
              <w:t>6.3 Conflict Management Approaches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_Toc216740736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14</w:t>
            </w:r>
            <w:r w:rsidRPr="00F758B9">
              <w:rPr>
                <w:rFonts w:ascii="Times New Roman" w:hAnsi="Times New Roman" w:cs="Times New Roman"/>
                <w:webHidden/>
                <w:sz w:val="24"/>
                <w:szCs w:val="24"/>
              </w:rPr>
              <w:fldChar w:fldCharType="end"/>
            </w:r>
          </w:hyperlink>
        </w:p>
        <w:p w14:paraId="78D4377E" w14:textId="108660DE"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37" w:history="1">
            <w:r w:rsidRPr="00F758B9">
              <w:rPr>
                <w:rStyle w:val="Hyperlink"/>
                <w:rFonts w:ascii="Times New Roman" w:hAnsi="Times New Roman" w:cs="Times New Roman"/>
                <w:sz w:val="24"/>
                <w:szCs w:val="24"/>
              </w:rPr>
              <w:t>6.4 Critical Evaluation</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_Toc216740737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14</w:t>
            </w:r>
            <w:r w:rsidRPr="00F758B9">
              <w:rPr>
                <w:rFonts w:ascii="Times New Roman" w:hAnsi="Times New Roman" w:cs="Times New Roman"/>
                <w:webHidden/>
                <w:sz w:val="24"/>
                <w:szCs w:val="24"/>
              </w:rPr>
              <w:fldChar w:fldCharType="end"/>
            </w:r>
          </w:hyperlink>
        </w:p>
        <w:p w14:paraId="0061E7FF" w14:textId="1E771876" w:rsidR="0079713B" w:rsidRPr="00F758B9" w:rsidRDefault="0079713B" w:rsidP="0079713B">
          <w:pPr>
            <w:pStyle w:val="TOC1"/>
            <w:tabs>
              <w:tab w:val="right" w:leader="dot" w:pos="9350"/>
            </w:tabs>
            <w:spacing w:line="240" w:lineRule="auto"/>
            <w:rPr>
              <w:rFonts w:ascii="Times New Roman" w:hAnsi="Times New Roman" w:cs="Times New Roman"/>
              <w:sz w:val="24"/>
              <w:szCs w:val="24"/>
            </w:rPr>
          </w:pPr>
          <w:hyperlink w:anchor="_Toc216740738" w:history="1">
            <w:r w:rsidRPr="00F758B9">
              <w:rPr>
                <w:rStyle w:val="Hyperlink"/>
                <w:rFonts w:ascii="Times New Roman" w:eastAsia="Times New Roman" w:hAnsi="Times New Roman" w:cs="Times New Roman"/>
                <w:b/>
                <w:bCs/>
                <w:sz w:val="24"/>
                <w:szCs w:val="24"/>
              </w:rPr>
              <w:t>7. Evaluation of Impact of Stakeholder Engagement on Business Performance</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_Toc216740738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14</w:t>
            </w:r>
            <w:r w:rsidRPr="00F758B9">
              <w:rPr>
                <w:rFonts w:ascii="Times New Roman" w:hAnsi="Times New Roman" w:cs="Times New Roman"/>
                <w:webHidden/>
                <w:sz w:val="24"/>
                <w:szCs w:val="24"/>
              </w:rPr>
              <w:fldChar w:fldCharType="end"/>
            </w:r>
          </w:hyperlink>
        </w:p>
        <w:p w14:paraId="470DC1A2" w14:textId="381A5171"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39" w:history="1">
            <w:r w:rsidRPr="00F758B9">
              <w:rPr>
                <w:rStyle w:val="Hyperlink"/>
                <w:rFonts w:ascii="Times New Roman" w:hAnsi="Times New Roman" w:cs="Times New Roman"/>
                <w:sz w:val="24"/>
                <w:szCs w:val="24"/>
              </w:rPr>
              <w:t>7.1 Impact Areas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_Toc216740739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14</w:t>
            </w:r>
            <w:r w:rsidRPr="00F758B9">
              <w:rPr>
                <w:rFonts w:ascii="Times New Roman" w:hAnsi="Times New Roman" w:cs="Times New Roman"/>
                <w:webHidden/>
                <w:sz w:val="24"/>
                <w:szCs w:val="24"/>
              </w:rPr>
              <w:fldChar w:fldCharType="end"/>
            </w:r>
          </w:hyperlink>
        </w:p>
        <w:p w14:paraId="75CA2CD5" w14:textId="4B15D2C4"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40" w:history="1">
            <w:r w:rsidRPr="00F758B9">
              <w:rPr>
                <w:rStyle w:val="Hyperlink"/>
                <w:rFonts w:ascii="Times New Roman" w:hAnsi="Times New Roman" w:cs="Times New Roman"/>
                <w:sz w:val="24"/>
                <w:szCs w:val="24"/>
              </w:rPr>
              <w:t>7.2 Use Analytical Models</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_Toc216740740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15</w:t>
            </w:r>
            <w:r w:rsidRPr="00F758B9">
              <w:rPr>
                <w:rFonts w:ascii="Times New Roman" w:hAnsi="Times New Roman" w:cs="Times New Roman"/>
                <w:webHidden/>
                <w:sz w:val="24"/>
                <w:szCs w:val="24"/>
              </w:rPr>
              <w:fldChar w:fldCharType="end"/>
            </w:r>
          </w:hyperlink>
        </w:p>
        <w:p w14:paraId="6826CC74" w14:textId="7C7169E1"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41" w:history="1">
            <w:r w:rsidRPr="00F758B9">
              <w:rPr>
                <w:rStyle w:val="Hyperlink"/>
                <w:rFonts w:ascii="Times New Roman" w:hAnsi="Times New Roman" w:cs="Times New Roman"/>
                <w:sz w:val="24"/>
                <w:szCs w:val="24"/>
              </w:rPr>
              <w:t>7.3 Evidence from Literature</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_Toc216740741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16</w:t>
            </w:r>
            <w:r w:rsidRPr="00F758B9">
              <w:rPr>
                <w:rFonts w:ascii="Times New Roman" w:hAnsi="Times New Roman" w:cs="Times New Roman"/>
                <w:webHidden/>
                <w:sz w:val="24"/>
                <w:szCs w:val="24"/>
              </w:rPr>
              <w:fldChar w:fldCharType="end"/>
            </w:r>
          </w:hyperlink>
        </w:p>
        <w:p w14:paraId="337E7FB1" w14:textId="30F7FA78" w:rsidR="0079713B" w:rsidRPr="00F758B9" w:rsidRDefault="0079713B" w:rsidP="0079713B">
          <w:pPr>
            <w:pStyle w:val="TOC2"/>
            <w:tabs>
              <w:tab w:val="right" w:leader="dot" w:pos="9350"/>
            </w:tabs>
            <w:spacing w:line="240" w:lineRule="auto"/>
            <w:rPr>
              <w:rFonts w:ascii="Times New Roman" w:hAnsi="Times New Roman" w:cs="Times New Roman"/>
              <w:sz w:val="24"/>
              <w:szCs w:val="24"/>
            </w:rPr>
          </w:pPr>
          <w:hyperlink w:anchor="_Toc216740742" w:history="1">
            <w:r w:rsidRPr="00F758B9">
              <w:rPr>
                <w:rStyle w:val="Hyperlink"/>
                <w:rFonts w:ascii="Times New Roman" w:hAnsi="Times New Roman" w:cs="Times New Roman"/>
                <w:sz w:val="24"/>
                <w:szCs w:val="24"/>
              </w:rPr>
              <w:t>7.4 Critical Perspective</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_Toc216740742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16</w:t>
            </w:r>
            <w:r w:rsidRPr="00F758B9">
              <w:rPr>
                <w:rFonts w:ascii="Times New Roman" w:hAnsi="Times New Roman" w:cs="Times New Roman"/>
                <w:webHidden/>
                <w:sz w:val="24"/>
                <w:szCs w:val="24"/>
              </w:rPr>
              <w:fldChar w:fldCharType="end"/>
            </w:r>
          </w:hyperlink>
        </w:p>
        <w:p w14:paraId="16F58551" w14:textId="12E6D983" w:rsidR="0079713B" w:rsidRPr="00F758B9" w:rsidRDefault="0079713B" w:rsidP="0079713B">
          <w:pPr>
            <w:pStyle w:val="TOC1"/>
            <w:tabs>
              <w:tab w:val="right" w:leader="dot" w:pos="9350"/>
            </w:tabs>
            <w:spacing w:line="240" w:lineRule="auto"/>
            <w:rPr>
              <w:rFonts w:ascii="Times New Roman" w:hAnsi="Times New Roman" w:cs="Times New Roman"/>
              <w:sz w:val="24"/>
              <w:szCs w:val="24"/>
            </w:rPr>
          </w:pPr>
          <w:hyperlink w:anchor="_Toc216740743" w:history="1">
            <w:r w:rsidRPr="00F758B9">
              <w:rPr>
                <w:rStyle w:val="Hyperlink"/>
                <w:rFonts w:ascii="Times New Roman" w:eastAsia="Times New Roman" w:hAnsi="Times New Roman" w:cs="Times New Roman"/>
                <w:b/>
                <w:bCs/>
                <w:sz w:val="24"/>
                <w:szCs w:val="24"/>
              </w:rPr>
              <w:t>8. Recommendations for Future Stakeholder Engagement</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_Toc216740743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17</w:t>
            </w:r>
            <w:r w:rsidRPr="00F758B9">
              <w:rPr>
                <w:rFonts w:ascii="Times New Roman" w:hAnsi="Times New Roman" w:cs="Times New Roman"/>
                <w:webHidden/>
                <w:sz w:val="24"/>
                <w:szCs w:val="24"/>
              </w:rPr>
              <w:fldChar w:fldCharType="end"/>
            </w:r>
          </w:hyperlink>
        </w:p>
        <w:p w14:paraId="640829FF" w14:textId="6EEFFF33" w:rsidR="0079713B" w:rsidRPr="00F758B9" w:rsidRDefault="0079713B" w:rsidP="0079713B">
          <w:pPr>
            <w:pStyle w:val="TOC1"/>
            <w:tabs>
              <w:tab w:val="right" w:leader="dot" w:pos="9350"/>
            </w:tabs>
            <w:spacing w:line="240" w:lineRule="auto"/>
            <w:rPr>
              <w:rFonts w:ascii="Times New Roman" w:hAnsi="Times New Roman" w:cs="Times New Roman"/>
              <w:sz w:val="24"/>
              <w:szCs w:val="24"/>
            </w:rPr>
          </w:pPr>
          <w:hyperlink w:anchor="_Toc216740744" w:history="1">
            <w:r w:rsidRPr="00F758B9">
              <w:rPr>
                <w:rStyle w:val="Hyperlink"/>
                <w:rFonts w:ascii="Times New Roman" w:eastAsia="Times New Roman" w:hAnsi="Times New Roman" w:cs="Times New Roman"/>
                <w:b/>
                <w:bCs/>
                <w:sz w:val="24"/>
                <w:szCs w:val="24"/>
              </w:rPr>
              <w:t>9. Conclusion</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_Toc216740744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17</w:t>
            </w:r>
            <w:r w:rsidRPr="00F758B9">
              <w:rPr>
                <w:rFonts w:ascii="Times New Roman" w:hAnsi="Times New Roman" w:cs="Times New Roman"/>
                <w:webHidden/>
                <w:sz w:val="24"/>
                <w:szCs w:val="24"/>
              </w:rPr>
              <w:fldChar w:fldCharType="end"/>
            </w:r>
          </w:hyperlink>
        </w:p>
        <w:p w14:paraId="284016F8" w14:textId="098AE719" w:rsidR="0079713B" w:rsidRPr="00F758B9" w:rsidRDefault="0079713B" w:rsidP="0079713B">
          <w:pPr>
            <w:pStyle w:val="TOC1"/>
            <w:tabs>
              <w:tab w:val="right" w:leader="dot" w:pos="9350"/>
            </w:tabs>
            <w:spacing w:line="240" w:lineRule="auto"/>
            <w:rPr>
              <w:sz w:val="24"/>
              <w:szCs w:val="24"/>
            </w:rPr>
          </w:pPr>
          <w:hyperlink w:anchor="_Toc216740745" w:history="1">
            <w:r w:rsidRPr="00F758B9">
              <w:rPr>
                <w:rStyle w:val="Hyperlink"/>
                <w:rFonts w:ascii="Times New Roman" w:eastAsia="Times New Roman" w:hAnsi="Times New Roman" w:cs="Times New Roman"/>
                <w:b/>
                <w:bCs/>
                <w:sz w:val="24"/>
                <w:szCs w:val="24"/>
              </w:rPr>
              <w:t>10. Reference List</w:t>
            </w:r>
            <w:r w:rsidRPr="00F758B9">
              <w:rPr>
                <w:rFonts w:ascii="Times New Roman" w:hAnsi="Times New Roman" w:cs="Times New Roman"/>
                <w:webHidden/>
                <w:sz w:val="24"/>
                <w:szCs w:val="24"/>
              </w:rPr>
              <w:tab/>
            </w:r>
            <w:r w:rsidRPr="00F758B9">
              <w:rPr>
                <w:rFonts w:ascii="Times New Roman" w:hAnsi="Times New Roman" w:cs="Times New Roman"/>
                <w:webHidden/>
                <w:sz w:val="24"/>
                <w:szCs w:val="24"/>
              </w:rPr>
              <w:fldChar w:fldCharType="begin"/>
            </w:r>
            <w:r w:rsidRPr="00F758B9">
              <w:rPr>
                <w:rFonts w:ascii="Times New Roman" w:hAnsi="Times New Roman" w:cs="Times New Roman"/>
                <w:webHidden/>
                <w:sz w:val="24"/>
                <w:szCs w:val="24"/>
              </w:rPr>
              <w:instrText xml:space="preserve"> PAGEREF _Toc216740745 \h </w:instrText>
            </w:r>
            <w:r w:rsidRPr="00F758B9">
              <w:rPr>
                <w:rFonts w:ascii="Times New Roman" w:hAnsi="Times New Roman" w:cs="Times New Roman"/>
                <w:webHidden/>
                <w:sz w:val="24"/>
                <w:szCs w:val="24"/>
              </w:rPr>
            </w:r>
            <w:r w:rsidRPr="00F758B9">
              <w:rPr>
                <w:rFonts w:ascii="Times New Roman" w:hAnsi="Times New Roman" w:cs="Times New Roman"/>
                <w:webHidden/>
                <w:sz w:val="24"/>
                <w:szCs w:val="24"/>
              </w:rPr>
              <w:fldChar w:fldCharType="separate"/>
            </w:r>
            <w:r w:rsidRPr="00F758B9">
              <w:rPr>
                <w:rFonts w:ascii="Times New Roman" w:hAnsi="Times New Roman" w:cs="Times New Roman"/>
                <w:webHidden/>
                <w:sz w:val="24"/>
                <w:szCs w:val="24"/>
              </w:rPr>
              <w:t>19</w:t>
            </w:r>
            <w:r w:rsidRPr="00F758B9">
              <w:rPr>
                <w:rFonts w:ascii="Times New Roman" w:hAnsi="Times New Roman" w:cs="Times New Roman"/>
                <w:webHidden/>
                <w:sz w:val="24"/>
                <w:szCs w:val="24"/>
              </w:rPr>
              <w:fldChar w:fldCharType="end"/>
            </w:r>
          </w:hyperlink>
        </w:p>
        <w:p w14:paraId="0D5762F1" w14:textId="77777777" w:rsidR="0079713B" w:rsidRPr="00F758B9" w:rsidRDefault="0079713B" w:rsidP="0079713B">
          <w:pPr>
            <w:rPr>
              <w:b/>
              <w:bCs/>
              <w:sz w:val="24"/>
              <w:szCs w:val="24"/>
            </w:rPr>
          </w:pPr>
          <w:r w:rsidRPr="00F758B9">
            <w:rPr>
              <w:b/>
              <w:bCs/>
              <w:sz w:val="24"/>
              <w:szCs w:val="24"/>
            </w:rPr>
            <w:fldChar w:fldCharType="end"/>
          </w:r>
        </w:p>
      </w:sdtContent>
    </w:sdt>
    <w:bookmarkStart w:id="0" w:name="_i6rkc1m626e0" w:colFirst="0" w:colLast="0" w:displacedByCustomXml="prev"/>
    <w:bookmarkEnd w:id="0" w:displacedByCustomXml="prev"/>
    <w:bookmarkStart w:id="1" w:name="_Toc216740713" w:displacedByCustomXml="prev"/>
    <w:p w14:paraId="30C5AA68" w14:textId="77777777" w:rsidR="0079713B" w:rsidRPr="00F758B9" w:rsidRDefault="0079713B">
      <w:pPr>
        <w:rPr>
          <w:rFonts w:ascii="Times New Roman" w:eastAsia="Times New Roman" w:hAnsi="Times New Roman" w:cs="Times New Roman"/>
          <w:b/>
          <w:bCs/>
          <w:color w:val="222222"/>
          <w:sz w:val="24"/>
          <w:szCs w:val="24"/>
        </w:rPr>
      </w:pPr>
      <w:r w:rsidRPr="00F758B9">
        <w:rPr>
          <w:rFonts w:ascii="Times New Roman" w:eastAsia="Times New Roman" w:hAnsi="Times New Roman" w:cs="Times New Roman"/>
          <w:b/>
          <w:bCs/>
          <w:color w:val="222222"/>
          <w:sz w:val="24"/>
          <w:szCs w:val="24"/>
        </w:rPr>
        <w:br w:type="page"/>
      </w:r>
    </w:p>
    <w:p w14:paraId="5DE6B744" w14:textId="66499AD4" w:rsidR="009D712E" w:rsidRPr="00F758B9" w:rsidRDefault="00000000" w:rsidP="0079713B">
      <w:pPr>
        <w:pStyle w:val="Heading1"/>
        <w:rPr>
          <w:rFonts w:ascii="Arial" w:hAnsi="Arial"/>
          <w:b w:val="0"/>
          <w:szCs w:val="24"/>
        </w:rPr>
      </w:pPr>
      <w:r w:rsidRPr="00F758B9">
        <w:rPr>
          <w:szCs w:val="24"/>
        </w:rPr>
        <w:lastRenderedPageBreak/>
        <w:t>1. Introduction</w:t>
      </w:r>
      <w:bookmarkEnd w:id="1"/>
      <w:r w:rsidRPr="00F758B9">
        <w:rPr>
          <w:szCs w:val="24"/>
        </w:rPr>
        <w:t xml:space="preserve"> </w:t>
      </w:r>
    </w:p>
    <w:p w14:paraId="7711A289" w14:textId="77777777" w:rsidR="009D712E" w:rsidRPr="00F758B9" w:rsidRDefault="00000000">
      <w:pPr>
        <w:pStyle w:val="Heading2"/>
        <w:keepNext w:val="0"/>
        <w:keepLines w:val="0"/>
        <w:spacing w:line="360" w:lineRule="auto"/>
      </w:pPr>
      <w:bookmarkStart w:id="2" w:name="_zho7vwv5un6" w:colFirst="0" w:colLast="0"/>
      <w:bookmarkStart w:id="3" w:name="_Toc216740714"/>
      <w:bookmarkEnd w:id="2"/>
      <w:r w:rsidRPr="00F758B9">
        <w:t>1.1 Overview of Bupa UK</w:t>
      </w:r>
      <w:bookmarkEnd w:id="3"/>
    </w:p>
    <w:p w14:paraId="7A95651E"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Bupa UK is a private healthcare organisation based in the United Kingdom with a workforce of over 80,000 employees that serves over five million customers in the fields of health insurance, dental treatment, care facilities, and online health services. As a privately run company, Bupa does not have shareholders and instead uses its profits to enhance its clinical quality, customer experience and technological innovation (Bupa, 2024). Its main business activities include private medical insurance (PMI), more than 120 dental clinics, network of care homes, and growing digital health solutions, which makes it one of the market leaders in the growing preventative and personalised healthcare economy of the UK (Deloitte, 2024). To address the increasing demand to provide integrated and patient-centred care, in the recent past Bupa has strategically invested in remote monitoring technologies, AI-enabled diagnostics and virtual consultations. This robust infrastructure offers an excellent basis on which new health-tech products can be launched (Bupa, 2024).</w:t>
      </w:r>
    </w:p>
    <w:p w14:paraId="505519C5" w14:textId="77777777" w:rsidR="009D712E" w:rsidRPr="00F758B9" w:rsidRDefault="00000000">
      <w:pPr>
        <w:pStyle w:val="Heading2"/>
        <w:keepNext w:val="0"/>
        <w:keepLines w:val="0"/>
        <w:spacing w:line="360" w:lineRule="auto"/>
      </w:pPr>
      <w:bookmarkStart w:id="4" w:name="_mv3d57a68s85" w:colFirst="0" w:colLast="0"/>
      <w:bookmarkStart w:id="5" w:name="_Toc216740715"/>
      <w:bookmarkEnd w:id="4"/>
      <w:r w:rsidRPr="00F758B9">
        <w:t>1.2 Presentation of the Planned Project</w:t>
      </w:r>
      <w:bookmarkEnd w:id="5"/>
    </w:p>
    <w:p w14:paraId="6BCA8DBB"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 xml:space="preserve">The proposed project entails the design and introduction of a new wearable health device which will be used to track the heart rate, blood oxygen saturation and sleep patterns. As more consumers adopt self-tracking devices and healthcare shifts its focus towards preventive intervention, this device will help Bupa to pursue its long-term digital transformation strategy. Nevertheless, the nature of healthcare technology, including the accuracy of clinical practice, regulatory certification, cybersecurity and adoption by users, is that the interaction with stakeholders is essential to the success of the project. According to the Stakeholder Theory of </w:t>
      </w:r>
      <w:r w:rsidRPr="00F758B9">
        <w:rPr>
          <w:rFonts w:ascii="Times New Roman" w:eastAsia="Times New Roman" w:hAnsi="Times New Roman" w:cs="Times New Roman"/>
          <w:color w:val="222222"/>
          <w:sz w:val="24"/>
          <w:szCs w:val="24"/>
          <w:highlight w:val="white"/>
        </w:rPr>
        <w:t>Freeman (2010)</w:t>
      </w:r>
      <w:r w:rsidRPr="00F758B9">
        <w:rPr>
          <w:rFonts w:ascii="Times New Roman" w:eastAsia="Times New Roman" w:hAnsi="Times New Roman" w:cs="Times New Roman"/>
          <w:sz w:val="24"/>
          <w:szCs w:val="24"/>
        </w:rPr>
        <w:t>, organisations should consider the needs and expectations of all the groups that can impact or be impacted with the strategic decisions of the organisation. Moreover, the Stakeholder Engagement Framework of the Project Management Institute (T</w:t>
      </w:r>
      <w:hyperlink r:id="rId9">
        <w:r w:rsidR="009D712E" w:rsidRPr="00F758B9">
          <w:rPr>
            <w:rFonts w:ascii="Times New Roman" w:eastAsia="Times New Roman" w:hAnsi="Times New Roman" w:cs="Times New Roman"/>
            <w:sz w:val="24"/>
            <w:szCs w:val="24"/>
          </w:rPr>
          <w:t>egnum.edu</w:t>
        </w:r>
      </w:hyperlink>
      <w:r w:rsidRPr="00F758B9">
        <w:rPr>
          <w:rFonts w:ascii="Times New Roman" w:eastAsia="Times New Roman" w:hAnsi="Times New Roman" w:cs="Times New Roman"/>
          <w:sz w:val="24"/>
          <w:szCs w:val="24"/>
        </w:rPr>
        <w:t>, 2024) focuses on organised identifying, analysing, and proactive management of the relationships with stakeholders during the project lifecycle. The implementation of these theories will also help Bupa in organising internal teams, regulatory authorities, consumers, and technology suppliers to provide a safe, compliant and market-ready wearable device in six months (</w:t>
      </w:r>
      <w:r w:rsidRPr="00F758B9">
        <w:rPr>
          <w:rFonts w:ascii="Times New Roman" w:eastAsia="Times New Roman" w:hAnsi="Times New Roman" w:cs="Times New Roman"/>
          <w:color w:val="222222"/>
          <w:sz w:val="24"/>
          <w:szCs w:val="24"/>
          <w:highlight w:val="white"/>
        </w:rPr>
        <w:t xml:space="preserve">Christopher </w:t>
      </w:r>
      <w:r w:rsidRPr="00F758B9">
        <w:rPr>
          <w:rFonts w:ascii="Times New Roman" w:eastAsia="Times New Roman" w:hAnsi="Times New Roman" w:cs="Times New Roman"/>
          <w:i/>
          <w:iCs/>
          <w:color w:val="222222"/>
          <w:sz w:val="24"/>
          <w:szCs w:val="24"/>
          <w:highlight w:val="white"/>
        </w:rPr>
        <w:t>et al.</w:t>
      </w:r>
      <w:r w:rsidRPr="00F758B9">
        <w:rPr>
          <w:rFonts w:ascii="Times New Roman" w:eastAsia="Times New Roman" w:hAnsi="Times New Roman" w:cs="Times New Roman"/>
          <w:color w:val="222222"/>
          <w:sz w:val="24"/>
          <w:szCs w:val="24"/>
          <w:highlight w:val="white"/>
        </w:rPr>
        <w:t>, 2013).</w:t>
      </w:r>
    </w:p>
    <w:p w14:paraId="54AC1FBD" w14:textId="77777777" w:rsidR="009D712E" w:rsidRPr="00F758B9" w:rsidRDefault="00000000">
      <w:pPr>
        <w:pStyle w:val="Heading1"/>
        <w:keepNext w:val="0"/>
        <w:keepLines w:val="0"/>
        <w:shd w:val="clear" w:color="auto" w:fill="FFFFFF"/>
        <w:spacing w:before="480"/>
        <w:rPr>
          <w:rFonts w:eastAsia="Times New Roman" w:cs="Times New Roman"/>
          <w:b w:val="0"/>
          <w:bCs/>
          <w:color w:val="222222"/>
          <w:szCs w:val="24"/>
        </w:rPr>
      </w:pPr>
      <w:bookmarkStart w:id="6" w:name="_parhky7fgghc" w:colFirst="0" w:colLast="0"/>
      <w:bookmarkStart w:id="7" w:name="_Toc216740716"/>
      <w:bookmarkEnd w:id="6"/>
      <w:r w:rsidRPr="00F758B9">
        <w:rPr>
          <w:rFonts w:eastAsia="Times New Roman" w:cs="Times New Roman"/>
          <w:bCs/>
          <w:color w:val="222222"/>
          <w:szCs w:val="24"/>
        </w:rPr>
        <w:lastRenderedPageBreak/>
        <w:t>2. Situational Analysis of Bupa</w:t>
      </w:r>
      <w:bookmarkEnd w:id="7"/>
      <w:r w:rsidRPr="00F758B9">
        <w:rPr>
          <w:rFonts w:eastAsia="Times New Roman" w:cs="Times New Roman"/>
          <w:bCs/>
          <w:color w:val="222222"/>
          <w:szCs w:val="24"/>
        </w:rPr>
        <w:t xml:space="preserve"> </w:t>
      </w:r>
    </w:p>
    <w:p w14:paraId="6A4A8992" w14:textId="77777777" w:rsidR="009D712E" w:rsidRPr="00F758B9" w:rsidRDefault="00000000">
      <w:pPr>
        <w:pStyle w:val="Heading2"/>
        <w:keepNext w:val="0"/>
        <w:keepLines w:val="0"/>
        <w:spacing w:line="360" w:lineRule="auto"/>
      </w:pPr>
      <w:bookmarkStart w:id="8" w:name="_k2wako2wqgvo" w:colFirst="0" w:colLast="0"/>
      <w:bookmarkStart w:id="9" w:name="_Toc216740717"/>
      <w:bookmarkEnd w:id="8"/>
      <w:r w:rsidRPr="00F758B9">
        <w:t>2.1 SWOT Analysis</w:t>
      </w:r>
      <w:bookmarkEnd w:id="9"/>
      <w:r w:rsidRPr="00F758B9">
        <w:t xml:space="preserve"> </w:t>
      </w:r>
    </w:p>
    <w:p w14:paraId="488CA62B" w14:textId="77777777" w:rsidR="009D712E"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The detailed SWOT analysis will enable the assessment of the internal and external environment of Bupa prior to the introduction of the wearable health device.</w:t>
      </w:r>
    </w:p>
    <w:tbl>
      <w:tblPr>
        <w:tblStyle w:val="GridTable4-Accent6"/>
        <w:tblW w:w="0" w:type="auto"/>
        <w:tblLook w:val="04A0" w:firstRow="1" w:lastRow="0" w:firstColumn="1" w:lastColumn="0" w:noHBand="0" w:noVBand="1"/>
      </w:tblPr>
      <w:tblGrid>
        <w:gridCol w:w="4675"/>
        <w:gridCol w:w="4675"/>
      </w:tblGrid>
      <w:tr w:rsidR="00E32A82" w14:paraId="75C67441" w14:textId="77777777" w:rsidTr="00E32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F4517E2" w14:textId="0639F583" w:rsidR="00E32A82" w:rsidRPr="00E32A82" w:rsidRDefault="00E32A82">
            <w:pPr>
              <w:spacing w:line="360" w:lineRule="auto"/>
              <w:jc w:val="both"/>
              <w:rPr>
                <w:rFonts w:ascii="Times New Roman" w:eastAsia="Times New Roman" w:hAnsi="Times New Roman" w:cs="Times New Roman"/>
                <w:i/>
                <w:iCs/>
                <w:sz w:val="24"/>
                <w:szCs w:val="24"/>
                <w:u w:val="single"/>
              </w:rPr>
            </w:pPr>
            <w:r w:rsidRPr="00F758B9">
              <w:rPr>
                <w:rFonts w:ascii="Times New Roman" w:eastAsia="Times New Roman" w:hAnsi="Times New Roman" w:cs="Times New Roman"/>
                <w:i/>
                <w:iCs/>
                <w:sz w:val="24"/>
                <w:szCs w:val="24"/>
                <w:u w:val="single"/>
              </w:rPr>
              <w:t>Strengths:</w:t>
            </w:r>
          </w:p>
        </w:tc>
        <w:tc>
          <w:tcPr>
            <w:tcW w:w="4675" w:type="dxa"/>
          </w:tcPr>
          <w:p w14:paraId="48B22872" w14:textId="453E0C5F" w:rsidR="00E32A82" w:rsidRPr="00E32A82" w:rsidRDefault="00E32A8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4"/>
                <w:szCs w:val="24"/>
                <w:u w:val="single"/>
              </w:rPr>
            </w:pPr>
            <w:r w:rsidRPr="00F758B9">
              <w:rPr>
                <w:rFonts w:ascii="Times New Roman" w:eastAsia="Times New Roman" w:hAnsi="Times New Roman" w:cs="Times New Roman"/>
                <w:i/>
                <w:iCs/>
                <w:sz w:val="24"/>
                <w:szCs w:val="24"/>
                <w:u w:val="single"/>
              </w:rPr>
              <w:t>Weaknesses:</w:t>
            </w:r>
          </w:p>
        </w:tc>
      </w:tr>
      <w:tr w:rsidR="00E32A82" w14:paraId="02E48F81" w14:textId="77777777" w:rsidTr="00E32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966CF75" w14:textId="0027D867" w:rsidR="00E32A82" w:rsidRPr="00E32A82" w:rsidRDefault="00E32A82">
            <w:pPr>
              <w:spacing w:line="360" w:lineRule="auto"/>
              <w:jc w:val="both"/>
              <w:rPr>
                <w:rFonts w:ascii="Times New Roman" w:eastAsia="Times New Roman" w:hAnsi="Times New Roman" w:cs="Times New Roman"/>
                <w:b w:val="0"/>
                <w:bCs w:val="0"/>
                <w:sz w:val="24"/>
                <w:szCs w:val="24"/>
              </w:rPr>
            </w:pPr>
            <w:r w:rsidRPr="00E32A82">
              <w:rPr>
                <w:rFonts w:ascii="Times New Roman" w:eastAsia="Times New Roman" w:hAnsi="Times New Roman" w:cs="Times New Roman"/>
                <w:b w:val="0"/>
                <w:bCs w:val="0"/>
                <w:sz w:val="24"/>
                <w:szCs w:val="24"/>
              </w:rPr>
              <w:t>Bupa has good brand trust, sizable current customer base and existing knowledge in online healthcare services and in-patient care. Its financial capability and investment in remote care and digital platforms will offer a strong base on which it can incorporate wearable technology into its service delivery. Clinical governance and the safety of patients is also another aspect that raises consumer confidence in health-monitoring products at Bupa.</w:t>
            </w:r>
          </w:p>
        </w:tc>
        <w:tc>
          <w:tcPr>
            <w:tcW w:w="4675" w:type="dxa"/>
          </w:tcPr>
          <w:p w14:paraId="5831A06E" w14:textId="7A2AC376" w:rsidR="00E32A82" w:rsidRPr="00E32A82" w:rsidRDefault="00E32A8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32A82">
              <w:rPr>
                <w:rFonts w:ascii="Times New Roman" w:eastAsia="Times New Roman" w:hAnsi="Times New Roman" w:cs="Times New Roman"/>
                <w:sz w:val="24"/>
                <w:szCs w:val="24"/>
              </w:rPr>
              <w:t>Although Bupa has a good service potential, it does not have the history of creating hardware products and the wearable device is a relatively new product and can bring technical and manufacturing risks. Also, the cost of operation and the requirements of data governance make the development of digital products even more complex. The issue of privacy of data, especially sensitive biometric information, is a reputation risk that is not managed effectively.</w:t>
            </w:r>
          </w:p>
        </w:tc>
      </w:tr>
      <w:tr w:rsidR="00E32A82" w14:paraId="7FE23D27" w14:textId="77777777" w:rsidTr="00E32A82">
        <w:tc>
          <w:tcPr>
            <w:cnfStyle w:val="001000000000" w:firstRow="0" w:lastRow="0" w:firstColumn="1" w:lastColumn="0" w:oddVBand="0" w:evenVBand="0" w:oddHBand="0" w:evenHBand="0" w:firstRowFirstColumn="0" w:firstRowLastColumn="0" w:lastRowFirstColumn="0" w:lastRowLastColumn="0"/>
            <w:tcW w:w="4675" w:type="dxa"/>
          </w:tcPr>
          <w:p w14:paraId="1561FECA" w14:textId="0FDC5BCA" w:rsidR="00E32A82" w:rsidRPr="00E32A82" w:rsidRDefault="00E32A82">
            <w:pPr>
              <w:spacing w:line="360" w:lineRule="auto"/>
              <w:jc w:val="both"/>
              <w:rPr>
                <w:rFonts w:ascii="Times New Roman" w:eastAsia="Times New Roman" w:hAnsi="Times New Roman" w:cs="Times New Roman"/>
                <w:i/>
                <w:iCs/>
                <w:sz w:val="24"/>
                <w:szCs w:val="24"/>
                <w:u w:val="single"/>
              </w:rPr>
            </w:pPr>
            <w:r w:rsidRPr="00F758B9">
              <w:rPr>
                <w:rFonts w:ascii="Times New Roman" w:eastAsia="Times New Roman" w:hAnsi="Times New Roman" w:cs="Times New Roman"/>
                <w:i/>
                <w:iCs/>
                <w:sz w:val="24"/>
                <w:szCs w:val="24"/>
                <w:u w:val="single"/>
              </w:rPr>
              <w:t>Opportunities:</w:t>
            </w:r>
          </w:p>
        </w:tc>
        <w:tc>
          <w:tcPr>
            <w:tcW w:w="4675" w:type="dxa"/>
          </w:tcPr>
          <w:p w14:paraId="6B784454" w14:textId="3EC157A7" w:rsidR="00E32A82" w:rsidRPr="00E32A82" w:rsidRDefault="00E32A8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sz w:val="24"/>
                <w:szCs w:val="24"/>
                <w:u w:val="single"/>
              </w:rPr>
            </w:pPr>
            <w:r w:rsidRPr="00F758B9">
              <w:rPr>
                <w:rFonts w:ascii="Times New Roman" w:eastAsia="Times New Roman" w:hAnsi="Times New Roman" w:cs="Times New Roman"/>
                <w:i/>
                <w:iCs/>
                <w:sz w:val="24"/>
                <w:szCs w:val="24"/>
                <w:u w:val="single"/>
              </w:rPr>
              <w:t>Threats:</w:t>
            </w:r>
          </w:p>
        </w:tc>
      </w:tr>
      <w:tr w:rsidR="00E32A82" w14:paraId="5D3B7025" w14:textId="77777777" w:rsidTr="00E32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550FE13" w14:textId="30A1329B" w:rsidR="00E32A82" w:rsidRPr="00E32A82" w:rsidRDefault="00E32A82">
            <w:pPr>
              <w:spacing w:line="360" w:lineRule="auto"/>
              <w:jc w:val="both"/>
              <w:rPr>
                <w:rFonts w:ascii="Times New Roman" w:eastAsia="Times New Roman" w:hAnsi="Times New Roman" w:cs="Times New Roman"/>
                <w:b w:val="0"/>
                <w:bCs w:val="0"/>
                <w:sz w:val="24"/>
                <w:szCs w:val="24"/>
              </w:rPr>
            </w:pPr>
            <w:r w:rsidRPr="00E32A82">
              <w:rPr>
                <w:rFonts w:ascii="Times New Roman" w:eastAsia="Times New Roman" w:hAnsi="Times New Roman" w:cs="Times New Roman"/>
                <w:b w:val="0"/>
                <w:bCs w:val="0"/>
                <w:sz w:val="24"/>
                <w:szCs w:val="24"/>
              </w:rPr>
              <w:t>The market is already large due to the ageing population in the UK, the growing number of chronic diseases and the growing demand by the people in self-monitoring equipment. The further opportunities of improving customer value include the advancement in AI-based diagnostics and tailored health information that will enable Bupa to become more valuable to customers. Cooperation with technology companies and educational research institutions allow more opportunities to innovate.</w:t>
            </w:r>
          </w:p>
        </w:tc>
        <w:tc>
          <w:tcPr>
            <w:tcW w:w="4675" w:type="dxa"/>
          </w:tcPr>
          <w:p w14:paraId="127609A1" w14:textId="77777777" w:rsidR="00E32A82" w:rsidRPr="00E32A82" w:rsidRDefault="00E32A82" w:rsidP="00E32A8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32A82">
              <w:rPr>
                <w:rFonts w:ascii="Times New Roman" w:eastAsia="Times New Roman" w:hAnsi="Times New Roman" w:cs="Times New Roman"/>
                <w:sz w:val="24"/>
                <w:szCs w:val="24"/>
              </w:rPr>
              <w:t>The main threats are the presence of high competition among NHS digital services, large technology firms (Apple, Fitbit, Samsung), and new health-tech start-ups. Additional compliance risks are regulatory pressure on medical device certification (MHRA) and data protection covered by the GDPR. The problem of cybersecurity threats is significant because of the increased cases of data breaches in healthcare.</w:t>
            </w:r>
          </w:p>
          <w:p w14:paraId="2F2FF0F3" w14:textId="77777777" w:rsidR="00E32A82" w:rsidRPr="00E32A82" w:rsidRDefault="00E32A8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bl>
    <w:p w14:paraId="6334C774" w14:textId="02C9404D" w:rsidR="009D712E" w:rsidRDefault="00000000">
      <w:pPr>
        <w:pStyle w:val="Heading2"/>
        <w:keepNext w:val="0"/>
        <w:keepLines w:val="0"/>
        <w:spacing w:line="360" w:lineRule="auto"/>
      </w:pPr>
      <w:bookmarkStart w:id="10" w:name="_5bl5j5f5cbvf" w:colFirst="0" w:colLast="0"/>
      <w:bookmarkStart w:id="11" w:name="_Toc216740718"/>
      <w:bookmarkEnd w:id="10"/>
      <w:r w:rsidRPr="00F758B9">
        <w:lastRenderedPageBreak/>
        <w:t>2.2 PESTLE Analysis</w:t>
      </w:r>
      <w:bookmarkEnd w:id="11"/>
    </w:p>
    <w:tbl>
      <w:tblPr>
        <w:tblStyle w:val="GridTable6Colorful-Accent5"/>
        <w:tblW w:w="0" w:type="auto"/>
        <w:tblLook w:val="04A0" w:firstRow="1" w:lastRow="0" w:firstColumn="1" w:lastColumn="0" w:noHBand="0" w:noVBand="1"/>
      </w:tblPr>
      <w:tblGrid>
        <w:gridCol w:w="1838"/>
        <w:gridCol w:w="7512"/>
      </w:tblGrid>
      <w:tr w:rsidR="00E32A82" w14:paraId="72988871" w14:textId="77777777" w:rsidTr="00E32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036607C" w14:textId="52AE077F" w:rsidR="00E32A82" w:rsidRPr="00E32A82" w:rsidRDefault="00E32A82" w:rsidP="00E32A82">
            <w:pPr>
              <w:rPr>
                <w:b w:val="0"/>
                <w:bCs w:val="0"/>
                <w:color w:val="auto"/>
              </w:rPr>
            </w:pPr>
            <w:r w:rsidRPr="00E32A82">
              <w:rPr>
                <w:rFonts w:ascii="Times New Roman" w:eastAsia="Times New Roman" w:hAnsi="Times New Roman" w:cs="Times New Roman"/>
                <w:b w:val="0"/>
                <w:bCs w:val="0"/>
                <w:color w:val="auto"/>
                <w:sz w:val="24"/>
                <w:szCs w:val="24"/>
                <w:u w:val="single"/>
              </w:rPr>
              <w:t>Political</w:t>
            </w:r>
          </w:p>
        </w:tc>
        <w:tc>
          <w:tcPr>
            <w:tcW w:w="7512" w:type="dxa"/>
          </w:tcPr>
          <w:p w14:paraId="21206391" w14:textId="26F6C4C8" w:rsidR="00E32A82" w:rsidRPr="00E32A82" w:rsidRDefault="00E32A82" w:rsidP="00E32A82">
            <w:pPr>
              <w:cnfStyle w:val="100000000000" w:firstRow="1" w:lastRow="0" w:firstColumn="0" w:lastColumn="0" w:oddVBand="0" w:evenVBand="0" w:oddHBand="0" w:evenHBand="0" w:firstRowFirstColumn="0" w:firstRowLastColumn="0" w:lastRowFirstColumn="0" w:lastRowLastColumn="0"/>
              <w:rPr>
                <w:b w:val="0"/>
                <w:bCs w:val="0"/>
                <w:color w:val="auto"/>
              </w:rPr>
            </w:pPr>
            <w:r w:rsidRPr="00E32A82">
              <w:rPr>
                <w:rFonts w:ascii="Times New Roman" w:eastAsia="Times New Roman" w:hAnsi="Times New Roman" w:cs="Times New Roman"/>
                <w:b w:val="0"/>
                <w:bCs w:val="0"/>
                <w:color w:val="auto"/>
                <w:sz w:val="24"/>
                <w:szCs w:val="24"/>
              </w:rPr>
              <w:t>UK government policy in favour of digital health implementation, NHS partnerships and regulation of medical devices have a serious impact on the project. The device should be in line with the MHRA requirements on safety and clinical accuracy.</w:t>
            </w:r>
          </w:p>
        </w:tc>
      </w:tr>
      <w:tr w:rsidR="00E32A82" w14:paraId="66BD1CBC" w14:textId="77777777" w:rsidTr="00E32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0B73DED" w14:textId="0FC846CB" w:rsidR="00E32A82" w:rsidRPr="00E32A82" w:rsidRDefault="00E32A82" w:rsidP="00E32A82">
            <w:pPr>
              <w:rPr>
                <w:b w:val="0"/>
                <w:bCs w:val="0"/>
                <w:color w:val="auto"/>
              </w:rPr>
            </w:pPr>
            <w:r w:rsidRPr="00E32A82">
              <w:rPr>
                <w:rFonts w:ascii="Times New Roman" w:eastAsia="Times New Roman" w:hAnsi="Times New Roman" w:cs="Times New Roman"/>
                <w:b w:val="0"/>
                <w:bCs w:val="0"/>
                <w:color w:val="auto"/>
                <w:sz w:val="24"/>
                <w:szCs w:val="24"/>
                <w:u w:val="single"/>
              </w:rPr>
              <w:t>Economic</w:t>
            </w:r>
          </w:p>
        </w:tc>
        <w:tc>
          <w:tcPr>
            <w:tcW w:w="7512" w:type="dxa"/>
          </w:tcPr>
          <w:p w14:paraId="70CF9612" w14:textId="4AEBEF6D" w:rsidR="00E32A82" w:rsidRPr="00E32A82" w:rsidRDefault="00E32A82" w:rsidP="00E32A8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E32A82">
              <w:rPr>
                <w:rFonts w:ascii="Times New Roman" w:eastAsia="Times New Roman" w:hAnsi="Times New Roman" w:cs="Times New Roman"/>
                <w:color w:val="auto"/>
                <w:sz w:val="24"/>
                <w:szCs w:val="24"/>
              </w:rPr>
              <w:t>The growth of healthcare spending and the growth in consumer willingness to spend on individual health services favour market entry. Nonetheless, consumer spending on new devices may be constrained by the inflationary pressures and cost-of-living issues.</w:t>
            </w:r>
          </w:p>
        </w:tc>
      </w:tr>
      <w:tr w:rsidR="00E32A82" w14:paraId="49F5F92C" w14:textId="77777777" w:rsidTr="00E32A82">
        <w:tc>
          <w:tcPr>
            <w:cnfStyle w:val="001000000000" w:firstRow="0" w:lastRow="0" w:firstColumn="1" w:lastColumn="0" w:oddVBand="0" w:evenVBand="0" w:oddHBand="0" w:evenHBand="0" w:firstRowFirstColumn="0" w:firstRowLastColumn="0" w:lastRowFirstColumn="0" w:lastRowLastColumn="0"/>
            <w:tcW w:w="1838" w:type="dxa"/>
          </w:tcPr>
          <w:p w14:paraId="00043D3B" w14:textId="1F9C7AC1" w:rsidR="00E32A82" w:rsidRPr="00E32A82" w:rsidRDefault="00E32A82" w:rsidP="00E32A82">
            <w:pPr>
              <w:rPr>
                <w:b w:val="0"/>
                <w:bCs w:val="0"/>
                <w:color w:val="auto"/>
              </w:rPr>
            </w:pPr>
            <w:r w:rsidRPr="00E32A82">
              <w:rPr>
                <w:rFonts w:ascii="Times New Roman" w:eastAsia="Times New Roman" w:hAnsi="Times New Roman" w:cs="Times New Roman"/>
                <w:b w:val="0"/>
                <w:bCs w:val="0"/>
                <w:color w:val="auto"/>
                <w:sz w:val="24"/>
                <w:szCs w:val="24"/>
                <w:u w:val="single"/>
              </w:rPr>
              <w:t>Social</w:t>
            </w:r>
          </w:p>
        </w:tc>
        <w:tc>
          <w:tcPr>
            <w:tcW w:w="7512" w:type="dxa"/>
          </w:tcPr>
          <w:p w14:paraId="3DADA73F" w14:textId="41A9362B" w:rsidR="00E32A82" w:rsidRPr="00E32A82" w:rsidRDefault="00E32A82" w:rsidP="00E32A82">
            <w:pPr>
              <w:cnfStyle w:val="000000000000" w:firstRow="0" w:lastRow="0" w:firstColumn="0" w:lastColumn="0" w:oddVBand="0" w:evenVBand="0" w:oddHBand="0" w:evenHBand="0" w:firstRowFirstColumn="0" w:firstRowLastColumn="0" w:lastRowFirstColumn="0" w:lastRowLastColumn="0"/>
              <w:rPr>
                <w:color w:val="auto"/>
              </w:rPr>
            </w:pPr>
            <w:r w:rsidRPr="00E32A82">
              <w:rPr>
                <w:rFonts w:ascii="Times New Roman" w:eastAsia="Times New Roman" w:hAnsi="Times New Roman" w:cs="Times New Roman"/>
                <w:color w:val="auto"/>
                <w:sz w:val="24"/>
                <w:szCs w:val="24"/>
              </w:rPr>
              <w:t>The growing number of health conscious people due to the aging population and growing health awareness, creates a demand for continuous monitoring of health. The digital literacy of younger customers is also high, which is beneficial to adoption.</w:t>
            </w:r>
          </w:p>
        </w:tc>
      </w:tr>
      <w:tr w:rsidR="00E32A82" w14:paraId="78DB4754" w14:textId="77777777" w:rsidTr="00E32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7C64FA27" w14:textId="315188D5" w:rsidR="00E32A82" w:rsidRPr="00E32A82" w:rsidRDefault="00E32A82" w:rsidP="00E32A82">
            <w:pPr>
              <w:rPr>
                <w:b w:val="0"/>
                <w:bCs w:val="0"/>
                <w:color w:val="auto"/>
              </w:rPr>
            </w:pPr>
            <w:r w:rsidRPr="00E32A82">
              <w:rPr>
                <w:rFonts w:ascii="Times New Roman" w:eastAsia="Times New Roman" w:hAnsi="Times New Roman" w:cs="Times New Roman"/>
                <w:b w:val="0"/>
                <w:bCs w:val="0"/>
                <w:color w:val="auto"/>
                <w:sz w:val="24"/>
                <w:szCs w:val="24"/>
                <w:u w:val="single"/>
              </w:rPr>
              <w:t>Technological</w:t>
            </w:r>
          </w:p>
        </w:tc>
        <w:tc>
          <w:tcPr>
            <w:tcW w:w="7512" w:type="dxa"/>
          </w:tcPr>
          <w:p w14:paraId="48DD9CF5" w14:textId="36227EEF" w:rsidR="00E32A82" w:rsidRPr="00E32A82" w:rsidRDefault="00E32A82" w:rsidP="00E32A8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E32A82">
              <w:rPr>
                <w:rFonts w:ascii="Times New Roman" w:eastAsia="Times New Roman" w:hAnsi="Times New Roman" w:cs="Times New Roman"/>
                <w:color w:val="auto"/>
                <w:sz w:val="24"/>
                <w:szCs w:val="24"/>
              </w:rPr>
              <w:t>The high-quality monitoring and personalised insights are possible thanks to rapid improvement of sensors, AI, IoT connectivity and data analytics. Nonetheless, the high rate of technological development adds to the pressure to upgrade and maintain the gadgets regularly.</w:t>
            </w:r>
          </w:p>
        </w:tc>
      </w:tr>
      <w:tr w:rsidR="00E32A82" w14:paraId="0DC7C7F3" w14:textId="77777777" w:rsidTr="00E32A82">
        <w:tc>
          <w:tcPr>
            <w:cnfStyle w:val="001000000000" w:firstRow="0" w:lastRow="0" w:firstColumn="1" w:lastColumn="0" w:oddVBand="0" w:evenVBand="0" w:oddHBand="0" w:evenHBand="0" w:firstRowFirstColumn="0" w:firstRowLastColumn="0" w:lastRowFirstColumn="0" w:lastRowLastColumn="0"/>
            <w:tcW w:w="1838" w:type="dxa"/>
          </w:tcPr>
          <w:p w14:paraId="0F4C6A0A" w14:textId="2DC3AB99" w:rsidR="00E32A82" w:rsidRPr="00E32A82" w:rsidRDefault="00E32A82" w:rsidP="00E32A82">
            <w:pPr>
              <w:rPr>
                <w:b w:val="0"/>
                <w:bCs w:val="0"/>
                <w:color w:val="auto"/>
              </w:rPr>
            </w:pPr>
            <w:r w:rsidRPr="00E32A82">
              <w:rPr>
                <w:rFonts w:ascii="Times New Roman" w:eastAsia="Times New Roman" w:hAnsi="Times New Roman" w:cs="Times New Roman"/>
                <w:b w:val="0"/>
                <w:bCs w:val="0"/>
                <w:color w:val="auto"/>
                <w:sz w:val="24"/>
                <w:szCs w:val="24"/>
                <w:u w:val="single"/>
              </w:rPr>
              <w:t>Legal</w:t>
            </w:r>
          </w:p>
        </w:tc>
        <w:tc>
          <w:tcPr>
            <w:tcW w:w="7512" w:type="dxa"/>
          </w:tcPr>
          <w:p w14:paraId="018CB350" w14:textId="5C1A6F15" w:rsidR="00E32A82" w:rsidRPr="00E32A82" w:rsidRDefault="00E32A82" w:rsidP="00E32A8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E32A82">
              <w:rPr>
                <w:rFonts w:ascii="Times New Roman" w:eastAsia="Times New Roman" w:hAnsi="Times New Roman" w:cs="Times New Roman"/>
                <w:color w:val="auto"/>
                <w:sz w:val="24"/>
                <w:szCs w:val="24"/>
              </w:rPr>
              <w:t>GDPR and UK Data Protection laws have high standards regarding the biometric data processing, consent of participants and cybersecurity. Wearables can also need the MHRA classification, in case it is regarded as a medical device.</w:t>
            </w:r>
          </w:p>
        </w:tc>
      </w:tr>
      <w:tr w:rsidR="00E32A82" w14:paraId="353779D0" w14:textId="77777777" w:rsidTr="00E32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44E7E7C" w14:textId="75F271F6" w:rsidR="00E32A82" w:rsidRPr="00E32A82" w:rsidRDefault="00E32A82" w:rsidP="00E32A82">
            <w:pPr>
              <w:rPr>
                <w:b w:val="0"/>
                <w:bCs w:val="0"/>
                <w:color w:val="auto"/>
              </w:rPr>
            </w:pPr>
            <w:r w:rsidRPr="00E32A82">
              <w:rPr>
                <w:rFonts w:ascii="Times New Roman" w:eastAsia="Times New Roman" w:hAnsi="Times New Roman" w:cs="Times New Roman"/>
                <w:b w:val="0"/>
                <w:bCs w:val="0"/>
                <w:color w:val="auto"/>
                <w:sz w:val="24"/>
                <w:szCs w:val="24"/>
                <w:u w:val="single"/>
              </w:rPr>
              <w:t>Environmental</w:t>
            </w:r>
          </w:p>
        </w:tc>
        <w:tc>
          <w:tcPr>
            <w:tcW w:w="7512" w:type="dxa"/>
          </w:tcPr>
          <w:p w14:paraId="12572BC9" w14:textId="7412BF39" w:rsidR="00E32A82" w:rsidRPr="00E32A82" w:rsidRDefault="00E32A82" w:rsidP="00E32A82">
            <w:pPr>
              <w:cnfStyle w:val="000000100000" w:firstRow="0" w:lastRow="0" w:firstColumn="0" w:lastColumn="0" w:oddVBand="0" w:evenVBand="0" w:oddHBand="1" w:evenHBand="0" w:firstRowFirstColumn="0" w:firstRowLastColumn="0" w:lastRowFirstColumn="0" w:lastRowLastColumn="0"/>
              <w:rPr>
                <w:color w:val="auto"/>
              </w:rPr>
            </w:pPr>
            <w:r w:rsidRPr="00E32A82">
              <w:rPr>
                <w:rFonts w:ascii="Times New Roman" w:eastAsia="Times New Roman" w:hAnsi="Times New Roman" w:cs="Times New Roman"/>
                <w:color w:val="auto"/>
                <w:sz w:val="24"/>
                <w:szCs w:val="24"/>
              </w:rPr>
              <w:t>The consumers and regulators demand sustainable production, energy-saving elements, and material that can be recycled.</w:t>
            </w:r>
          </w:p>
        </w:tc>
      </w:tr>
    </w:tbl>
    <w:p w14:paraId="4BB4B0B1" w14:textId="77777777" w:rsidR="00E32A82" w:rsidRPr="00E32A82" w:rsidRDefault="00E32A82" w:rsidP="00E32A82"/>
    <w:p w14:paraId="2C81D34A" w14:textId="77777777" w:rsidR="009D712E" w:rsidRDefault="00000000">
      <w:pPr>
        <w:pStyle w:val="Heading2"/>
        <w:keepNext w:val="0"/>
        <w:keepLines w:val="0"/>
        <w:spacing w:line="360" w:lineRule="auto"/>
      </w:pPr>
      <w:bookmarkStart w:id="12" w:name="_vhknhk6t4zbi" w:colFirst="0" w:colLast="0"/>
      <w:bookmarkStart w:id="13" w:name="_Toc216740719"/>
      <w:bookmarkEnd w:id="12"/>
      <w:r w:rsidRPr="00F758B9">
        <w:t>2.3 SMART Project Objectives</w:t>
      </w:r>
      <w:bookmarkEnd w:id="13"/>
      <w:r w:rsidRPr="00F758B9">
        <w:t xml:space="preserve"> </w:t>
      </w:r>
    </w:p>
    <w:tbl>
      <w:tblPr>
        <w:tblStyle w:val="GridTable4-Accent4"/>
        <w:tblW w:w="0" w:type="auto"/>
        <w:tblLook w:val="04A0" w:firstRow="1" w:lastRow="0" w:firstColumn="1" w:lastColumn="0" w:noHBand="0" w:noVBand="1"/>
      </w:tblPr>
      <w:tblGrid>
        <w:gridCol w:w="1696"/>
        <w:gridCol w:w="1843"/>
        <w:gridCol w:w="2410"/>
        <w:gridCol w:w="1701"/>
        <w:gridCol w:w="1700"/>
      </w:tblGrid>
      <w:tr w:rsidR="00E32A82" w14:paraId="5F54CDF6" w14:textId="77777777" w:rsidTr="00E32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C205B4D" w14:textId="130C098E" w:rsidR="00E32A82" w:rsidRDefault="00E32A82" w:rsidP="00E32A82">
            <w:r w:rsidRPr="00F758B9">
              <w:rPr>
                <w:rFonts w:ascii="Times New Roman" w:eastAsia="Times New Roman" w:hAnsi="Times New Roman" w:cs="Times New Roman"/>
                <w:sz w:val="24"/>
                <w:szCs w:val="24"/>
                <w:u w:val="single"/>
              </w:rPr>
              <w:t>Specific</w:t>
            </w:r>
          </w:p>
        </w:tc>
        <w:tc>
          <w:tcPr>
            <w:tcW w:w="1843" w:type="dxa"/>
          </w:tcPr>
          <w:p w14:paraId="205B6241" w14:textId="59C0A802" w:rsidR="00E32A82" w:rsidRDefault="00E32A82" w:rsidP="00E32A82">
            <w:pPr>
              <w:cnfStyle w:val="100000000000" w:firstRow="1" w:lastRow="0" w:firstColumn="0" w:lastColumn="0" w:oddVBand="0" w:evenVBand="0" w:oddHBand="0" w:evenHBand="0" w:firstRowFirstColumn="0" w:firstRowLastColumn="0" w:lastRowFirstColumn="0" w:lastRowLastColumn="0"/>
            </w:pPr>
            <w:r w:rsidRPr="00F758B9">
              <w:rPr>
                <w:rFonts w:ascii="Times New Roman" w:eastAsia="Times New Roman" w:hAnsi="Times New Roman" w:cs="Times New Roman"/>
                <w:sz w:val="24"/>
                <w:szCs w:val="24"/>
                <w:u w:val="single"/>
              </w:rPr>
              <w:t>Measurable</w:t>
            </w:r>
          </w:p>
        </w:tc>
        <w:tc>
          <w:tcPr>
            <w:tcW w:w="2410" w:type="dxa"/>
          </w:tcPr>
          <w:p w14:paraId="6CD523D0" w14:textId="4A35E29D" w:rsidR="00E32A82" w:rsidRDefault="00E32A82" w:rsidP="00E32A82">
            <w:pPr>
              <w:cnfStyle w:val="100000000000" w:firstRow="1" w:lastRow="0" w:firstColumn="0" w:lastColumn="0" w:oddVBand="0" w:evenVBand="0" w:oddHBand="0" w:evenHBand="0" w:firstRowFirstColumn="0" w:firstRowLastColumn="0" w:lastRowFirstColumn="0" w:lastRowLastColumn="0"/>
            </w:pPr>
            <w:r w:rsidRPr="00F758B9">
              <w:rPr>
                <w:rFonts w:ascii="Times New Roman" w:eastAsia="Times New Roman" w:hAnsi="Times New Roman" w:cs="Times New Roman"/>
                <w:sz w:val="24"/>
                <w:szCs w:val="24"/>
                <w:u w:val="single"/>
              </w:rPr>
              <w:t>Achievable</w:t>
            </w:r>
          </w:p>
        </w:tc>
        <w:tc>
          <w:tcPr>
            <w:tcW w:w="1701" w:type="dxa"/>
          </w:tcPr>
          <w:p w14:paraId="47CBD85A" w14:textId="44E214DD" w:rsidR="00E32A82" w:rsidRDefault="00E32A82" w:rsidP="00E32A82">
            <w:pPr>
              <w:cnfStyle w:val="100000000000" w:firstRow="1" w:lastRow="0" w:firstColumn="0" w:lastColumn="0" w:oddVBand="0" w:evenVBand="0" w:oddHBand="0" w:evenHBand="0" w:firstRowFirstColumn="0" w:firstRowLastColumn="0" w:lastRowFirstColumn="0" w:lastRowLastColumn="0"/>
            </w:pPr>
            <w:r w:rsidRPr="00F758B9">
              <w:rPr>
                <w:rFonts w:ascii="Times New Roman" w:eastAsia="Times New Roman" w:hAnsi="Times New Roman" w:cs="Times New Roman"/>
                <w:sz w:val="24"/>
                <w:szCs w:val="24"/>
                <w:u w:val="single"/>
              </w:rPr>
              <w:t>Relevant</w:t>
            </w:r>
          </w:p>
        </w:tc>
        <w:tc>
          <w:tcPr>
            <w:tcW w:w="1700" w:type="dxa"/>
          </w:tcPr>
          <w:p w14:paraId="7237BCD9" w14:textId="321CFC38" w:rsidR="00E32A82" w:rsidRDefault="00E32A82" w:rsidP="00E32A82">
            <w:pPr>
              <w:cnfStyle w:val="100000000000" w:firstRow="1" w:lastRow="0" w:firstColumn="0" w:lastColumn="0" w:oddVBand="0" w:evenVBand="0" w:oddHBand="0" w:evenHBand="0" w:firstRowFirstColumn="0" w:firstRowLastColumn="0" w:lastRowFirstColumn="0" w:lastRowLastColumn="0"/>
            </w:pPr>
            <w:r w:rsidRPr="00F758B9">
              <w:rPr>
                <w:rFonts w:ascii="Times New Roman" w:eastAsia="Times New Roman" w:hAnsi="Times New Roman" w:cs="Times New Roman"/>
                <w:sz w:val="24"/>
                <w:szCs w:val="24"/>
                <w:u w:val="single"/>
              </w:rPr>
              <w:t>Time-bound</w:t>
            </w:r>
          </w:p>
        </w:tc>
      </w:tr>
      <w:tr w:rsidR="00E32A82" w14:paraId="0519989A" w14:textId="77777777" w:rsidTr="00E32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36E3D65" w14:textId="11D3DCA8" w:rsidR="00E32A82" w:rsidRPr="00E32A82" w:rsidRDefault="00E32A82" w:rsidP="00E32A82">
            <w:pPr>
              <w:rPr>
                <w:b w:val="0"/>
                <w:bCs w:val="0"/>
              </w:rPr>
            </w:pPr>
            <w:r w:rsidRPr="00E32A82">
              <w:rPr>
                <w:rFonts w:ascii="Times New Roman" w:eastAsia="Times New Roman" w:hAnsi="Times New Roman" w:cs="Times New Roman"/>
                <w:b w:val="0"/>
                <w:bCs w:val="0"/>
                <w:sz w:val="24"/>
                <w:szCs w:val="24"/>
              </w:rPr>
              <w:t>Develop, test, and release a wearable healthcare device that can check heart rates, oxygen levels, and sleeping habits of Bupa.</w:t>
            </w:r>
          </w:p>
        </w:tc>
        <w:tc>
          <w:tcPr>
            <w:tcW w:w="1843" w:type="dxa"/>
          </w:tcPr>
          <w:p w14:paraId="47361C2A" w14:textId="4CA9AD27" w:rsidR="00E32A82" w:rsidRPr="00E32A82" w:rsidRDefault="00E32A82" w:rsidP="00E32A82">
            <w:pPr>
              <w:cnfStyle w:val="000000100000" w:firstRow="0" w:lastRow="0" w:firstColumn="0" w:lastColumn="0" w:oddVBand="0" w:evenVBand="0" w:oddHBand="1" w:evenHBand="0" w:firstRowFirstColumn="0" w:firstRowLastColumn="0" w:lastRowFirstColumn="0" w:lastRowLastColumn="0"/>
            </w:pPr>
            <w:r w:rsidRPr="00E32A82">
              <w:rPr>
                <w:rFonts w:ascii="Times New Roman" w:eastAsia="Times New Roman" w:hAnsi="Times New Roman" w:cs="Times New Roman"/>
                <w:sz w:val="24"/>
                <w:szCs w:val="24"/>
              </w:rPr>
              <w:t>Score a minimum of 95 percent level of stakeholders satisfaction and fulfil all regulatory compliance tasks (Bupa, 2024).</w:t>
            </w:r>
          </w:p>
        </w:tc>
        <w:tc>
          <w:tcPr>
            <w:tcW w:w="2410" w:type="dxa"/>
          </w:tcPr>
          <w:p w14:paraId="01E3543F" w14:textId="5D3E25C4" w:rsidR="00E32A82" w:rsidRPr="00E32A82" w:rsidRDefault="00E32A82" w:rsidP="00E32A82">
            <w:pPr>
              <w:cnfStyle w:val="000000100000" w:firstRow="0" w:lastRow="0" w:firstColumn="0" w:lastColumn="0" w:oddVBand="0" w:evenVBand="0" w:oddHBand="1" w:evenHBand="0" w:firstRowFirstColumn="0" w:firstRowLastColumn="0" w:lastRowFirstColumn="0" w:lastRowLastColumn="0"/>
            </w:pPr>
            <w:r w:rsidRPr="00E32A82">
              <w:rPr>
                <w:rFonts w:ascii="Times New Roman" w:eastAsia="Times New Roman" w:hAnsi="Times New Roman" w:cs="Times New Roman"/>
                <w:sz w:val="24"/>
                <w:szCs w:val="24"/>
              </w:rPr>
              <w:t>With the help of Bupa digital infrastructure, clinical experience, and interaction with the main stakeholders through well-organised tools, like RACI, and stakeholder mapping.</w:t>
            </w:r>
          </w:p>
        </w:tc>
        <w:tc>
          <w:tcPr>
            <w:tcW w:w="1701" w:type="dxa"/>
          </w:tcPr>
          <w:p w14:paraId="0923B853" w14:textId="55509E8E" w:rsidR="00E32A82" w:rsidRPr="00E32A82" w:rsidRDefault="00E32A82" w:rsidP="00E32A82">
            <w:pPr>
              <w:cnfStyle w:val="000000100000" w:firstRow="0" w:lastRow="0" w:firstColumn="0" w:lastColumn="0" w:oddVBand="0" w:evenVBand="0" w:oddHBand="1" w:evenHBand="0" w:firstRowFirstColumn="0" w:firstRowLastColumn="0" w:lastRowFirstColumn="0" w:lastRowLastColumn="0"/>
            </w:pPr>
            <w:r w:rsidRPr="00E32A82">
              <w:rPr>
                <w:rFonts w:ascii="Times New Roman" w:eastAsia="Times New Roman" w:hAnsi="Times New Roman" w:cs="Times New Roman"/>
                <w:sz w:val="24"/>
                <w:szCs w:val="24"/>
              </w:rPr>
              <w:t>The project is in line with the digital transformation strategy of Bupa and the preventive healthcare provision.</w:t>
            </w:r>
          </w:p>
        </w:tc>
        <w:tc>
          <w:tcPr>
            <w:tcW w:w="1700" w:type="dxa"/>
          </w:tcPr>
          <w:p w14:paraId="3A630DEA" w14:textId="4879D28F" w:rsidR="00E32A82" w:rsidRPr="00E32A82" w:rsidRDefault="00E32A82" w:rsidP="00E32A82">
            <w:pPr>
              <w:cnfStyle w:val="000000100000" w:firstRow="0" w:lastRow="0" w:firstColumn="0" w:lastColumn="0" w:oddVBand="0" w:evenVBand="0" w:oddHBand="1" w:evenHBand="0" w:firstRowFirstColumn="0" w:firstRowLastColumn="0" w:lastRowFirstColumn="0" w:lastRowLastColumn="0"/>
            </w:pPr>
            <w:r w:rsidRPr="00E32A82">
              <w:rPr>
                <w:rFonts w:ascii="Times New Roman" w:eastAsia="Times New Roman" w:hAnsi="Times New Roman" w:cs="Times New Roman"/>
                <w:sz w:val="24"/>
                <w:szCs w:val="24"/>
              </w:rPr>
              <w:t>The development, stakeholder engagement, testing and pre-market activities should be accomplished in six months</w:t>
            </w:r>
          </w:p>
        </w:tc>
      </w:tr>
    </w:tbl>
    <w:p w14:paraId="3192500E" w14:textId="77777777" w:rsidR="009D712E" w:rsidRPr="00F758B9" w:rsidRDefault="00000000">
      <w:pPr>
        <w:pStyle w:val="Heading1"/>
        <w:keepNext w:val="0"/>
        <w:keepLines w:val="0"/>
        <w:shd w:val="clear" w:color="auto" w:fill="FFFFFF"/>
        <w:spacing w:before="480"/>
        <w:rPr>
          <w:rFonts w:eastAsia="Times New Roman" w:cs="Times New Roman"/>
          <w:b w:val="0"/>
          <w:bCs/>
          <w:color w:val="222222"/>
          <w:szCs w:val="24"/>
        </w:rPr>
      </w:pPr>
      <w:bookmarkStart w:id="14" w:name="_nnx71xxpyhna" w:colFirst="0" w:colLast="0"/>
      <w:bookmarkStart w:id="15" w:name="_Toc216740720"/>
      <w:bookmarkEnd w:id="14"/>
      <w:r w:rsidRPr="00F758B9">
        <w:rPr>
          <w:rFonts w:eastAsia="Times New Roman" w:cs="Times New Roman"/>
          <w:bCs/>
          <w:color w:val="222222"/>
          <w:szCs w:val="24"/>
        </w:rPr>
        <w:lastRenderedPageBreak/>
        <w:t>3. Identification of Key Internal &amp; External Stakeholders</w:t>
      </w:r>
      <w:bookmarkEnd w:id="15"/>
      <w:r w:rsidRPr="00F758B9">
        <w:rPr>
          <w:rFonts w:eastAsia="Times New Roman" w:cs="Times New Roman"/>
          <w:bCs/>
          <w:color w:val="222222"/>
          <w:szCs w:val="24"/>
        </w:rPr>
        <w:t xml:space="preserve"> </w:t>
      </w:r>
    </w:p>
    <w:p w14:paraId="5515E660"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 xml:space="preserve">The project of wearable health devices at Bupa needs to be implemented safely, efficiently, and within six months; therefore, it is necessary to identify effective stakeholders to achieve such an outcome. The Stakeholder Theory by </w:t>
      </w:r>
      <w:r w:rsidRPr="00F758B9">
        <w:rPr>
          <w:rFonts w:ascii="Times New Roman" w:eastAsia="Times New Roman" w:hAnsi="Times New Roman" w:cs="Times New Roman"/>
          <w:color w:val="222222"/>
          <w:sz w:val="24"/>
          <w:szCs w:val="24"/>
          <w:highlight w:val="white"/>
        </w:rPr>
        <w:t>Freeman (2010)</w:t>
      </w:r>
      <w:r w:rsidRPr="00F758B9">
        <w:rPr>
          <w:rFonts w:ascii="Times New Roman" w:eastAsia="Times New Roman" w:hAnsi="Times New Roman" w:cs="Times New Roman"/>
          <w:sz w:val="24"/>
          <w:szCs w:val="24"/>
        </w:rPr>
        <w:t xml:space="preserve"> defines stakeholders as individuals or groups of people who can influence or be influenced by the activities of an organisation; hence including them early on enhances project success and conflicts minimisation.</w:t>
      </w:r>
    </w:p>
    <w:p w14:paraId="4433E10B" w14:textId="77777777" w:rsidR="009D712E" w:rsidRPr="00F758B9" w:rsidRDefault="00000000">
      <w:pPr>
        <w:pStyle w:val="Heading2"/>
        <w:keepNext w:val="0"/>
        <w:keepLines w:val="0"/>
        <w:spacing w:line="360" w:lineRule="auto"/>
      </w:pPr>
      <w:bookmarkStart w:id="16" w:name="_lvby2bm6vomc" w:colFirst="0" w:colLast="0"/>
      <w:bookmarkStart w:id="17" w:name="_Toc216740721"/>
      <w:bookmarkEnd w:id="16"/>
      <w:r w:rsidRPr="00F758B9">
        <w:t>3.1 Internal Stakeholders</w:t>
      </w:r>
      <w:bookmarkEnd w:id="17"/>
    </w:p>
    <w:p w14:paraId="154D399E"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Product Development Team:</w:t>
      </w:r>
    </w:p>
    <w:p w14:paraId="4EA814F9"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In charge of technical design, hardware specifications and clinical accuracy. Their contribution has a direct impact on quality and innovation of products.</w:t>
      </w:r>
    </w:p>
    <w:p w14:paraId="2139859A"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R&amp;D Engineers:</w:t>
      </w:r>
    </w:p>
    <w:p w14:paraId="36C72310"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Offer scientific services, sensor optimisation and digital health analytics (Deloitte, 2024). They are very instrumental in making sure the gadget is safe and performs to the required standards.</w:t>
      </w:r>
    </w:p>
    <w:p w14:paraId="1098E68C"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Marketing Department:</w:t>
      </w:r>
    </w:p>
    <w:p w14:paraId="54D13225"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Formulates customer propositions, branding and introduction communication schemes. Their observations favour product-market fit.</w:t>
      </w:r>
    </w:p>
    <w:p w14:paraId="787D9280"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Sales Team:</w:t>
      </w:r>
    </w:p>
    <w:p w14:paraId="046A2945"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Interacts with distributors, corporate clients and Bupa insurance customers. Their participation is important in adoption and revenue generation.</w:t>
      </w:r>
    </w:p>
    <w:p w14:paraId="77BDFDC7"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IT &amp; Cybersecurity Teams:</w:t>
      </w:r>
    </w:p>
    <w:p w14:paraId="4EBDA098"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Operate data infrastructure, API assimilation, and cloud security as well as GDPR compliance. They guarantee the secure storage and handling of biometrics information.</w:t>
      </w:r>
    </w:p>
    <w:p w14:paraId="5BC6D73C"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Legal &amp; Compliance Teams:</w:t>
      </w:r>
    </w:p>
    <w:p w14:paraId="763C07D6"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Monitor the MHRA regulatory compliance, data safeguarding, and risk evaluations to prevent the legal troubles.</w:t>
      </w:r>
    </w:p>
    <w:p w14:paraId="7805A449"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Senior Management / Executive Board:</w:t>
      </w:r>
    </w:p>
    <w:p w14:paraId="0B7C74FE"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Give strategic direction, financing and governance. They are priority stakeholders with their high power and position of legitimacy.</w:t>
      </w:r>
    </w:p>
    <w:p w14:paraId="40A0DA1D" w14:textId="77777777" w:rsidR="009D712E" w:rsidRPr="00F758B9" w:rsidRDefault="00000000">
      <w:pPr>
        <w:pStyle w:val="Heading2"/>
        <w:keepNext w:val="0"/>
        <w:keepLines w:val="0"/>
        <w:spacing w:line="360" w:lineRule="auto"/>
      </w:pPr>
      <w:bookmarkStart w:id="18" w:name="_om2pih6exfbn" w:colFirst="0" w:colLast="0"/>
      <w:bookmarkStart w:id="19" w:name="_Toc216740722"/>
      <w:bookmarkEnd w:id="18"/>
      <w:r w:rsidRPr="00F758B9">
        <w:t>3.2 External Stakeholders</w:t>
      </w:r>
      <w:bookmarkEnd w:id="19"/>
    </w:p>
    <w:p w14:paraId="75DC59F5"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lastRenderedPageBreak/>
        <w:t>Existing Bupa Customers:</w:t>
      </w:r>
    </w:p>
    <w:p w14:paraId="795EBD85" w14:textId="709222FA"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Initial users (they affect product acceptance and long term adoption).</w:t>
      </w:r>
    </w:p>
    <w:p w14:paraId="42998529"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Suppliers / Manufacturing Partners Technology:</w:t>
      </w:r>
    </w:p>
    <w:p w14:paraId="16965AD3"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Supply hardware items, software sensors, and technical assistance; necessary to quality and schedules of production.</w:t>
      </w:r>
    </w:p>
    <w:p w14:paraId="21271DD5"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Regulatory Bodies (MHRA):</w:t>
      </w:r>
    </w:p>
    <w:p w14:paraId="74B02B4C"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Accept the safety and the clinical accuracy of the device. High power and high urgency stakeholder.</w:t>
      </w:r>
    </w:p>
    <w:p w14:paraId="257A0849"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Information Commissioner’s Office (ICO):</w:t>
      </w:r>
    </w:p>
    <w:p w14:paraId="559C8DCB"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Maintains compliance with GDPR that concerns sensitive health information.</w:t>
      </w:r>
    </w:p>
    <w:p w14:paraId="71F88434"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Retail Associates and Distribution Channels:</w:t>
      </w:r>
    </w:p>
    <w:p w14:paraId="65F4A876"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Market coverage and support sales; customer influence.</w:t>
      </w:r>
    </w:p>
    <w:p w14:paraId="75EFB485"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Investors/ Company Clients:</w:t>
      </w:r>
    </w:p>
    <w:p w14:paraId="07ED439D"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Value creation and financial sustainability are expected; resource allocation is influenced.</w:t>
      </w:r>
    </w:p>
    <w:p w14:paraId="344783BA" w14:textId="77777777" w:rsidR="009D712E" w:rsidRPr="00F758B9" w:rsidRDefault="00000000">
      <w:pPr>
        <w:spacing w:line="360" w:lineRule="auto"/>
        <w:jc w:val="both"/>
        <w:rPr>
          <w:rFonts w:ascii="Times New Roman" w:eastAsia="Times New Roman" w:hAnsi="Times New Roman" w:cs="Times New Roman"/>
          <w:sz w:val="24"/>
          <w:szCs w:val="24"/>
          <w:u w:val="single"/>
        </w:rPr>
      </w:pPr>
      <w:r w:rsidRPr="00F758B9">
        <w:rPr>
          <w:rFonts w:ascii="Times New Roman" w:eastAsia="Times New Roman" w:hAnsi="Times New Roman" w:cs="Times New Roman"/>
          <w:sz w:val="24"/>
          <w:szCs w:val="24"/>
          <w:u w:val="single"/>
        </w:rPr>
        <w:t>Wearable device Tester / Early Adopters:</w:t>
      </w:r>
    </w:p>
    <w:p w14:paraId="3695380F"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Give feedback to the user to make improvements and validate it clinically.</w:t>
      </w:r>
    </w:p>
    <w:p w14:paraId="159467DA" w14:textId="77777777" w:rsidR="009D712E" w:rsidRPr="00F758B9" w:rsidRDefault="00000000">
      <w:pPr>
        <w:pStyle w:val="Heading2"/>
        <w:keepNext w:val="0"/>
        <w:keepLines w:val="0"/>
        <w:spacing w:line="360" w:lineRule="auto"/>
      </w:pPr>
      <w:bookmarkStart w:id="20" w:name="_cxlyl7uq3d8" w:colFirst="0" w:colLast="0"/>
      <w:bookmarkStart w:id="21" w:name="_Toc216740723"/>
      <w:bookmarkEnd w:id="20"/>
      <w:r w:rsidRPr="00F758B9">
        <w:t>3.3 Tools &amp; Concepts:</w:t>
      </w:r>
      <w:bookmarkEnd w:id="21"/>
    </w:p>
    <w:p w14:paraId="7960C5D9"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 xml:space="preserve">The stakeholders are evaluated against the factors of power, legitimacy and urgency using the Stakeholder Salience Model (Mitchell </w:t>
      </w:r>
      <w:r w:rsidRPr="00F758B9">
        <w:rPr>
          <w:rFonts w:ascii="Times New Roman" w:eastAsia="Times New Roman" w:hAnsi="Times New Roman" w:cs="Times New Roman"/>
          <w:i/>
          <w:iCs/>
          <w:sz w:val="24"/>
          <w:szCs w:val="24"/>
        </w:rPr>
        <w:t>et al.</w:t>
      </w:r>
      <w:r w:rsidRPr="00F758B9">
        <w:rPr>
          <w:rFonts w:ascii="Times New Roman" w:eastAsia="Times New Roman" w:hAnsi="Times New Roman" w:cs="Times New Roman"/>
          <w:sz w:val="24"/>
          <w:szCs w:val="24"/>
        </w:rPr>
        <w:t>, 1997). The senior management, regulators and IT teams are considered to be definitive stakeholders because they are highly influential and play a vital role. Dependence on the stakeholders is a custom and testers as well as customers must be handled (</w:t>
      </w:r>
      <w:r w:rsidRPr="00F758B9">
        <w:rPr>
          <w:rFonts w:ascii="Times New Roman" w:eastAsia="Times New Roman" w:hAnsi="Times New Roman" w:cs="Times New Roman"/>
          <w:color w:val="222222"/>
          <w:sz w:val="24"/>
          <w:szCs w:val="24"/>
          <w:highlight w:val="white"/>
        </w:rPr>
        <w:t>Ashcroft, 2017).</w:t>
      </w:r>
    </w:p>
    <w:p w14:paraId="109303C1"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Based on the Power Interest Matrix of Mendelow:</w:t>
      </w:r>
    </w:p>
    <w:p w14:paraId="7303C892" w14:textId="77777777" w:rsidR="009D712E" w:rsidRPr="00F758B9" w:rsidRDefault="00000000">
      <w:pPr>
        <w:numPr>
          <w:ilvl w:val="0"/>
          <w:numId w:val="2"/>
        </w:num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Control Intimately: Top management, regulators, IT and cybersecurity departments.</w:t>
      </w:r>
    </w:p>
    <w:p w14:paraId="7332717C" w14:textId="77777777" w:rsidR="009D712E" w:rsidRPr="00F758B9" w:rsidRDefault="00000000">
      <w:pPr>
        <w:numPr>
          <w:ilvl w:val="0"/>
          <w:numId w:val="2"/>
        </w:num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Keep Satisfied: Technology suppliers, investors.</w:t>
      </w:r>
    </w:p>
    <w:p w14:paraId="7138AA57" w14:textId="77777777" w:rsidR="009D712E" w:rsidRPr="00F758B9" w:rsidRDefault="00000000">
      <w:pPr>
        <w:numPr>
          <w:ilvl w:val="0"/>
          <w:numId w:val="2"/>
        </w:num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Remain updated: Bupa consumers, test consumers, marketing groups.</w:t>
      </w:r>
    </w:p>
    <w:p w14:paraId="25EBB508" w14:textId="77777777" w:rsidR="009D712E" w:rsidRPr="00F758B9" w:rsidRDefault="00000000">
      <w:pPr>
        <w:numPr>
          <w:ilvl w:val="0"/>
          <w:numId w:val="2"/>
        </w:num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Watchdog: Greater society, media, non-core collaborators.</w:t>
      </w:r>
    </w:p>
    <w:p w14:paraId="5E8CBD42"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This systematic identification is guaranteed as Bupa focuses on areas of engagement where it can have the most influence on project success.</w:t>
      </w:r>
    </w:p>
    <w:p w14:paraId="58458682" w14:textId="77777777" w:rsidR="009D712E" w:rsidRPr="00F758B9" w:rsidRDefault="00000000">
      <w:pPr>
        <w:pStyle w:val="Heading1"/>
        <w:keepNext w:val="0"/>
        <w:keepLines w:val="0"/>
        <w:shd w:val="clear" w:color="auto" w:fill="FFFFFF"/>
        <w:spacing w:before="480"/>
        <w:rPr>
          <w:rFonts w:eastAsia="Times New Roman" w:cs="Times New Roman"/>
          <w:b w:val="0"/>
          <w:bCs/>
          <w:color w:val="222222"/>
          <w:szCs w:val="24"/>
        </w:rPr>
      </w:pPr>
      <w:bookmarkStart w:id="22" w:name="_2ycqans5rido" w:colFirst="0" w:colLast="0"/>
      <w:bookmarkStart w:id="23" w:name="_Toc216740724"/>
      <w:bookmarkEnd w:id="22"/>
      <w:r w:rsidRPr="00F758B9">
        <w:rPr>
          <w:rFonts w:eastAsia="Times New Roman" w:cs="Times New Roman"/>
          <w:bCs/>
          <w:color w:val="222222"/>
          <w:szCs w:val="24"/>
        </w:rPr>
        <w:lastRenderedPageBreak/>
        <w:t>4. Roles, Responsibilities, Benefits &amp; Challenges</w:t>
      </w:r>
      <w:bookmarkEnd w:id="23"/>
      <w:r w:rsidRPr="00F758B9">
        <w:rPr>
          <w:rFonts w:eastAsia="Times New Roman" w:cs="Times New Roman"/>
          <w:bCs/>
          <w:color w:val="222222"/>
          <w:szCs w:val="24"/>
        </w:rPr>
        <w:t xml:space="preserve"> </w:t>
      </w:r>
    </w:p>
    <w:p w14:paraId="7E461AE4"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Effective implementation of wearable health devices at Bupa requires the roles and duties of the stakeholders to be clearly spelt out. Establishing accountability mechanisms that are organised is an assurance of coordination, minimisation of conflict and maximisation of the performance of the project. The RACI Matrix is also critical because it explains the responsibility, accountability, consultation, and information of key project activities.</w:t>
      </w:r>
    </w:p>
    <w:p w14:paraId="62828BB8" w14:textId="77777777" w:rsidR="009D712E" w:rsidRPr="00F758B9" w:rsidRDefault="00000000">
      <w:pPr>
        <w:pStyle w:val="Heading2"/>
        <w:keepNext w:val="0"/>
        <w:keepLines w:val="0"/>
        <w:spacing w:line="360" w:lineRule="auto"/>
      </w:pPr>
      <w:bookmarkStart w:id="24" w:name="_9rk4f3vviaox" w:colFirst="0" w:colLast="0"/>
      <w:bookmarkStart w:id="25" w:name="_Toc216740725"/>
      <w:bookmarkEnd w:id="24"/>
      <w:r w:rsidRPr="00F758B9">
        <w:t>4.1 Use RACI Matrix</w:t>
      </w:r>
      <w:bookmarkEnd w:id="25"/>
      <w:r w:rsidRPr="00F758B9">
        <w:t xml:space="preserve"> </w:t>
      </w:r>
    </w:p>
    <w:p w14:paraId="45370B74" w14:textId="77777777" w:rsidR="009D712E" w:rsidRPr="00F758B9" w:rsidRDefault="009D712E">
      <w:pPr>
        <w:spacing w:line="360" w:lineRule="auto"/>
        <w:jc w:val="both"/>
        <w:rPr>
          <w:rFonts w:ascii="Times New Roman" w:eastAsia="Times New Roman" w:hAnsi="Times New Roman" w:cs="Times New Roman"/>
          <w:sz w:val="24"/>
          <w:szCs w:val="24"/>
        </w:rPr>
      </w:pPr>
    </w:p>
    <w:tbl>
      <w:tblPr>
        <w:tblStyle w:val="a"/>
        <w:tblW w:w="93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05"/>
        <w:gridCol w:w="750"/>
        <w:gridCol w:w="795"/>
        <w:gridCol w:w="1005"/>
        <w:gridCol w:w="1035"/>
        <w:gridCol w:w="945"/>
        <w:gridCol w:w="930"/>
        <w:gridCol w:w="1050"/>
        <w:gridCol w:w="1515"/>
      </w:tblGrid>
      <w:tr w:rsidR="009D712E" w:rsidRPr="00F758B9" w14:paraId="29850183" w14:textId="77777777" w:rsidTr="00E32A82">
        <w:trPr>
          <w:trHeight w:val="785"/>
        </w:trPr>
        <w:tc>
          <w:tcPr>
            <w:tcW w:w="1305" w:type="dxa"/>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tcPr>
          <w:p w14:paraId="6BBF3369"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b/>
                <w:bCs/>
                <w:sz w:val="24"/>
                <w:szCs w:val="24"/>
              </w:rPr>
              <w:t>Task / Stakeholder</w:t>
            </w:r>
          </w:p>
        </w:tc>
        <w:tc>
          <w:tcPr>
            <w:tcW w:w="750" w:type="dxa"/>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tcPr>
          <w:p w14:paraId="21242DEB"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b/>
                <w:bCs/>
                <w:sz w:val="24"/>
                <w:szCs w:val="24"/>
              </w:rPr>
              <w:t>Project Manager</w:t>
            </w:r>
          </w:p>
        </w:tc>
        <w:tc>
          <w:tcPr>
            <w:tcW w:w="795" w:type="dxa"/>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tcPr>
          <w:p w14:paraId="04026412"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b/>
                <w:bCs/>
                <w:sz w:val="24"/>
                <w:szCs w:val="24"/>
              </w:rPr>
              <w:t>Product Team</w:t>
            </w:r>
          </w:p>
        </w:tc>
        <w:tc>
          <w:tcPr>
            <w:tcW w:w="1005" w:type="dxa"/>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tcPr>
          <w:p w14:paraId="6AC5B5E4"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b/>
                <w:bCs/>
                <w:sz w:val="24"/>
                <w:szCs w:val="24"/>
              </w:rPr>
              <w:t>IT &amp; Cybersecurity</w:t>
            </w:r>
          </w:p>
        </w:tc>
        <w:tc>
          <w:tcPr>
            <w:tcW w:w="1035" w:type="dxa"/>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tcPr>
          <w:p w14:paraId="3DDFE43D"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b/>
                <w:bCs/>
                <w:sz w:val="24"/>
                <w:szCs w:val="24"/>
              </w:rPr>
              <w:t>Legal &amp; Compliance</w:t>
            </w:r>
          </w:p>
        </w:tc>
        <w:tc>
          <w:tcPr>
            <w:tcW w:w="945" w:type="dxa"/>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tcPr>
          <w:p w14:paraId="5143CE1A"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b/>
                <w:bCs/>
                <w:sz w:val="24"/>
                <w:szCs w:val="24"/>
              </w:rPr>
              <w:t>Marketing</w:t>
            </w:r>
          </w:p>
        </w:tc>
        <w:tc>
          <w:tcPr>
            <w:tcW w:w="930" w:type="dxa"/>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tcPr>
          <w:p w14:paraId="3146A266"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b/>
                <w:bCs/>
                <w:sz w:val="24"/>
                <w:szCs w:val="24"/>
              </w:rPr>
              <w:t>Suppliers</w:t>
            </w:r>
          </w:p>
        </w:tc>
        <w:tc>
          <w:tcPr>
            <w:tcW w:w="1050" w:type="dxa"/>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tcPr>
          <w:p w14:paraId="7DD0EC8E"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b/>
                <w:bCs/>
                <w:sz w:val="24"/>
                <w:szCs w:val="24"/>
              </w:rPr>
              <w:t>Senior Management</w:t>
            </w:r>
          </w:p>
        </w:tc>
        <w:tc>
          <w:tcPr>
            <w:tcW w:w="1515" w:type="dxa"/>
            <w:tcBorders>
              <w:top w:val="single" w:sz="8" w:space="0" w:color="000000"/>
              <w:left w:val="single" w:sz="8" w:space="0" w:color="000000"/>
              <w:bottom w:val="single" w:sz="8" w:space="0" w:color="000000"/>
              <w:right w:val="single" w:sz="8" w:space="0" w:color="000000"/>
            </w:tcBorders>
            <w:shd w:val="clear" w:color="auto" w:fill="FABF8F" w:themeFill="accent6" w:themeFillTint="99"/>
            <w:tcMar>
              <w:top w:w="100" w:type="dxa"/>
              <w:left w:w="100" w:type="dxa"/>
              <w:bottom w:w="100" w:type="dxa"/>
              <w:right w:w="100" w:type="dxa"/>
            </w:tcMar>
          </w:tcPr>
          <w:p w14:paraId="53100B0E"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b/>
                <w:bCs/>
                <w:sz w:val="24"/>
                <w:szCs w:val="24"/>
              </w:rPr>
              <w:t>Customers/Testers</w:t>
            </w:r>
          </w:p>
        </w:tc>
      </w:tr>
      <w:tr w:rsidR="009D712E" w:rsidRPr="00F758B9" w14:paraId="4A4E7A3E" w14:textId="77777777">
        <w:trPr>
          <w:trHeight w:val="785"/>
        </w:trPr>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97C7DE"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Product Design</w:t>
            </w:r>
          </w:p>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DB8237"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A</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1F477B"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0608CF"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8CBFD8"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A8A8B8"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5D8039"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0CDB55"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471071"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r>
      <w:tr w:rsidR="009D712E" w:rsidRPr="00F758B9" w14:paraId="145738D8" w14:textId="77777777">
        <w:trPr>
          <w:trHeight w:val="785"/>
        </w:trPr>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48965"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Technical Development</w:t>
            </w:r>
          </w:p>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7BE9D"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283520"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AC6EB"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FE0B5A"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063757"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85CE8F"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522881"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8AD8F"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r>
      <w:tr w:rsidR="009D712E" w:rsidRPr="00F758B9" w14:paraId="14BDF652" w14:textId="77777777">
        <w:trPr>
          <w:trHeight w:val="1055"/>
        </w:trPr>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2C6D8A"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Data Security Setup</w:t>
            </w:r>
          </w:p>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733461"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D40C8"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B26CE"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2C60E9"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8EADB3"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AA8AD0"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9C1EC9"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55DAF6"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r>
      <w:tr w:rsidR="009D712E" w:rsidRPr="00F758B9" w14:paraId="497718A6" w14:textId="77777777">
        <w:trPr>
          <w:trHeight w:val="785"/>
        </w:trPr>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9F714B"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Regulatory Compliance</w:t>
            </w:r>
          </w:p>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CA2B5B"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EE051F"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473F8B"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D83B2"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w:t>
            </w:r>
          </w:p>
        </w:tc>
        <w:tc>
          <w:tcPr>
            <w:tcW w:w="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23975"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B2DF4D"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D3D60"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9872C0"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r>
      <w:tr w:rsidR="009D712E" w:rsidRPr="00F758B9" w14:paraId="7CA8CAD9" w14:textId="77777777">
        <w:trPr>
          <w:trHeight w:val="785"/>
        </w:trPr>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F97D88"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Market Research</w:t>
            </w:r>
          </w:p>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51B375"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5E5C74"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0DBCE2"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1415C6"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942772"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w:t>
            </w:r>
          </w:p>
        </w:tc>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BA0414"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3B2790"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69B747"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r>
      <w:tr w:rsidR="009D712E" w:rsidRPr="00F758B9" w14:paraId="677D324F" w14:textId="77777777">
        <w:trPr>
          <w:trHeight w:val="785"/>
        </w:trPr>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7ADF8A"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lastRenderedPageBreak/>
              <w:t>Prototype Testing</w:t>
            </w:r>
          </w:p>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DEA2F2"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1E1AD1"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F7BC57"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010530"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30C307"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B6AD0D"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198678"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486CA8"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w:t>
            </w:r>
          </w:p>
        </w:tc>
      </w:tr>
      <w:tr w:rsidR="009D712E" w:rsidRPr="00F758B9" w14:paraId="12FEEC21" w14:textId="77777777">
        <w:trPr>
          <w:trHeight w:val="785"/>
        </w:trPr>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FFF344"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Launch &amp; Promotion</w:t>
            </w:r>
          </w:p>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44721"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C</w:t>
            </w:r>
          </w:p>
        </w:tc>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C98524"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05B334"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B8DF48"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5A9DB4"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R</w:t>
            </w:r>
          </w:p>
        </w:tc>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60E659"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1A3A5"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A</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9FDD70"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w:t>
            </w:r>
          </w:p>
        </w:tc>
      </w:tr>
    </w:tbl>
    <w:p w14:paraId="58B56AAE" w14:textId="77777777" w:rsidR="009D712E" w:rsidRPr="00F758B9" w:rsidRDefault="009D712E">
      <w:pPr>
        <w:spacing w:line="360" w:lineRule="auto"/>
        <w:jc w:val="both"/>
        <w:rPr>
          <w:rFonts w:ascii="Times New Roman" w:eastAsia="Times New Roman" w:hAnsi="Times New Roman" w:cs="Times New Roman"/>
          <w:sz w:val="24"/>
          <w:szCs w:val="24"/>
        </w:rPr>
      </w:pPr>
    </w:p>
    <w:p w14:paraId="42CA73FF"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A = Accountable, R = Responsible, C = Consulted, I = Informed.</w:t>
      </w:r>
    </w:p>
    <w:p w14:paraId="6BD0CEDB"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This matrix places the Project Manager at the centre of the communication where he/she will be in charge of aligning tasks, meeting timelines and keeping the stakeholders interested.</w:t>
      </w:r>
    </w:p>
    <w:p w14:paraId="449CA3DD" w14:textId="77777777" w:rsidR="009D712E" w:rsidRPr="00F758B9" w:rsidRDefault="00000000">
      <w:pPr>
        <w:pStyle w:val="Heading2"/>
        <w:keepNext w:val="0"/>
        <w:keepLines w:val="0"/>
        <w:spacing w:line="360" w:lineRule="auto"/>
      </w:pPr>
      <w:bookmarkStart w:id="26" w:name="_4nc1ev1buad7" w:colFirst="0" w:colLast="0"/>
      <w:bookmarkStart w:id="27" w:name="_Toc216740726"/>
      <w:bookmarkEnd w:id="26"/>
      <w:r w:rsidRPr="00F758B9">
        <w:t>4.2 Benefits Stakeholders Bring</w:t>
      </w:r>
      <w:bookmarkEnd w:id="27"/>
    </w:p>
    <w:p w14:paraId="48473C50" w14:textId="5ACD19DE"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 xml:space="preserve">The resources offered by the stakeholders are varied and are of immense value that directly contribute to the development of the project, the innovation, and the quality of the delivery. The internal stakeholders, especially the Product Development and IT teams bring in to the project the professional capabilities in the design of the wearable device, software integration, and cybersecurity, which are highly regarded to ensure that the wearable device created by Bupa is clinically sound and complies to the full scope of GDPR requirements on data protection. The Marketing and Sales unit also gives more strength to the project by providing feedback on customer behaviour shaping the value proposition of the product and strategies that can lead to high market adoption. The key role is played by the Senior </w:t>
      </w:r>
      <w:r w:rsidR="0079713B" w:rsidRPr="00F758B9">
        <w:rPr>
          <w:rFonts w:ascii="Times New Roman" w:eastAsia="Times New Roman" w:hAnsi="Times New Roman" w:cs="Times New Roman"/>
          <w:sz w:val="24"/>
          <w:szCs w:val="24"/>
        </w:rPr>
        <w:t>Management,</w:t>
      </w:r>
      <w:r w:rsidRPr="00F758B9">
        <w:rPr>
          <w:rFonts w:ascii="Times New Roman" w:eastAsia="Times New Roman" w:hAnsi="Times New Roman" w:cs="Times New Roman"/>
          <w:sz w:val="24"/>
          <w:szCs w:val="24"/>
        </w:rPr>
        <w:t xml:space="preserve"> which offers resources in terms of finances, direction, and governance to ensure that the project is in tandem with the organisational priorities.</w:t>
      </w:r>
    </w:p>
    <w:p w14:paraId="6FE19988"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The external stakeholders are also crucial, whose inputs widen the resource base at Bupa. The suppliers provide high technical components, skilled manufacturing services and continuous maintenance services, which serve to support the reliability and performance of the device. The regulatory authorities make sure that the organisation complies, is safe, and credible, which shields the organisation against possible hazards. In the meantime, customer feedback and early testers help to improve the product iteratively and make the product more native to the market by pointing out usability and performance problems.</w:t>
      </w:r>
    </w:p>
    <w:p w14:paraId="3CCBF9C2"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lastRenderedPageBreak/>
        <w:t>All these contributions are an expression of the Resource Dependency Theory (</w:t>
      </w:r>
      <w:r w:rsidRPr="00F758B9">
        <w:rPr>
          <w:rFonts w:ascii="Times New Roman" w:eastAsia="Times New Roman" w:hAnsi="Times New Roman" w:cs="Times New Roman"/>
          <w:color w:val="222222"/>
          <w:sz w:val="24"/>
          <w:szCs w:val="24"/>
          <w:highlight w:val="white"/>
        </w:rPr>
        <w:t>Pfeffer and Salancik, 2015)</w:t>
      </w:r>
      <w:r w:rsidRPr="00F758B9">
        <w:rPr>
          <w:rFonts w:ascii="Times New Roman" w:eastAsia="Times New Roman" w:hAnsi="Times New Roman" w:cs="Times New Roman"/>
          <w:sz w:val="24"/>
          <w:szCs w:val="24"/>
        </w:rPr>
        <w:t xml:space="preserve"> that stresses the fact that organisations depend on outside actors to procure the necessary resources that would enable them to develop successful projects.</w:t>
      </w:r>
    </w:p>
    <w:p w14:paraId="78394AFC" w14:textId="77777777" w:rsidR="009D712E" w:rsidRPr="00F758B9" w:rsidRDefault="00000000">
      <w:pPr>
        <w:pStyle w:val="Heading2"/>
        <w:keepNext w:val="0"/>
        <w:keepLines w:val="0"/>
        <w:spacing w:line="360" w:lineRule="auto"/>
      </w:pPr>
      <w:bookmarkStart w:id="28" w:name="_jta9wjl4adh" w:colFirst="0" w:colLast="0"/>
      <w:bookmarkStart w:id="29" w:name="_Toc216740727"/>
      <w:bookmarkEnd w:id="28"/>
      <w:r w:rsidRPr="00F758B9">
        <w:t>4.3 Challenges Faced</w:t>
      </w:r>
      <w:bookmarkEnd w:id="29"/>
    </w:p>
    <w:p w14:paraId="48FE98A3"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Although these are valuable, the stakeholders face difficulties that are dictated by conflicting interests, scarcity of resources, and regulatory forces. Discrepancies between cost-efficiency and clinical accuracy might be realised. Such conflicts are attributable to the differences in stakeholder interests as per the Agency Theory (</w:t>
      </w:r>
      <w:r w:rsidRPr="00F758B9">
        <w:rPr>
          <w:rFonts w:ascii="Times New Roman" w:eastAsia="Times New Roman" w:hAnsi="Times New Roman" w:cs="Times New Roman"/>
          <w:color w:val="222222"/>
          <w:sz w:val="24"/>
          <w:szCs w:val="24"/>
          <w:highlight w:val="white"/>
        </w:rPr>
        <w:t>Jensen and Meckling, 2019).</w:t>
      </w:r>
    </w:p>
    <w:p w14:paraId="6A327F0D"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Internal teams might have a problem with strict deadlines, lack of knowledge when it comes to the development of hardware, and the risk of cybersecurity. External suppliers can be forced to encounter delays in manufacturing or quality variation. Regulatory organisations insist on voluminous documentation and safety tests and can slow down time schedules. The issues that may arise among customers include usability, privacy and the degree of trust in biometric data processing.</w:t>
      </w:r>
    </w:p>
    <w:p w14:paraId="2E410DC2" w14:textId="266FCEC4"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 xml:space="preserve">Another issue is </w:t>
      </w:r>
      <w:r w:rsidR="0079713B" w:rsidRPr="00F758B9">
        <w:rPr>
          <w:rFonts w:ascii="Times New Roman" w:eastAsia="Times New Roman" w:hAnsi="Times New Roman" w:cs="Times New Roman"/>
          <w:sz w:val="24"/>
          <w:szCs w:val="24"/>
        </w:rPr>
        <w:t>changing</w:t>
      </w:r>
      <w:r w:rsidRPr="00F758B9">
        <w:rPr>
          <w:rFonts w:ascii="Times New Roman" w:eastAsia="Times New Roman" w:hAnsi="Times New Roman" w:cs="Times New Roman"/>
          <w:sz w:val="24"/>
          <w:szCs w:val="24"/>
        </w:rPr>
        <w:t xml:space="preserve"> resistance; with the Change Model by Lewin, Bupa needs to effectively accomplish the process of unfreezing old processes, introducing new workflows, and refreezing the better practice (</w:t>
      </w:r>
      <w:r w:rsidRPr="00F758B9">
        <w:rPr>
          <w:rFonts w:ascii="Times New Roman" w:eastAsia="Times New Roman" w:hAnsi="Times New Roman" w:cs="Times New Roman"/>
          <w:color w:val="222222"/>
          <w:sz w:val="24"/>
          <w:szCs w:val="24"/>
          <w:highlight w:val="white"/>
        </w:rPr>
        <w:t>Lewin, 1951).</w:t>
      </w:r>
    </w:p>
    <w:p w14:paraId="10B9A4DF" w14:textId="77777777" w:rsidR="009D712E" w:rsidRPr="00F758B9" w:rsidRDefault="00000000">
      <w:pPr>
        <w:pStyle w:val="Heading2"/>
        <w:keepNext w:val="0"/>
        <w:keepLines w:val="0"/>
        <w:spacing w:line="360" w:lineRule="auto"/>
      </w:pPr>
      <w:bookmarkStart w:id="30" w:name="_3t0dixdefiw8" w:colFirst="0" w:colLast="0"/>
      <w:bookmarkStart w:id="31" w:name="_Toc216740728"/>
      <w:bookmarkEnd w:id="30"/>
      <w:r w:rsidRPr="00F758B9">
        <w:t>4.4 Supporting Theories</w:t>
      </w:r>
      <w:bookmarkEnd w:id="31"/>
    </w:p>
    <w:p w14:paraId="3CF6A6E0" w14:textId="77777777" w:rsidR="009D712E" w:rsidRPr="00F758B9" w:rsidRDefault="00000000">
      <w:pPr>
        <w:spacing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In sum, all stakeholders can make the contribution of experience, resources, and strategic vision, but problems must be addressed proactively. A well-stated RACI matrix, with appropriate organisational theories backing these, reinforces coordination and lowers the risk, hence the project moves in an efficient manner towards launch.</w:t>
      </w:r>
    </w:p>
    <w:p w14:paraId="5D6CAB20" w14:textId="77777777" w:rsidR="009D712E" w:rsidRPr="00F758B9" w:rsidRDefault="00000000">
      <w:pPr>
        <w:pStyle w:val="Heading1"/>
        <w:keepNext w:val="0"/>
        <w:keepLines w:val="0"/>
        <w:shd w:val="clear" w:color="auto" w:fill="FFFFFF"/>
        <w:spacing w:before="480"/>
        <w:rPr>
          <w:rFonts w:eastAsia="Times New Roman" w:cs="Times New Roman"/>
          <w:b w:val="0"/>
          <w:bCs/>
          <w:color w:val="222222"/>
          <w:szCs w:val="24"/>
        </w:rPr>
      </w:pPr>
      <w:bookmarkStart w:id="32" w:name="_heovtdmglo3w" w:colFirst="0" w:colLast="0"/>
      <w:bookmarkStart w:id="33" w:name="_Toc216740729"/>
      <w:bookmarkEnd w:id="32"/>
      <w:r w:rsidRPr="00F758B9">
        <w:rPr>
          <w:rFonts w:eastAsia="Times New Roman" w:cs="Times New Roman"/>
          <w:bCs/>
          <w:color w:val="222222"/>
          <w:szCs w:val="24"/>
        </w:rPr>
        <w:t>5. Stakeholder Engagement Mechanisms</w:t>
      </w:r>
      <w:bookmarkEnd w:id="33"/>
    </w:p>
    <w:p w14:paraId="2CEDDCF8" w14:textId="78F5BEFC"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 xml:space="preserve">Adequate stakeholder involvement will be required to launch the wearable health device of Bupa within the stipulated six months. Formal models like </w:t>
      </w:r>
      <w:r w:rsidR="0079713B" w:rsidRPr="00F758B9">
        <w:rPr>
          <w:rFonts w:ascii="Times New Roman" w:eastAsia="Times New Roman" w:hAnsi="Times New Roman" w:cs="Times New Roman"/>
          <w:color w:val="222222"/>
          <w:sz w:val="24"/>
          <w:szCs w:val="24"/>
        </w:rPr>
        <w:t>stakeholder</w:t>
      </w:r>
      <w:r w:rsidRPr="00F758B9">
        <w:rPr>
          <w:rFonts w:ascii="Times New Roman" w:eastAsia="Times New Roman" w:hAnsi="Times New Roman" w:cs="Times New Roman"/>
          <w:color w:val="222222"/>
          <w:sz w:val="24"/>
          <w:szCs w:val="24"/>
        </w:rPr>
        <w:t xml:space="preserve"> mapping, salience theory, and communication models make sure that there is clearness, coordination and ongoing commitment in the project lifecycle.</w:t>
      </w:r>
    </w:p>
    <w:p w14:paraId="3C42D09D" w14:textId="77777777" w:rsidR="009D712E" w:rsidRPr="00F758B9" w:rsidRDefault="00000000">
      <w:pPr>
        <w:pStyle w:val="Heading2"/>
        <w:keepNext w:val="0"/>
        <w:keepLines w:val="0"/>
        <w:spacing w:line="360" w:lineRule="auto"/>
      </w:pPr>
      <w:bookmarkStart w:id="34" w:name="_24y2dobq1ox8" w:colFirst="0" w:colLast="0"/>
      <w:bookmarkStart w:id="35" w:name="_Toc216740730"/>
      <w:bookmarkEnd w:id="34"/>
      <w:r w:rsidRPr="00F758B9">
        <w:lastRenderedPageBreak/>
        <w:t>5.1 Stakeholder Mapping / Salience Theory</w:t>
      </w:r>
      <w:bookmarkEnd w:id="35"/>
    </w:p>
    <w:p w14:paraId="6A49EB8D"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Stakeholder mapping applies the grid of power-interest to categorise the stakeholders and identify the adequate engagement strategies. The Manage Closely quadrant comprises regulators, senior management and IT teams as they are highly influential and interested. Kept Satisfied should be Marketing, Suppliers and Legal Teams, whilst Kept Informed refers to Customer/testers to make them participate actively during the prototyping process. Stakeholders who have high power, legitimacy, and urgency are accorded priority attention such as MHRA and senior leaders using the Salience Model (Mitchell et al., 1997).</w:t>
      </w:r>
    </w:p>
    <w:p w14:paraId="30DE7C3B" w14:textId="77777777" w:rsidR="009D712E" w:rsidRPr="00F758B9" w:rsidRDefault="00000000">
      <w:pPr>
        <w:pStyle w:val="Heading2"/>
        <w:keepNext w:val="0"/>
        <w:keepLines w:val="0"/>
        <w:spacing w:line="360" w:lineRule="auto"/>
      </w:pPr>
      <w:bookmarkStart w:id="36" w:name="_e08np4ukvlwi" w:colFirst="0" w:colLast="0"/>
      <w:bookmarkStart w:id="37" w:name="_Toc216740731"/>
      <w:bookmarkEnd w:id="36"/>
      <w:r w:rsidRPr="00F758B9">
        <w:t>5.2 Stakeholder Engagement Plan</w:t>
      </w:r>
      <w:bookmarkEnd w:id="37"/>
    </w:p>
    <w:p w14:paraId="6250AE83" w14:textId="44D16010"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 xml:space="preserve">The engagement plan provides definite goals, expectations of stakeholders, and the level of involvement. Some of the objectives are to guarantee regulatory approval, </w:t>
      </w:r>
      <w:r w:rsidR="0079713B" w:rsidRPr="00F758B9">
        <w:rPr>
          <w:rFonts w:ascii="Times New Roman" w:eastAsia="Times New Roman" w:hAnsi="Times New Roman" w:cs="Times New Roman"/>
          <w:color w:val="222222"/>
          <w:sz w:val="24"/>
          <w:szCs w:val="24"/>
        </w:rPr>
        <w:t>clear</w:t>
      </w:r>
      <w:r w:rsidRPr="00F758B9">
        <w:rPr>
          <w:rFonts w:ascii="Times New Roman" w:eastAsia="Times New Roman" w:hAnsi="Times New Roman" w:cs="Times New Roman"/>
          <w:color w:val="222222"/>
          <w:sz w:val="24"/>
          <w:szCs w:val="24"/>
        </w:rPr>
        <w:t xml:space="preserve"> communication, and a user-centred development of products. The stakeholders want to see </w:t>
      </w:r>
      <w:r w:rsidR="0079713B" w:rsidRPr="00F758B9">
        <w:rPr>
          <w:rFonts w:ascii="Times New Roman" w:eastAsia="Times New Roman" w:hAnsi="Times New Roman" w:cs="Times New Roman"/>
          <w:color w:val="222222"/>
          <w:sz w:val="24"/>
          <w:szCs w:val="24"/>
        </w:rPr>
        <w:t>transparency</w:t>
      </w:r>
      <w:r w:rsidRPr="00F758B9">
        <w:rPr>
          <w:rFonts w:ascii="Times New Roman" w:eastAsia="Times New Roman" w:hAnsi="Times New Roman" w:cs="Times New Roman"/>
          <w:color w:val="222222"/>
          <w:sz w:val="24"/>
          <w:szCs w:val="24"/>
        </w:rPr>
        <w:t xml:space="preserve"> be updated promptly and to have input. Weekly meetings are needed by high-power stakeholders, whereas others are informed every fortnight or monthly. The degrees of participation include the level of consultation (legal, suppliers) and the level of collaboration (product team, IT). The success indicators are stakeholder satisfaction (over 95%), timely accomplishment of tasks, regulatory compliance and </w:t>
      </w:r>
      <w:r w:rsidR="00F758B9" w:rsidRPr="00F758B9">
        <w:rPr>
          <w:rFonts w:ascii="Times New Roman" w:eastAsia="Times New Roman" w:hAnsi="Times New Roman" w:cs="Times New Roman"/>
          <w:color w:val="222222"/>
          <w:sz w:val="24"/>
          <w:szCs w:val="24"/>
        </w:rPr>
        <w:t>favourable</w:t>
      </w:r>
      <w:r w:rsidRPr="00F758B9">
        <w:rPr>
          <w:rFonts w:ascii="Times New Roman" w:eastAsia="Times New Roman" w:hAnsi="Times New Roman" w:cs="Times New Roman"/>
          <w:color w:val="222222"/>
          <w:sz w:val="24"/>
          <w:szCs w:val="24"/>
        </w:rPr>
        <w:t xml:space="preserve"> response of the prototypes.</w:t>
      </w:r>
    </w:p>
    <w:p w14:paraId="4C43B194" w14:textId="77777777" w:rsidR="009D712E" w:rsidRPr="00F758B9" w:rsidRDefault="00000000">
      <w:pPr>
        <w:pStyle w:val="Heading2"/>
        <w:keepNext w:val="0"/>
        <w:keepLines w:val="0"/>
        <w:spacing w:line="360" w:lineRule="auto"/>
      </w:pPr>
      <w:bookmarkStart w:id="38" w:name="_1vaf41d9askx" w:colFirst="0" w:colLast="0"/>
      <w:bookmarkStart w:id="39" w:name="_Toc216740732"/>
      <w:bookmarkEnd w:id="38"/>
      <w:r w:rsidRPr="00F758B9">
        <w:t>5.3 Communication Plan</w:t>
      </w:r>
      <w:bookmarkEnd w:id="39"/>
    </w:p>
    <w:p w14:paraId="5C005A5F"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color w:val="222222"/>
          <w:sz w:val="24"/>
          <w:szCs w:val="24"/>
        </w:rPr>
        <w:t>The communication plan is structured and creates a sense of clarity and eliminates the ambiguity of the project. Such tools as email briefings, design workshops, prototype testing sessions, weekly dashboards, and digital collaboration platforms (Microsoft Teams and Jira) are used. Shannon -Weaver Communication Model (1998), will help to encode clear messages and noise reduction and Four Stages of Communication Model (2016) by Clampitt aid communication tailoring to each segment of stakeholders. This practice enhances transparency, trust and coordinated decision-making.</w:t>
      </w:r>
    </w:p>
    <w:p w14:paraId="1497E606" w14:textId="77777777" w:rsidR="009D712E" w:rsidRPr="00F758B9" w:rsidRDefault="00000000">
      <w:pPr>
        <w:pStyle w:val="Heading1"/>
        <w:keepNext w:val="0"/>
        <w:keepLines w:val="0"/>
        <w:shd w:val="clear" w:color="auto" w:fill="FFFFFF"/>
        <w:spacing w:before="480"/>
        <w:rPr>
          <w:rFonts w:eastAsia="Times New Roman" w:cs="Times New Roman"/>
          <w:b w:val="0"/>
          <w:bCs/>
          <w:color w:val="222222"/>
          <w:szCs w:val="24"/>
        </w:rPr>
      </w:pPr>
      <w:bookmarkStart w:id="40" w:name="_uqw4gr7n2x2h" w:colFirst="0" w:colLast="0"/>
      <w:bookmarkStart w:id="41" w:name="_Toc216740733"/>
      <w:bookmarkEnd w:id="40"/>
      <w:r w:rsidRPr="00F758B9">
        <w:rPr>
          <w:rFonts w:eastAsia="Times New Roman" w:cs="Times New Roman"/>
          <w:bCs/>
          <w:color w:val="222222"/>
          <w:szCs w:val="24"/>
        </w:rPr>
        <w:t>6. Critical Explanation of Engagement Process &amp; Conflict Management</w:t>
      </w:r>
      <w:bookmarkEnd w:id="41"/>
    </w:p>
    <w:p w14:paraId="22604328" w14:textId="2E7BE20E"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lastRenderedPageBreak/>
        <w:t xml:space="preserve">Successful stakeholder involvement is critical </w:t>
      </w:r>
      <w:r w:rsidR="0079713B" w:rsidRPr="00F758B9">
        <w:rPr>
          <w:rFonts w:ascii="Times New Roman" w:eastAsia="Times New Roman" w:hAnsi="Times New Roman" w:cs="Times New Roman"/>
          <w:color w:val="222222"/>
          <w:sz w:val="24"/>
          <w:szCs w:val="24"/>
        </w:rPr>
        <w:t>for</w:t>
      </w:r>
      <w:r w:rsidRPr="00F758B9">
        <w:rPr>
          <w:rFonts w:ascii="Times New Roman" w:eastAsia="Times New Roman" w:hAnsi="Times New Roman" w:cs="Times New Roman"/>
          <w:color w:val="222222"/>
          <w:sz w:val="24"/>
          <w:szCs w:val="24"/>
        </w:rPr>
        <w:t xml:space="preserve"> the delivery of Bupa wearable health device within the six months period. The process, as a project manager, has to be systematic, inclusive, and aligned to the recognised frameworks in order to reduce conflict and ensure that the stakeholders are committed.</w:t>
      </w:r>
    </w:p>
    <w:p w14:paraId="61FD1A3D" w14:textId="77777777" w:rsidR="009D712E" w:rsidRPr="00F758B9" w:rsidRDefault="00000000">
      <w:pPr>
        <w:pStyle w:val="Heading2"/>
        <w:keepNext w:val="0"/>
        <w:keepLines w:val="0"/>
        <w:spacing w:line="360" w:lineRule="auto"/>
      </w:pPr>
      <w:bookmarkStart w:id="42" w:name="_26u4ik8pek29" w:colFirst="0" w:colLast="0"/>
      <w:bookmarkStart w:id="43" w:name="_Toc216740734"/>
      <w:bookmarkEnd w:id="42"/>
      <w:r w:rsidRPr="00F758B9">
        <w:t>6.1 As Project Manager, what engagement process will you adopt?</w:t>
      </w:r>
      <w:bookmarkEnd w:id="43"/>
    </w:p>
    <w:p w14:paraId="45E485A7"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The project follows the cyclical process in the PMI Stakeholder Engagement Framework (2021):</w:t>
      </w:r>
    </w:p>
    <w:p w14:paraId="6AE83C4B"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Initiation - Identification - Analysis - Engagement - Monitoring.</w:t>
      </w:r>
    </w:p>
    <w:p w14:paraId="6A5E0746"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The project objectives, constraints and expectations of stakeholders are made clear during initiation. They include identification which entails mapping of both internal and external stakeholders and analysis which incorporates using tools like salience model and power-interest grid to evaluate influence and priority. The engagement will include the introduction of customized communication strategies, collaboration workshops, and prototype testing. Constant monitoring keeps feedback loops intact so that they can be adjusted to and no disengagement can occur. This is a systematic method that enhances openness and lessens ambiguity.</w:t>
      </w:r>
    </w:p>
    <w:p w14:paraId="3449F65A" w14:textId="77777777" w:rsidR="009D712E" w:rsidRPr="00F758B9" w:rsidRDefault="00000000">
      <w:pPr>
        <w:pStyle w:val="Heading2"/>
        <w:keepNext w:val="0"/>
        <w:keepLines w:val="0"/>
        <w:spacing w:line="360" w:lineRule="auto"/>
      </w:pPr>
      <w:bookmarkStart w:id="44" w:name="_x8k45oi3ts0x" w:colFirst="0" w:colLast="0"/>
      <w:bookmarkStart w:id="45" w:name="_Toc216740735"/>
      <w:bookmarkEnd w:id="44"/>
      <w:r w:rsidRPr="00F758B9">
        <w:t>6.2 Application of the 4Cs</w:t>
      </w:r>
      <w:bookmarkEnd w:id="45"/>
    </w:p>
    <w:p w14:paraId="147CA015"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Proper interaction with the stakeholders is established as a result of the 4Cs model, which involves Communication, Coordination, Cooperation, and Collaboration.</w:t>
      </w:r>
    </w:p>
    <w:p w14:paraId="0C1600C0" w14:textId="5A91DB3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 xml:space="preserve">Communication entails </w:t>
      </w:r>
      <w:r w:rsidR="0079713B" w:rsidRPr="00F758B9">
        <w:rPr>
          <w:rFonts w:ascii="Times New Roman" w:eastAsia="Times New Roman" w:hAnsi="Times New Roman" w:cs="Times New Roman"/>
          <w:color w:val="222222"/>
          <w:sz w:val="24"/>
          <w:szCs w:val="24"/>
        </w:rPr>
        <w:t>multi-channel</w:t>
      </w:r>
      <w:r w:rsidRPr="00F758B9">
        <w:rPr>
          <w:rFonts w:ascii="Times New Roman" w:eastAsia="Times New Roman" w:hAnsi="Times New Roman" w:cs="Times New Roman"/>
          <w:color w:val="222222"/>
          <w:sz w:val="24"/>
          <w:szCs w:val="24"/>
        </w:rPr>
        <w:t xml:space="preserve"> reporting of progress and expectations using dash boards, emails and meetings in a clear and explicit manner.</w:t>
      </w:r>
    </w:p>
    <w:p w14:paraId="4327854A" w14:textId="481F6229"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 xml:space="preserve">The area of coordination aims at aligning </w:t>
      </w:r>
      <w:r w:rsidR="0079713B" w:rsidRPr="00F758B9">
        <w:rPr>
          <w:rFonts w:ascii="Times New Roman" w:eastAsia="Times New Roman" w:hAnsi="Times New Roman" w:cs="Times New Roman"/>
          <w:color w:val="222222"/>
          <w:sz w:val="24"/>
          <w:szCs w:val="24"/>
        </w:rPr>
        <w:t>cross</w:t>
      </w:r>
      <w:r w:rsidRPr="00F758B9">
        <w:rPr>
          <w:rFonts w:ascii="Times New Roman" w:eastAsia="Times New Roman" w:hAnsi="Times New Roman" w:cs="Times New Roman"/>
          <w:color w:val="222222"/>
          <w:sz w:val="24"/>
          <w:szCs w:val="24"/>
        </w:rPr>
        <w:t>-functional work through a common set of schedules, Jira boards, and weekly alignment meetings. This saves on duplication and delays.</w:t>
      </w:r>
    </w:p>
    <w:p w14:paraId="5E3142EB"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Cooperation focuses on common objectives and value co-creation, and along with this, the stakeholders are made aware of their interdependencies especially between the product, IT and regulatory teams.</w:t>
      </w:r>
    </w:p>
    <w:p w14:paraId="22E125D0"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It is ensured that collaboration is promoted across groups by means of co-design sessions, prototype testing workshops, and joint decision-making.</w:t>
      </w:r>
    </w:p>
    <w:p w14:paraId="32745A61"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lastRenderedPageBreak/>
        <w:t>The 4Cs together will improve the quality of engagement and reduce the friction in the operation.</w:t>
      </w:r>
    </w:p>
    <w:p w14:paraId="34BC0F75" w14:textId="77777777" w:rsidR="009D712E" w:rsidRPr="00F758B9" w:rsidRDefault="00000000">
      <w:pPr>
        <w:pStyle w:val="Heading2"/>
        <w:keepNext w:val="0"/>
        <w:keepLines w:val="0"/>
        <w:spacing w:line="360" w:lineRule="auto"/>
      </w:pPr>
      <w:bookmarkStart w:id="46" w:name="_dv25f8hzh1zr" w:colFirst="0" w:colLast="0"/>
      <w:bookmarkStart w:id="47" w:name="_Toc216740736"/>
      <w:bookmarkEnd w:id="46"/>
      <w:r w:rsidRPr="00F758B9">
        <w:t>6.3 Conflict Management Approaches</w:t>
      </w:r>
      <w:bookmarkEnd w:id="47"/>
    </w:p>
    <w:p w14:paraId="2DA9DBA3" w14:textId="3D94C1D8" w:rsidR="009D712E" w:rsidRPr="00F758B9" w:rsidRDefault="00000000">
      <w:pPr>
        <w:shd w:val="clear" w:color="auto" w:fill="FFFFFF"/>
        <w:spacing w:before="200" w:after="200" w:line="360" w:lineRule="auto"/>
        <w:jc w:val="both"/>
        <w:rPr>
          <w:rFonts w:ascii="Times New Roman" w:eastAsia="Times New Roman" w:hAnsi="Times New Roman" w:cs="Times New Roman"/>
          <w:b/>
          <w:bCs/>
          <w:color w:val="222222"/>
          <w:sz w:val="24"/>
          <w:szCs w:val="24"/>
        </w:rPr>
      </w:pPr>
      <w:r w:rsidRPr="00F758B9">
        <w:rPr>
          <w:rFonts w:ascii="Times New Roman" w:eastAsia="Times New Roman" w:hAnsi="Times New Roman" w:cs="Times New Roman"/>
          <w:color w:val="222222"/>
          <w:sz w:val="24"/>
          <w:szCs w:val="24"/>
        </w:rPr>
        <w:t xml:space="preserve">The reason is that conflicts can occur because of priorities contrasting costs versus quality, speed versus regulatory compliance. Thomas-Kilmann Conflict Mode Instrument (TKI) assists in determining when collaboration, compromising, accommodating, competing, or avoiding should take place. Interest-Based Negotiation (Fisher and Ury, 1981) facilitates the process of solving disputes by emphasising on the needs as opposed to extreme positions. Moreover, it is possible to use the Emotional Intelligence model developed by Goleman (1995) so that the project manager can identify emotions, deal with the relations of stakeholders in a delicate </w:t>
      </w:r>
      <w:r w:rsidR="0079713B" w:rsidRPr="00F758B9">
        <w:rPr>
          <w:rFonts w:ascii="Times New Roman" w:eastAsia="Times New Roman" w:hAnsi="Times New Roman" w:cs="Times New Roman"/>
          <w:color w:val="222222"/>
          <w:sz w:val="24"/>
          <w:szCs w:val="24"/>
        </w:rPr>
        <w:t>manner and</w:t>
      </w:r>
      <w:r w:rsidRPr="00F758B9">
        <w:rPr>
          <w:rFonts w:ascii="Times New Roman" w:eastAsia="Times New Roman" w:hAnsi="Times New Roman" w:cs="Times New Roman"/>
          <w:color w:val="222222"/>
          <w:sz w:val="24"/>
          <w:szCs w:val="24"/>
        </w:rPr>
        <w:t xml:space="preserve"> facilitate productive communication.</w:t>
      </w:r>
    </w:p>
    <w:p w14:paraId="685BD7C6" w14:textId="77777777" w:rsidR="009D712E" w:rsidRPr="00F758B9" w:rsidRDefault="00000000">
      <w:pPr>
        <w:pStyle w:val="Heading2"/>
        <w:keepNext w:val="0"/>
        <w:keepLines w:val="0"/>
        <w:spacing w:line="360" w:lineRule="auto"/>
      </w:pPr>
      <w:bookmarkStart w:id="48" w:name="_wpm441fwo4r7" w:colFirst="0" w:colLast="0"/>
      <w:bookmarkStart w:id="49" w:name="_Toc216740737"/>
      <w:bookmarkEnd w:id="48"/>
      <w:r w:rsidRPr="00F758B9">
        <w:t>6.4 Critical Evaluation</w:t>
      </w:r>
      <w:bookmarkEnd w:id="49"/>
    </w:p>
    <w:p w14:paraId="2671C5C9" w14:textId="6A16809B" w:rsidR="009D712E" w:rsidRPr="00F758B9" w:rsidRDefault="00000000">
      <w:pPr>
        <w:shd w:val="clear" w:color="auto" w:fill="FFFFFF"/>
        <w:spacing w:before="200" w:after="20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color w:val="222222"/>
          <w:sz w:val="24"/>
          <w:szCs w:val="24"/>
        </w:rPr>
        <w:t xml:space="preserve">Despite the fact that stakeholder engagement enhances </w:t>
      </w:r>
      <w:r w:rsidR="0079713B" w:rsidRPr="00F758B9">
        <w:rPr>
          <w:rFonts w:ascii="Times New Roman" w:eastAsia="Times New Roman" w:hAnsi="Times New Roman" w:cs="Times New Roman"/>
          <w:color w:val="222222"/>
          <w:sz w:val="24"/>
          <w:szCs w:val="24"/>
        </w:rPr>
        <w:t>clarity</w:t>
      </w:r>
      <w:r w:rsidRPr="00F758B9">
        <w:rPr>
          <w:rFonts w:ascii="Times New Roman" w:eastAsia="Times New Roman" w:hAnsi="Times New Roman" w:cs="Times New Roman"/>
          <w:color w:val="222222"/>
          <w:sz w:val="24"/>
          <w:szCs w:val="24"/>
        </w:rPr>
        <w:t xml:space="preserve"> and alignment, there are a number of limitations. The RACI matrix, although a good tool in specifying roles, does not reflect dynamic relationships, and it lacks in describing interdependence of tasks. The frequency of communication is high which is likely to overload with </w:t>
      </w:r>
      <w:r w:rsidR="0079713B" w:rsidRPr="00F758B9">
        <w:rPr>
          <w:rFonts w:ascii="Times New Roman" w:eastAsia="Times New Roman" w:hAnsi="Times New Roman" w:cs="Times New Roman"/>
          <w:color w:val="222222"/>
          <w:sz w:val="24"/>
          <w:szCs w:val="24"/>
        </w:rPr>
        <w:t>information,</w:t>
      </w:r>
      <w:r w:rsidRPr="00F758B9">
        <w:rPr>
          <w:rFonts w:ascii="Times New Roman" w:eastAsia="Times New Roman" w:hAnsi="Times New Roman" w:cs="Times New Roman"/>
          <w:color w:val="222222"/>
          <w:sz w:val="24"/>
          <w:szCs w:val="24"/>
        </w:rPr>
        <w:t xml:space="preserve"> hence </w:t>
      </w:r>
      <w:r w:rsidR="0079713B" w:rsidRPr="00F758B9">
        <w:rPr>
          <w:rFonts w:ascii="Times New Roman" w:eastAsia="Times New Roman" w:hAnsi="Times New Roman" w:cs="Times New Roman"/>
          <w:color w:val="222222"/>
          <w:sz w:val="24"/>
          <w:szCs w:val="24"/>
        </w:rPr>
        <w:t>lessen</w:t>
      </w:r>
      <w:r w:rsidRPr="00F758B9">
        <w:rPr>
          <w:rFonts w:ascii="Times New Roman" w:eastAsia="Times New Roman" w:hAnsi="Times New Roman" w:cs="Times New Roman"/>
          <w:color w:val="222222"/>
          <w:sz w:val="24"/>
          <w:szCs w:val="24"/>
        </w:rPr>
        <w:t xml:space="preserve"> the effectiveness of the message. Moreover, teamwork involves time and resources allocation, which can be problematic to the project with a tight time schedule. Ethics involve GDPR compliance such </w:t>
      </w:r>
      <w:r w:rsidR="0079713B" w:rsidRPr="00F758B9">
        <w:rPr>
          <w:rFonts w:ascii="Times New Roman" w:eastAsia="Times New Roman" w:hAnsi="Times New Roman" w:cs="Times New Roman"/>
          <w:color w:val="222222"/>
          <w:sz w:val="24"/>
          <w:szCs w:val="24"/>
        </w:rPr>
        <w:t>as</w:t>
      </w:r>
      <w:r w:rsidRPr="00F758B9">
        <w:rPr>
          <w:rFonts w:ascii="Times New Roman" w:eastAsia="Times New Roman" w:hAnsi="Times New Roman" w:cs="Times New Roman"/>
          <w:color w:val="222222"/>
          <w:sz w:val="24"/>
          <w:szCs w:val="24"/>
        </w:rPr>
        <w:t xml:space="preserve"> the sharing of sensitive biometric data, and possible bias in the algorithm of health analytics. However, the implementation of frameworks and 4Cs model enhances the quality of engagement, minimizes conflict, and increases project success.</w:t>
      </w:r>
    </w:p>
    <w:p w14:paraId="75BD7759" w14:textId="77777777" w:rsidR="009D712E" w:rsidRPr="00F758B9" w:rsidRDefault="00000000">
      <w:pPr>
        <w:pStyle w:val="Heading1"/>
        <w:keepNext w:val="0"/>
        <w:keepLines w:val="0"/>
        <w:shd w:val="clear" w:color="auto" w:fill="FFFFFF"/>
        <w:spacing w:before="480"/>
        <w:rPr>
          <w:rFonts w:eastAsia="Times New Roman" w:cs="Times New Roman"/>
          <w:b w:val="0"/>
          <w:bCs/>
          <w:color w:val="222222"/>
          <w:szCs w:val="24"/>
        </w:rPr>
      </w:pPr>
      <w:bookmarkStart w:id="50" w:name="_o4zcf24dddj5" w:colFirst="0" w:colLast="0"/>
      <w:bookmarkStart w:id="51" w:name="_Toc216740738"/>
      <w:bookmarkEnd w:id="50"/>
      <w:r w:rsidRPr="00F758B9">
        <w:rPr>
          <w:rFonts w:eastAsia="Times New Roman" w:cs="Times New Roman"/>
          <w:bCs/>
          <w:color w:val="222222"/>
          <w:szCs w:val="24"/>
        </w:rPr>
        <w:t>7. Evaluation of Impact of Stakeholder Engagement on Business Performance</w:t>
      </w:r>
      <w:bookmarkEnd w:id="51"/>
    </w:p>
    <w:p w14:paraId="00988E8B"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The stakeholder engagement is critical to the organisational performance of Bupa, particularly concerning the creation and introduction of a wearable health device. By establishing disciplined communication, collaboration and co-creation processes, Bupa will be able to reinforce the results of innovations, regulatory adherence and the customer value over time.</w:t>
      </w:r>
    </w:p>
    <w:p w14:paraId="77A10BB0" w14:textId="77777777" w:rsidR="009D712E" w:rsidRPr="00F758B9" w:rsidRDefault="00000000">
      <w:pPr>
        <w:pStyle w:val="Heading2"/>
        <w:keepNext w:val="0"/>
        <w:keepLines w:val="0"/>
        <w:spacing w:line="360" w:lineRule="auto"/>
      </w:pPr>
      <w:bookmarkStart w:id="52" w:name="_4844lu5a1vg8" w:colFirst="0" w:colLast="0"/>
      <w:bookmarkStart w:id="53" w:name="_Toc216740739"/>
      <w:bookmarkEnd w:id="52"/>
      <w:r w:rsidRPr="00F758B9">
        <w:t>7.1 Impact Areas</w:t>
      </w:r>
      <w:bookmarkEnd w:id="53"/>
    </w:p>
    <w:p w14:paraId="784A4AAF"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b/>
          <w:bCs/>
          <w:i/>
          <w:iCs/>
          <w:color w:val="222222"/>
          <w:sz w:val="24"/>
          <w:szCs w:val="24"/>
        </w:rPr>
      </w:pPr>
      <w:r w:rsidRPr="00F758B9">
        <w:rPr>
          <w:rFonts w:ascii="Times New Roman" w:eastAsia="Times New Roman" w:hAnsi="Times New Roman" w:cs="Times New Roman"/>
          <w:b/>
          <w:bCs/>
          <w:i/>
          <w:iCs/>
          <w:color w:val="222222"/>
          <w:sz w:val="24"/>
          <w:szCs w:val="24"/>
        </w:rPr>
        <w:lastRenderedPageBreak/>
        <w:t>Faster project completion:</w:t>
      </w:r>
    </w:p>
    <w:p w14:paraId="55200898"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Clarity of communication, assigned duties and synchronization of work processes prevents time wastage and duplication of efforts. Early involvement of stakeholders like IT, product teams and suppliers can solve the problems much faster.</w:t>
      </w:r>
    </w:p>
    <w:p w14:paraId="48F69426"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b/>
          <w:bCs/>
          <w:i/>
          <w:iCs/>
          <w:color w:val="222222"/>
          <w:sz w:val="24"/>
          <w:szCs w:val="24"/>
        </w:rPr>
      </w:pPr>
      <w:r w:rsidRPr="00F758B9">
        <w:rPr>
          <w:rFonts w:ascii="Times New Roman" w:eastAsia="Times New Roman" w:hAnsi="Times New Roman" w:cs="Times New Roman"/>
          <w:b/>
          <w:bCs/>
          <w:i/>
          <w:iCs/>
          <w:color w:val="222222"/>
          <w:sz w:val="24"/>
          <w:szCs w:val="24"/>
        </w:rPr>
        <w:t>Higher innovation quality:</w:t>
      </w:r>
    </w:p>
    <w:p w14:paraId="369E42FB"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The feedback of the customer, supplier knowledge, and the collaboration of cross functions enhance the quality of design, clinical precision, and usability. Apple Watch health integrations have demonstrated the fact that progressive user interactions lead to product improvement and medical accuracy (</w:t>
      </w:r>
      <w:r w:rsidRPr="00F758B9">
        <w:rPr>
          <w:rFonts w:ascii="Times New Roman" w:eastAsia="Times New Roman" w:hAnsi="Times New Roman" w:cs="Times New Roman"/>
          <w:color w:val="222222"/>
          <w:sz w:val="24"/>
          <w:szCs w:val="24"/>
          <w:highlight w:val="white"/>
        </w:rPr>
        <w:t xml:space="preserve">Garcia </w:t>
      </w:r>
      <w:r w:rsidRPr="00F758B9">
        <w:rPr>
          <w:rFonts w:ascii="Times New Roman" w:eastAsia="Times New Roman" w:hAnsi="Times New Roman" w:cs="Times New Roman"/>
          <w:i/>
          <w:iCs/>
          <w:color w:val="222222"/>
          <w:sz w:val="24"/>
          <w:szCs w:val="24"/>
          <w:highlight w:val="white"/>
        </w:rPr>
        <w:t>et al</w:t>
      </w:r>
      <w:r w:rsidRPr="00F758B9">
        <w:rPr>
          <w:rFonts w:ascii="Times New Roman" w:eastAsia="Times New Roman" w:hAnsi="Times New Roman" w:cs="Times New Roman"/>
          <w:color w:val="222222"/>
          <w:sz w:val="24"/>
          <w:szCs w:val="24"/>
          <w:highlight w:val="white"/>
        </w:rPr>
        <w:t>., 2022).</w:t>
      </w:r>
    </w:p>
    <w:p w14:paraId="707C7477"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b/>
          <w:bCs/>
          <w:i/>
          <w:iCs/>
          <w:color w:val="222222"/>
          <w:sz w:val="24"/>
          <w:szCs w:val="24"/>
        </w:rPr>
      </w:pPr>
      <w:r w:rsidRPr="00F758B9">
        <w:rPr>
          <w:rFonts w:ascii="Times New Roman" w:eastAsia="Times New Roman" w:hAnsi="Times New Roman" w:cs="Times New Roman"/>
          <w:b/>
          <w:bCs/>
          <w:i/>
          <w:iCs/>
          <w:color w:val="222222"/>
          <w:sz w:val="24"/>
          <w:szCs w:val="24"/>
        </w:rPr>
        <w:t>Regulatory compliance:</w:t>
      </w:r>
    </w:p>
    <w:p w14:paraId="718CFEE6"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The close cooperation with the MHRA and the ICO will guarantee the preservation of the data, data safety confirmation, and the accuracy of the data documentation will decrease risks of approval.</w:t>
      </w:r>
    </w:p>
    <w:p w14:paraId="491BBF8E"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b/>
          <w:bCs/>
          <w:i/>
          <w:iCs/>
          <w:color w:val="222222"/>
          <w:sz w:val="24"/>
          <w:szCs w:val="24"/>
        </w:rPr>
      </w:pPr>
      <w:r w:rsidRPr="00F758B9">
        <w:rPr>
          <w:rFonts w:ascii="Times New Roman" w:eastAsia="Times New Roman" w:hAnsi="Times New Roman" w:cs="Times New Roman"/>
          <w:b/>
          <w:bCs/>
          <w:i/>
          <w:iCs/>
          <w:color w:val="222222"/>
          <w:sz w:val="24"/>
          <w:szCs w:val="24"/>
        </w:rPr>
        <w:t>Customer adoption and retention:</w:t>
      </w:r>
    </w:p>
    <w:p w14:paraId="48908A1F"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The involvement of customers in testing the prototypes creates trust and alignment with the user needs, and the higher the post-launch adoption. NHS digital wearable trials prove that designs that are based on engagement will result in increased adherence and continued use (NHS digital, 2021).</w:t>
      </w:r>
    </w:p>
    <w:p w14:paraId="6C0F9170"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b/>
          <w:bCs/>
          <w:i/>
          <w:iCs/>
          <w:color w:val="222222"/>
          <w:sz w:val="24"/>
          <w:szCs w:val="24"/>
        </w:rPr>
      </w:pPr>
      <w:r w:rsidRPr="00F758B9">
        <w:rPr>
          <w:rFonts w:ascii="Times New Roman" w:eastAsia="Times New Roman" w:hAnsi="Times New Roman" w:cs="Times New Roman"/>
          <w:b/>
          <w:bCs/>
          <w:i/>
          <w:iCs/>
          <w:color w:val="222222"/>
          <w:sz w:val="24"/>
          <w:szCs w:val="24"/>
        </w:rPr>
        <w:t>Enhanced organisational image:</w:t>
      </w:r>
    </w:p>
    <w:p w14:paraId="2C4B6F26"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Open communication between the stakeholders enhances the credibility of Bupa as a responsible internet healthcare provider, which builds brand equity.</w:t>
      </w:r>
    </w:p>
    <w:p w14:paraId="64F3C936"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b/>
          <w:bCs/>
          <w:i/>
          <w:iCs/>
          <w:color w:val="222222"/>
          <w:sz w:val="24"/>
          <w:szCs w:val="24"/>
        </w:rPr>
      </w:pPr>
      <w:r w:rsidRPr="00F758B9">
        <w:rPr>
          <w:rFonts w:ascii="Times New Roman" w:eastAsia="Times New Roman" w:hAnsi="Times New Roman" w:cs="Times New Roman"/>
          <w:b/>
          <w:bCs/>
          <w:i/>
          <w:iCs/>
          <w:color w:val="222222"/>
          <w:sz w:val="24"/>
          <w:szCs w:val="24"/>
        </w:rPr>
        <w:t>Better risk mitigation:</w:t>
      </w:r>
    </w:p>
    <w:p w14:paraId="777B1699"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Early detection of such issues, like cybersecurity or manufacturing delays, will enable faster response to them, minimizing financial and reputational harm.</w:t>
      </w:r>
    </w:p>
    <w:p w14:paraId="481EE0B2" w14:textId="77777777" w:rsidR="009D712E" w:rsidRPr="00F758B9" w:rsidRDefault="00000000">
      <w:pPr>
        <w:pStyle w:val="Heading2"/>
        <w:keepNext w:val="0"/>
        <w:keepLines w:val="0"/>
        <w:spacing w:line="360" w:lineRule="auto"/>
      </w:pPr>
      <w:bookmarkStart w:id="54" w:name="_xm05xrqfaz3p" w:colFirst="0" w:colLast="0"/>
      <w:bookmarkStart w:id="55" w:name="_Toc216740740"/>
      <w:bookmarkEnd w:id="54"/>
      <w:r w:rsidRPr="00F758B9">
        <w:t>7.2 Use Analytical Models</w:t>
      </w:r>
      <w:bookmarkEnd w:id="55"/>
    </w:p>
    <w:p w14:paraId="639EE2E8"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lastRenderedPageBreak/>
        <w:t>The Balanced Scorecard (Kaplan and Norton, 1996) points out the effect of stakeholder engagement on four aspects of performance:</w:t>
      </w:r>
    </w:p>
    <w:p w14:paraId="6173BABE" w14:textId="77777777" w:rsidR="009D712E" w:rsidRPr="00F758B9" w:rsidRDefault="00000000">
      <w:pPr>
        <w:numPr>
          <w:ilvl w:val="0"/>
          <w:numId w:val="1"/>
        </w:numPr>
        <w:shd w:val="clear" w:color="auto" w:fill="FFFFFF"/>
        <w:spacing w:before="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Financial: The low amount of rework is cost-effective; the high level of adoption leads to higher revenue.</w:t>
      </w:r>
    </w:p>
    <w:p w14:paraId="2FCFEA69" w14:textId="77777777" w:rsidR="009D712E" w:rsidRPr="00F758B9" w:rsidRDefault="00000000">
      <w:pPr>
        <w:numPr>
          <w:ilvl w:val="0"/>
          <w:numId w:val="1"/>
        </w:numPr>
        <w:shd w:val="clear" w:color="auto" w:fill="FFFFFF"/>
        <w:spacing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Customer: User-centred design has increased user satisfaction.</w:t>
      </w:r>
    </w:p>
    <w:p w14:paraId="56607A63" w14:textId="77777777" w:rsidR="009D712E" w:rsidRPr="00F758B9" w:rsidRDefault="00000000">
      <w:pPr>
        <w:numPr>
          <w:ilvl w:val="0"/>
          <w:numId w:val="1"/>
        </w:numPr>
        <w:shd w:val="clear" w:color="auto" w:fill="FFFFFF"/>
        <w:spacing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Internal Processes: There are better coordination processes that increase efficiency.</w:t>
      </w:r>
    </w:p>
    <w:p w14:paraId="4E44034D" w14:textId="77777777" w:rsidR="009D712E" w:rsidRPr="00F758B9" w:rsidRDefault="00000000">
      <w:pPr>
        <w:numPr>
          <w:ilvl w:val="0"/>
          <w:numId w:val="1"/>
        </w:numPr>
        <w:shd w:val="clear" w:color="auto" w:fill="FFFFFF"/>
        <w:spacing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Learning &amp; Growth Cross-functional collaboration develops digital capability.</w:t>
      </w:r>
    </w:p>
    <w:p w14:paraId="223F8AEC" w14:textId="77777777" w:rsidR="009D712E" w:rsidRPr="00F758B9" w:rsidRDefault="00000000">
      <w:pPr>
        <w:numPr>
          <w:ilvl w:val="0"/>
          <w:numId w:val="1"/>
        </w:numPr>
        <w:shd w:val="clear" w:color="auto" w:fill="FFFFFF"/>
        <w:spacing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Sustainable perspective offered by Triple Bottom Line (Elkington, 1998):</w:t>
      </w:r>
    </w:p>
    <w:p w14:paraId="7AC1536D" w14:textId="36C405CE" w:rsidR="009D712E" w:rsidRPr="00F758B9" w:rsidRDefault="00000000">
      <w:pPr>
        <w:numPr>
          <w:ilvl w:val="0"/>
          <w:numId w:val="1"/>
        </w:numPr>
        <w:shd w:val="clear" w:color="auto" w:fill="FFFFFF"/>
        <w:spacing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Individuals</w:t>
      </w:r>
      <w:r w:rsidR="0079713B" w:rsidRPr="00F758B9">
        <w:rPr>
          <w:rFonts w:ascii="Times New Roman" w:eastAsia="Times New Roman" w:hAnsi="Times New Roman" w:cs="Times New Roman"/>
          <w:color w:val="222222"/>
          <w:sz w:val="24"/>
          <w:szCs w:val="24"/>
        </w:rPr>
        <w:t>: Moral</w:t>
      </w:r>
      <w:r w:rsidRPr="00F758B9">
        <w:rPr>
          <w:rFonts w:ascii="Times New Roman" w:eastAsia="Times New Roman" w:hAnsi="Times New Roman" w:cs="Times New Roman"/>
          <w:color w:val="222222"/>
          <w:sz w:val="24"/>
          <w:szCs w:val="24"/>
        </w:rPr>
        <w:t xml:space="preserve"> participation and secure data management enhances stakeholder good health.</w:t>
      </w:r>
    </w:p>
    <w:p w14:paraId="65AA78AD" w14:textId="77777777" w:rsidR="009D712E" w:rsidRPr="00F758B9" w:rsidRDefault="00000000">
      <w:pPr>
        <w:numPr>
          <w:ilvl w:val="0"/>
          <w:numId w:val="1"/>
        </w:numPr>
        <w:shd w:val="clear" w:color="auto" w:fill="FFFFFF"/>
        <w:spacing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Planet: Working with suppliers helps to make sustainable manufacturing decisions.</w:t>
      </w:r>
    </w:p>
    <w:p w14:paraId="57E47D42" w14:textId="77777777" w:rsidR="009D712E" w:rsidRPr="00F758B9" w:rsidRDefault="00000000">
      <w:pPr>
        <w:numPr>
          <w:ilvl w:val="0"/>
          <w:numId w:val="1"/>
        </w:numPr>
        <w:shd w:val="clear" w:color="auto" w:fill="FFFFFF"/>
        <w:spacing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Profit: When ready to accept risk, it becomes financially stronger.</w:t>
      </w:r>
    </w:p>
    <w:p w14:paraId="73A622D7" w14:textId="77777777" w:rsidR="009D712E" w:rsidRPr="00F758B9" w:rsidRDefault="00000000">
      <w:pPr>
        <w:pStyle w:val="Heading2"/>
        <w:keepNext w:val="0"/>
        <w:keepLines w:val="0"/>
        <w:spacing w:line="360" w:lineRule="auto"/>
      </w:pPr>
      <w:bookmarkStart w:id="56" w:name="_vjqitwxvizsp" w:colFirst="0" w:colLast="0"/>
      <w:bookmarkStart w:id="57" w:name="_Toc216740741"/>
      <w:bookmarkEnd w:id="56"/>
      <w:r w:rsidRPr="00F758B9">
        <w:t>7.3 Evidence from Literature</w:t>
      </w:r>
      <w:bookmarkEnd w:id="57"/>
    </w:p>
    <w:p w14:paraId="47939874" w14:textId="663AA2C6"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Wearable monitoring device trials have demonstrated that the collaboration between stakeholders (especially patients) enhances the usability and long-term adoption in the NHS. The fact that Apple collaborated with clinical institutions shows that co-development improves accuracy of measurements and regulatory approval (</w:t>
      </w:r>
      <w:r w:rsidRPr="00F758B9">
        <w:rPr>
          <w:rFonts w:ascii="Times New Roman" w:eastAsia="Times New Roman" w:hAnsi="Times New Roman" w:cs="Times New Roman"/>
          <w:color w:val="222222"/>
          <w:sz w:val="24"/>
          <w:szCs w:val="24"/>
          <w:highlight w:val="white"/>
        </w:rPr>
        <w:t xml:space="preserve">Garcia </w:t>
      </w:r>
      <w:r w:rsidRPr="00F758B9">
        <w:rPr>
          <w:rFonts w:ascii="Times New Roman" w:eastAsia="Times New Roman" w:hAnsi="Times New Roman" w:cs="Times New Roman"/>
          <w:i/>
          <w:iCs/>
          <w:color w:val="222222"/>
          <w:sz w:val="24"/>
          <w:szCs w:val="24"/>
          <w:highlight w:val="white"/>
        </w:rPr>
        <w:t>et al</w:t>
      </w:r>
      <w:r w:rsidRPr="00F758B9">
        <w:rPr>
          <w:rFonts w:ascii="Times New Roman" w:eastAsia="Times New Roman" w:hAnsi="Times New Roman" w:cs="Times New Roman"/>
          <w:color w:val="222222"/>
          <w:sz w:val="24"/>
          <w:szCs w:val="24"/>
          <w:highlight w:val="white"/>
        </w:rPr>
        <w:t>., 2022).</w:t>
      </w:r>
      <w:r w:rsidRPr="00F758B9">
        <w:rPr>
          <w:rFonts w:ascii="Times New Roman" w:eastAsia="Times New Roman" w:hAnsi="Times New Roman" w:cs="Times New Roman"/>
          <w:color w:val="222222"/>
          <w:sz w:val="24"/>
          <w:szCs w:val="24"/>
        </w:rPr>
        <w:t xml:space="preserve"> The digital transformation programmes by </w:t>
      </w:r>
      <w:r w:rsidR="0079713B" w:rsidRPr="00F758B9">
        <w:rPr>
          <w:rFonts w:ascii="Times New Roman" w:eastAsia="Times New Roman" w:hAnsi="Times New Roman" w:cs="Times New Roman"/>
          <w:color w:val="222222"/>
          <w:sz w:val="24"/>
          <w:szCs w:val="24"/>
        </w:rPr>
        <w:t>Bupa</w:t>
      </w:r>
      <w:r w:rsidRPr="00F758B9">
        <w:rPr>
          <w:rFonts w:ascii="Times New Roman" w:eastAsia="Times New Roman" w:hAnsi="Times New Roman" w:cs="Times New Roman"/>
          <w:color w:val="222222"/>
          <w:sz w:val="24"/>
          <w:szCs w:val="24"/>
        </w:rPr>
        <w:t xml:space="preserve"> point to the fact that the involvement of clinicians, data professionals, and patients has facilitated the deployment of virtual care tools, particularly after the pandemic.</w:t>
      </w:r>
    </w:p>
    <w:p w14:paraId="044C67D8" w14:textId="77777777" w:rsidR="009D712E" w:rsidRPr="00F758B9" w:rsidRDefault="00000000">
      <w:pPr>
        <w:pStyle w:val="Heading2"/>
        <w:keepNext w:val="0"/>
        <w:keepLines w:val="0"/>
        <w:spacing w:line="360" w:lineRule="auto"/>
      </w:pPr>
      <w:bookmarkStart w:id="58" w:name="_1kw3mwjxd362" w:colFirst="0" w:colLast="0"/>
      <w:bookmarkStart w:id="59" w:name="_Toc216740742"/>
      <w:bookmarkEnd w:id="58"/>
      <w:r w:rsidRPr="00F758B9">
        <w:t>7.4 Critical Perspective</w:t>
      </w:r>
      <w:bookmarkEnd w:id="59"/>
    </w:p>
    <w:p w14:paraId="02388ACF" w14:textId="31845746" w:rsidR="009D712E" w:rsidRPr="00F758B9" w:rsidRDefault="00000000">
      <w:pPr>
        <w:shd w:val="clear" w:color="auto" w:fill="FFFFFF"/>
        <w:spacing w:before="200" w:after="20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color w:val="222222"/>
          <w:sz w:val="24"/>
          <w:szCs w:val="24"/>
        </w:rPr>
        <w:t xml:space="preserve">In spite of firm advantages, there are still a number of challenges. Excessive reliance on important parties, including suppliers or regulators, might stifle developments in case priorities are changed. The disagreements between teams on conflicting agendas, such as marketing insisting on fast release and compliance insisting on accuracy, can cause internal tensions. To scale the engagement model to the rest of the operations of Bupa, it might demand further investments in digital tools, training, and governance systems. Also, stakeholder involvement is a resource-consuming activity, and miscommunication or wrong expectation might spoil the </w:t>
      </w:r>
      <w:r w:rsidR="0079713B" w:rsidRPr="00F758B9">
        <w:rPr>
          <w:rFonts w:ascii="Times New Roman" w:eastAsia="Times New Roman" w:hAnsi="Times New Roman" w:cs="Times New Roman"/>
          <w:color w:val="222222"/>
          <w:sz w:val="24"/>
          <w:szCs w:val="24"/>
        </w:rPr>
        <w:t>improvement of performance</w:t>
      </w:r>
      <w:r w:rsidRPr="00F758B9">
        <w:rPr>
          <w:rFonts w:ascii="Times New Roman" w:eastAsia="Times New Roman" w:hAnsi="Times New Roman" w:cs="Times New Roman"/>
          <w:color w:val="222222"/>
          <w:sz w:val="24"/>
          <w:szCs w:val="24"/>
        </w:rPr>
        <w:t>.</w:t>
      </w:r>
    </w:p>
    <w:p w14:paraId="4E31E9A9" w14:textId="77777777" w:rsidR="009D712E" w:rsidRPr="00F758B9" w:rsidRDefault="00000000">
      <w:pPr>
        <w:pStyle w:val="Heading1"/>
        <w:keepNext w:val="0"/>
        <w:keepLines w:val="0"/>
        <w:shd w:val="clear" w:color="auto" w:fill="FFFFFF"/>
        <w:spacing w:before="480"/>
        <w:rPr>
          <w:rFonts w:eastAsia="Times New Roman" w:cs="Times New Roman"/>
          <w:b w:val="0"/>
          <w:bCs/>
          <w:color w:val="222222"/>
          <w:szCs w:val="24"/>
        </w:rPr>
      </w:pPr>
      <w:bookmarkStart w:id="60" w:name="_72hdz2sf8nqu" w:colFirst="0" w:colLast="0"/>
      <w:bookmarkStart w:id="61" w:name="_Toc216740743"/>
      <w:bookmarkEnd w:id="60"/>
      <w:r w:rsidRPr="00F758B9">
        <w:rPr>
          <w:rFonts w:eastAsia="Times New Roman" w:cs="Times New Roman"/>
          <w:bCs/>
          <w:color w:val="222222"/>
          <w:szCs w:val="24"/>
        </w:rPr>
        <w:lastRenderedPageBreak/>
        <w:t>8. Recommendations for Future Stakeholder Engagement</w:t>
      </w:r>
      <w:bookmarkEnd w:id="61"/>
    </w:p>
    <w:p w14:paraId="6BDDD6A8"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Bupa needs to be more structured and data-driven to guarantee that the stakeholders will be more engaged in future projects involving digital health. To begin with, the creation of a Stakeholder Engagement Office would offer a centralised control through which all departments would have a uniform communication style, enhanced accountability, and quicker in solving issues. This directly concerns the challenges that were found in terms of coordination and competing priorities.</w:t>
      </w:r>
    </w:p>
    <w:p w14:paraId="3880C8D8"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Second, Bupa needs to adopt real-time engagement dashboards; consolidate feedback; monitor stakeholder satisfaction; and identify emerging risks. This enhances transparency and enables SMART tracking of engagement metrics - in this case to ensure the goal of keeping satisfaction at 95% or higher.</w:t>
      </w:r>
    </w:p>
    <w:p w14:paraId="3FA5C9D4"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Third, digital health tools, cybersecurity, and agile collaboration targets should be presented in special training programmes to internal teams. This fills in the gaps in internal skills and improves the collaboration in the fast cycle of product development.</w:t>
      </w:r>
    </w:p>
    <w:p w14:paraId="563CAF2B"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Fourth, Bupa needs to work harder to build rapport with regulators by establishing a consistent consultation forum with MHRA and ICO, which would decrease the number of approvals and enhance compliance assurance.</w:t>
      </w:r>
    </w:p>
    <w:p w14:paraId="7118E6B3" w14:textId="14EFC3D9"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 xml:space="preserve">Fifth, customer co-creation labs, whereby </w:t>
      </w:r>
      <w:r w:rsidR="0079713B" w:rsidRPr="00F758B9">
        <w:rPr>
          <w:rFonts w:ascii="Times New Roman" w:eastAsia="Times New Roman" w:hAnsi="Times New Roman" w:cs="Times New Roman"/>
          <w:color w:val="222222"/>
          <w:sz w:val="24"/>
          <w:szCs w:val="24"/>
        </w:rPr>
        <w:t>users</w:t>
      </w:r>
      <w:r w:rsidRPr="00F758B9">
        <w:rPr>
          <w:rFonts w:ascii="Times New Roman" w:eastAsia="Times New Roman" w:hAnsi="Times New Roman" w:cs="Times New Roman"/>
          <w:color w:val="222222"/>
          <w:sz w:val="24"/>
          <w:szCs w:val="24"/>
        </w:rPr>
        <w:t xml:space="preserve"> test prototypes and make design decisions, would enhance adoption, minimise usability challenges, and be consistent with NHS digital trials (NHS digital, 2021).</w:t>
      </w:r>
    </w:p>
    <w:p w14:paraId="63575850" w14:textId="28251156" w:rsidR="009D712E" w:rsidRPr="00F758B9"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758B9">
        <w:rPr>
          <w:rFonts w:ascii="Times New Roman" w:eastAsia="Times New Roman" w:hAnsi="Times New Roman" w:cs="Times New Roman"/>
          <w:color w:val="222222"/>
          <w:sz w:val="24"/>
          <w:szCs w:val="24"/>
        </w:rPr>
        <w:t>Lastly, the creation of post-launch engagement loops would assist in getting Bupa real-world information, optimi</w:t>
      </w:r>
      <w:r w:rsidR="0079713B" w:rsidRPr="00F758B9">
        <w:rPr>
          <w:rFonts w:ascii="Times New Roman" w:eastAsia="Times New Roman" w:hAnsi="Times New Roman" w:cs="Times New Roman"/>
          <w:color w:val="222222"/>
          <w:sz w:val="24"/>
          <w:szCs w:val="24"/>
        </w:rPr>
        <w:t>s</w:t>
      </w:r>
      <w:r w:rsidRPr="00F758B9">
        <w:rPr>
          <w:rFonts w:ascii="Times New Roman" w:eastAsia="Times New Roman" w:hAnsi="Times New Roman" w:cs="Times New Roman"/>
          <w:color w:val="222222"/>
          <w:sz w:val="24"/>
          <w:szCs w:val="24"/>
        </w:rPr>
        <w:t>ing the functionality of this device, and ensuring the enduring customer trust.</w:t>
      </w:r>
    </w:p>
    <w:p w14:paraId="47823A36" w14:textId="77777777" w:rsidR="009D712E" w:rsidRPr="00F758B9" w:rsidRDefault="00000000">
      <w:pPr>
        <w:pStyle w:val="Heading1"/>
        <w:keepNext w:val="0"/>
        <w:keepLines w:val="0"/>
        <w:shd w:val="clear" w:color="auto" w:fill="FFFFFF"/>
        <w:spacing w:before="480"/>
        <w:rPr>
          <w:rFonts w:eastAsia="Times New Roman" w:cs="Times New Roman"/>
          <w:i/>
          <w:iCs/>
          <w:color w:val="222222"/>
          <w:szCs w:val="24"/>
        </w:rPr>
      </w:pPr>
      <w:bookmarkStart w:id="62" w:name="_uov7r5jsj65j" w:colFirst="0" w:colLast="0"/>
      <w:bookmarkStart w:id="63" w:name="_Toc216740744"/>
      <w:bookmarkEnd w:id="62"/>
      <w:r w:rsidRPr="00F758B9">
        <w:rPr>
          <w:rFonts w:eastAsia="Times New Roman" w:cs="Times New Roman"/>
          <w:bCs/>
          <w:color w:val="222222"/>
          <w:szCs w:val="24"/>
        </w:rPr>
        <w:t>9. Conclusion</w:t>
      </w:r>
      <w:bookmarkEnd w:id="63"/>
    </w:p>
    <w:p w14:paraId="69FFF19F" w14:textId="77777777" w:rsidR="009D712E" w:rsidRPr="00F758B9" w:rsidRDefault="00000000">
      <w:pPr>
        <w:shd w:val="clear" w:color="auto" w:fill="FFFFFF"/>
        <w:spacing w:before="200" w:after="20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color w:val="222222"/>
          <w:sz w:val="24"/>
          <w:szCs w:val="24"/>
        </w:rPr>
        <w:t xml:space="preserve">Engagement of the stakeholders will be a key to successful development and launching of Bupa wearable health devices to create alignment, transparency, and accountability over the project lifecycle. The use of instruments like SWOT, PESTLE, the power interest grid, RACI, and the 4Cs model showed how systematic interaction enhances the coordination and diminishes conflict as well as reinforces regulatory compliance. The literature on healthcare also supported the evidence </w:t>
      </w:r>
      <w:r w:rsidRPr="00F758B9">
        <w:rPr>
          <w:rFonts w:ascii="Times New Roman" w:eastAsia="Times New Roman" w:hAnsi="Times New Roman" w:cs="Times New Roman"/>
          <w:color w:val="222222"/>
          <w:sz w:val="24"/>
          <w:szCs w:val="24"/>
        </w:rPr>
        <w:lastRenderedPageBreak/>
        <w:t>that co-creation and feedback during the process increase the quality of innovations and user adoption. In the case of Bupa, stakeholder engagement plays a direct role in accelerating project delivery, enhancing customer satisfaction, and a good organisational image in the digital health market. Constant communication, ethical data management, and decision-making processes are the key elements of sustainable stakeholder management; they will be critical as Bupa grows its digital health portfolio and operates in a more regulatory and technological complex environment.</w:t>
      </w:r>
    </w:p>
    <w:p w14:paraId="1AE54FF5" w14:textId="77777777" w:rsidR="009D712E" w:rsidRPr="00F758B9" w:rsidRDefault="00000000">
      <w:pPr>
        <w:pStyle w:val="Heading1"/>
        <w:keepNext w:val="0"/>
        <w:keepLines w:val="0"/>
        <w:shd w:val="clear" w:color="auto" w:fill="FFFFFF"/>
        <w:spacing w:before="480"/>
        <w:rPr>
          <w:rFonts w:eastAsia="Times New Roman" w:cs="Times New Roman"/>
          <w:szCs w:val="24"/>
        </w:rPr>
      </w:pPr>
      <w:bookmarkStart w:id="64" w:name="_3smqfv49htmr" w:colFirst="0" w:colLast="0"/>
      <w:bookmarkEnd w:id="64"/>
      <w:r w:rsidRPr="00F758B9">
        <w:rPr>
          <w:szCs w:val="24"/>
        </w:rPr>
        <w:br w:type="page"/>
      </w:r>
    </w:p>
    <w:p w14:paraId="6A3932C2" w14:textId="77777777" w:rsidR="009D712E" w:rsidRPr="00F758B9" w:rsidRDefault="00000000">
      <w:pPr>
        <w:pStyle w:val="Heading1"/>
        <w:keepNext w:val="0"/>
        <w:keepLines w:val="0"/>
        <w:shd w:val="clear" w:color="auto" w:fill="FFFFFF"/>
        <w:spacing w:before="480"/>
        <w:rPr>
          <w:rFonts w:eastAsia="Times New Roman" w:cs="Times New Roman"/>
          <w:color w:val="222222"/>
          <w:szCs w:val="24"/>
        </w:rPr>
      </w:pPr>
      <w:bookmarkStart w:id="65" w:name="_xov63nkgsc3m" w:colFirst="0" w:colLast="0"/>
      <w:bookmarkStart w:id="66" w:name="_Toc216740745"/>
      <w:bookmarkEnd w:id="65"/>
      <w:r w:rsidRPr="00F758B9">
        <w:rPr>
          <w:rFonts w:eastAsia="Times New Roman" w:cs="Times New Roman"/>
          <w:bCs/>
          <w:color w:val="222222"/>
          <w:szCs w:val="24"/>
        </w:rPr>
        <w:lastRenderedPageBreak/>
        <w:t>10. Reference List</w:t>
      </w:r>
      <w:bookmarkEnd w:id="66"/>
    </w:p>
    <w:p w14:paraId="166A4D1D" w14:textId="77777777" w:rsidR="0079713B" w:rsidRPr="00F758B9" w:rsidRDefault="0079713B">
      <w:pPr>
        <w:spacing w:before="240" w:after="240" w:line="360" w:lineRule="auto"/>
        <w:jc w:val="both"/>
        <w:rPr>
          <w:rFonts w:ascii="Times New Roman" w:eastAsia="Times New Roman" w:hAnsi="Times New Roman" w:cs="Times New Roman"/>
          <w:sz w:val="24"/>
          <w:szCs w:val="24"/>
          <w:highlight w:val="white"/>
          <w:u w:val="single"/>
        </w:rPr>
      </w:pPr>
      <w:r w:rsidRPr="00F758B9">
        <w:rPr>
          <w:rFonts w:ascii="Times New Roman" w:eastAsia="Times New Roman" w:hAnsi="Times New Roman" w:cs="Times New Roman"/>
          <w:color w:val="222222"/>
          <w:sz w:val="24"/>
          <w:szCs w:val="24"/>
          <w:highlight w:val="white"/>
        </w:rPr>
        <w:t xml:space="preserve">Ashcroft, J. (2017) The relational lens: understanding, measuring, and managing stakeholder relationships. Cambridge: Cambridge University Press. Available at: </w:t>
      </w:r>
      <w:r w:rsidRPr="00F758B9">
        <w:rPr>
          <w:rFonts w:ascii="Times New Roman" w:eastAsia="Times New Roman" w:hAnsi="Times New Roman" w:cs="Times New Roman"/>
          <w:sz w:val="24"/>
          <w:szCs w:val="24"/>
          <w:highlight w:val="white"/>
          <w:u w:val="single"/>
        </w:rPr>
        <w:t>https://www-cambridge-</w:t>
      </w:r>
      <w:hyperlink r:id="rId10" w:anchor="CN-bp-1">
        <w:r w:rsidRPr="00F758B9">
          <w:rPr>
            <w:rFonts w:ascii="Times New Roman" w:eastAsia="Times New Roman" w:hAnsi="Times New Roman" w:cs="Times New Roman"/>
            <w:sz w:val="24"/>
            <w:szCs w:val="24"/>
            <w:highlight w:val="white"/>
            <w:u w:val="single"/>
          </w:rPr>
          <w:t>org.ezproxy.uwtsd.ac.uk/core/books/relational-lens/value-and-importance-of-relationships/718C31032061BDFA3F480BA2A53F45D4#CN-bp-1</w:t>
        </w:r>
      </w:hyperlink>
    </w:p>
    <w:p w14:paraId="071D0B15" w14:textId="77777777" w:rsidR="0079713B" w:rsidRPr="00F758B9" w:rsidRDefault="0079713B">
      <w:pPr>
        <w:spacing w:before="240" w:after="24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 xml:space="preserve">Bupa (2024) </w:t>
      </w:r>
      <w:r w:rsidRPr="00F758B9">
        <w:rPr>
          <w:rFonts w:ascii="Times New Roman" w:eastAsia="Times New Roman" w:hAnsi="Times New Roman" w:cs="Times New Roman"/>
          <w:i/>
          <w:iCs/>
          <w:sz w:val="24"/>
          <w:szCs w:val="24"/>
        </w:rPr>
        <w:t>BUPA Insurance Limited Annual Report and accounts for the financial year ended</w:t>
      </w:r>
      <w:r w:rsidRPr="00F758B9">
        <w:rPr>
          <w:rFonts w:ascii="Times New Roman" w:eastAsia="Times New Roman" w:hAnsi="Times New Roman" w:cs="Times New Roman"/>
          <w:sz w:val="24"/>
          <w:szCs w:val="24"/>
        </w:rPr>
        <w:t xml:space="preserve">. Available at: https://www.bupa.com/~/media/files/b/bupa-v5/documents/annual-report-2023/bupa-insurance-limited-annual-report-and-accounts-2023.pdf (Accessed: 15 December 2025). </w:t>
      </w:r>
    </w:p>
    <w:p w14:paraId="003EEB4A" w14:textId="77777777" w:rsidR="0079713B" w:rsidRPr="00F758B9" w:rsidRDefault="0079713B">
      <w:pPr>
        <w:spacing w:before="240" w:after="24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color w:val="222222"/>
          <w:sz w:val="24"/>
          <w:szCs w:val="24"/>
          <w:highlight w:val="white"/>
        </w:rPr>
        <w:t xml:space="preserve">Christopher, M., Payne, A. and Ballantyne, D., (2013). </w:t>
      </w:r>
      <w:r w:rsidRPr="00F758B9">
        <w:rPr>
          <w:rFonts w:ascii="Times New Roman" w:eastAsia="Times New Roman" w:hAnsi="Times New Roman" w:cs="Times New Roman"/>
          <w:i/>
          <w:iCs/>
          <w:color w:val="222222"/>
          <w:sz w:val="24"/>
          <w:szCs w:val="24"/>
          <w:highlight w:val="white"/>
        </w:rPr>
        <w:t>Relationship marketing</w:t>
      </w:r>
      <w:r w:rsidRPr="00F758B9">
        <w:rPr>
          <w:rFonts w:ascii="Times New Roman" w:eastAsia="Times New Roman" w:hAnsi="Times New Roman" w:cs="Times New Roman"/>
          <w:color w:val="222222"/>
          <w:sz w:val="24"/>
          <w:szCs w:val="24"/>
          <w:highlight w:val="white"/>
        </w:rPr>
        <w:t>. Routledge.</w:t>
      </w:r>
    </w:p>
    <w:p w14:paraId="08D53460" w14:textId="77777777" w:rsidR="0079713B" w:rsidRPr="00F758B9" w:rsidRDefault="0079713B">
      <w:pPr>
        <w:spacing w:before="240" w:after="24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color w:val="222222"/>
          <w:sz w:val="24"/>
          <w:szCs w:val="24"/>
          <w:highlight w:val="white"/>
        </w:rPr>
        <w:t xml:space="preserve">Clampitt, P.G., (2016). </w:t>
      </w:r>
      <w:r w:rsidRPr="00F758B9">
        <w:rPr>
          <w:rFonts w:ascii="Times New Roman" w:eastAsia="Times New Roman" w:hAnsi="Times New Roman" w:cs="Times New Roman"/>
          <w:i/>
          <w:iCs/>
          <w:color w:val="222222"/>
          <w:sz w:val="24"/>
          <w:szCs w:val="24"/>
          <w:highlight w:val="white"/>
        </w:rPr>
        <w:t>Communicating for Managerial Effectiveness: Challenges| Strategies| Solutions</w:t>
      </w:r>
      <w:r w:rsidRPr="00F758B9">
        <w:rPr>
          <w:rFonts w:ascii="Times New Roman" w:eastAsia="Times New Roman" w:hAnsi="Times New Roman" w:cs="Times New Roman"/>
          <w:color w:val="222222"/>
          <w:sz w:val="24"/>
          <w:szCs w:val="24"/>
          <w:highlight w:val="white"/>
        </w:rPr>
        <w:t>. Sage Publications.</w:t>
      </w:r>
      <w:hyperlink r:id="rId11">
        <w:r w:rsidRPr="00F758B9">
          <w:rPr>
            <w:rFonts w:ascii="Times New Roman" w:eastAsia="Times New Roman" w:hAnsi="Times New Roman" w:cs="Times New Roman"/>
            <w:color w:val="1155CC"/>
            <w:sz w:val="24"/>
            <w:szCs w:val="24"/>
            <w:highlight w:val="white"/>
            <w:u w:val="single"/>
          </w:rPr>
          <w:t>https://books.google.com/books?hl=en&amp;lr=&amp;id=RlW0DAAAQBAJ&amp;oi=fnd&amp;pg=PP1&amp;dq=Clampitt,+P.+(2013)+Communicating+for+Managerial+Effectiveness.&amp;ots=JQqUzSZ4fW&amp;sig=e90w-N3KTJXMRgj-LH_J5oMqBMg</w:t>
        </w:r>
      </w:hyperlink>
    </w:p>
    <w:p w14:paraId="76470D15" w14:textId="77777777" w:rsidR="0079713B" w:rsidRPr="00F758B9" w:rsidRDefault="0079713B">
      <w:pPr>
        <w:spacing w:before="240" w:after="24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 xml:space="preserve">Deloitte (2024) </w:t>
      </w:r>
      <w:r w:rsidRPr="00F758B9">
        <w:rPr>
          <w:rFonts w:ascii="Times New Roman" w:eastAsia="Times New Roman" w:hAnsi="Times New Roman" w:cs="Times New Roman"/>
          <w:i/>
          <w:iCs/>
          <w:sz w:val="24"/>
          <w:szCs w:val="24"/>
        </w:rPr>
        <w:t>2022 Global Healthcare Sector Outlook: Deloitte</w:t>
      </w:r>
      <w:r w:rsidRPr="00F758B9">
        <w:rPr>
          <w:rFonts w:ascii="Times New Roman" w:eastAsia="Times New Roman" w:hAnsi="Times New Roman" w:cs="Times New Roman"/>
          <w:sz w:val="24"/>
          <w:szCs w:val="24"/>
        </w:rPr>
        <w:t xml:space="preserve"> </w:t>
      </w:r>
      <w:r w:rsidRPr="00F758B9">
        <w:rPr>
          <w:rFonts w:ascii="Times New Roman" w:eastAsia="Times New Roman" w:hAnsi="Times New Roman" w:cs="Times New Roman"/>
          <w:i/>
          <w:iCs/>
          <w:sz w:val="24"/>
          <w:szCs w:val="24"/>
        </w:rPr>
        <w:t>Deloitte United Kingdom</w:t>
      </w:r>
      <w:r w:rsidRPr="00F758B9">
        <w:rPr>
          <w:rFonts w:ascii="Times New Roman" w:eastAsia="Times New Roman" w:hAnsi="Times New Roman" w:cs="Times New Roman"/>
          <w:sz w:val="24"/>
          <w:szCs w:val="24"/>
        </w:rPr>
        <w:t xml:space="preserve">. Available at: https://www.deloitte.com/ce/en/industries/life-sciences-health-care/perspectives/global-health-care-sector-outlook.html (Accessed: 15 December 2025). </w:t>
      </w:r>
    </w:p>
    <w:p w14:paraId="1ECDCE6A" w14:textId="77777777" w:rsidR="0079713B" w:rsidRPr="00F758B9" w:rsidRDefault="0079713B">
      <w:pPr>
        <w:spacing w:before="240" w:after="240" w:line="360" w:lineRule="auto"/>
        <w:jc w:val="both"/>
        <w:rPr>
          <w:rFonts w:ascii="Times New Roman" w:eastAsia="Times New Roman" w:hAnsi="Times New Roman" w:cs="Times New Roman"/>
          <w:color w:val="222222"/>
          <w:sz w:val="24"/>
          <w:szCs w:val="24"/>
          <w:highlight w:val="white"/>
        </w:rPr>
      </w:pPr>
      <w:r w:rsidRPr="00F758B9">
        <w:rPr>
          <w:rFonts w:ascii="Times New Roman" w:eastAsia="Times New Roman" w:hAnsi="Times New Roman" w:cs="Times New Roman"/>
          <w:color w:val="222222"/>
          <w:sz w:val="24"/>
          <w:szCs w:val="24"/>
          <w:highlight w:val="white"/>
        </w:rPr>
        <w:t xml:space="preserve">Elkington, J., (1998). Partnerships from cannibals with forks: The triple bottom line of 21st‐century business. </w:t>
      </w:r>
      <w:r w:rsidRPr="00F758B9">
        <w:rPr>
          <w:rFonts w:ascii="Times New Roman" w:eastAsia="Times New Roman" w:hAnsi="Times New Roman" w:cs="Times New Roman"/>
          <w:i/>
          <w:iCs/>
          <w:color w:val="222222"/>
          <w:sz w:val="24"/>
          <w:szCs w:val="24"/>
          <w:highlight w:val="white"/>
        </w:rPr>
        <w:t>Environmental quality management</w:t>
      </w:r>
      <w:r w:rsidRPr="00F758B9">
        <w:rPr>
          <w:rFonts w:ascii="Times New Roman" w:eastAsia="Times New Roman" w:hAnsi="Times New Roman" w:cs="Times New Roman"/>
          <w:color w:val="222222"/>
          <w:sz w:val="24"/>
          <w:szCs w:val="24"/>
          <w:highlight w:val="white"/>
        </w:rPr>
        <w:t xml:space="preserve">, </w:t>
      </w:r>
      <w:r w:rsidRPr="00F758B9">
        <w:rPr>
          <w:rFonts w:ascii="Times New Roman" w:eastAsia="Times New Roman" w:hAnsi="Times New Roman" w:cs="Times New Roman"/>
          <w:i/>
          <w:iCs/>
          <w:color w:val="222222"/>
          <w:sz w:val="24"/>
          <w:szCs w:val="24"/>
          <w:highlight w:val="white"/>
        </w:rPr>
        <w:t>8</w:t>
      </w:r>
      <w:r w:rsidRPr="00F758B9">
        <w:rPr>
          <w:rFonts w:ascii="Times New Roman" w:eastAsia="Times New Roman" w:hAnsi="Times New Roman" w:cs="Times New Roman"/>
          <w:color w:val="222222"/>
          <w:sz w:val="24"/>
          <w:szCs w:val="24"/>
          <w:highlight w:val="white"/>
        </w:rPr>
        <w:t>(1), pp.37-51.</w:t>
      </w:r>
      <w:hyperlink r:id="rId12">
        <w:r w:rsidRPr="00F758B9">
          <w:rPr>
            <w:rFonts w:ascii="Times New Roman" w:eastAsia="Times New Roman" w:hAnsi="Times New Roman" w:cs="Times New Roman"/>
            <w:color w:val="1155CC"/>
            <w:sz w:val="24"/>
            <w:szCs w:val="24"/>
            <w:highlight w:val="white"/>
            <w:u w:val="single"/>
          </w:rPr>
          <w:t>https://proppg.ufersa.edu.br/wp-content/uploads/sites/11/2016/10/Referencia-de-Lilian-Giesta-Triple-bottom-line-in-21-century-2.pdf</w:t>
        </w:r>
      </w:hyperlink>
    </w:p>
    <w:p w14:paraId="58748383" w14:textId="77777777" w:rsidR="0079713B" w:rsidRPr="00F758B9" w:rsidRDefault="0079713B">
      <w:pPr>
        <w:spacing w:before="240" w:after="240" w:line="360" w:lineRule="auto"/>
        <w:jc w:val="both"/>
        <w:rPr>
          <w:rFonts w:ascii="Times New Roman" w:eastAsia="Times New Roman" w:hAnsi="Times New Roman" w:cs="Times New Roman"/>
          <w:color w:val="222222"/>
          <w:sz w:val="24"/>
          <w:szCs w:val="24"/>
          <w:highlight w:val="white"/>
        </w:rPr>
      </w:pPr>
      <w:r w:rsidRPr="00F758B9">
        <w:rPr>
          <w:rFonts w:ascii="Times New Roman" w:eastAsia="Times New Roman" w:hAnsi="Times New Roman" w:cs="Times New Roman"/>
          <w:color w:val="222222"/>
          <w:sz w:val="24"/>
          <w:szCs w:val="24"/>
          <w:highlight w:val="white"/>
        </w:rPr>
        <w:t xml:space="preserve">Fisher, R., Ury, W. and Patton, B., (2008). </w:t>
      </w:r>
      <w:r w:rsidRPr="00F758B9">
        <w:rPr>
          <w:rFonts w:ascii="Times New Roman" w:eastAsia="Times New Roman" w:hAnsi="Times New Roman" w:cs="Times New Roman"/>
          <w:i/>
          <w:iCs/>
          <w:color w:val="222222"/>
          <w:sz w:val="24"/>
          <w:szCs w:val="24"/>
          <w:highlight w:val="white"/>
        </w:rPr>
        <w:t>Negotiating agreement without giving in</w:t>
      </w:r>
      <w:r w:rsidRPr="00F758B9">
        <w:rPr>
          <w:rFonts w:ascii="Times New Roman" w:eastAsia="Times New Roman" w:hAnsi="Times New Roman" w:cs="Times New Roman"/>
          <w:color w:val="222222"/>
          <w:sz w:val="24"/>
          <w:szCs w:val="24"/>
          <w:highlight w:val="white"/>
        </w:rPr>
        <w:t>. Penguin Putnam Incorporated, US.</w:t>
      </w:r>
      <w:hyperlink r:id="rId13">
        <w:r w:rsidRPr="00F758B9">
          <w:rPr>
            <w:rFonts w:ascii="Times New Roman" w:eastAsia="Times New Roman" w:hAnsi="Times New Roman" w:cs="Times New Roman"/>
            <w:color w:val="1155CC"/>
            <w:sz w:val="24"/>
            <w:szCs w:val="24"/>
            <w:highlight w:val="white"/>
            <w:u w:val="single"/>
          </w:rPr>
          <w:t>http://www.angelfire.com/pop/noxi2000/homework/gettingtoyes.doc</w:t>
        </w:r>
      </w:hyperlink>
    </w:p>
    <w:p w14:paraId="08E60B9D" w14:textId="77777777" w:rsidR="0079713B" w:rsidRPr="00F758B9" w:rsidRDefault="0079713B">
      <w:pPr>
        <w:spacing w:before="240" w:after="24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color w:val="222222"/>
          <w:sz w:val="24"/>
          <w:szCs w:val="24"/>
          <w:highlight w:val="white"/>
        </w:rPr>
        <w:t xml:space="preserve">Freeman, R.E., (2010). </w:t>
      </w:r>
      <w:r w:rsidRPr="00F758B9">
        <w:rPr>
          <w:rFonts w:ascii="Times New Roman" w:eastAsia="Times New Roman" w:hAnsi="Times New Roman" w:cs="Times New Roman"/>
          <w:i/>
          <w:iCs/>
          <w:color w:val="222222"/>
          <w:sz w:val="24"/>
          <w:szCs w:val="24"/>
          <w:highlight w:val="white"/>
        </w:rPr>
        <w:t>Strategic management: A stakeholder approach</w:t>
      </w:r>
      <w:r w:rsidRPr="00F758B9">
        <w:rPr>
          <w:rFonts w:ascii="Times New Roman" w:eastAsia="Times New Roman" w:hAnsi="Times New Roman" w:cs="Times New Roman"/>
          <w:color w:val="222222"/>
          <w:sz w:val="24"/>
          <w:szCs w:val="24"/>
          <w:highlight w:val="white"/>
        </w:rPr>
        <w:t xml:space="preserve">. Cambridge university press. </w:t>
      </w:r>
    </w:p>
    <w:p w14:paraId="7C584366" w14:textId="77777777" w:rsidR="0079713B" w:rsidRPr="00F758B9" w:rsidRDefault="0079713B">
      <w:pPr>
        <w:spacing w:before="240" w:after="240" w:line="360" w:lineRule="auto"/>
        <w:jc w:val="both"/>
        <w:rPr>
          <w:rFonts w:ascii="Times New Roman" w:eastAsia="Times New Roman" w:hAnsi="Times New Roman" w:cs="Times New Roman"/>
          <w:color w:val="222222"/>
          <w:sz w:val="24"/>
          <w:szCs w:val="24"/>
          <w:highlight w:val="white"/>
        </w:rPr>
      </w:pPr>
      <w:r w:rsidRPr="00F758B9">
        <w:rPr>
          <w:rFonts w:ascii="Times New Roman" w:eastAsia="Times New Roman" w:hAnsi="Times New Roman" w:cs="Times New Roman"/>
          <w:color w:val="222222"/>
          <w:sz w:val="24"/>
          <w:szCs w:val="24"/>
          <w:highlight w:val="white"/>
        </w:rPr>
        <w:lastRenderedPageBreak/>
        <w:t xml:space="preserve">Garcia, A., Balasubramanian, V., Lee, J., Gardner, R., Gummidipundi, S., Hung, G., Ferris, T., Cheung, L., Granger, C., Kowey, P. and Rumsfeld, J., (2022). Lessons learned in the apple heart study and implications for the data management of future digital clinical trials. </w:t>
      </w:r>
      <w:r w:rsidRPr="00F758B9">
        <w:rPr>
          <w:rFonts w:ascii="Times New Roman" w:eastAsia="Times New Roman" w:hAnsi="Times New Roman" w:cs="Times New Roman"/>
          <w:i/>
          <w:iCs/>
          <w:color w:val="222222"/>
          <w:sz w:val="24"/>
          <w:szCs w:val="24"/>
          <w:highlight w:val="white"/>
        </w:rPr>
        <w:t>Journal of biopharmaceutical statistics</w:t>
      </w:r>
      <w:r w:rsidRPr="00F758B9">
        <w:rPr>
          <w:rFonts w:ascii="Times New Roman" w:eastAsia="Times New Roman" w:hAnsi="Times New Roman" w:cs="Times New Roman"/>
          <w:color w:val="222222"/>
          <w:sz w:val="24"/>
          <w:szCs w:val="24"/>
          <w:highlight w:val="white"/>
        </w:rPr>
        <w:t xml:space="preserve">, </w:t>
      </w:r>
      <w:r w:rsidRPr="00F758B9">
        <w:rPr>
          <w:rFonts w:ascii="Times New Roman" w:eastAsia="Times New Roman" w:hAnsi="Times New Roman" w:cs="Times New Roman"/>
          <w:i/>
          <w:iCs/>
          <w:color w:val="222222"/>
          <w:sz w:val="24"/>
          <w:szCs w:val="24"/>
          <w:highlight w:val="white"/>
        </w:rPr>
        <w:t>32</w:t>
      </w:r>
      <w:r w:rsidRPr="00F758B9">
        <w:rPr>
          <w:rFonts w:ascii="Times New Roman" w:eastAsia="Times New Roman" w:hAnsi="Times New Roman" w:cs="Times New Roman"/>
          <w:color w:val="222222"/>
          <w:sz w:val="24"/>
          <w:szCs w:val="24"/>
          <w:highlight w:val="white"/>
        </w:rPr>
        <w:t>(3), pp.496-510.</w:t>
      </w:r>
      <w:hyperlink r:id="rId14">
        <w:r w:rsidRPr="00F758B9">
          <w:rPr>
            <w:rFonts w:ascii="Times New Roman" w:eastAsia="Times New Roman" w:hAnsi="Times New Roman" w:cs="Times New Roman"/>
            <w:color w:val="1155CC"/>
            <w:sz w:val="24"/>
            <w:szCs w:val="24"/>
            <w:highlight w:val="white"/>
            <w:u w:val="single"/>
          </w:rPr>
          <w:t>https://www.tandfonline.com/doi/pdf/10.1080/10543406.2022.2080698</w:t>
        </w:r>
      </w:hyperlink>
    </w:p>
    <w:p w14:paraId="611E9730" w14:textId="77777777" w:rsidR="0079713B" w:rsidRPr="00F758B9" w:rsidRDefault="0079713B">
      <w:pPr>
        <w:spacing w:before="240" w:after="24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 xml:space="preserve">Goleman, D. (1995) </w:t>
      </w:r>
      <w:r w:rsidRPr="00F758B9">
        <w:rPr>
          <w:rFonts w:ascii="Times New Roman" w:eastAsia="Times New Roman" w:hAnsi="Times New Roman" w:cs="Times New Roman"/>
          <w:i/>
          <w:iCs/>
          <w:sz w:val="24"/>
          <w:szCs w:val="24"/>
        </w:rPr>
        <w:t>Emotional Intelligence</w:t>
      </w:r>
      <w:r w:rsidRPr="00F758B9">
        <w:rPr>
          <w:rFonts w:ascii="Times New Roman" w:eastAsia="Times New Roman" w:hAnsi="Times New Roman" w:cs="Times New Roman"/>
          <w:sz w:val="24"/>
          <w:szCs w:val="24"/>
        </w:rPr>
        <w:t>. New York: Bantam Books.</w:t>
      </w:r>
      <w:hyperlink r:id="rId15">
        <w:r w:rsidRPr="00F758B9">
          <w:rPr>
            <w:rFonts w:ascii="Times New Roman" w:eastAsia="Times New Roman" w:hAnsi="Times New Roman" w:cs="Times New Roman"/>
            <w:color w:val="1155CC"/>
            <w:sz w:val="24"/>
            <w:szCs w:val="24"/>
            <w:u w:val="single"/>
          </w:rPr>
          <w:t>https://donainfo.wordpress.com/wp-content/uploads/2017/09/emotional-intelligence-daniel-goleman.pdf</w:t>
        </w:r>
      </w:hyperlink>
    </w:p>
    <w:p w14:paraId="6D9B0572" w14:textId="77777777" w:rsidR="0079713B" w:rsidRPr="00F758B9" w:rsidRDefault="0079713B">
      <w:pPr>
        <w:spacing w:before="240" w:after="240" w:line="360" w:lineRule="auto"/>
        <w:jc w:val="both"/>
        <w:rPr>
          <w:rFonts w:ascii="Times New Roman" w:eastAsia="Times New Roman" w:hAnsi="Times New Roman" w:cs="Times New Roman"/>
          <w:color w:val="222222"/>
          <w:sz w:val="24"/>
          <w:szCs w:val="24"/>
          <w:highlight w:val="white"/>
        </w:rPr>
      </w:pPr>
      <w:r w:rsidRPr="00F758B9">
        <w:rPr>
          <w:rFonts w:ascii="Times New Roman" w:eastAsia="Times New Roman" w:hAnsi="Times New Roman" w:cs="Times New Roman"/>
          <w:color w:val="222222"/>
          <w:sz w:val="24"/>
          <w:szCs w:val="24"/>
          <w:highlight w:val="white"/>
        </w:rPr>
        <w:t xml:space="preserve">Jensen, M.C. and Meckling, W.H., (2019). Theory of the firm: Managerial behavior, agency costs and ownership structure. In </w:t>
      </w:r>
      <w:r w:rsidRPr="00F758B9">
        <w:rPr>
          <w:rFonts w:ascii="Times New Roman" w:eastAsia="Times New Roman" w:hAnsi="Times New Roman" w:cs="Times New Roman"/>
          <w:i/>
          <w:iCs/>
          <w:color w:val="222222"/>
          <w:sz w:val="24"/>
          <w:szCs w:val="24"/>
          <w:highlight w:val="white"/>
        </w:rPr>
        <w:t>Corporate governance</w:t>
      </w:r>
      <w:r w:rsidRPr="00F758B9">
        <w:rPr>
          <w:rFonts w:ascii="Times New Roman" w:eastAsia="Times New Roman" w:hAnsi="Times New Roman" w:cs="Times New Roman"/>
          <w:color w:val="222222"/>
          <w:sz w:val="24"/>
          <w:szCs w:val="24"/>
          <w:highlight w:val="white"/>
        </w:rPr>
        <w:t xml:space="preserve"> (pp. 77-132). Gower. </w:t>
      </w:r>
      <w:hyperlink r:id="rId16">
        <w:r w:rsidRPr="00F758B9">
          <w:rPr>
            <w:rFonts w:ascii="Times New Roman" w:eastAsia="Times New Roman" w:hAnsi="Times New Roman" w:cs="Times New Roman"/>
            <w:color w:val="1155CC"/>
            <w:sz w:val="24"/>
            <w:szCs w:val="24"/>
            <w:highlight w:val="white"/>
            <w:u w:val="single"/>
          </w:rPr>
          <w:t>https://www.academia.edu/download/37786595/jensen-meckling.pdf</w:t>
        </w:r>
      </w:hyperlink>
    </w:p>
    <w:p w14:paraId="6F2CCDAA" w14:textId="77777777" w:rsidR="0079713B" w:rsidRPr="00F758B9" w:rsidRDefault="0079713B">
      <w:pPr>
        <w:spacing w:before="240" w:after="240" w:line="360" w:lineRule="auto"/>
        <w:jc w:val="both"/>
        <w:rPr>
          <w:rFonts w:ascii="Times New Roman" w:eastAsia="Times New Roman" w:hAnsi="Times New Roman" w:cs="Times New Roman"/>
          <w:color w:val="222222"/>
          <w:sz w:val="24"/>
          <w:szCs w:val="24"/>
          <w:highlight w:val="white"/>
        </w:rPr>
      </w:pPr>
      <w:r w:rsidRPr="00F758B9">
        <w:rPr>
          <w:rFonts w:ascii="Times New Roman" w:eastAsia="Times New Roman" w:hAnsi="Times New Roman" w:cs="Times New Roman"/>
          <w:color w:val="222222"/>
          <w:sz w:val="24"/>
          <w:szCs w:val="24"/>
          <w:highlight w:val="white"/>
        </w:rPr>
        <w:t>Kaplan, R.S. and Norton, D.P., (1996). Using the balanced scorecard as a strategic management system.</w:t>
      </w:r>
      <w:hyperlink r:id="rId17">
        <w:r w:rsidRPr="00F758B9">
          <w:rPr>
            <w:rFonts w:ascii="Times New Roman" w:eastAsia="Times New Roman" w:hAnsi="Times New Roman" w:cs="Times New Roman"/>
            <w:color w:val="1155CC"/>
            <w:sz w:val="24"/>
            <w:szCs w:val="24"/>
            <w:highlight w:val="white"/>
            <w:u w:val="single"/>
          </w:rPr>
          <w:t>http://jackson.com.np/home/documents/MBA4/Management_accounting/BSCHarvardBusinessReview.pdf</w:t>
        </w:r>
      </w:hyperlink>
    </w:p>
    <w:p w14:paraId="24DAD84A" w14:textId="77777777" w:rsidR="0079713B" w:rsidRPr="00F758B9" w:rsidRDefault="0079713B">
      <w:pPr>
        <w:spacing w:before="240" w:after="24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color w:val="222222"/>
          <w:sz w:val="24"/>
          <w:szCs w:val="24"/>
          <w:highlight w:val="white"/>
        </w:rPr>
        <w:t xml:space="preserve">Lewin, K., (1951). Field theory in social science: selected theoretical papers (Edited by Dorwin Cartwright.). </w:t>
      </w:r>
    </w:p>
    <w:p w14:paraId="7AA84727" w14:textId="77777777" w:rsidR="0079713B" w:rsidRPr="00F758B9" w:rsidRDefault="0079713B">
      <w:pPr>
        <w:spacing w:before="240" w:after="24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color w:val="222222"/>
          <w:sz w:val="24"/>
          <w:szCs w:val="24"/>
          <w:highlight w:val="white"/>
        </w:rPr>
        <w:t xml:space="preserve">Mitchell, R.K., Agle, B.R. and Wood, D.J., (1997). Toward a theory of stakeholder identification and salience: Defining the principle of who and what really counts. </w:t>
      </w:r>
      <w:r w:rsidRPr="00F758B9">
        <w:rPr>
          <w:rFonts w:ascii="Times New Roman" w:eastAsia="Times New Roman" w:hAnsi="Times New Roman" w:cs="Times New Roman"/>
          <w:i/>
          <w:iCs/>
          <w:color w:val="222222"/>
          <w:sz w:val="24"/>
          <w:szCs w:val="24"/>
          <w:highlight w:val="white"/>
        </w:rPr>
        <w:t>Academy of management review</w:t>
      </w:r>
      <w:r w:rsidRPr="00F758B9">
        <w:rPr>
          <w:rFonts w:ascii="Times New Roman" w:eastAsia="Times New Roman" w:hAnsi="Times New Roman" w:cs="Times New Roman"/>
          <w:color w:val="222222"/>
          <w:sz w:val="24"/>
          <w:szCs w:val="24"/>
          <w:highlight w:val="white"/>
        </w:rPr>
        <w:t xml:space="preserve">, </w:t>
      </w:r>
      <w:r w:rsidRPr="00F758B9">
        <w:rPr>
          <w:rFonts w:ascii="Times New Roman" w:eastAsia="Times New Roman" w:hAnsi="Times New Roman" w:cs="Times New Roman"/>
          <w:i/>
          <w:iCs/>
          <w:color w:val="222222"/>
          <w:sz w:val="24"/>
          <w:szCs w:val="24"/>
          <w:highlight w:val="white"/>
        </w:rPr>
        <w:t>22</w:t>
      </w:r>
      <w:r w:rsidRPr="00F758B9">
        <w:rPr>
          <w:rFonts w:ascii="Times New Roman" w:eastAsia="Times New Roman" w:hAnsi="Times New Roman" w:cs="Times New Roman"/>
          <w:color w:val="222222"/>
          <w:sz w:val="24"/>
          <w:szCs w:val="24"/>
          <w:highlight w:val="white"/>
        </w:rPr>
        <w:t xml:space="preserve">(4), pp.853-886. </w:t>
      </w:r>
    </w:p>
    <w:p w14:paraId="24BE8CD2" w14:textId="77777777" w:rsidR="0079713B" w:rsidRPr="00F758B9" w:rsidRDefault="0079713B">
      <w:pPr>
        <w:spacing w:before="240" w:after="240" w:line="360" w:lineRule="auto"/>
        <w:jc w:val="both"/>
        <w:rPr>
          <w:rFonts w:ascii="Times New Roman" w:eastAsia="Times New Roman" w:hAnsi="Times New Roman" w:cs="Times New Roman"/>
          <w:i/>
          <w:iCs/>
          <w:sz w:val="24"/>
          <w:szCs w:val="24"/>
        </w:rPr>
      </w:pPr>
      <w:r w:rsidRPr="00F758B9">
        <w:rPr>
          <w:rFonts w:ascii="Times New Roman" w:eastAsia="Times New Roman" w:hAnsi="Times New Roman" w:cs="Times New Roman"/>
          <w:sz w:val="24"/>
          <w:szCs w:val="24"/>
        </w:rPr>
        <w:t xml:space="preserve">NHS Digital (2021). </w:t>
      </w:r>
      <w:r w:rsidRPr="00F758B9">
        <w:rPr>
          <w:rFonts w:ascii="Times New Roman" w:eastAsia="Times New Roman" w:hAnsi="Times New Roman" w:cs="Times New Roman"/>
          <w:i/>
          <w:iCs/>
          <w:sz w:val="24"/>
          <w:szCs w:val="24"/>
        </w:rPr>
        <w:t>An introduction to wireless technologies in Health - NHS England Digital</w:t>
      </w:r>
      <w:r w:rsidRPr="00F758B9">
        <w:rPr>
          <w:rFonts w:ascii="Times New Roman" w:eastAsia="Times New Roman" w:hAnsi="Times New Roman" w:cs="Times New Roman"/>
          <w:sz w:val="24"/>
          <w:szCs w:val="24"/>
        </w:rPr>
        <w:t xml:space="preserve">. Available at: https://digital.nhs.uk/services/networks-and-connectivity-transformation-frontline-capabilities/connectivity-hub/advice-and-guidance/introduction-to-wireless-technologies-in-health (Accessed: 15 December 2025). </w:t>
      </w:r>
    </w:p>
    <w:p w14:paraId="3D2D0C43" w14:textId="77777777" w:rsidR="0079713B" w:rsidRPr="00F758B9" w:rsidRDefault="0079713B">
      <w:pPr>
        <w:spacing w:before="240" w:after="24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color w:val="222222"/>
          <w:sz w:val="24"/>
          <w:szCs w:val="24"/>
          <w:highlight w:val="white"/>
        </w:rPr>
        <w:t xml:space="preserve">Pfeffer, J. and Salancik, G., (2015). External control of organizations—Resource dependence perspective. In </w:t>
      </w:r>
      <w:r w:rsidRPr="00F758B9">
        <w:rPr>
          <w:rFonts w:ascii="Times New Roman" w:eastAsia="Times New Roman" w:hAnsi="Times New Roman" w:cs="Times New Roman"/>
          <w:i/>
          <w:iCs/>
          <w:color w:val="222222"/>
          <w:sz w:val="24"/>
          <w:szCs w:val="24"/>
          <w:highlight w:val="white"/>
        </w:rPr>
        <w:t>Organizational behavior 2</w:t>
      </w:r>
      <w:r w:rsidRPr="00F758B9">
        <w:rPr>
          <w:rFonts w:ascii="Times New Roman" w:eastAsia="Times New Roman" w:hAnsi="Times New Roman" w:cs="Times New Roman"/>
          <w:color w:val="222222"/>
          <w:sz w:val="24"/>
          <w:szCs w:val="24"/>
          <w:highlight w:val="white"/>
        </w:rPr>
        <w:t xml:space="preserve"> (pp. 355-370). Routledge. </w:t>
      </w:r>
    </w:p>
    <w:p w14:paraId="043C341F" w14:textId="77777777" w:rsidR="0079713B" w:rsidRPr="00F758B9" w:rsidRDefault="0079713B">
      <w:pPr>
        <w:spacing w:before="240" w:after="240" w:line="360" w:lineRule="auto"/>
        <w:jc w:val="both"/>
        <w:rPr>
          <w:rFonts w:ascii="Times New Roman" w:eastAsia="Times New Roman" w:hAnsi="Times New Roman" w:cs="Times New Roman"/>
          <w:i/>
          <w:iCs/>
          <w:sz w:val="24"/>
          <w:szCs w:val="24"/>
        </w:rPr>
      </w:pPr>
      <w:r w:rsidRPr="00F758B9">
        <w:rPr>
          <w:rFonts w:ascii="Times New Roman" w:eastAsia="Times New Roman" w:hAnsi="Times New Roman" w:cs="Times New Roman"/>
          <w:sz w:val="24"/>
          <w:szCs w:val="24"/>
        </w:rPr>
        <w:t xml:space="preserve">PMI – Project Management Institute (2021). </w:t>
      </w:r>
      <w:r w:rsidRPr="00F758B9">
        <w:rPr>
          <w:rFonts w:ascii="Times New Roman" w:eastAsia="Times New Roman" w:hAnsi="Times New Roman" w:cs="Times New Roman"/>
          <w:i/>
          <w:iCs/>
          <w:sz w:val="24"/>
          <w:szCs w:val="24"/>
        </w:rPr>
        <w:t>PMBOK GUIDE | Project Management Institute</w:t>
      </w:r>
      <w:r w:rsidRPr="00F758B9">
        <w:rPr>
          <w:rFonts w:ascii="Times New Roman" w:eastAsia="Times New Roman" w:hAnsi="Times New Roman" w:cs="Times New Roman"/>
          <w:sz w:val="24"/>
          <w:szCs w:val="24"/>
        </w:rPr>
        <w:t xml:space="preserve">. Available at: https://www.pmi.org/standards/pmbok (Accessed: 15 December 2025). </w:t>
      </w:r>
    </w:p>
    <w:p w14:paraId="14A82B35" w14:textId="77777777" w:rsidR="0079713B" w:rsidRPr="00F758B9" w:rsidRDefault="0079713B">
      <w:pPr>
        <w:spacing w:before="240" w:after="24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color w:val="222222"/>
          <w:sz w:val="24"/>
          <w:szCs w:val="24"/>
          <w:highlight w:val="white"/>
        </w:rPr>
        <w:lastRenderedPageBreak/>
        <w:t xml:space="preserve">Shannon, C.E. and Weaver, W., (1998). </w:t>
      </w:r>
      <w:r w:rsidRPr="00F758B9">
        <w:rPr>
          <w:rFonts w:ascii="Times New Roman" w:eastAsia="Times New Roman" w:hAnsi="Times New Roman" w:cs="Times New Roman"/>
          <w:i/>
          <w:iCs/>
          <w:color w:val="222222"/>
          <w:sz w:val="24"/>
          <w:szCs w:val="24"/>
          <w:highlight w:val="white"/>
        </w:rPr>
        <w:t>The mathematical theory of communication</w:t>
      </w:r>
      <w:r w:rsidRPr="00F758B9">
        <w:rPr>
          <w:rFonts w:ascii="Times New Roman" w:eastAsia="Times New Roman" w:hAnsi="Times New Roman" w:cs="Times New Roman"/>
          <w:color w:val="222222"/>
          <w:sz w:val="24"/>
          <w:szCs w:val="24"/>
          <w:highlight w:val="white"/>
        </w:rPr>
        <w:t>. University of Illinois press.</w:t>
      </w:r>
      <w:hyperlink r:id="rId18">
        <w:r w:rsidRPr="00F758B9">
          <w:rPr>
            <w:rFonts w:ascii="Times New Roman" w:eastAsia="Times New Roman" w:hAnsi="Times New Roman" w:cs="Times New Roman"/>
            <w:color w:val="1155CC"/>
            <w:sz w:val="24"/>
            <w:szCs w:val="24"/>
            <w:highlight w:val="white"/>
            <w:u w:val="single"/>
          </w:rPr>
          <w:t>https://pure.mpg.de/rest/items/item_2383164/component/file_2383163/content</w:t>
        </w:r>
      </w:hyperlink>
    </w:p>
    <w:p w14:paraId="128E4E99" w14:textId="77777777" w:rsidR="0079713B" w:rsidRPr="00F758B9" w:rsidRDefault="0079713B">
      <w:pPr>
        <w:spacing w:before="240" w:after="240" w:line="360" w:lineRule="auto"/>
        <w:jc w:val="both"/>
        <w:rPr>
          <w:rFonts w:ascii="Times New Roman" w:eastAsia="Times New Roman" w:hAnsi="Times New Roman" w:cs="Times New Roman"/>
          <w:sz w:val="24"/>
          <w:szCs w:val="24"/>
        </w:rPr>
      </w:pPr>
      <w:r w:rsidRPr="00F758B9">
        <w:rPr>
          <w:rFonts w:ascii="Times New Roman" w:eastAsia="Times New Roman" w:hAnsi="Times New Roman" w:cs="Times New Roman"/>
          <w:sz w:val="24"/>
          <w:szCs w:val="24"/>
        </w:rPr>
        <w:t>T</w:t>
      </w:r>
      <w:hyperlink r:id="rId19">
        <w:r w:rsidRPr="00F758B9">
          <w:rPr>
            <w:rFonts w:ascii="Times New Roman" w:eastAsia="Times New Roman" w:hAnsi="Times New Roman" w:cs="Times New Roman"/>
            <w:sz w:val="24"/>
            <w:szCs w:val="24"/>
          </w:rPr>
          <w:t>egnum.edu</w:t>
        </w:r>
      </w:hyperlink>
      <w:r w:rsidRPr="00F758B9">
        <w:rPr>
          <w:rFonts w:ascii="Times New Roman" w:eastAsia="Times New Roman" w:hAnsi="Times New Roman" w:cs="Times New Roman"/>
          <w:sz w:val="24"/>
          <w:szCs w:val="24"/>
        </w:rPr>
        <w:t xml:space="preserve"> (2024) </w:t>
      </w:r>
      <w:r w:rsidRPr="00F758B9">
        <w:rPr>
          <w:rFonts w:ascii="Times New Roman" w:eastAsia="Times New Roman" w:hAnsi="Times New Roman" w:cs="Times New Roman"/>
          <w:i/>
          <w:iCs/>
          <w:sz w:val="24"/>
          <w:szCs w:val="24"/>
        </w:rPr>
        <w:t>A guide to the Project Management Body of Knowledge</w:t>
      </w:r>
      <w:r w:rsidRPr="00F758B9">
        <w:rPr>
          <w:rFonts w:ascii="Times New Roman" w:eastAsia="Times New Roman" w:hAnsi="Times New Roman" w:cs="Times New Roman"/>
          <w:sz w:val="24"/>
          <w:szCs w:val="24"/>
        </w:rPr>
        <w:t xml:space="preserve">. Available at: https://tegnum.edu.pe/wp-content/uploads/2023/09/Project-Management-Institute-A-Guide-to-the-Project-Management-Body-of-Knowledge-PMBOK-R-Guide-PMBOK%C2%AE%EF%B8%8F-Guide-Project-Management-Institute-2021.pdf (Accessed: 15 December 2025). </w:t>
      </w:r>
      <w:r w:rsidRPr="00F758B9">
        <w:rPr>
          <w:sz w:val="24"/>
          <w:szCs w:val="24"/>
        </w:rPr>
        <w:br w:type="page"/>
      </w:r>
    </w:p>
    <w:p w14:paraId="0E0B9E3D" w14:textId="77777777" w:rsidR="009D712E" w:rsidRPr="00F758B9" w:rsidRDefault="009D712E">
      <w:pPr>
        <w:spacing w:before="240" w:after="240" w:line="360" w:lineRule="auto"/>
        <w:jc w:val="both"/>
        <w:rPr>
          <w:rFonts w:ascii="Times New Roman" w:eastAsia="Times New Roman" w:hAnsi="Times New Roman" w:cs="Times New Roman"/>
          <w:color w:val="222222"/>
          <w:sz w:val="24"/>
          <w:szCs w:val="24"/>
          <w:highlight w:val="white"/>
        </w:rPr>
      </w:pPr>
    </w:p>
    <w:p w14:paraId="6EC25217" w14:textId="77777777" w:rsidR="009D712E" w:rsidRPr="00F758B9" w:rsidRDefault="009D712E">
      <w:pPr>
        <w:spacing w:before="240" w:after="240" w:line="360" w:lineRule="auto"/>
        <w:jc w:val="both"/>
        <w:rPr>
          <w:rFonts w:ascii="Times New Roman" w:eastAsia="Times New Roman" w:hAnsi="Times New Roman" w:cs="Times New Roman"/>
          <w:color w:val="222222"/>
          <w:sz w:val="24"/>
          <w:szCs w:val="24"/>
          <w:highlight w:val="white"/>
        </w:rPr>
      </w:pPr>
    </w:p>
    <w:p w14:paraId="2FD42495" w14:textId="77777777" w:rsidR="009D712E" w:rsidRPr="00F758B9" w:rsidRDefault="009D712E">
      <w:pPr>
        <w:spacing w:before="240" w:after="240" w:line="360" w:lineRule="auto"/>
        <w:jc w:val="both"/>
        <w:rPr>
          <w:rFonts w:ascii="Times New Roman" w:eastAsia="Times New Roman" w:hAnsi="Times New Roman" w:cs="Times New Roman"/>
          <w:color w:val="222222"/>
          <w:sz w:val="24"/>
          <w:szCs w:val="24"/>
          <w:highlight w:val="white"/>
        </w:rPr>
      </w:pPr>
    </w:p>
    <w:p w14:paraId="788C3514" w14:textId="77777777" w:rsidR="009D712E" w:rsidRPr="00F758B9" w:rsidRDefault="009D712E">
      <w:pPr>
        <w:spacing w:before="240" w:after="240" w:line="360" w:lineRule="auto"/>
        <w:jc w:val="both"/>
        <w:rPr>
          <w:rFonts w:ascii="Times New Roman" w:eastAsia="Times New Roman" w:hAnsi="Times New Roman" w:cs="Times New Roman"/>
          <w:color w:val="222222"/>
          <w:sz w:val="24"/>
          <w:szCs w:val="24"/>
          <w:highlight w:val="white"/>
        </w:rPr>
      </w:pPr>
    </w:p>
    <w:p w14:paraId="35DD2F03" w14:textId="77777777" w:rsidR="009D712E" w:rsidRPr="00F758B9" w:rsidRDefault="009D712E">
      <w:pPr>
        <w:spacing w:line="360" w:lineRule="auto"/>
        <w:jc w:val="both"/>
        <w:rPr>
          <w:rFonts w:ascii="Times New Roman" w:eastAsia="Times New Roman" w:hAnsi="Times New Roman" w:cs="Times New Roman"/>
          <w:sz w:val="24"/>
          <w:szCs w:val="24"/>
        </w:rPr>
      </w:pPr>
    </w:p>
    <w:sectPr w:rsidR="009D712E" w:rsidRPr="00F758B9" w:rsidSect="0079713B">
      <w:footerReference w:type="default" r:id="rId2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D9A7D" w14:textId="77777777" w:rsidR="00A85BB9" w:rsidRPr="00F758B9" w:rsidRDefault="00A85BB9" w:rsidP="0079713B">
      <w:pPr>
        <w:spacing w:line="240" w:lineRule="auto"/>
      </w:pPr>
      <w:r w:rsidRPr="00F758B9">
        <w:separator/>
      </w:r>
    </w:p>
  </w:endnote>
  <w:endnote w:type="continuationSeparator" w:id="0">
    <w:p w14:paraId="3C9D2250" w14:textId="77777777" w:rsidR="00A85BB9" w:rsidRPr="00F758B9" w:rsidRDefault="00A85BB9" w:rsidP="0079713B">
      <w:pPr>
        <w:spacing w:line="240" w:lineRule="auto"/>
      </w:pPr>
      <w:r w:rsidRPr="00F758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C817A4F-5D1C-4A07-83E4-1870C62B1A61}"/>
    <w:embedBold r:id="rId2" w:fontKey="{BF65DE5A-9CC1-4F16-8730-CC890F69AF40}"/>
  </w:font>
  <w:font w:name="Cambria">
    <w:panose1 w:val="02040503050406030204"/>
    <w:charset w:val="00"/>
    <w:family w:val="roman"/>
    <w:pitch w:val="variable"/>
    <w:sig w:usb0="E00006FF" w:usb1="420024FF" w:usb2="02000000" w:usb3="00000000" w:csb0="0000019F" w:csb1="00000000"/>
    <w:embedRegular r:id="rId3" w:fontKey="{96C07CC4-71A9-4E7D-80F8-CD96E390F82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03552"/>
      <w:docPartObj>
        <w:docPartGallery w:val="Page Numbers (Bottom of Page)"/>
        <w:docPartUnique/>
      </w:docPartObj>
    </w:sdtPr>
    <w:sdtEndPr>
      <w:rPr>
        <w:rFonts w:ascii="Times New Roman" w:hAnsi="Times New Roman" w:cs="Times New Roman"/>
        <w:sz w:val="24"/>
        <w:szCs w:val="24"/>
      </w:rPr>
    </w:sdtEndPr>
    <w:sdtContent>
      <w:p w14:paraId="05AA26B0" w14:textId="00521B6B" w:rsidR="0079713B" w:rsidRPr="00F758B9" w:rsidRDefault="0079713B">
        <w:pPr>
          <w:pStyle w:val="Footer"/>
          <w:jc w:val="right"/>
          <w:rPr>
            <w:rFonts w:ascii="Times New Roman" w:hAnsi="Times New Roman" w:cs="Times New Roman"/>
            <w:sz w:val="24"/>
            <w:szCs w:val="24"/>
          </w:rPr>
        </w:pPr>
        <w:r w:rsidRPr="00F758B9">
          <w:rPr>
            <w:rFonts w:ascii="Times New Roman" w:hAnsi="Times New Roman" w:cs="Times New Roman"/>
            <w:sz w:val="24"/>
            <w:szCs w:val="24"/>
          </w:rPr>
          <w:fldChar w:fldCharType="begin"/>
        </w:r>
        <w:r w:rsidRPr="00F758B9">
          <w:rPr>
            <w:rFonts w:ascii="Times New Roman" w:hAnsi="Times New Roman" w:cs="Times New Roman"/>
            <w:sz w:val="24"/>
            <w:szCs w:val="24"/>
          </w:rPr>
          <w:instrText xml:space="preserve"> PAGE   \* MERGEFORMAT </w:instrText>
        </w:r>
        <w:r w:rsidRPr="00F758B9">
          <w:rPr>
            <w:rFonts w:ascii="Times New Roman" w:hAnsi="Times New Roman" w:cs="Times New Roman"/>
            <w:sz w:val="24"/>
            <w:szCs w:val="24"/>
          </w:rPr>
          <w:fldChar w:fldCharType="separate"/>
        </w:r>
        <w:r w:rsidRPr="00F758B9">
          <w:rPr>
            <w:rFonts w:ascii="Times New Roman" w:hAnsi="Times New Roman" w:cs="Times New Roman"/>
            <w:sz w:val="24"/>
            <w:szCs w:val="24"/>
          </w:rPr>
          <w:t>2</w:t>
        </w:r>
        <w:r w:rsidRPr="00F758B9">
          <w:rPr>
            <w:rFonts w:ascii="Times New Roman" w:hAnsi="Times New Roman" w:cs="Times New Roman"/>
            <w:sz w:val="24"/>
            <w:szCs w:val="24"/>
          </w:rPr>
          <w:fldChar w:fldCharType="end"/>
        </w:r>
      </w:p>
    </w:sdtContent>
  </w:sdt>
  <w:p w14:paraId="1699E728" w14:textId="77777777" w:rsidR="0079713B" w:rsidRPr="00F758B9" w:rsidRDefault="00797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7364D" w14:textId="77777777" w:rsidR="00A85BB9" w:rsidRPr="00F758B9" w:rsidRDefault="00A85BB9" w:rsidP="0079713B">
      <w:pPr>
        <w:spacing w:line="240" w:lineRule="auto"/>
      </w:pPr>
      <w:r w:rsidRPr="00F758B9">
        <w:separator/>
      </w:r>
    </w:p>
  </w:footnote>
  <w:footnote w:type="continuationSeparator" w:id="0">
    <w:p w14:paraId="02FB7523" w14:textId="77777777" w:rsidR="00A85BB9" w:rsidRPr="00F758B9" w:rsidRDefault="00A85BB9" w:rsidP="0079713B">
      <w:pPr>
        <w:spacing w:line="240" w:lineRule="auto"/>
      </w:pPr>
      <w:r w:rsidRPr="00F758B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700C2"/>
    <w:multiLevelType w:val="multilevel"/>
    <w:tmpl w:val="7020E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CA1919"/>
    <w:multiLevelType w:val="multilevel"/>
    <w:tmpl w:val="F7F04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6263483">
    <w:abstractNumId w:val="1"/>
  </w:num>
  <w:num w:numId="2" w16cid:durableId="1896617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12E"/>
    <w:rsid w:val="00174987"/>
    <w:rsid w:val="002921D4"/>
    <w:rsid w:val="003875D0"/>
    <w:rsid w:val="005C0D55"/>
    <w:rsid w:val="0079713B"/>
    <w:rsid w:val="00876BE3"/>
    <w:rsid w:val="009D712E"/>
    <w:rsid w:val="00A85BB9"/>
    <w:rsid w:val="00AA1B6C"/>
    <w:rsid w:val="00DD4568"/>
    <w:rsid w:val="00E32A82"/>
    <w:rsid w:val="00F75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88411"/>
  <w15:docId w15:val="{19D5DB9B-6BB9-4853-A449-115CFB8D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79713B"/>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pPr>
      <w:keepNext/>
      <w:keepLines/>
      <w:shd w:val="clear" w:color="auto" w:fill="FFFFFF"/>
      <w:spacing w:before="280" w:after="80"/>
      <w:jc w:val="both"/>
      <w:outlineLvl w:val="1"/>
    </w:pPr>
    <w:rPr>
      <w:rFonts w:ascii="Times New Roman" w:eastAsia="Times New Roman" w:hAnsi="Times New Roman" w:cs="Times New Roman"/>
      <w:b/>
      <w:bCs/>
      <w:i/>
      <w:iCs/>
      <w:color w:val="222222"/>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79713B"/>
    <w:pPr>
      <w:tabs>
        <w:tab w:val="center" w:pos="4513"/>
        <w:tab w:val="right" w:pos="9026"/>
      </w:tabs>
      <w:spacing w:line="240" w:lineRule="auto"/>
    </w:pPr>
  </w:style>
  <w:style w:type="character" w:customStyle="1" w:styleId="HeaderChar">
    <w:name w:val="Header Char"/>
    <w:basedOn w:val="DefaultParagraphFont"/>
    <w:link w:val="Header"/>
    <w:uiPriority w:val="99"/>
    <w:rsid w:val="0079713B"/>
  </w:style>
  <w:style w:type="paragraph" w:styleId="Footer">
    <w:name w:val="footer"/>
    <w:basedOn w:val="Normal"/>
    <w:link w:val="FooterChar"/>
    <w:uiPriority w:val="99"/>
    <w:unhideWhenUsed/>
    <w:rsid w:val="0079713B"/>
    <w:pPr>
      <w:tabs>
        <w:tab w:val="center" w:pos="4513"/>
        <w:tab w:val="right" w:pos="9026"/>
      </w:tabs>
      <w:spacing w:line="240" w:lineRule="auto"/>
    </w:pPr>
  </w:style>
  <w:style w:type="character" w:customStyle="1" w:styleId="FooterChar">
    <w:name w:val="Footer Char"/>
    <w:basedOn w:val="DefaultParagraphFont"/>
    <w:link w:val="Footer"/>
    <w:uiPriority w:val="99"/>
    <w:rsid w:val="0079713B"/>
  </w:style>
  <w:style w:type="paragraph" w:styleId="TOCHeading">
    <w:name w:val="TOC Heading"/>
    <w:basedOn w:val="Heading1"/>
    <w:next w:val="Normal"/>
    <w:uiPriority w:val="39"/>
    <w:unhideWhenUsed/>
    <w:qFormat/>
    <w:rsid w:val="0079713B"/>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79713B"/>
    <w:pPr>
      <w:spacing w:after="100"/>
    </w:pPr>
  </w:style>
  <w:style w:type="paragraph" w:styleId="TOC2">
    <w:name w:val="toc 2"/>
    <w:basedOn w:val="Normal"/>
    <w:next w:val="Normal"/>
    <w:autoRedefine/>
    <w:uiPriority w:val="39"/>
    <w:unhideWhenUsed/>
    <w:rsid w:val="0079713B"/>
    <w:pPr>
      <w:spacing w:after="100"/>
      <w:ind w:left="220"/>
    </w:pPr>
  </w:style>
  <w:style w:type="character" w:styleId="Hyperlink">
    <w:name w:val="Hyperlink"/>
    <w:basedOn w:val="DefaultParagraphFont"/>
    <w:uiPriority w:val="99"/>
    <w:unhideWhenUsed/>
    <w:rsid w:val="0079713B"/>
    <w:rPr>
      <w:color w:val="0000FF" w:themeColor="hyperlink"/>
      <w:u w:val="single"/>
    </w:rPr>
  </w:style>
  <w:style w:type="table" w:styleId="TableGrid">
    <w:name w:val="Table Grid"/>
    <w:basedOn w:val="TableNormal"/>
    <w:uiPriority w:val="39"/>
    <w:rsid w:val="00E32A8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E32A82"/>
    <w:pPr>
      <w:spacing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6Colorful-Accent5">
    <w:name w:val="Grid Table 6 Colorful Accent 5"/>
    <w:basedOn w:val="TableNormal"/>
    <w:uiPriority w:val="51"/>
    <w:rsid w:val="00E32A82"/>
    <w:pPr>
      <w:spacing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4">
    <w:name w:val="Grid Table 4 Accent 4"/>
    <w:basedOn w:val="TableNormal"/>
    <w:uiPriority w:val="49"/>
    <w:rsid w:val="00E32A82"/>
    <w:pPr>
      <w:spacing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ngelfire.com/pop/noxi2000/homework/gettingtoyes.doc" TargetMode="External"/><Relationship Id="rId18" Type="http://schemas.openxmlformats.org/officeDocument/2006/relationships/hyperlink" Target="https://pure.mpg.de/rest/items/item_2383164/component/file_2383163/conte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roppg.ufersa.edu.br/wp-content/uploads/sites/11/2016/10/Referencia-de-Lilian-Giesta-Triple-bottom-line-in-21-century-2.pdf" TargetMode="External"/><Relationship Id="rId17" Type="http://schemas.openxmlformats.org/officeDocument/2006/relationships/hyperlink" Target="http://jackson.com.np/home/documents/MBA4/Management_accounting/BSCHarvardBusinessReview.pdf" TargetMode="External"/><Relationship Id="rId2" Type="http://schemas.openxmlformats.org/officeDocument/2006/relationships/numbering" Target="numbering.xml"/><Relationship Id="rId16" Type="http://schemas.openxmlformats.org/officeDocument/2006/relationships/hyperlink" Target="https://www.academia.edu/download/37786595/jensen-meckling.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m/books?hl=en&amp;lr=&amp;id=RlW0DAAAQBAJ&amp;oi=fnd&amp;pg=PP1&amp;dq=Clampitt,+P.+(2013)+Communicating+for+Managerial+Effectiveness.&amp;ots=JQqUzSZ4fW&amp;sig=e90w-N3KTJXMRgj-LH_J5oMqBMg" TargetMode="External"/><Relationship Id="rId5" Type="http://schemas.openxmlformats.org/officeDocument/2006/relationships/webSettings" Target="webSettings.xml"/><Relationship Id="rId15" Type="http://schemas.openxmlformats.org/officeDocument/2006/relationships/hyperlink" Target="https://donainfo.wordpress.com/wp-content/uploads/2017/09/emotional-intelligence-daniel-goleman.pdf" TargetMode="External"/><Relationship Id="rId10" Type="http://schemas.openxmlformats.org/officeDocument/2006/relationships/hyperlink" Target="http://org.ezproxy.uwtsd.ac.uk/core/books/relational-lens/value-and-importance-of-relationships/718C31032061BDFA3F480BA2A53F45D4" TargetMode="External"/><Relationship Id="rId19" Type="http://schemas.openxmlformats.org/officeDocument/2006/relationships/hyperlink" Target="http://tegnum.edu" TargetMode="External"/><Relationship Id="rId4" Type="http://schemas.openxmlformats.org/officeDocument/2006/relationships/settings" Target="settings.xml"/><Relationship Id="rId9" Type="http://schemas.openxmlformats.org/officeDocument/2006/relationships/hyperlink" Target="http://tegnum.edu" TargetMode="External"/><Relationship Id="rId14" Type="http://schemas.openxmlformats.org/officeDocument/2006/relationships/hyperlink" Target="https://www.tandfonline.com/doi/pdf/10.1080/10543406.2022.2080698"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2BE85-1E7A-4234-A71B-4244A23ED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5671</Words>
  <Characters>32325</Characters>
  <Application>Microsoft Office Word</Application>
  <DocSecurity>0</DocSecurity>
  <Lines>269</Lines>
  <Paragraphs>75</Paragraphs>
  <ScaleCrop>false</ScaleCrop>
  <Company/>
  <LinksUpToDate>false</LinksUpToDate>
  <CharactersWithSpaces>37921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 i3</cp:lastModifiedBy>
  <cp:revision>5</cp:revision>
  <dcterms:created xsi:type="dcterms:W3CDTF">2025-12-15T19:54:00Z</dcterms:created>
  <dcterms:modified xsi:type="dcterms:W3CDTF">2025-12-19T06:26:00Z</dcterms:modified>
</cp:coreProperties>
</file>